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65.519981pt;width:485pt;height:.1pt;mso-position-horizontal-relative:page;mso-position-vertical-relative:page;z-index:0" coordorigin="1104,1310" coordsize="9700,2">
            <v:shape style="position:absolute;left:1104;top:1310;width:9700;height:2" coordorigin="1104,1310" coordsize="9700,0" path="m1104,1310l10804,1310e" filled="false" stroked="true" strokeweight=".72pt" strokecolor="#000000">
              <v:path arrowok="t"/>
            </v:shape>
            <w10:wrap type="none"/>
          </v:group>
        </w:pict>
      </w:r>
      <w:r>
        <w:rPr/>
        <w:pict>
          <v:shape style="position:absolute;margin-left:58.199997pt;margin-top:35.999985pt;width:90.75pt;height:25.5pt;mso-position-horizontal-relative:page;mso-position-vertical-relative:page;z-index:1048"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line="460" w:lineRule="exact" w:before="0"/>
        <w:ind w:left="495" w:right="495" w:firstLine="0"/>
        <w:jc w:val="center"/>
        <w:rPr>
          <w:rFonts w:ascii="宋体" w:hAnsi="宋体" w:cs="宋体" w:eastAsia="宋体" w:hint="default"/>
          <w:sz w:val="36"/>
          <w:szCs w:val="36"/>
        </w:rPr>
      </w:pPr>
      <w:r>
        <w:rPr>
          <w:rFonts w:ascii="宋体" w:hAnsi="宋体" w:cs="宋体" w:eastAsia="宋体" w:hint="default"/>
          <w:b/>
          <w:bCs/>
          <w:sz w:val="36"/>
          <w:szCs w:val="36"/>
        </w:rPr>
        <w:t>北京神州泰岳软件股份有限公司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95" w:right="49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6"/>
          <w:szCs w:val="46"/>
        </w:rPr>
      </w:pPr>
    </w:p>
    <w:p>
      <w:pPr>
        <w:spacing w:before="0"/>
        <w:ind w:left="495"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1075" w:footer="1226" w:top="1380" w:bottom="1420" w:left="980" w:right="980"/>
        </w:sectPr>
      </w:pPr>
    </w:p>
    <w:p>
      <w:pPr>
        <w:spacing w:line="240" w:lineRule="auto" w:before="12"/>
        <w:rPr>
          <w:rFonts w:ascii="宋体" w:hAnsi="宋体" w:cs="宋体" w:eastAsia="宋体" w:hint="default"/>
          <w:b/>
          <w:bCs/>
          <w:sz w:val="2"/>
          <w:szCs w:val="2"/>
        </w:rPr>
      </w:pPr>
      <w:r>
        <w:rPr/>
        <w:pict>
          <v:shape style="position:absolute;margin-left:58.199997pt;margin-top:42.549988pt;width:90.75pt;height:25.5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Heading3"/>
        <w:spacing w:line="408" w:lineRule="auto"/>
        <w:ind w:left="153" w:right="0" w:firstLine="422"/>
        <w:jc w:val="left"/>
        <w:rPr>
          <w:b w:val="0"/>
          <w:bCs w:val="0"/>
        </w:rPr>
      </w:pPr>
      <w:r>
        <w:rPr>
          <w:spacing w:val="-1"/>
          <w:w w:val="95"/>
        </w:rPr>
        <w:t>本公司董事会、监事会及董事、监事、高级管理人员保证本报告所载资料不存在任何虚假记载、误导</w:t>
      </w:r>
      <w:r>
        <w:rPr>
          <w:spacing w:val="-84"/>
          <w:w w:val="95"/>
        </w:rPr>
        <w:t> </w:t>
      </w:r>
      <w:r>
        <w:rPr>
          <w:spacing w:val="-84"/>
          <w:w w:val="95"/>
        </w:rPr>
      </w:r>
      <w:r>
        <w:rPr/>
        <w:t>性陈述或者重大遗漏，并对其内容的真实性、准确性和完整性承担个别及连带责任。</w:t>
      </w:r>
      <w:r>
        <w:rPr>
          <w:b w:val="0"/>
          <w:bCs w:val="0"/>
        </w:rPr>
      </w:r>
    </w:p>
    <w:p>
      <w:pPr>
        <w:spacing w:line="240" w:lineRule="auto" w:before="6"/>
        <w:rPr>
          <w:rFonts w:ascii="宋体" w:hAnsi="宋体" w:cs="宋体" w:eastAsia="宋体" w:hint="default"/>
          <w:b/>
          <w:bCs/>
          <w:sz w:val="15"/>
          <w:szCs w:val="15"/>
        </w:rPr>
      </w:pPr>
    </w:p>
    <w:p>
      <w:pPr>
        <w:pStyle w:val="Heading3"/>
        <w:spacing w:line="240" w:lineRule="auto"/>
        <w:ind w:left="576" w:right="0"/>
        <w:jc w:val="left"/>
        <w:rPr>
          <w:b w:val="0"/>
          <w:bCs w:val="0"/>
        </w:rPr>
      </w:pPr>
      <w:r>
        <w:rPr/>
        <w:t>所有董事均已出席了审议本报告的董事会会议。</w:t>
      </w:r>
      <w:r>
        <w:rPr>
          <w:b w:val="0"/>
          <w:bCs w:val="0"/>
        </w:rPr>
      </w:r>
    </w:p>
    <w:p>
      <w:pPr>
        <w:spacing w:line="240" w:lineRule="auto" w:before="9"/>
        <w:rPr>
          <w:rFonts w:ascii="宋体" w:hAnsi="宋体" w:cs="宋体" w:eastAsia="宋体" w:hint="default"/>
          <w:b/>
          <w:bCs/>
          <w:sz w:val="26"/>
          <w:szCs w:val="26"/>
        </w:rPr>
      </w:pPr>
    </w:p>
    <w:p>
      <w:pPr>
        <w:pStyle w:val="Heading3"/>
        <w:spacing w:line="408" w:lineRule="auto"/>
        <w:ind w:left="153" w:right="0" w:firstLine="422"/>
        <w:jc w:val="left"/>
        <w:rPr>
          <w:b w:val="0"/>
          <w:bCs w:val="0"/>
        </w:rPr>
      </w:pPr>
      <w:r>
        <w:rPr>
          <w:spacing w:val="-1"/>
          <w:w w:val="95"/>
        </w:rPr>
        <w:t>公司负责人王宁先生、主管会计工作负责人万能先生及会计机构负责人</w:t>
      </w:r>
      <w:r>
        <w:rPr>
          <w:rFonts w:ascii="宋体" w:hAnsi="宋体" w:cs="宋体" w:eastAsia="宋体" w:hint="default"/>
          <w:spacing w:val="-1"/>
          <w:w w:val="95"/>
        </w:rPr>
        <w:t>(</w:t>
      </w:r>
      <w:r>
        <w:rPr>
          <w:spacing w:val="-1"/>
          <w:w w:val="95"/>
        </w:rPr>
        <w:t>会计主管人员</w:t>
      </w:r>
      <w:r>
        <w:rPr>
          <w:rFonts w:ascii="宋体" w:hAnsi="宋体" w:cs="宋体" w:eastAsia="宋体" w:hint="default"/>
          <w:spacing w:val="-1"/>
          <w:w w:val="95"/>
        </w:rPr>
        <w:t>)</w:t>
      </w:r>
      <w:r>
        <w:rPr>
          <w:spacing w:val="-1"/>
          <w:w w:val="95"/>
        </w:rPr>
        <w:t>林红女士声明：</w:t>
      </w:r>
      <w:r>
        <w:rPr>
          <w:spacing w:val="-70"/>
          <w:w w:val="95"/>
        </w:rPr>
        <w:t> </w:t>
      </w:r>
      <w:r>
        <w:rPr>
          <w:spacing w:val="-70"/>
          <w:w w:val="95"/>
        </w:rPr>
      </w:r>
      <w:r>
        <w:rPr/>
        <w:t>保证年度报告中财务报告的真实、准确、完整。</w:t>
      </w:r>
      <w:r>
        <w:rPr>
          <w:b w:val="0"/>
          <w:bCs w:val="0"/>
        </w:rPr>
      </w:r>
    </w:p>
    <w:p>
      <w:pPr>
        <w:spacing w:line="240" w:lineRule="auto" w:before="6"/>
        <w:rPr>
          <w:rFonts w:ascii="宋体" w:hAnsi="宋体" w:cs="宋体" w:eastAsia="宋体" w:hint="default"/>
          <w:b/>
          <w:bCs/>
          <w:sz w:val="15"/>
          <w:szCs w:val="15"/>
        </w:rPr>
      </w:pPr>
    </w:p>
    <w:p>
      <w:pPr>
        <w:pStyle w:val="Heading3"/>
        <w:spacing w:line="408" w:lineRule="auto"/>
        <w:ind w:left="153" w:right="0" w:firstLine="422"/>
        <w:jc w:val="left"/>
        <w:rPr>
          <w:b w:val="0"/>
          <w:bCs w:val="0"/>
        </w:rPr>
      </w:pPr>
      <w:r>
        <w:rPr>
          <w:spacing w:val="-1"/>
          <w:w w:val="95"/>
        </w:rPr>
        <w:t>本报告中如有涉及未来的计划、业绩预测等方面的内容，均不构成本公司对任何投资者及相关人士的</w:t>
      </w:r>
      <w:r>
        <w:rPr>
          <w:spacing w:val="-84"/>
          <w:w w:val="95"/>
        </w:rPr>
        <w:t> </w:t>
      </w:r>
      <w:r>
        <w:rPr>
          <w:spacing w:val="-84"/>
          <w:w w:val="95"/>
        </w:rPr>
      </w:r>
      <w:r>
        <w:rPr/>
        <w:t>承诺，投资者及相关人士均应对此保持足够的风险认识，并且应当理解计划、预测与承诺之间的差异。</w:t>
      </w:r>
      <w:r>
        <w:rPr>
          <w:b w:val="0"/>
          <w:bCs w:val="0"/>
        </w:rPr>
      </w:r>
    </w:p>
    <w:p>
      <w:pPr>
        <w:spacing w:after="0" w:line="408" w:lineRule="auto"/>
        <w:jc w:val="left"/>
        <w:sectPr>
          <w:footerReference w:type="default" r:id="rId8"/>
          <w:pgSz w:w="11910" w:h="16840"/>
          <w:pgMar w:footer="1226" w:header="1075" w:top="1380" w:bottom="1420" w:left="980" w:right="820"/>
          <w:pgNumType w:start="2"/>
        </w:sectPr>
      </w:pPr>
    </w:p>
    <w:p>
      <w:pPr>
        <w:spacing w:line="240" w:lineRule="auto" w:before="12"/>
        <w:rPr>
          <w:rFonts w:ascii="宋体" w:hAnsi="宋体" w:cs="宋体" w:eastAsia="宋体" w:hint="default"/>
          <w:b/>
          <w:bCs/>
          <w:sz w:val="2"/>
          <w:szCs w:val="2"/>
        </w:rPr>
      </w:pPr>
      <w:r>
        <w:rPr/>
        <w:pict>
          <v:shape style="position:absolute;margin-left:58.199997pt;margin-top:42.549988pt;width:90.75pt;height:25.5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tabs>
          <w:tab w:pos="804" w:val="left" w:leader="none"/>
        </w:tabs>
        <w:spacing w:before="1"/>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27"/>
          <w:szCs w:val="2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9</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54</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62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72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76</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185</w:t>
            </w:r>
          </w:hyperlink>
        </w:p>
        <w:p>
          <w:pPr/>
          <w:r>
            <w:fldChar w:fldCharType="end"/>
          </w:r>
        </w:p>
      </w:sdtContent>
    </w:sdt>
    <w:p>
      <w:pPr>
        <w:spacing w:after="0"/>
        <w:sectPr>
          <w:pgSz w:w="11910" w:h="16840"/>
          <w:pgMar w:header="1075" w:footer="1226" w:top="1380" w:bottom="1420" w:left="980" w:right="980"/>
        </w:sectPr>
      </w:pPr>
    </w:p>
    <w:p>
      <w:pPr>
        <w:spacing w:before="625"/>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pStyle w:val="BodyText"/>
        <w:spacing w:line="240" w:lineRule="auto"/>
        <w:ind w:left="0" w:right="159"/>
        <w:jc w:val="right"/>
      </w:pPr>
      <w:r>
        <w:rPr/>
        <w:pict>
          <v:shape style="position:absolute;margin-left:56.459999pt;margin-top:-230.448303pt;width:479.25pt;height:591.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566"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运维管理</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pacing w:val="-2"/>
                            <w:sz w:val="18"/>
                            <w:szCs w:val="18"/>
                          </w:rPr>
                          <w:t>运维管理是企业信息化建设的重要组成部分，是指采用专业的信息技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术和方法，对用户的软硬件环境、计算机网络与电信网络、应用系统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及运维服务流程等进行的综合管理，其目的是保障系统与网络的可用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性、安全性和业务持续性，尤其是保障企业关键业务</w:t>
                        </w:r>
                        <w:r>
                          <w:rPr>
                            <w:rFonts w:ascii="宋体" w:hAnsi="宋体" w:cs="宋体" w:eastAsia="宋体" w:hint="default"/>
                            <w:spacing w:val="-61"/>
                            <w:sz w:val="18"/>
                            <w:szCs w:val="18"/>
                          </w:rPr>
                          <w:t> </w:t>
                        </w:r>
                        <w:r>
                          <w:rPr>
                            <w:rFonts w:ascii="宋体" w:hAnsi="宋体" w:cs="宋体" w:eastAsia="宋体" w:hint="default"/>
                            <w:sz w:val="18"/>
                            <w:szCs w:val="18"/>
                          </w:rPr>
                          <w:t>IT</w:t>
                        </w:r>
                        <w:r>
                          <w:rPr>
                            <w:rFonts w:ascii="宋体" w:hAnsi="宋体" w:cs="宋体" w:eastAsia="宋体" w:hint="default"/>
                            <w:spacing w:val="1"/>
                            <w:sz w:val="18"/>
                            <w:szCs w:val="18"/>
                          </w:rPr>
                          <w:t> </w:t>
                        </w:r>
                        <w:r>
                          <w:rPr>
                            <w:rFonts w:ascii="宋体" w:hAnsi="宋体" w:cs="宋体" w:eastAsia="宋体" w:hint="default"/>
                            <w:sz w:val="18"/>
                            <w:szCs w:val="18"/>
                          </w:rPr>
                          <w:t>系统</w:t>
                        </w:r>
                        <w:r>
                          <w:rPr>
                            <w:rFonts w:ascii="宋体" w:hAnsi="宋体" w:cs="宋体" w:eastAsia="宋体" w:hint="default"/>
                            <w:spacing w:val="-62"/>
                            <w:sz w:val="18"/>
                            <w:szCs w:val="18"/>
                          </w:rPr>
                          <w:t> </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小 时的稳定可靠运行，提高其运行效率和服务质量。 随着网络的普及、企业信息化建设的推进、</w:t>
                        </w:r>
                        <w:r>
                          <w:rPr>
                            <w:rFonts w:ascii="宋体" w:hAnsi="宋体" w:cs="宋体" w:eastAsia="宋体" w:hint="default"/>
                            <w:sz w:val="18"/>
                            <w:szCs w:val="18"/>
                          </w:rPr>
                          <w:t>IT </w:t>
                        </w:r>
                        <w:r>
                          <w:rPr>
                            <w:rFonts w:ascii="宋体" w:hAnsi="宋体" w:cs="宋体" w:eastAsia="宋体" w:hint="default"/>
                            <w:sz w:val="18"/>
                            <w:szCs w:val="18"/>
                          </w:rPr>
                          <w:t>技术的发展与创新， 人们日常生活和工作对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系统的使用不断增加，依赖性越来越高。 以电信运营商、金融企业为代表的大型客户的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系统，尤其是其在 线关键业务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应用系统对运维管理的刚性需求持续快速增长，以保 障其关键业务系统能够 </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pacing w:val="-40"/>
                            <w:sz w:val="18"/>
                            <w:szCs w:val="18"/>
                          </w:rPr>
                          <w:t> </w:t>
                        </w:r>
                        <w:r>
                          <w:rPr>
                            <w:rFonts w:ascii="宋体" w:hAnsi="宋体" w:cs="宋体" w:eastAsia="宋体" w:hint="default"/>
                            <w:spacing w:val="-5"/>
                            <w:sz w:val="18"/>
                            <w:szCs w:val="18"/>
                          </w:rPr>
                          <w:t>小时持续、不间断地稳定运行，相应的</w:t>
                        </w:r>
                        <w:r>
                          <w:rPr>
                            <w:rFonts w:ascii="宋体" w:hAnsi="宋体" w:cs="宋体" w:eastAsia="宋体" w:hint="default"/>
                            <w:sz w:val="18"/>
                            <w:szCs w:val="18"/>
                          </w:rPr>
                          <w:t> </w:t>
                        </w:r>
                        <w:r>
                          <w:rPr>
                            <w:rFonts w:ascii="宋体" w:hAnsi="宋体" w:cs="宋体" w:eastAsia="宋体" w:hint="default"/>
                            <w:sz w:val="18"/>
                            <w:szCs w:val="18"/>
                          </w:rPr>
                          <w:t>IT </w:t>
                        </w:r>
                        <w:r>
                          <w:rPr>
                            <w:rFonts w:ascii="宋体" w:hAnsi="宋体" w:cs="宋体" w:eastAsia="宋体" w:hint="default"/>
                            <w:sz w:val="18"/>
                            <w:szCs w:val="18"/>
                          </w:rPr>
                          <w:t>运维管理的市场容量将不断地增长。</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565"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254"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飞信</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飞信是由中国移动通信集团公司推出的综合通信服务，即融合语音</w:t>
                        </w:r>
                      </w:p>
                      <w:p>
                        <w:pPr>
                          <w:pStyle w:val="TableParagraph"/>
                          <w:spacing w:line="319" w:lineRule="auto" w:before="75"/>
                          <w:ind w:left="16" w:right="-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IVR</w:t>
                        </w:r>
                        <w:r>
                          <w:rPr>
                            <w:rFonts w:ascii="宋体" w:hAnsi="宋体" w:cs="宋体" w:eastAsia="宋体" w:hint="default"/>
                            <w:spacing w:val="-4"/>
                            <w:sz w:val="18"/>
                            <w:szCs w:val="18"/>
                          </w:rPr>
                          <w:t>）、</w:t>
                        </w:r>
                        <w:r>
                          <w:rPr>
                            <w:rFonts w:ascii="宋体" w:hAnsi="宋体" w:cs="宋体" w:eastAsia="宋体" w:hint="default"/>
                            <w:spacing w:val="-4"/>
                            <w:sz w:val="18"/>
                            <w:szCs w:val="18"/>
                          </w:rPr>
                          <w:t>GPRS</w:t>
                        </w:r>
                        <w:r>
                          <w:rPr>
                            <w:rFonts w:ascii="宋体" w:hAnsi="宋体" w:cs="宋体" w:eastAsia="宋体" w:hint="default"/>
                            <w:spacing w:val="-4"/>
                            <w:sz w:val="18"/>
                            <w:szCs w:val="18"/>
                          </w:rPr>
                          <w:t>、短信等多种通信方式，覆盖三种不同形态（完全实时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的语音服务、准实时的文字和小数据量通信服务、非实时的通信服务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的客户通信需求，实现互联网和移动网间的无缝通信服务。飞信服务</w:t>
                        </w:r>
                        <w:r>
                          <w:rPr>
                            <w:rFonts w:ascii="宋体" w:hAnsi="宋体" w:cs="宋体" w:eastAsia="宋体" w:hint="default"/>
                            <w:sz w:val="18"/>
                            <w:szCs w:val="18"/>
                          </w:rPr>
                          <w:t> 于中国移动的互联网发展战略，是直达用户桌面的工具，能够聚合用 户，维系用户之间有效智能沟通，实现各种通信工具的互通，提供多 种便利性和娱乐性的附加功能，打造中国移动用户的通信社交社区， 通过各种增值服务和广告服务，借助规模效应提升数据及信息业务收 入，在产品形态上，目前包括飞信、飞聊、社区三类子产品。</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253"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2"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网优或网络优化</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1"/>
                          <w:jc w:val="left"/>
                          <w:rPr>
                            <w:rFonts w:ascii="宋体" w:hAnsi="宋体" w:cs="宋体" w:eastAsia="宋体" w:hint="default"/>
                            <w:sz w:val="18"/>
                            <w:szCs w:val="18"/>
                          </w:rPr>
                        </w:pPr>
                        <w:r>
                          <w:rPr>
                            <w:rFonts w:ascii="宋体" w:hAnsi="宋体" w:cs="宋体" w:eastAsia="宋体" w:hint="default"/>
                            <w:spacing w:val="-2"/>
                            <w:sz w:val="18"/>
                            <w:szCs w:val="18"/>
                          </w:rPr>
                          <w:t>通过对网络的软件配置、系统参数进行调整，达到性能优化的一种技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术服务。</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942"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农村信息网或农信通</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0"/>
                          <w:jc w:val="both"/>
                          <w:rPr>
                            <w:rFonts w:ascii="宋体" w:hAnsi="宋体" w:cs="宋体" w:eastAsia="宋体" w:hint="default"/>
                            <w:sz w:val="18"/>
                            <w:szCs w:val="18"/>
                          </w:rPr>
                        </w:pPr>
                        <w:r>
                          <w:rPr>
                            <w:rFonts w:ascii="宋体" w:hAnsi="宋体" w:cs="宋体" w:eastAsia="宋体" w:hint="default"/>
                            <w:spacing w:val="-2"/>
                            <w:sz w:val="18"/>
                            <w:szCs w:val="18"/>
                          </w:rPr>
                          <w:t>是中国移动推出的面向全国、服务“三农”的综合性互联网平台，以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农村信息网（</w:t>
                        </w:r>
                        <w:r>
                          <w:rPr>
                            <w:rFonts w:ascii="宋体" w:hAnsi="宋体" w:cs="宋体" w:eastAsia="宋体" w:hint="default"/>
                            <w:spacing w:val="-1"/>
                            <w:sz w:val="18"/>
                            <w:szCs w:val="18"/>
                          </w:rPr>
                          <w:t>12582.10086.cn</w:t>
                        </w:r>
                        <w:r>
                          <w:rPr>
                            <w:rFonts w:ascii="宋体" w:hAnsi="宋体" w:cs="宋体" w:eastAsia="宋体" w:hint="default"/>
                            <w:spacing w:val="-1"/>
                            <w:sz w:val="18"/>
                            <w:szCs w:val="18"/>
                          </w:rPr>
                          <w:t>）为载体，基于手机、农村信息机等移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动终端和个人计算机，通过短信、彩信、语音、</w:t>
                        </w:r>
                        <w:r>
                          <w:rPr>
                            <w:rFonts w:ascii="宋体" w:hAnsi="宋体" w:cs="宋体" w:eastAsia="宋体" w:hint="default"/>
                            <w:sz w:val="18"/>
                            <w:szCs w:val="18"/>
                          </w:rPr>
                          <w:t>WAP</w:t>
                        </w:r>
                        <w:r>
                          <w:rPr>
                            <w:rFonts w:ascii="宋体" w:hAnsi="宋体" w:cs="宋体" w:eastAsia="宋体" w:hint="default"/>
                            <w:sz w:val="18"/>
                            <w:szCs w:val="18"/>
                          </w:rPr>
                          <w:t>、互联网等方式 提供涉农业务服务，核心应用包括“务工易”、“百事易”、</w:t>
                        </w:r>
                        <w:r>
                          <w:rPr>
                            <w:rFonts w:ascii="宋体" w:hAnsi="宋体" w:cs="宋体" w:eastAsia="宋体" w:hint="default"/>
                            <w:sz w:val="18"/>
                            <w:szCs w:val="18"/>
                          </w:rPr>
                          <w:t>12582 </w:t>
                        </w:r>
                        <w:r>
                          <w:rPr>
                            <w:rFonts w:ascii="宋体" w:hAnsi="宋体" w:cs="宋体" w:eastAsia="宋体" w:hint="default"/>
                            <w:spacing w:val="-2"/>
                            <w:sz w:val="18"/>
                            <w:szCs w:val="18"/>
                          </w:rPr>
                          <w:t>热线等。是中国移动对国家“三农”政策的积极响应，体现了中国移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动的企业社会责任，通过解决当前农村存在“数字鸿沟”问题，推动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农村信息化的发展，促进农村生活水平的提高。</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94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4"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融合通信</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22"/>
                          <w:jc w:val="both"/>
                          <w:rPr>
                            <w:rFonts w:ascii="宋体" w:hAnsi="宋体" w:cs="宋体" w:eastAsia="宋体" w:hint="default"/>
                            <w:sz w:val="18"/>
                            <w:szCs w:val="18"/>
                          </w:rPr>
                        </w:pPr>
                        <w:r>
                          <w:rPr>
                            <w:rFonts w:ascii="宋体" w:hAnsi="宋体" w:cs="宋体" w:eastAsia="宋体" w:hint="default"/>
                            <w:spacing w:val="-2"/>
                            <w:sz w:val="18"/>
                            <w:szCs w:val="18"/>
                          </w:rPr>
                          <w:t>把计算机技术与传统通信技术融合一体的新通信模式，融合计算机网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络与传统通信网络在一个网络平台上，提供包括语音、数据、视频和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多媒体业务信息通信技术开展的全业务服务，目前全球主流电信运营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商都纷纷地将融合通信业务定位为业务和技术发展的核心方向。</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3"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42" w:hRule="exact"/>
                    </w:trPr>
                    <w:tc>
                      <w:tcPr>
                        <w:tcW w:w="3525" w:type="dxa"/>
                        <w:vMerge w:val="restart"/>
                        <w:tcBorders>
                          <w:top w:val="single" w:sz="4" w:space="0" w:color="000000"/>
                          <w:left w:val="single" w:sz="4" w:space="0" w:color="000000"/>
                          <w:right w:val="single" w:sz="13" w:space="0" w:color="D2D2D2"/>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13" w:space="0" w:color="D2D2D2"/>
                          <w:right w:val="single" w:sz="4" w:space="0" w:color="000000"/>
                        </w:tcBorders>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2"/>
                            <w:sz w:val="18"/>
                            <w:szCs w:val="18"/>
                          </w:rPr>
                          <w:t>是奇点国际自主设计制造的线缆型通信设备，指下一代无线通信与精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确定位系统解决方案，针对矿井、隧道、监狱等封闭环境能快速构造</w:t>
                        </w:r>
                      </w:p>
                    </w:tc>
                  </w:tr>
                  <w:tr>
                    <w:trPr>
                      <w:trHeight w:val="392" w:hRule="exact"/>
                    </w:trPr>
                    <w:tc>
                      <w:tcPr>
                        <w:tcW w:w="3525" w:type="dxa"/>
                        <w:vMerge/>
                        <w:tcBorders>
                          <w:left w:val="single" w:sz="4" w:space="0" w:color="000000"/>
                          <w:right w:val="single" w:sz="13"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13" w:space="0" w:color="D2D2D2"/>
                          <w:right w:val="single" w:sz="4" w:space="0" w:color="000000"/>
                        </w:tcBorders>
                      </w:tcPr>
                      <w:p>
                        <w:pPr/>
                      </w:p>
                    </w:tc>
                  </w:tr>
                  <w:tr>
                    <w:trPr>
                      <w:trHeight w:val="140" w:hRule="exact"/>
                    </w:trPr>
                    <w:tc>
                      <w:tcPr>
                        <w:tcW w:w="3525" w:type="dxa"/>
                        <w:vMerge/>
                        <w:tcBorders>
                          <w:left w:val="single" w:sz="4" w:space="0" w:color="000000"/>
                          <w:bottom w:val="single" w:sz="4" w:space="0" w:color="000000"/>
                          <w:right w:val="single" w:sz="13"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13"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9"/>
          <w:pgSz w:w="11910" w:h="16840"/>
          <w:pgMar w:header="851" w:footer="1226" w:top="1380" w:bottom="1420" w:left="980" w:right="980"/>
        </w:sectPr>
      </w:pPr>
    </w:p>
    <w:p>
      <w:pPr>
        <w:spacing w:line="240" w:lineRule="auto" w:before="1"/>
        <w:rPr>
          <w:rFonts w:ascii="宋体" w:hAnsi="宋体" w:cs="宋体" w:eastAsia="宋体" w:hint="default"/>
          <w:sz w:val="26"/>
          <w:szCs w:val="26"/>
        </w:rPr>
      </w:pPr>
    </w:p>
    <w:p>
      <w:pPr>
        <w:pStyle w:val="BodyText"/>
        <w:spacing w:line="240" w:lineRule="auto" w:before="44"/>
        <w:ind w:left="0" w:right="118"/>
        <w:jc w:val="right"/>
      </w:pPr>
      <w:r>
        <w:rPr/>
        <w:pict>
          <v:shape style="position:absolute;margin-left:56.459999pt;margin-top:-15.428274pt;width:479.25pt;height:224.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685" w:hRule="exact"/>
                    </w:trPr>
                    <w:tc>
                      <w:tcPr>
                        <w:tcW w:w="3525" w:type="dxa"/>
                        <w:tcBorders>
                          <w:top w:val="single" w:sz="10" w:space="0" w:color="000000"/>
                          <w:left w:val="single" w:sz="4" w:space="0" w:color="000000"/>
                          <w:bottom w:val="single" w:sz="4" w:space="0" w:color="000000"/>
                          <w:right w:val="single" w:sz="4" w:space="0" w:color="000000"/>
                        </w:tcBorders>
                      </w:tcPr>
                      <w:p>
                        <w:pPr/>
                      </w:p>
                    </w:tc>
                    <w:tc>
                      <w:tcPr>
                        <w:tcW w:w="621"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2" w:right="22"/>
                          <w:jc w:val="left"/>
                          <w:rPr>
                            <w:rFonts w:ascii="宋体" w:hAnsi="宋体" w:cs="宋体" w:eastAsia="宋体" w:hint="default"/>
                            <w:sz w:val="18"/>
                            <w:szCs w:val="18"/>
                          </w:rPr>
                        </w:pPr>
                        <w:r>
                          <w:rPr>
                            <w:rFonts w:ascii="宋体" w:hAnsi="宋体" w:cs="宋体" w:eastAsia="宋体" w:hint="default"/>
                            <w:spacing w:val="-2"/>
                            <w:sz w:val="18"/>
                            <w:szCs w:val="18"/>
                          </w:rPr>
                          <w:t>一张覆盖制定区域的无线通信网络，具备完整的无线通信和精确定位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能力，定位精度高达</w:t>
                        </w:r>
                        <w:r>
                          <w:rPr>
                            <w:rFonts w:ascii="宋体" w:hAnsi="宋体" w:cs="宋体" w:eastAsia="宋体" w:hint="default"/>
                            <w:spacing w:val="-39"/>
                            <w:sz w:val="18"/>
                            <w:szCs w:val="18"/>
                          </w:rPr>
                          <w:t> </w:t>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5"/>
                            <w:sz w:val="18"/>
                            <w:szCs w:val="18"/>
                          </w:rPr>
                          <w:t>米，且无需基站、天线、大型供电及配套设施</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是奇点国际自主设计制造的线缆型通信设备，指宽带无线接入解决方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案，独特的线缆结构将光纤通信与无线通信相结合，能快速在室内构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建一张稳定可靠的无线网络，“超级</w:t>
                        </w:r>
                        <w:r>
                          <w:rPr>
                            <w:rFonts w:ascii="宋体" w:hAnsi="宋体" w:cs="宋体" w:eastAsia="宋体" w:hint="default"/>
                            <w:spacing w:val="-46"/>
                            <w:sz w:val="18"/>
                            <w:szCs w:val="18"/>
                          </w:rPr>
                          <w:t> </w:t>
                        </w:r>
                        <w:r>
                          <w:rPr>
                            <w:rFonts w:ascii="宋体" w:hAnsi="宋体" w:cs="宋体" w:eastAsia="宋体" w:hint="default"/>
                            <w:sz w:val="18"/>
                            <w:szCs w:val="18"/>
                          </w:rPr>
                          <w:t>AP</w:t>
                        </w:r>
                        <w:r>
                          <w:rPr>
                            <w:rFonts w:ascii="宋体" w:hAnsi="宋体" w:cs="宋体" w:eastAsia="宋体" w:hint="default"/>
                            <w:sz w:val="18"/>
                            <w:szCs w:val="18"/>
                          </w:rPr>
                          <w:t>”释放的接入能力是普通</w:t>
                        </w:r>
                        <w:r>
                          <w:rPr>
                            <w:rFonts w:ascii="宋体" w:hAnsi="宋体" w:cs="宋体" w:eastAsia="宋体" w:hint="default"/>
                            <w:spacing w:val="-46"/>
                            <w:sz w:val="18"/>
                            <w:szCs w:val="18"/>
                          </w:rPr>
                          <w:t> </w:t>
                        </w:r>
                        <w:r>
                          <w:rPr>
                            <w:rFonts w:ascii="宋体" w:hAnsi="宋体" w:cs="宋体" w:eastAsia="宋体" w:hint="default"/>
                            <w:sz w:val="18"/>
                            <w:szCs w:val="18"/>
                          </w:rPr>
                          <w:t>AP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4</w:t>
                        </w:r>
                        <w:r>
                          <w:rPr>
                            <w:rFonts w:ascii="宋体" w:hAnsi="宋体" w:cs="宋体" w:eastAsia="宋体" w:hint="default"/>
                            <w:spacing w:val="-61"/>
                            <w:sz w:val="18"/>
                            <w:szCs w:val="18"/>
                          </w:rPr>
                          <w:t> </w:t>
                        </w:r>
                        <w:r>
                          <w:rPr>
                            <w:rFonts w:ascii="宋体" w:hAnsi="宋体" w:cs="宋体" w:eastAsia="宋体" w:hint="default"/>
                            <w:sz w:val="18"/>
                            <w:szCs w:val="18"/>
                          </w:rPr>
                          <w:t>倍，能同时满足办公、娱乐、通信、交互等大容量无线数据传输 需求，同时，微发射功率带来的低辐射使网络更绿色、环保。</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在线教育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面向大学生和初入职场人群的职业规划、职业培训、就业推荐三位一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体的一站式在线职业教育服务。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pacing w:val="4"/>
                            <w:sz w:val="18"/>
                            <w:szCs w:val="18"/>
                          </w:rPr>
                          <w:t>为互联网、移动互联网开发者提供基于云计算架构的即时通讯云平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台，及基于该平台的相关服务。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WiFi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pacing w:val="4"/>
                            <w:sz w:val="18"/>
                            <w:szCs w:val="18"/>
                          </w:rPr>
                          <w:t>为出境人士构建的一个随时随地随身的上网的通道以及旅行资讯信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息服务平台。</w:t>
                        </w:r>
                      </w:p>
                    </w:tc>
                  </w:tr>
                </w:tbl>
                <w:p>
                  <w:pPr/>
                </w:p>
              </w:txbxContent>
            </v:textbox>
            <w10:wrap type="none"/>
          </v:shape>
        </w:pict>
      </w:r>
      <w:r>
        <w:rPr/>
        <w:t>。</w:t>
      </w:r>
    </w:p>
    <w:p>
      <w:pPr>
        <w:spacing w:after="0" w:line="240" w:lineRule="auto"/>
        <w:jc w:val="right"/>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神州泰岳</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神州泰岳</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Beijing Ultrapower Software Co.,</w:t>
            </w:r>
            <w:r>
              <w:rPr>
                <w:rFonts w:ascii="Times New Roman"/>
                <w:spacing w:val="-7"/>
                <w:sz w:val="18"/>
              </w:rPr>
              <w:t> </w:t>
            </w:r>
            <w:r>
              <w:rPr>
                <w:rFonts w:ascii="Times New Roman"/>
                <w:spacing w:val="-6"/>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Ultrapower</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北京市海淀区万泉庄路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100107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www.ultrapower.com.cn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IRM@ultrapower.com.cn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3698"/>
        <w:gridCol w:w="347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张黔山</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010-58847555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010-58847555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010-58847583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010-58847583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16" w:right="0"/>
              <w:jc w:val="left"/>
              <w:rPr>
                <w:rFonts w:ascii="Times New Roman" w:hAnsi="Times New Roman" w:cs="Times New Roman" w:eastAsia="Times New Roman" w:hint="default"/>
                <w:sz w:val="18"/>
                <w:szCs w:val="18"/>
              </w:rPr>
            </w:pPr>
            <w:hyperlink r:id="rId11">
              <w:r>
                <w:rPr>
                  <w:rFonts w:ascii="Times New Roman"/>
                  <w:sz w:val="18"/>
                </w:rPr>
                <w:t>IRM@ultrapower.com.cn</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hyperlink r:id="rId11">
              <w:r>
                <w:rPr>
                  <w:rFonts w:ascii="Times New Roman"/>
                  <w:sz w:val="18"/>
                </w:rPr>
                <w:t>IRM@ultrapower.com.cn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pStyle w:val="Heading2"/>
        <w:spacing w:line="240" w:lineRule="auto" w:before="15"/>
        <w:ind w:right="0"/>
        <w:jc w:val="left"/>
        <w:rPr>
          <w:b w:val="0"/>
          <w:bCs w:val="0"/>
        </w:rPr>
      </w:pPr>
      <w:r>
        <w:rPr/>
        <w:pict>
          <v:group style="position:absolute;margin-left:55.200001pt;margin-top:2.225632pt;width:485pt;height:.1pt;mso-position-horizontal-relative:page;mso-position-vertical-relative:paragraph;z-index:-1111792"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北京市海淀区上地 信息中路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村创业大厦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1101081270093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110108802090167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80209016-7</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北京市海淀区上地 信息中路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关村创业大厦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1100001270093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公司上市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r>
              <w:rPr>
                <w:rFonts w:ascii="宋体" w:hAnsi="宋体" w:cs="宋体" w:eastAsia="宋体" w:hint="default"/>
                <w:spacing w:val="-81"/>
                <w:sz w:val="18"/>
                <w:szCs w:val="18"/>
              </w:rPr>
              <w:t>、</w:t>
            </w:r>
            <w:r>
              <w:rPr>
                <w:rFonts w:ascii="宋体" w:hAnsi="宋体" w:cs="宋体" w:eastAsia="宋体" w:hint="default"/>
                <w:sz w:val="18"/>
                <w:szCs w:val="18"/>
              </w:rPr>
              <w:t>董事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r>
              <w:rPr>
                <w:rFonts w:ascii="宋体" w:hAnsi="宋体" w:cs="宋体" w:eastAsia="宋体" w:hint="default"/>
                <w:spacing w:val="-81"/>
                <w:sz w:val="18"/>
                <w:szCs w:val="18"/>
              </w:rPr>
              <w:t>、</w:t>
            </w:r>
            <w:r>
              <w:rPr>
                <w:rFonts w:ascii="宋体" w:hAnsi="宋体" w:cs="宋体" w:eastAsia="宋体" w:hint="default"/>
                <w:sz w:val="18"/>
                <w:szCs w:val="18"/>
              </w:rPr>
              <w:t>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北京市海淀区万泉 庄路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贵大厦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座</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层</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80209016-7</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50" w:hRule="exact"/>
        </w:trPr>
        <w:tc>
          <w:tcPr>
            <w:tcW w:w="1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20" w:right="0"/>
              <w:jc w:val="left"/>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57" w:right="0"/>
              <w:jc w:val="left"/>
              <w:rPr>
                <w:rFonts w:ascii="Times New Roman" w:hAnsi="Times New Roman" w:cs="Times New Roman" w:eastAsia="Times New Roman" w:hint="default"/>
                <w:sz w:val="18"/>
                <w:szCs w:val="18"/>
              </w:rPr>
            </w:pPr>
            <w:r>
              <w:rPr>
                <w:rFonts w:ascii="Times New Roman"/>
                <w:sz w:val="18"/>
              </w:rPr>
              <w:t>80209016-7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变更注册资本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北京市海淀区万泉 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110000002700930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0" w:right="0"/>
              <w:jc w:val="left"/>
              <w:rPr>
                <w:rFonts w:ascii="Times New Roman" w:hAnsi="Times New Roman" w:cs="Times New Roman" w:eastAsia="Times New Roman" w:hint="default"/>
                <w:sz w:val="18"/>
                <w:szCs w:val="18"/>
              </w:rPr>
            </w:pPr>
            <w:r>
              <w:rPr>
                <w:rFonts w:ascii="Times New Roman"/>
                <w:sz w:val="18"/>
              </w:rPr>
              <w:t>110108802090167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7" w:right="0"/>
              <w:jc w:val="left"/>
              <w:rPr>
                <w:rFonts w:ascii="Times New Roman" w:hAnsi="Times New Roman" w:cs="Times New Roman" w:eastAsia="Times New Roman" w:hint="default"/>
                <w:sz w:val="18"/>
                <w:szCs w:val="18"/>
              </w:rPr>
            </w:pPr>
            <w:r>
              <w:rPr>
                <w:rFonts w:ascii="Times New Roman"/>
                <w:sz w:val="18"/>
              </w:rPr>
              <w:t>80209016-7</w:t>
            </w:r>
          </w:p>
        </w:tc>
      </w:tr>
    </w:tbl>
    <w:p>
      <w:pPr>
        <w:spacing w:after="0" w:line="240" w:lineRule="auto"/>
        <w:jc w:val="left"/>
        <w:rPr>
          <w:rFonts w:ascii="Times New Roman" w:hAnsi="Times New Roman" w:cs="Times New Roman" w:eastAsia="Times New Roman" w:hint="default"/>
          <w:sz w:val="18"/>
          <w:szCs w:val="18"/>
        </w:rPr>
        <w:sectPr>
          <w:headerReference w:type="default" r:id="rId13"/>
          <w:pgSz w:w="11910" w:h="16840"/>
          <w:pgMar w:header="851" w:footer="1226" w:top="1380" w:bottom="1420" w:left="1020" w:right="1020"/>
        </w:sectPr>
      </w:pPr>
    </w:p>
    <w:p>
      <w:pPr>
        <w:spacing w:line="240" w:lineRule="auto" w:before="4"/>
        <w:rPr>
          <w:rFonts w:ascii="Times New Roman" w:hAnsi="Times New Roman" w:cs="Times New Roman" w:eastAsia="Times New Roman" w:hint="default"/>
          <w:sz w:val="3"/>
          <w:szCs w:val="3"/>
        </w:rPr>
      </w:pPr>
      <w:r>
        <w:rPr/>
        <w:pict>
          <v:group style="position:absolute;margin-left:189.800003pt;margin-top:351.289978pt;width:87.7pt;height:28pt;mso-position-horizontal-relative:page;mso-position-vertical-relative:page;z-index:-1111744" coordorigin="3796,7026" coordsize="1754,560">
            <v:group style="position:absolute;left:3807;top:7037;width:2;height:393" coordorigin="3807,7037" coordsize="2,393">
              <v:shape style="position:absolute;left:3807;top:7037;width:2;height:393" coordorigin="3807,7037" coordsize="0,393" path="m3807,7037l3807,7430e" filled="false" stroked="true" strokeweight="1.140pt" strokecolor="#ffffff">
                <v:path arrowok="t"/>
              </v:shape>
            </v:group>
            <v:group style="position:absolute;left:3796;top:7430;width:1754;height:156" coordorigin="3796,7430" coordsize="1754,156">
              <v:shape style="position:absolute;left:3796;top:7430;width:1754;height:156" coordorigin="3796,7430" coordsize="1754,156" path="m3796,7586l5550,7586,5550,7430,3796,7430,3796,7586xe" filled="true" fillcolor="#ffffff" stroked="false">
                <v:path arrowok="t"/>
                <v:fill type="solid"/>
              </v:shape>
            </v:group>
            <v:group style="position:absolute;left:3819;top:7037;width:1708;height:393" coordorigin="3819,7037" coordsize="1708,393">
              <v:shape style="position:absolute;left:3819;top:7037;width:1708;height:393" coordorigin="3819,7037" coordsize="1708,393" path="m3819,7430l5527,7430,5527,7037,3819,7037,3819,7430xe" filled="true" fillcolor="#ffffff" stroked="false">
                <v:path arrowok="t"/>
                <v:fill type="solid"/>
              </v:shape>
            </v:group>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81"/>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3"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3"/>
        <w:gridCol w:w="251"/>
        <w:gridCol w:w="348"/>
        <w:gridCol w:w="618"/>
        <w:gridCol w:w="809"/>
        <w:gridCol w:w="1625"/>
        <w:gridCol w:w="139"/>
        <w:gridCol w:w="1079"/>
        <w:gridCol w:w="685"/>
        <w:gridCol w:w="1622"/>
      </w:tblGrid>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2,548,844,392.48</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1" w:right="0"/>
              <w:jc w:val="left"/>
              <w:rPr>
                <w:rFonts w:ascii="Times New Roman" w:hAnsi="Times New Roman" w:cs="Times New Roman" w:eastAsia="Times New Roman" w:hint="default"/>
                <w:sz w:val="18"/>
                <w:szCs w:val="18"/>
              </w:rPr>
            </w:pPr>
            <w:r>
              <w:rPr>
                <w:rFonts w:ascii="Times New Roman"/>
                <w:sz w:val="18"/>
              </w:rPr>
              <w:t>1,906,466,509.04</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1,409,512,910.02</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1,350,813,295.16</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801,251,293.04</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495,686,394.02</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618,315,133.11</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528,852,426.00</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409,993,727.60</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651,415,770.07</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563,452,369.90</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445,104,477.76</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624,405,597.27</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517,544,171.71</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429,028,904.35</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607,486,640.40</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504,629,185.09</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412,780,784.63</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349,523,109.44</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363,194,582.78</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229,043,974.61</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0.2633</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0.5907</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6" w:right="0"/>
              <w:jc w:val="left"/>
              <w:rPr>
                <w:rFonts w:ascii="Times New Roman" w:hAnsi="Times New Roman" w:cs="Times New Roman" w:eastAsia="Times New Roman" w:hint="default"/>
                <w:sz w:val="18"/>
                <w:szCs w:val="18"/>
              </w:rPr>
            </w:pPr>
            <w:r>
              <w:rPr>
                <w:rFonts w:ascii="Times New Roman"/>
                <w:sz w:val="18"/>
              </w:rPr>
              <w:t>-55.43%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0.5974</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0.4868</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0.4217</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0.3532</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0.4820</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0.4188</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0.3532</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14.97%</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13.82%</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1,327,481,535.00</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614,841,344.00</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115.91%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383,383,700.00</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5,536,973,397.95</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1" w:right="0"/>
              <w:jc w:val="left"/>
              <w:rPr>
                <w:rFonts w:ascii="Times New Roman" w:hAnsi="Times New Roman" w:cs="Times New Roman" w:eastAsia="Times New Roman" w:hint="default"/>
                <w:sz w:val="18"/>
                <w:szCs w:val="18"/>
              </w:rPr>
            </w:pPr>
            <w:r>
              <w:rPr>
                <w:rFonts w:ascii="Times New Roman"/>
                <w:sz w:val="18"/>
              </w:rPr>
              <w:t>4,192,201,501.61</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3,544,113,426.35</w:t>
            </w:r>
          </w:p>
        </w:tc>
      </w:tr>
      <w:tr>
        <w:trPr>
          <w:trHeight w:val="40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605,203,944.42</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615,053,684.12</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331,144,113.20</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4,843,517,778.61</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3,554,654,268.44</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3,192,373,658.97</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3.6487</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5.7814</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6" w:right="0"/>
              <w:jc w:val="left"/>
              <w:rPr>
                <w:rFonts w:ascii="Times New Roman" w:hAnsi="Times New Roman" w:cs="Times New Roman" w:eastAsia="Times New Roman" w:hint="default"/>
                <w:sz w:val="18"/>
                <w:szCs w:val="18"/>
              </w:rPr>
            </w:pPr>
            <w:r>
              <w:rPr>
                <w:rFonts w:ascii="Times New Roman"/>
                <w:sz w:val="18"/>
              </w:rPr>
              <w:t>-36.89%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8.3268</w:t>
            </w:r>
          </w:p>
        </w:tc>
      </w:tr>
      <w:tr>
        <w:trPr>
          <w:trHeight w:val="44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c>
          <w:tcPr>
            <w:tcW w:w="1764" w:type="dxa"/>
            <w:gridSpan w:val="2"/>
            <w:tcBorders>
              <w:top w:val="single" w:sz="4" w:space="0" w:color="000000"/>
              <w:left w:val="single" w:sz="4" w:space="0" w:color="000000"/>
              <w:bottom w:val="single" w:sz="8"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w:t>
            </w:r>
          </w:p>
        </w:tc>
        <w:tc>
          <w:tcPr>
            <w:tcW w:w="1763" w:type="dxa"/>
            <w:gridSpan w:val="2"/>
            <w:tcBorders>
              <w:top w:val="single" w:sz="4" w:space="0" w:color="000000"/>
              <w:left w:val="single" w:sz="4" w:space="0" w:color="000000"/>
              <w:bottom w:val="single" w:sz="31"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622" w:type="dxa"/>
            <w:tcBorders>
              <w:top w:val="single" w:sz="4" w:space="0" w:color="000000"/>
              <w:left w:val="single" w:sz="4" w:space="0" w:color="000000"/>
              <w:bottom w:val="single" w:sz="31"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r>
      <w:tr>
        <w:trPr>
          <w:trHeight w:val="475"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4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2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12" w:val="left" w:leader="none"/>
              </w:tabs>
              <w:spacing w:line="240" w:lineRule="auto" w:before="108"/>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tab/>
            </w:r>
            <w:r>
              <w:rPr>
                <w:rFonts w:ascii="宋体" w:hAnsi="宋体" w:cs="宋体" w:eastAsia="宋体" w:hint="default"/>
                <w:sz w:val="18"/>
                <w:szCs w:val="18"/>
              </w:rPr>
              <w:t>本年比</w:t>
            </w:r>
          </w:p>
        </w:tc>
        <w:tc>
          <w:tcPr>
            <w:tcW w:w="23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51" w:footer="1226" w:top="1380" w:bottom="142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699982pt;width:478.65pt;height:686.6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3"/>
                    <w:gridCol w:w="1217"/>
                    <w:gridCol w:w="1217"/>
                    <w:gridCol w:w="1218"/>
                    <w:gridCol w:w="1217"/>
                    <w:gridCol w:w="1218"/>
                    <w:gridCol w:w="1088"/>
                  </w:tblGrid>
                  <w:tr>
                    <w:trPr>
                      <w:trHeight w:val="993" w:hRule="exact"/>
                    </w:trPr>
                    <w:tc>
                      <w:tcPr>
                        <w:tcW w:w="2383" w:type="dxa"/>
                        <w:tcBorders>
                          <w:top w:val="single" w:sz="10" w:space="0" w:color="000000"/>
                          <w:left w:val="single" w:sz="4" w:space="0" w:color="000000"/>
                          <w:bottom w:val="nil" w:sz="6" w:space="0" w:color="auto"/>
                          <w:right w:val="single" w:sz="4" w:space="0" w:color="000000"/>
                        </w:tcBorders>
                        <w:shd w:val="clear" w:color="auto" w:fill="D2D2D2"/>
                      </w:tcPr>
                      <w:p>
                        <w:pPr/>
                      </w:p>
                    </w:tc>
                    <w:tc>
                      <w:tcPr>
                        <w:tcW w:w="1217" w:type="dxa"/>
                        <w:tcBorders>
                          <w:top w:val="single" w:sz="10" w:space="0" w:color="000000"/>
                          <w:left w:val="single" w:sz="4" w:space="0" w:color="000000"/>
                          <w:bottom w:val="nil" w:sz="6" w:space="0" w:color="auto"/>
                          <w:right w:val="single" w:sz="4" w:space="0" w:color="000000"/>
                        </w:tcBorders>
                        <w:shd w:val="clear" w:color="auto" w:fill="D2D2D2"/>
                      </w:tcPr>
                      <w:p>
                        <w:pPr/>
                      </w:p>
                    </w:tc>
                    <w:tc>
                      <w:tcPr>
                        <w:tcW w:w="2435" w:type="dxa"/>
                        <w:gridSpan w:val="2"/>
                        <w:tcBorders>
                          <w:top w:val="single" w:sz="10" w:space="0" w:color="000000"/>
                          <w:left w:val="single" w:sz="4" w:space="0" w:color="000000"/>
                          <w:bottom w:val="single" w:sz="4" w:space="0" w:color="000000"/>
                          <w:right w:val="single" w:sz="4" w:space="0" w:color="000000"/>
                        </w:tcBorders>
                        <w:shd w:val="clear" w:color="auto" w:fill="D2D2D2"/>
                      </w:tcPr>
                      <w:p>
                        <w:pPr/>
                      </w:p>
                    </w:tc>
                    <w:tc>
                      <w:tcPr>
                        <w:tcW w:w="121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591" w:right="255" w:hanging="180"/>
                          <w:jc w:val="left"/>
                          <w:rPr>
                            <w:rFonts w:ascii="宋体" w:hAnsi="宋体" w:cs="宋体" w:eastAsia="宋体" w:hint="default"/>
                            <w:sz w:val="18"/>
                            <w:szCs w:val="18"/>
                          </w:rPr>
                        </w:pPr>
                        <w:r>
                          <w:rPr>
                            <w:rFonts w:ascii="宋体" w:hAnsi="宋体" w:cs="宋体" w:eastAsia="宋体" w:hint="default"/>
                            <w:sz w:val="18"/>
                            <w:szCs w:val="18"/>
                          </w:rPr>
                          <w:t>上年增 减</w:t>
                        </w:r>
                      </w:p>
                    </w:tc>
                    <w:tc>
                      <w:tcPr>
                        <w:tcW w:w="2306" w:type="dxa"/>
                        <w:gridSpan w:val="2"/>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2,548,844,392.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1,906,466,509.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1,906,466,509.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33.69%</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1,409,512,910.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1,409,512,91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0.02</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1,350,813,295.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801,251,293.04</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801,251,293.04</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68.59%</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495,686,394.02</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495,686,394.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618,315,133.11</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528,852,426.00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528,852,426.00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16.92%</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409,993,727.60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409,993,727.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651,415,770.07</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563,452,369.90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563,452,369.90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15.61%</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445,104,477.76</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445,104,477.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714"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1"/>
                          <w:jc w:val="left"/>
                          <w:rPr>
                            <w:rFonts w:ascii="宋体" w:hAnsi="宋体" w:cs="宋体" w:eastAsia="宋体" w:hint="default"/>
                            <w:sz w:val="18"/>
                            <w:szCs w:val="18"/>
                          </w:rPr>
                        </w:pPr>
                        <w:r>
                          <w:rPr>
                            <w:rFonts w:ascii="宋体" w:hAnsi="宋体" w:cs="宋体" w:eastAsia="宋体" w:hint="default"/>
                            <w:sz w:val="18"/>
                            <w:szCs w:val="18"/>
                          </w:rPr>
                          <w:t>归属于上市公司普通股股东 的净利润（元）</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624,405,597.27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517,544,171.71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517,544,171.71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429,028,904.35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429,028,904.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1"/>
                          <w:jc w:val="both"/>
                          <w:rPr>
                            <w:rFonts w:ascii="宋体" w:hAnsi="宋体" w:cs="宋体" w:eastAsia="宋体" w:hint="default"/>
                            <w:sz w:val="18"/>
                            <w:szCs w:val="18"/>
                          </w:rPr>
                        </w:pPr>
                        <w:r>
                          <w:rPr>
                            <w:rFonts w:ascii="宋体" w:hAnsi="宋体" w:cs="宋体" w:eastAsia="宋体" w:hint="default"/>
                            <w:sz w:val="18"/>
                            <w:szCs w:val="18"/>
                          </w:rPr>
                          <w:t>归属于上市公司普通股股东 的扣除非经常性损益后的净 利润（元）</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607,486,640.40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504,629,185.09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504,629,185.09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412,780,784.63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412,780,784.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1"/>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349,523,109.44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363,194,582.78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363,194,582.78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229,043,974.61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229,043,974.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0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0.5907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0.5974</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0.4217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0.3532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0.3532</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0.4188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0.4188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0.3532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0.3532</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14.36%</w:t>
                        </w:r>
                      </w:p>
                    </w:tc>
                  </w:tr>
                  <w:tr>
                    <w:trPr>
                      <w:trHeight w:val="714"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13.82%</w:t>
                        </w:r>
                      </w:p>
                    </w:tc>
                  </w:tr>
                  <w:tr>
                    <w:trPr>
                      <w:trHeight w:val="162" w:hRule="exact"/>
                    </w:trPr>
                    <w:tc>
                      <w:tcPr>
                        <w:tcW w:w="2383" w:type="dxa"/>
                        <w:vMerge w:val="restart"/>
                        <w:tcBorders>
                          <w:top w:val="single" w:sz="4" w:space="0" w:color="000000"/>
                          <w:left w:val="single" w:sz="4" w:space="0" w:color="000000"/>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
                    </w:tc>
                    <w:tc>
                      <w:tcPr>
                        <w:tcW w:w="24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33" w:right="6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83" w:type="dxa"/>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24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17" w:type="dxa"/>
                        <w:vMerge/>
                        <w:tcBorders>
                          <w:left w:val="single" w:sz="4" w:space="0" w:color="000000"/>
                          <w:right w:val="single" w:sz="4" w:space="0" w:color="000000"/>
                        </w:tcBorders>
                        <w:shd w:val="clear" w:color="auto" w:fill="D2D2D2"/>
                      </w:tcPr>
                      <w:p>
                        <w:pPr/>
                      </w:p>
                    </w:tc>
                    <w:tc>
                      <w:tcPr>
                        <w:tcW w:w="2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83" w:type="dxa"/>
                        <w:vMerge w:val="restart"/>
                        <w:tcBorders>
                          <w:top w:val="nil" w:sz="6" w:space="0" w:color="auto"/>
                          <w:left w:val="single" w:sz="4" w:space="0" w:color="000000"/>
                          <w:right w:val="single" w:sz="4" w:space="0" w:color="000000"/>
                        </w:tcBorders>
                        <w:shd w:val="clear" w:color="auto" w:fill="D2D2D2"/>
                      </w:tcPr>
                      <w:p>
                        <w:pPr/>
                      </w:p>
                    </w:tc>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5" w:type="dxa"/>
                        <w:gridSpan w:val="2"/>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2306"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383" w:type="dxa"/>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24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2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4"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1,327,481,535.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614,841,344.00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614,841,344.00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115.91%</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383,383,700.00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383,383,700.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5,536,973,397.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4,159,961,009.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4,192,201,501.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32.08%</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3,516,954,027.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3,544,113,426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2" w:hRule="exact"/>
                    </w:trPr>
                    <w:tc>
                      <w:tcPr>
                        <w:tcW w:w="23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605,203,944.42</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552,021,112.82</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615,053,684.12</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-1.60%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303,984,714.46</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331,144,113.2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17" w:type="dxa"/>
                        <w:vMerge/>
                        <w:tcBorders>
                          <w:left w:val="single" w:sz="9" w:space="0" w:color="D2D2D2"/>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9" w:space="0" w:color="D2D2D2"/>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714"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1"/>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的所有者权益（元）</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4,843,517,778.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3,585,446,347.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3,554,654,268.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3,192,373,658.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3,192,373,65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8.97</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5.8315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8.3268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8.3268</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10"/>
        <w:rPr>
          <w:rFonts w:ascii="Times New Roman" w:hAnsi="Times New Roman" w:cs="Times New Roman" w:eastAsia="Times New Roman"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94"/>
        <w:gridCol w:w="1217"/>
        <w:gridCol w:w="1217"/>
        <w:gridCol w:w="1218"/>
        <w:gridCol w:w="1217"/>
        <w:gridCol w:w="1218"/>
        <w:gridCol w:w="1088"/>
      </w:tblGrid>
      <w:tr>
        <w:trPr>
          <w:trHeight w:val="373" w:hRule="exact"/>
        </w:trPr>
        <w:tc>
          <w:tcPr>
            <w:tcW w:w="23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10" w:space="0" w:color="000000"/>
              <w:left w:val="single" w:sz="4" w:space="0" w:color="000000"/>
              <w:bottom w:val="single" w:sz="4" w:space="0" w:color="000000"/>
              <w:right w:val="single" w:sz="4" w:space="0" w:color="000000"/>
            </w:tcBorders>
          </w:tcPr>
          <w:p>
            <w:pPr/>
          </w:p>
        </w:tc>
        <w:tc>
          <w:tcPr>
            <w:tcW w:w="1217" w:type="dxa"/>
            <w:tcBorders>
              <w:top w:val="single" w:sz="10" w:space="0" w:color="000000"/>
              <w:left w:val="single" w:sz="4" w:space="0" w:color="000000"/>
              <w:bottom w:val="single" w:sz="4" w:space="0" w:color="000000"/>
              <w:right w:val="single" w:sz="4" w:space="0" w:color="000000"/>
            </w:tcBorders>
          </w:tcPr>
          <w:p>
            <w:pPr/>
          </w:p>
        </w:tc>
        <w:tc>
          <w:tcPr>
            <w:tcW w:w="1218" w:type="dxa"/>
            <w:tcBorders>
              <w:top w:val="single" w:sz="10" w:space="0" w:color="000000"/>
              <w:left w:val="single" w:sz="4" w:space="0" w:color="000000"/>
              <w:bottom w:val="single" w:sz="4" w:space="0" w:color="000000"/>
              <w:right w:val="single" w:sz="4" w:space="0" w:color="000000"/>
            </w:tcBorders>
          </w:tcPr>
          <w:p>
            <w:pPr/>
          </w:p>
        </w:tc>
        <w:tc>
          <w:tcPr>
            <w:tcW w:w="1217" w:type="dxa"/>
            <w:tcBorders>
              <w:top w:val="single" w:sz="10" w:space="0" w:color="000000"/>
              <w:left w:val="single" w:sz="4" w:space="0" w:color="000000"/>
              <w:bottom w:val="single" w:sz="4" w:space="0" w:color="000000"/>
              <w:right w:val="single" w:sz="4" w:space="0" w:color="000000"/>
            </w:tcBorders>
          </w:tcPr>
          <w:p>
            <w:pPr/>
          </w:p>
        </w:tc>
        <w:tc>
          <w:tcPr>
            <w:tcW w:w="1218" w:type="dxa"/>
            <w:tcBorders>
              <w:top w:val="single" w:sz="10" w:space="0" w:color="000000"/>
              <w:left w:val="single" w:sz="4" w:space="0" w:color="000000"/>
              <w:bottom w:val="single" w:sz="4" w:space="0" w:color="000000"/>
              <w:right w:val="single" w:sz="4" w:space="0" w:color="000000"/>
            </w:tcBorders>
          </w:tcPr>
          <w:p>
            <w:pPr/>
          </w:p>
        </w:tc>
        <w:tc>
          <w:tcPr>
            <w:tcW w:w="108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9" w:right="0"/>
              <w:jc w:val="left"/>
              <w:rPr>
                <w:rFonts w:ascii="Times New Roman" w:hAnsi="Times New Roman" w:cs="Times New Roman" w:eastAsia="Times New Roman" w:hint="default"/>
                <w:sz w:val="18"/>
                <w:szCs w:val="18"/>
              </w:rPr>
            </w:pPr>
            <w:r>
              <w:rPr>
                <w:rFonts w:ascii="Times New Roman"/>
                <w:sz w:val="18"/>
              </w:rPr>
              <w:t>10.93%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0" w:right="0"/>
              <w:jc w:val="left"/>
              <w:rPr>
                <w:rFonts w:ascii="Times New Roman" w:hAnsi="Times New Roman" w:cs="Times New Roman" w:eastAsia="Times New Roman" w:hint="default"/>
                <w:sz w:val="18"/>
                <w:szCs w:val="18"/>
              </w:rPr>
            </w:pPr>
            <w:r>
              <w:rPr>
                <w:rFonts w:ascii="Times New Roman"/>
                <w:sz w:val="18"/>
              </w:rPr>
              <w:t>13.27%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1" w:right="0"/>
              <w:jc w:val="left"/>
              <w:rPr>
                <w:rFonts w:ascii="Times New Roman" w:hAnsi="Times New Roman" w:cs="Times New Roman" w:eastAsia="Times New Roman" w:hint="default"/>
                <w:sz w:val="18"/>
                <w:szCs w:val="18"/>
              </w:rPr>
            </w:pPr>
            <w:r>
              <w:rPr>
                <w:rFonts w:ascii="Times New Roman"/>
                <w:sz w:val="18"/>
              </w:rPr>
              <w:t>14.67%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-3.74%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0" w:right="0"/>
              <w:jc w:val="left"/>
              <w:rPr>
                <w:rFonts w:ascii="Times New Roman" w:hAnsi="Times New Roman" w:cs="Times New Roman" w:eastAsia="Times New Roman" w:hint="default"/>
                <w:sz w:val="18"/>
                <w:szCs w:val="18"/>
              </w:rPr>
            </w:pPr>
            <w:r>
              <w:rPr>
                <w:rFonts w:ascii="Times New Roman"/>
                <w:sz w:val="18"/>
              </w:rPr>
              <w:t>8.64%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1" w:right="0"/>
              <w:jc w:val="left"/>
              <w:rPr>
                <w:rFonts w:ascii="Times New Roman" w:hAnsi="Times New Roman" w:cs="Times New Roman" w:eastAsia="Times New Roman" w:hint="default"/>
                <w:sz w:val="18"/>
                <w:szCs w:val="18"/>
              </w:rPr>
            </w:pPr>
            <w:r>
              <w:rPr>
                <w:rFonts w:ascii="Times New Roman"/>
                <w:sz w:val="18"/>
              </w:rPr>
              <w:t>9.34%</w:t>
            </w:r>
          </w:p>
        </w:tc>
      </w:tr>
    </w:tbl>
    <w:p>
      <w:pPr>
        <w:spacing w:line="240" w:lineRule="auto" w:before="4"/>
        <w:rPr>
          <w:rFonts w:ascii="Times New Roman" w:hAnsi="Times New Roman" w:cs="Times New Roman" w:eastAsia="Times New Roman" w:hint="default"/>
          <w:sz w:val="7"/>
          <w:szCs w:val="7"/>
        </w:rPr>
      </w:pPr>
    </w:p>
    <w:p>
      <w:pPr>
        <w:pStyle w:val="Heading4"/>
        <w:spacing w:line="240" w:lineRule="auto" w:before="44"/>
        <w:ind w:left="134" w:right="0"/>
        <w:jc w:val="left"/>
        <w:rPr>
          <w:b w:val="0"/>
          <w:bCs w:val="0"/>
        </w:rPr>
      </w:pPr>
      <w:r>
        <w:rPr/>
        <w:t>截止披露前一交易日的公司总股本：</w:t>
      </w:r>
      <w:r>
        <w:rPr>
          <w:b w:val="0"/>
          <w:bCs w:val="0"/>
        </w:rPr>
      </w:r>
    </w:p>
    <w:p>
      <w:pPr>
        <w:spacing w:line="240" w:lineRule="auto" w:before="12"/>
        <w:rPr>
          <w:rFonts w:ascii="宋体" w:hAnsi="宋体" w:cs="宋体" w:eastAsia="宋体" w:hint="default"/>
          <w:b/>
          <w:bCs/>
          <w:sz w:val="13"/>
          <w:szCs w:val="13"/>
        </w:rPr>
      </w:pPr>
    </w:p>
    <w:tbl>
      <w:tblPr>
        <w:tblW w:w="0" w:type="auto"/>
        <w:jc w:val="left"/>
        <w:tblInd w:w="129" w:type="dxa"/>
        <w:tblLayout w:type="fixed"/>
        <w:tblCellMar>
          <w:top w:w="0" w:type="dxa"/>
          <w:left w:w="0" w:type="dxa"/>
          <w:bottom w:w="0" w:type="dxa"/>
          <w:right w:w="0" w:type="dxa"/>
        </w:tblCellMar>
        <w:tblLook w:val="01E0"/>
      </w:tblPr>
      <w:tblGrid>
        <w:gridCol w:w="4657"/>
        <w:gridCol w:w="4912"/>
      </w:tblGrid>
      <w:tr>
        <w:trPr>
          <w:trHeight w:val="404"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1,327,841,494</w:t>
            </w:r>
          </w:p>
        </w:tc>
      </w:tr>
    </w:tbl>
    <w:p>
      <w:pPr>
        <w:spacing w:line="240" w:lineRule="auto" w:before="6"/>
        <w:rPr>
          <w:rFonts w:ascii="宋体" w:hAnsi="宋体" w:cs="宋体" w:eastAsia="宋体" w:hint="default"/>
          <w:b/>
          <w:bCs/>
          <w:sz w:val="6"/>
          <w:szCs w:val="6"/>
        </w:rPr>
      </w:pPr>
    </w:p>
    <w:p>
      <w:pPr>
        <w:pStyle w:val="Heading4"/>
        <w:spacing w:line="240" w:lineRule="auto" w:before="44"/>
        <w:ind w:left="134" w:right="0"/>
        <w:jc w:val="left"/>
        <w:rPr>
          <w:b w:val="0"/>
          <w:bCs w:val="0"/>
        </w:rPr>
      </w:pPr>
      <w:r>
        <w:rPr/>
        <w:t>是否存在公司债</w:t>
      </w:r>
      <w:r>
        <w:rPr>
          <w:b w:val="0"/>
          <w:bCs w:val="0"/>
        </w:rPr>
      </w:r>
    </w:p>
    <w:p>
      <w:pPr>
        <w:spacing w:line="240" w:lineRule="auto" w:before="10"/>
        <w:rPr>
          <w:rFonts w:ascii="宋体" w:hAnsi="宋体" w:cs="宋体" w:eastAsia="宋体" w:hint="default"/>
          <w:b/>
          <w:bCs/>
          <w:sz w:val="20"/>
          <w:szCs w:val="20"/>
        </w:rPr>
      </w:pPr>
    </w:p>
    <w:p>
      <w:pPr>
        <w:spacing w:before="0"/>
        <w:ind w:left="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7"/>
        <w:ind w:left="133"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left="477" w:right="8867"/>
        <w:jc w:val="center"/>
        <w:rPr>
          <w:b w:val="0"/>
          <w:bCs w:val="0"/>
        </w:rPr>
      </w:pPr>
      <w:r>
        <w:rPr/>
        <w:t>不适用</w:t>
      </w:r>
      <w:r>
        <w:rPr>
          <w:b w:val="0"/>
          <w:bCs w:val="0"/>
        </w:rPr>
      </w:r>
    </w:p>
    <w:p>
      <w:pPr>
        <w:spacing w:line="240" w:lineRule="auto" w:before="1"/>
        <w:rPr>
          <w:rFonts w:ascii="宋体" w:hAnsi="宋体" w:cs="宋体" w:eastAsia="宋体" w:hint="default"/>
          <w:b/>
          <w:bCs/>
          <w:sz w:val="25"/>
          <w:szCs w:val="25"/>
        </w:rPr>
      </w:pPr>
    </w:p>
    <w:p>
      <w:pPr>
        <w:pStyle w:val="Heading2"/>
        <w:spacing w:line="240" w:lineRule="auto"/>
        <w:ind w:left="133" w:right="0"/>
        <w:jc w:val="left"/>
        <w:rPr>
          <w:b w:val="0"/>
          <w:bCs w:val="0"/>
        </w:rPr>
      </w:pPr>
      <w:bookmarkStart w:name="三、非经常性损益的项目及金额" w:id="13"/>
      <w:bookmarkEnd w:id="13"/>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5107"/>
        <w:gridCol w:w="1574"/>
        <w:gridCol w:w="1559"/>
        <w:gridCol w:w="1442"/>
      </w:tblGrid>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-84,629.79</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-76,526.34</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-83,242.77</w:t>
            </w:r>
            <w:r>
              <w:rPr>
                <w:rFonts w:ascii="Times New Roman"/>
                <w:sz w:val="18"/>
              </w:rPr>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74"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17,320,461.88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14,132,044.89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18,633,861.04</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190,246.58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30,254.79</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1,405,723.67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479,384.19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153,473.79</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4"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1,715,838.12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1,289,987.37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2,410,950.31</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197,007.35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360,183.54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45,022.03</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16,918,956.87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12,914,986.62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16,248,119.72</w:t>
            </w:r>
          </w:p>
        </w:tc>
      </w:tr>
    </w:tbl>
    <w:p>
      <w:pPr>
        <w:spacing w:line="240" w:lineRule="auto" w:before="6"/>
        <w:rPr>
          <w:rFonts w:ascii="宋体" w:hAnsi="宋体" w:cs="宋体" w:eastAsia="宋体" w:hint="default"/>
          <w:sz w:val="6"/>
          <w:szCs w:val="6"/>
        </w:rPr>
      </w:pPr>
    </w:p>
    <w:p>
      <w:pPr>
        <w:pStyle w:val="BodyText"/>
        <w:spacing w:line="240" w:lineRule="auto" w:before="44"/>
        <w:ind w:left="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451" w:lineRule="auto"/>
        <w:ind w:left="13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before="35"/>
        <w:ind w:left="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left="134" w:right="0"/>
        <w:jc w:val="left"/>
        <w:rPr>
          <w:b w:val="0"/>
          <w:bCs w:val="0"/>
        </w:rPr>
      </w:pPr>
      <w:bookmarkStart w:name="四、重大风险提示" w:id="14"/>
      <w:bookmarkEnd w:id="14"/>
      <w:r>
        <w:rPr>
          <w:b w:val="0"/>
          <w:bCs w:val="0"/>
        </w:rPr>
      </w:r>
      <w:r>
        <w:rPr/>
        <w:t>四、重大风险提示</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34" w:right="0" w:firstLine="360"/>
        <w:jc w:val="left"/>
      </w:pPr>
      <w:r>
        <w:rPr>
          <w:spacing w:val="-2"/>
        </w:rPr>
        <w:t>随着公司资产规模、业务规模的扩大，在战略规划、组织机构设置、企业文化建设、资源配置、运营管理，特别是资金</w:t>
      </w:r>
      <w:r>
        <w:rPr/>
        <w:t> 管理、人才管理、内部控制等方面以及如何整合、发挥协同效应，都将对管理水平提出更大的挑战。</w:t>
      </w:r>
    </w:p>
    <w:p>
      <w:pPr>
        <w:spacing w:after="0" w:line="477" w:lineRule="auto"/>
        <w:jc w:val="left"/>
        <w:sectPr>
          <w:pgSz w:w="11910" w:h="16840"/>
          <w:pgMar w:header="851" w:footer="1226" w:top="1380" w:bottom="1420" w:left="100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left="154" w:right="151" w:firstLine="360"/>
        <w:jc w:val="both"/>
      </w:pPr>
      <w:r>
        <w:rPr>
          <w:spacing w:val="-2"/>
        </w:rPr>
        <w:t>为此，公司继续坚持基于扁平化的组织体系和以绩效为核心的管理机制，缩短决策链条、提升决策效率，以交付价值为</w:t>
      </w:r>
      <w:r>
        <w:rPr/>
        <w:t> </w:t>
      </w:r>
      <w:r>
        <w:rPr>
          <w:spacing w:val="-2"/>
        </w:rPr>
        <w:t>指导思想深入组织结构的优化与调整，不断加强内部管控，建立规范化的流程管理和项目管理体系，控制成本支出、提升整</w:t>
      </w:r>
      <w:r>
        <w:rPr>
          <w:spacing w:val="-66"/>
        </w:rPr>
        <w:t> </w:t>
      </w:r>
      <w:r>
        <w:rPr>
          <w:spacing w:val="-66"/>
        </w:rPr>
      </w:r>
      <w:r>
        <w:rPr/>
        <w:t>体管理效能。</w:t>
      </w:r>
    </w:p>
    <w:p>
      <w:pPr>
        <w:spacing w:after="0" w:line="477" w:lineRule="auto"/>
        <w:jc w:val="both"/>
        <w:sectPr>
          <w:pgSz w:w="11910" w:h="16840"/>
          <w:pgMar w:header="851" w:footer="1226" w:top="1380" w:bottom="142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1128" w:right="1166"/>
        <w:jc w:val="center"/>
        <w:rPr>
          <w:b w:val="0"/>
          <w:bCs w:val="0"/>
        </w:rPr>
      </w:pPr>
      <w:bookmarkStart w:name="第四节 董事会报告" w:id="15"/>
      <w:bookmarkEnd w:id="15"/>
      <w:r>
        <w:rPr>
          <w:b w:val="0"/>
          <w:bCs w:val="0"/>
        </w:rPr>
      </w:r>
      <w:bookmarkStart w:name="_bookmark3" w:id="16"/>
      <w:bookmarkEnd w:id="16"/>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管理层讨论与分析" w:id="17"/>
      <w:bookmarkEnd w:id="17"/>
      <w:r>
        <w:rPr>
          <w:b w:val="0"/>
          <w:bCs w:val="0"/>
        </w:rPr>
      </w:r>
      <w:r>
        <w:rPr/>
        <w:t>一、管理层讨论与分析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主要业务回顾" w:id="18"/>
      <w:bookmarkEnd w:id="18"/>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3" w:firstLine="360"/>
        <w:jc w:val="left"/>
      </w:pPr>
      <w:r>
        <w:rPr>
          <w:spacing w:val="-5"/>
        </w:rPr>
        <w:t>报告期内，公司积极贯彻</w:t>
      </w:r>
      <w:r>
        <w:rPr>
          <w:rFonts w:ascii="宋体" w:hAnsi="宋体" w:cs="宋体" w:eastAsia="宋体" w:hint="default"/>
          <w:spacing w:val="-5"/>
        </w:rPr>
        <w:t>2014</w:t>
      </w:r>
      <w:r>
        <w:rPr>
          <w:spacing w:val="-5"/>
        </w:rPr>
        <w:t>年经营计划，着力于运维管理业务的深度挖掘，继续做好飞信、农信通运营支撑服务业务，</w:t>
      </w:r>
      <w:r>
        <w:rPr/>
        <w:t> 积极推进融合通信业务的实施与市场拓展；大力开展游戏的开发与发行业务；努力拓展以“智慧线”为核心的物联网业务、</w:t>
      </w:r>
      <w:r>
        <w:rPr>
          <w:spacing w:val="-87"/>
        </w:rPr>
        <w:t> </w:t>
      </w:r>
      <w:r>
        <w:rPr>
          <w:spacing w:val="-87"/>
        </w:rPr>
      </w:r>
      <w:r>
        <w:rPr/>
        <w:t>电子商务业务；积极布局在线教育、“融云”等互联网创新业务，整体上达到预期目标，为未来业务发展奠定基础。</w:t>
      </w:r>
    </w:p>
    <w:p>
      <w:pPr>
        <w:pStyle w:val="BodyText"/>
        <w:spacing w:line="477" w:lineRule="auto" w:before="54"/>
        <w:ind w:left="513" w:right="183"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）业务经营整体情况</w:t>
      </w:r>
      <w:r>
        <w:rPr>
          <w:rFonts w:ascii="宋体" w:hAnsi="宋体" w:cs="宋体" w:eastAsia="宋体" w:hint="default"/>
          <w:b/>
          <w:bCs/>
          <w:w w:val="99"/>
        </w:rPr>
        <w:t> </w:t>
      </w:r>
      <w:r>
        <w:rPr>
          <w:rFonts w:ascii="宋体" w:hAnsi="宋体" w:cs="宋体" w:eastAsia="宋体" w:hint="default"/>
        </w:rPr>
        <w:t>1</w:t>
      </w:r>
      <w:r>
        <w:rPr/>
        <w:t>）在运维管理领域，密切跟踪以电信行业为代表的国内信息化建设以及互联网的发展趋势，紧密跟随运营商系统架构</w:t>
      </w:r>
    </w:p>
    <w:p>
      <w:pPr>
        <w:pStyle w:val="BodyText"/>
        <w:spacing w:line="477" w:lineRule="auto" w:before="54"/>
        <w:ind w:right="191"/>
        <w:jc w:val="both"/>
      </w:pPr>
      <w:r>
        <w:rPr>
          <w:spacing w:val="-2"/>
        </w:rPr>
        <w:t>建设思路，围绕核心系统建设需求进行深度项目优化和研发创新，进一步丰富运维管理业务线、提升产品性能与功能、不断</w:t>
      </w:r>
      <w:r>
        <w:rPr>
          <w:spacing w:val="-66"/>
        </w:rPr>
        <w:t> </w:t>
      </w:r>
      <w:r>
        <w:rPr>
          <w:spacing w:val="-66"/>
        </w:rPr>
      </w:r>
      <w:r>
        <w:rPr>
          <w:spacing w:val="-2"/>
        </w:rPr>
        <w:t>推进项目的滚动开发建设，持续加强技术储备。完善项目管理体系及研发管理体系，提升项目实施效率，降低项目实施及维</w:t>
      </w:r>
      <w:r>
        <w:rPr>
          <w:spacing w:val="-66"/>
        </w:rPr>
        <w:t> </w:t>
      </w:r>
      <w:r>
        <w:rPr>
          <w:spacing w:val="-66"/>
        </w:rPr>
      </w:r>
      <w:r>
        <w:rPr>
          <w:spacing w:val="-2"/>
        </w:rPr>
        <w:t>护投入，提高交付效率与整体业务价值；通过专业化的系统集成业务团队积极开展系统集成与购销业务，拓展、丰富运维管</w:t>
      </w:r>
      <w:r>
        <w:rPr>
          <w:spacing w:val="-66"/>
        </w:rPr>
        <w:t> </w:t>
      </w:r>
      <w:r>
        <w:rPr>
          <w:spacing w:val="-66"/>
        </w:rPr>
      </w:r>
      <w:r>
        <w:rPr/>
        <w:t>理业务的内容</w:t>
      </w:r>
      <w:r>
        <w:rPr>
          <w:rFonts w:ascii="宋体" w:hAnsi="宋体" w:cs="宋体" w:eastAsia="宋体" w:hint="default"/>
        </w:rPr>
        <w:t>,</w:t>
      </w:r>
      <w:r>
        <w:rPr>
          <w:rFonts w:ascii="宋体" w:hAnsi="宋体" w:cs="宋体" w:eastAsia="宋体" w:hint="default"/>
          <w:spacing w:val="9"/>
        </w:rPr>
        <w:t> </w:t>
      </w:r>
      <w:r>
        <w:rPr>
          <w:spacing w:val="-2"/>
        </w:rPr>
        <w:t>促进公司业务规模的增长。报告期内，基于聚焦、扁平化原则划分并涵盖了网络管理、服务流程管理、信息</w:t>
      </w:r>
      <w:r>
        <w:rPr/>
        <w:t> </w:t>
      </w:r>
      <w:r>
        <w:rPr>
          <w:spacing w:val="-2"/>
        </w:rPr>
        <w:t>安全管理、面向电信网络的综合网络管理、拨测及网络优化管理、大数据应用等子领域，在技术、性能等诸多方面具有领先</w:t>
      </w:r>
      <w:r>
        <w:rPr>
          <w:spacing w:val="-66"/>
        </w:rPr>
        <w:t> </w:t>
      </w:r>
      <w:r>
        <w:rPr>
          <w:spacing w:val="-66"/>
        </w:rPr>
      </w:r>
      <w:r>
        <w:rPr/>
        <w:t>的竞争优势。</w:t>
      </w:r>
    </w:p>
    <w:p>
      <w:pPr>
        <w:pStyle w:val="BodyText"/>
        <w:spacing w:line="477" w:lineRule="auto" w:before="54"/>
        <w:ind w:left="154" w:right="192" w:firstLine="360"/>
        <w:jc w:val="both"/>
      </w:pPr>
      <w:r>
        <w:rPr>
          <w:rFonts w:ascii="宋体" w:hAnsi="宋体" w:cs="宋体" w:eastAsia="宋体" w:hint="default"/>
          <w:spacing w:val="-4"/>
        </w:rPr>
        <w:t>2</w:t>
      </w:r>
      <w:r>
        <w:rPr>
          <w:spacing w:val="-4"/>
        </w:rPr>
        <w:t>）互联网运营服务业务，是面向有互联网需求的大型组织机构提供相应的包括咨询设计、平台与内容开发、系统实施、</w:t>
      </w:r>
      <w:r>
        <w:rPr/>
        <w:t> </w:t>
      </w:r>
      <w:r>
        <w:rPr>
          <w:spacing w:val="-2"/>
        </w:rPr>
        <w:t>日常运营等在内的全面服务，通过多年的飞信、农信通业务的开发与运营实践，公司已形成了强大的互联网产品开发能力和</w:t>
      </w:r>
      <w:r>
        <w:rPr>
          <w:spacing w:val="-66"/>
        </w:rPr>
        <w:t> </w:t>
      </w:r>
      <w:r>
        <w:rPr>
          <w:spacing w:val="-66"/>
        </w:rPr>
      </w:r>
      <w:r>
        <w:rPr/>
        <w:t>运营能力，在技术、产品、团队、运营经验、对互联网市场的理解等诸多方面均有着深厚的积累。</w:t>
      </w:r>
    </w:p>
    <w:p>
      <w:pPr>
        <w:pStyle w:val="BodyText"/>
        <w:spacing w:line="477" w:lineRule="auto" w:before="54"/>
        <w:ind w:right="191" w:firstLine="360"/>
        <w:jc w:val="both"/>
      </w:pPr>
      <w:r>
        <w:rPr>
          <w:spacing w:val="-2"/>
        </w:rPr>
        <w:t>报告期内，继续做好飞信、农信通的开发与运营支撑工作，促进其持续稳定发展，进一步巩固与中移动在该等业务上的</w:t>
      </w:r>
      <w:r>
        <w:rPr/>
        <w:t> </w:t>
      </w:r>
      <w:r>
        <w:rPr>
          <w:spacing w:val="-2"/>
        </w:rPr>
        <w:t>长期战略合作关系。在此基础上以“大学生动感求职”为主要切入口，积极拓展“在线教育”方面的平台研发、市场拓展工</w:t>
      </w:r>
      <w:r>
        <w:rPr>
          <w:spacing w:val="-68"/>
        </w:rPr>
        <w:t> </w:t>
      </w:r>
      <w:r>
        <w:rPr>
          <w:spacing w:val="-68"/>
        </w:rPr>
      </w:r>
      <w:r>
        <w:rPr/>
        <w:t>作。</w:t>
      </w:r>
    </w:p>
    <w:p>
      <w:pPr>
        <w:pStyle w:val="BodyText"/>
        <w:spacing w:line="477" w:lineRule="auto" w:before="54"/>
        <w:ind w:left="154" w:right="191" w:firstLine="360"/>
        <w:jc w:val="both"/>
      </w:pPr>
      <w:r>
        <w:rPr>
          <w:rFonts w:ascii="宋体" w:hAnsi="宋体" w:cs="宋体" w:eastAsia="宋体" w:hint="default"/>
        </w:rPr>
        <w:t>3</w:t>
      </w:r>
      <w:r>
        <w:rPr/>
        <w:t>）基于公司融合通信的长期实践案例，密切跟踪电信运营商、金融机构等在融合通信方面的需求，充分发挥公司在融 合通信业务的技术、产品、方案等方面的先发优势，积极拓展融合通信业务并取得较大突破。</w:t>
      </w:r>
    </w:p>
    <w:p>
      <w:pPr>
        <w:pStyle w:val="BodyText"/>
        <w:spacing w:line="240" w:lineRule="auto" w:before="54"/>
        <w:ind w:left="513" w:right="0"/>
        <w:jc w:val="left"/>
      </w:pPr>
      <w:r>
        <w:rPr/>
        <w:t>与中国工商银行股份有限公司达成融合通信项目的合作协议（具体内容详见</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8</w:t>
      </w:r>
      <w:r>
        <w:rPr>
          <w:rFonts w:ascii="宋体" w:hAnsi="宋体" w:cs="宋体" w:eastAsia="宋体" w:hint="default"/>
          <w:spacing w:val="-44"/>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t>日巨潮资讯网相关公告），</w:t>
      </w:r>
    </w:p>
    <w:p>
      <w:pPr>
        <w:spacing w:line="240" w:lineRule="auto" w:before="10"/>
        <w:rPr>
          <w:rFonts w:ascii="宋体" w:hAnsi="宋体" w:cs="宋体" w:eastAsia="宋体" w:hint="default"/>
          <w:sz w:val="17"/>
          <w:szCs w:val="17"/>
        </w:rPr>
      </w:pPr>
    </w:p>
    <w:p>
      <w:pPr>
        <w:pStyle w:val="BodyText"/>
        <w:spacing w:line="477" w:lineRule="auto"/>
        <w:ind w:right="191"/>
        <w:jc w:val="both"/>
      </w:pPr>
      <w:r>
        <w:rPr/>
        <w:t>该项目是公司在国内首次签订的面向企业提供融合通信技术的商务合同，是公司</w:t>
      </w:r>
      <w:r>
        <w:rPr>
          <w:spacing w:val="-40"/>
        </w:rPr>
        <w:t> </w:t>
      </w:r>
      <w:r>
        <w:rPr>
          <w:rFonts w:ascii="宋体" w:hAnsi="宋体" w:cs="宋体" w:eastAsia="宋体" w:hint="default"/>
        </w:rPr>
        <w:t>2014</w:t>
      </w:r>
      <w:r>
        <w:rPr>
          <w:rFonts w:ascii="宋体" w:hAnsi="宋体" w:cs="宋体" w:eastAsia="宋体" w:hint="default"/>
          <w:spacing w:val="-41"/>
        </w:rPr>
        <w:t> </w:t>
      </w:r>
      <w:r>
        <w:rPr/>
        <w:t>年融合通信市场拓展的重大成果，是 </w:t>
      </w:r>
      <w:r>
        <w:rPr>
          <w:spacing w:val="-2"/>
        </w:rPr>
        <w:t>公司融合通信技术创新能力、研发实力的综合体现，对于公司在金融机构及其他大型组织机构的融合通信的应用拓展将起到</w:t>
      </w:r>
      <w:r>
        <w:rPr>
          <w:spacing w:val="-64"/>
        </w:rPr>
        <w:t> </w:t>
      </w:r>
      <w:r>
        <w:rPr>
          <w:spacing w:val="-64"/>
        </w:rPr>
      </w:r>
      <w:r>
        <w:rPr/>
        <w:t>良好的示范作用。</w:t>
      </w:r>
    </w:p>
    <w:p>
      <w:pPr>
        <w:spacing w:after="0" w:line="477" w:lineRule="auto"/>
        <w:jc w:val="both"/>
        <w:sectPr>
          <w:pgSz w:w="11910" w:h="16840"/>
          <w:pgMar w:header="851" w:footer="1226" w:top="1380" w:bottom="1420" w:left="980" w:right="940"/>
        </w:sectPr>
      </w:pPr>
    </w:p>
    <w:p>
      <w:pPr>
        <w:pStyle w:val="BodyText"/>
        <w:spacing w:line="477" w:lineRule="auto" w:before="141"/>
        <w:ind w:right="190" w:firstLine="360"/>
        <w:jc w:val="both"/>
      </w:pPr>
      <w:r>
        <w:rPr/>
        <w:t>积极配合中国移动提出的融合通信战略，基于与中国移动的密切配合及对未来</w:t>
      </w:r>
      <w:r>
        <w:rPr>
          <w:spacing w:val="-40"/>
        </w:rPr>
        <w:t> </w:t>
      </w:r>
      <w:r>
        <w:rPr>
          <w:rFonts w:ascii="宋体" w:hAnsi="宋体" w:cs="宋体" w:eastAsia="宋体" w:hint="default"/>
        </w:rPr>
        <w:t>4G</w:t>
      </w:r>
      <w:r>
        <w:rPr>
          <w:rFonts w:ascii="宋体" w:hAnsi="宋体" w:cs="宋体" w:eastAsia="宋体" w:hint="default"/>
          <w:spacing w:val="-41"/>
        </w:rPr>
        <w:t> </w:t>
      </w:r>
      <w:r>
        <w:rPr/>
        <w:t>战略布局的把握，与中国移动通信集 </w:t>
      </w:r>
      <w:r>
        <w:rPr>
          <w:spacing w:val="-2"/>
        </w:rPr>
        <w:t>团广东有限公司达成合作协议，负责中国移动融合通信扩展功能平台的定制开发工作，已经成为中国移动融合通信业务合作</w:t>
      </w:r>
      <w:r>
        <w:rPr>
          <w:spacing w:val="-63"/>
        </w:rPr>
        <w:t> </w:t>
      </w:r>
      <w:r>
        <w:rPr>
          <w:spacing w:val="-63"/>
        </w:rPr>
      </w:r>
      <w:r>
        <w:rPr/>
        <w:t>的核心供应商之一。（具体内容详见</w:t>
      </w:r>
      <w:r>
        <w:rPr>
          <w:spacing w:val="-46"/>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t>日巨潮资讯网相关公告）</w:t>
      </w:r>
    </w:p>
    <w:p>
      <w:pPr>
        <w:pStyle w:val="BodyText"/>
        <w:spacing w:line="477" w:lineRule="auto" w:before="54"/>
        <w:ind w:right="192" w:firstLine="360"/>
        <w:jc w:val="both"/>
      </w:pPr>
      <w:r>
        <w:rPr/>
        <w:t>积极推进印度融合通信业务的实施进度，与 </w:t>
      </w:r>
      <w:r>
        <w:rPr>
          <w:rFonts w:ascii="宋体" w:hAnsi="宋体" w:cs="宋体" w:eastAsia="宋体" w:hint="default"/>
        </w:rPr>
        <w:t>Reliance Industries Limited</w:t>
      </w:r>
      <w:r>
        <w:rPr/>
        <w:t>（</w:t>
      </w:r>
      <w:r>
        <w:rPr>
          <w:rFonts w:ascii="宋体" w:hAnsi="宋体" w:cs="宋体" w:eastAsia="宋体" w:hint="default"/>
        </w:rPr>
        <w:t>Reliance</w:t>
      </w:r>
      <w:r>
        <w:rPr>
          <w:rFonts w:ascii="宋体" w:hAnsi="宋体" w:cs="宋体" w:eastAsia="宋体" w:hint="default"/>
          <w:spacing w:val="5"/>
        </w:rPr>
        <w:t> </w:t>
      </w:r>
      <w:r>
        <w:rPr/>
        <w:t>实业有限公司）签署《合资协 </w:t>
      </w:r>
      <w:r>
        <w:rPr>
          <w:spacing w:val="-2"/>
        </w:rPr>
        <w:t>议》，计划共同设立合资公司开展融合通信业务，通过与印度本土知名企业的合作将更好的提升融合通信业务在实施过程中</w:t>
      </w:r>
      <w:r>
        <w:rPr>
          <w:spacing w:val="-66"/>
        </w:rPr>
        <w:t> </w:t>
      </w:r>
      <w:r>
        <w:rPr>
          <w:spacing w:val="-66"/>
        </w:rPr>
      </w:r>
      <w:r>
        <w:rPr>
          <w:spacing w:val="-2"/>
        </w:rPr>
        <w:t>对当地文化、法律、政策及商业环境的适应性，将更好的促进产品运营及推广，增强终端用户的市场认知度，对于相关融合</w:t>
      </w:r>
      <w:r>
        <w:rPr>
          <w:spacing w:val="-66"/>
        </w:rPr>
        <w:t> </w:t>
      </w:r>
      <w:r>
        <w:rPr>
          <w:spacing w:val="-66"/>
        </w:rPr>
      </w:r>
      <w:r>
        <w:rPr/>
        <w:t>通信产品的深化推广产生积极的影响。（具体内容详见</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2</w:t>
      </w:r>
      <w:r>
        <w:rPr>
          <w:rFonts w:ascii="宋体" w:hAnsi="宋体" w:cs="宋体" w:eastAsia="宋体" w:hint="default"/>
          <w:spacing w:val="-45"/>
        </w:rPr>
        <w:t> </w:t>
      </w:r>
      <w:r>
        <w:rPr/>
        <w:t>月</w:t>
      </w:r>
      <w:r>
        <w:rPr>
          <w:spacing w:val="-46"/>
        </w:rPr>
        <w:t> </w:t>
      </w:r>
      <w:r>
        <w:rPr>
          <w:rFonts w:ascii="宋体" w:hAnsi="宋体" w:cs="宋体" w:eastAsia="宋体" w:hint="default"/>
        </w:rPr>
        <w:t>3</w:t>
      </w:r>
      <w:r>
        <w:rPr>
          <w:rFonts w:ascii="宋体" w:hAnsi="宋体" w:cs="宋体" w:eastAsia="宋体" w:hint="default"/>
          <w:spacing w:val="-46"/>
        </w:rPr>
        <w:t> </w:t>
      </w:r>
      <w:r>
        <w:rPr/>
        <w:t>日巨潮资讯网相关公告）</w:t>
      </w:r>
    </w:p>
    <w:p>
      <w:pPr>
        <w:pStyle w:val="BodyText"/>
        <w:spacing w:line="477" w:lineRule="auto" w:before="54"/>
        <w:ind w:left="154" w:right="191" w:firstLine="360"/>
        <w:jc w:val="both"/>
      </w:pPr>
      <w:r>
        <w:rPr>
          <w:spacing w:val="-2"/>
        </w:rPr>
        <w:t>未来，公司将继续充分发挥强大的产品开发能力、运营能力、丰富的互联网运营实践等竞争优势，持续做好融合通信项</w:t>
      </w:r>
      <w:r>
        <w:rPr/>
        <w:t> 目的技术支持，提升用户体验、促进融合通信项目健康、稳定的发展。</w:t>
      </w:r>
    </w:p>
    <w:p>
      <w:pPr>
        <w:pStyle w:val="BodyText"/>
        <w:spacing w:line="477" w:lineRule="auto" w:before="54"/>
        <w:ind w:left="154" w:right="92" w:firstLine="360"/>
        <w:jc w:val="left"/>
      </w:pPr>
      <w:r>
        <w:rPr>
          <w:rFonts w:ascii="宋体" w:hAnsi="宋体" w:cs="宋体" w:eastAsia="宋体" w:hint="default"/>
        </w:rPr>
        <w:t>4</w:t>
      </w:r>
      <w:r>
        <w:rPr/>
        <w:t>）游戏业务领域，围绕着企业文化、团队管理、技术研发、市场渠道、客户资源等诸多方面进行整合与协同，努力打 造产品研发、渠道发行全过程增值服务的有机游戏生态链，实现资源共享、发挥协同效应，提升游戏业务的整体竞争实力、</w:t>
      </w:r>
      <w:r>
        <w:rPr>
          <w:spacing w:val="-84"/>
        </w:rPr>
        <w:t> </w:t>
      </w:r>
      <w:r>
        <w:rPr>
          <w:spacing w:val="-84"/>
        </w:rPr>
      </w:r>
      <w:r>
        <w:rPr/>
        <w:t>形成新的盈利增长点。</w:t>
      </w:r>
    </w:p>
    <w:p>
      <w:pPr>
        <w:pStyle w:val="BodyText"/>
        <w:spacing w:line="477" w:lineRule="auto" w:before="54"/>
        <w:ind w:right="93" w:firstLine="360"/>
        <w:jc w:val="left"/>
      </w:pPr>
      <w:r>
        <w:rPr/>
        <w:t>报告期内完成了对天津壳木软件有限责任公司的并购整合，并构建了发行团队开展游戏发行业务，陆续在韩国、泰国、 </w:t>
      </w:r>
      <w:r>
        <w:rPr>
          <w:spacing w:val="-2"/>
        </w:rPr>
        <w:t>俄罗斯、新加坡等地区设立了全资子公司，采取多种方式、积极开展游戏内容引进工作，以做到丰富性、多样性，提升未来</w:t>
      </w:r>
      <w:r>
        <w:rPr>
          <w:spacing w:val="-68"/>
        </w:rPr>
        <w:t> </w:t>
      </w:r>
      <w:r>
        <w:rPr>
          <w:spacing w:val="-68"/>
        </w:rPr>
      </w:r>
      <w:r>
        <w:rPr/>
        <w:t>运营质量与流水。</w:t>
      </w:r>
    </w:p>
    <w:p>
      <w:pPr>
        <w:pStyle w:val="BodyText"/>
        <w:spacing w:line="477" w:lineRule="auto" w:before="54"/>
        <w:ind w:right="190" w:firstLine="360"/>
        <w:jc w:val="both"/>
      </w:pPr>
      <w:r>
        <w:rPr>
          <w:spacing w:val="-2"/>
        </w:rPr>
        <w:t>与深圳市前海梧桐并购投资基金管理有限公司等单位联合设立专业化投资管理有限公司，挖掘移动游戏产业内的投资并</w:t>
      </w:r>
      <w:r>
        <w:rPr/>
        <w:t> </w:t>
      </w:r>
      <w:r>
        <w:rPr>
          <w:spacing w:val="-2"/>
        </w:rPr>
        <w:t>购机会，通过集聚行业专家资源、社会资本资源，打造一个涵盖游戏产品研发、渠道发行全过程增值服务的有机的游戏生态</w:t>
      </w:r>
      <w:r>
        <w:rPr>
          <w:spacing w:val="-66"/>
        </w:rPr>
        <w:t> </w:t>
      </w:r>
      <w:r>
        <w:rPr>
          <w:spacing w:val="-66"/>
        </w:rPr>
      </w:r>
      <w:r>
        <w:rPr>
          <w:spacing w:val="-2"/>
        </w:rPr>
        <w:t>链，为移动游戏产品的挖掘培育、市场进入与认可以及未来的资本退出提供有力保障，借力游戏投并基金实现公司游戏产业</w:t>
      </w:r>
      <w:r>
        <w:rPr>
          <w:spacing w:val="-66"/>
        </w:rPr>
        <w:t> </w:t>
      </w:r>
      <w:r>
        <w:rPr>
          <w:spacing w:val="-66"/>
        </w:rPr>
      </w:r>
      <w:r>
        <w:rPr/>
        <w:t>链整合和快速扩张。</w:t>
      </w:r>
    </w:p>
    <w:p>
      <w:pPr>
        <w:pStyle w:val="BodyText"/>
        <w:spacing w:line="477" w:lineRule="auto" w:before="54"/>
        <w:ind w:left="154" w:right="189" w:firstLine="360"/>
        <w:jc w:val="both"/>
      </w:pPr>
      <w:r>
        <w:rPr>
          <w:rFonts w:ascii="宋体" w:hAnsi="宋体" w:cs="宋体" w:eastAsia="宋体" w:hint="default"/>
        </w:rPr>
        <w:t>5</w:t>
      </w:r>
      <w:r>
        <w:rPr/>
        <w:t>）进一步推进电子商务体系建设，将营运支撑系统、互联网门户、移动互联网应用进行紧密结合，对物流体系、资金 管理、信息化体系、信用管理体系、市场营销、人力资源等方面进一步优化，提升营运质量与效率。</w:t>
      </w:r>
    </w:p>
    <w:p>
      <w:pPr>
        <w:pStyle w:val="BodyText"/>
        <w:spacing w:line="477" w:lineRule="auto" w:before="54"/>
        <w:ind w:left="154" w:right="191" w:firstLine="360"/>
        <w:jc w:val="both"/>
      </w:pPr>
      <w:r>
        <w:rPr>
          <w:rFonts w:ascii="宋体" w:hAnsi="宋体" w:cs="宋体" w:eastAsia="宋体" w:hint="default"/>
        </w:rPr>
        <w:t>6</w:t>
      </w:r>
      <w:r>
        <w:rPr/>
        <w:t>）在物联网领域，公司以“智慧线”（高带宽无线接入技术及应用的简称）系列产品为代表，目前已推出的产品系列 包括智慧线</w:t>
      </w:r>
      <w:r>
        <w:rPr>
          <w:rFonts w:ascii="宋体" w:hAnsi="宋体" w:cs="宋体" w:eastAsia="宋体" w:hint="default"/>
        </w:rPr>
        <w:t>2.0</w:t>
      </w:r>
      <w:r>
        <w:rPr/>
        <w:t>系列、智慧线</w:t>
      </w:r>
      <w:r>
        <w:rPr>
          <w:rFonts w:ascii="宋体" w:hAnsi="宋体" w:cs="宋体" w:eastAsia="宋体" w:hint="default"/>
        </w:rPr>
        <w:t>3.0</w:t>
      </w:r>
      <w:r>
        <w:rPr/>
        <w:t>系列以及</w:t>
      </w:r>
      <w:r>
        <w:rPr>
          <w:rFonts w:ascii="宋体" w:hAnsi="宋体" w:cs="宋体" w:eastAsia="宋体" w:hint="default"/>
        </w:rPr>
        <w:t>SmartCare</w:t>
      </w:r>
      <w:r>
        <w:rPr/>
        <w:t>电动汽车智能车载系统。</w:t>
      </w:r>
    </w:p>
    <w:p>
      <w:pPr>
        <w:pStyle w:val="BodyText"/>
        <w:spacing w:line="477" w:lineRule="auto" w:before="54"/>
        <w:ind w:left="154" w:right="190" w:firstLine="360"/>
        <w:jc w:val="both"/>
      </w:pPr>
      <w:r>
        <w:rPr/>
        <w:t>报告期内，公司智慧线</w:t>
      </w:r>
      <w:r>
        <w:rPr>
          <w:rFonts w:ascii="宋体" w:hAnsi="宋体" w:cs="宋体" w:eastAsia="宋体" w:hint="default"/>
        </w:rPr>
        <w:t>2.0</w:t>
      </w:r>
      <w:r>
        <w:rPr/>
        <w:t>系列已通过安标国家矿用产品安全标志中心的正式认证，具备了在矿山企业进行推广应用的 </w:t>
      </w:r>
      <w:r>
        <w:rPr>
          <w:spacing w:val="-2"/>
        </w:rPr>
        <w:t>资格。矿井下的定位与通讯技术的应用，有着广阔的、刚性的市场需求，公司将依托其独特的技术优势，发挥神华集团以及</w:t>
      </w:r>
      <w:r>
        <w:rPr>
          <w:spacing w:val="-66"/>
        </w:rPr>
        <w:t> </w:t>
      </w:r>
      <w:r>
        <w:rPr>
          <w:spacing w:val="-66"/>
        </w:rPr>
      </w:r>
      <w:r>
        <w:rPr>
          <w:spacing w:val="-2"/>
        </w:rPr>
        <w:t>产业链上其他合作伙伴的优势，采取代理、合作等方式进行大力推广与应用，为促进矿山企业安全生产工作，推动数字化矿</w:t>
      </w:r>
      <w:r>
        <w:rPr>
          <w:spacing w:val="-66"/>
        </w:rPr>
        <w:t> </w:t>
      </w:r>
      <w:r>
        <w:rPr>
          <w:spacing w:val="-66"/>
        </w:rPr>
      </w:r>
      <w:r>
        <w:rPr/>
        <w:t>山的建设发挥积极作用；智慧线</w:t>
      </w:r>
      <w:r>
        <w:rPr>
          <w:rFonts w:ascii="宋体" w:hAnsi="宋体" w:cs="宋体" w:eastAsia="宋体" w:hint="default"/>
        </w:rPr>
        <w:t>3.0</w:t>
      </w:r>
      <w:r>
        <w:rPr/>
        <w:t>系列已与北京医生有限责任公司达成《关于智慧线系统的战略合作框架协议》，共同开</w:t>
      </w:r>
      <w:r>
        <w:rPr>
          <w:spacing w:val="-83"/>
        </w:rPr>
        <w:t> </w:t>
      </w:r>
      <w:r>
        <w:rPr>
          <w:spacing w:val="-83"/>
        </w:rPr>
      </w:r>
      <w:r>
        <w:rPr/>
        <w:t>展基于智慧线</w:t>
      </w:r>
      <w:r>
        <w:rPr>
          <w:rFonts w:ascii="宋体" w:hAnsi="宋体" w:cs="宋体" w:eastAsia="宋体" w:hint="default"/>
        </w:rPr>
        <w:t>3.0</w:t>
      </w:r>
      <w:r>
        <w:rPr/>
        <w:t>系统的无线宽带建设并联合运营互联网服务，为智慧线产品商业模式尝试及运营发展迈出重要一步，为进</w:t>
      </w:r>
      <w:r>
        <w:rPr>
          <w:spacing w:val="-82"/>
        </w:rPr>
        <w:t> </w:t>
      </w:r>
      <w:r>
        <w:rPr>
          <w:spacing w:val="-82"/>
        </w:rPr>
      </w:r>
      <w:r>
        <w:rPr/>
        <w:t>一步拓展其它领域提供很好的支撑，公司将积极探索互联网、物联网的各种“O2O”应用模式，推进该产品在其它行业、领</w:t>
      </w:r>
    </w:p>
    <w:p>
      <w:pPr>
        <w:spacing w:after="0" w:line="477" w:lineRule="auto"/>
        <w:jc w:val="both"/>
        <w:sectPr>
          <w:pgSz w:w="11910" w:h="16840"/>
          <w:pgMar w:header="851" w:footer="1226" w:top="1380" w:bottom="1420" w:left="980" w:right="940"/>
        </w:sectPr>
      </w:pPr>
    </w:p>
    <w:p>
      <w:pPr>
        <w:pStyle w:val="BodyText"/>
        <w:spacing w:line="477" w:lineRule="auto" w:before="141"/>
        <w:ind w:left="154" w:right="192"/>
        <w:jc w:val="both"/>
      </w:pPr>
      <w:r>
        <w:rPr/>
        <w:t>域的广泛应用；</w:t>
      </w:r>
      <w:r>
        <w:rPr>
          <w:rFonts w:ascii="宋体" w:hAnsi="宋体" w:cs="宋体" w:eastAsia="宋体" w:hint="default"/>
        </w:rPr>
        <w:t>SmartCare</w:t>
      </w:r>
      <w:r>
        <w:rPr/>
        <w:t>电动汽车智能车载系统，已与深圳市比亚迪戴姆勒新技术有限公司达成《合作框架协议》，其在</w:t>
      </w:r>
      <w:r>
        <w:rPr>
          <w:spacing w:val="-84"/>
        </w:rPr>
        <w:t> </w:t>
      </w:r>
      <w:r>
        <w:rPr>
          <w:spacing w:val="-84"/>
        </w:rPr>
      </w:r>
      <w:r>
        <w:rPr/>
        <w:t>北京市场销售的所有电动汽车唯一使用的</w:t>
      </w:r>
      <w:r>
        <w:rPr>
          <w:rFonts w:ascii="宋体" w:hAnsi="宋体" w:cs="宋体" w:eastAsia="宋体" w:hint="default"/>
        </w:rPr>
        <w:t>SmartCare </w:t>
      </w:r>
      <w:r>
        <w:rPr/>
        <w:t>电动汽车智能车载系统。</w:t>
      </w:r>
    </w:p>
    <w:p>
      <w:pPr>
        <w:pStyle w:val="BodyText"/>
        <w:spacing w:line="477" w:lineRule="auto" w:before="54"/>
        <w:ind w:left="154" w:right="190" w:firstLine="360"/>
        <w:jc w:val="both"/>
      </w:pPr>
      <w:r>
        <w:rPr>
          <w:rFonts w:ascii="宋体" w:hAnsi="宋体" w:cs="宋体" w:eastAsia="宋体" w:hint="default"/>
        </w:rPr>
        <w:t>7</w:t>
      </w:r>
      <w:r>
        <w:rPr/>
        <w:t>）积极布局互联网创新业务，推出了“小漫</w:t>
      </w:r>
      <w:r>
        <w:rPr>
          <w:rFonts w:ascii="宋体" w:hAnsi="宋体" w:cs="宋体" w:eastAsia="宋体" w:hint="default"/>
        </w:rPr>
        <w:t>WiFi</w:t>
      </w:r>
      <w:r>
        <w:rPr/>
        <w:t>业务”（旨在为出境人士构建一个随时随地随身的上网的通道以及旅 </w:t>
      </w:r>
      <w:r>
        <w:rPr>
          <w:spacing w:val="-2"/>
        </w:rPr>
        <w:t>行资讯信息服务平台）；“融云平台“（定位于为移动互联网开发者提供基于云计算架构的即时通讯云平台）；以及在线教</w:t>
      </w:r>
      <w:r>
        <w:rPr>
          <w:spacing w:val="-69"/>
        </w:rPr>
        <w:t> </w:t>
      </w:r>
      <w:r>
        <w:rPr>
          <w:spacing w:val="-69"/>
        </w:rPr>
      </w:r>
      <w:r>
        <w:rPr/>
        <w:t>育平台（致力于面向大学生和初入职场人群的职业规划、职业培训、就业推荐三位一体的一站式在线职业教育服务）。</w:t>
      </w:r>
    </w:p>
    <w:p>
      <w:pPr>
        <w:pStyle w:val="BodyText"/>
        <w:spacing w:line="477" w:lineRule="auto" w:before="54"/>
        <w:ind w:left="513" w:right="93"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）技术创新情况</w:t>
      </w:r>
      <w:r>
        <w:rPr>
          <w:rFonts w:ascii="宋体" w:hAnsi="宋体" w:cs="宋体" w:eastAsia="宋体" w:hint="default"/>
          <w:b/>
          <w:bCs/>
          <w:w w:val="99"/>
        </w:rPr>
        <w:t> </w:t>
      </w:r>
      <w:r>
        <w:rPr>
          <w:spacing w:val="-2"/>
        </w:rPr>
        <w:t>立足市场、持续创新是公司经营发展的核心要素。报告期内，公司继续加强技术创新的力度，优化研发管理模式，提升</w:t>
      </w:r>
    </w:p>
    <w:p>
      <w:pPr>
        <w:pStyle w:val="BodyText"/>
        <w:spacing w:line="477" w:lineRule="auto" w:before="54"/>
        <w:ind w:right="190"/>
        <w:jc w:val="both"/>
      </w:pPr>
      <w:r>
        <w:rPr/>
        <w:t>产品开发效率，不断推出新产品以满足用户的需要，共投入研发经费</w:t>
      </w:r>
      <w:r>
        <w:rPr>
          <w:rFonts w:ascii="宋体" w:hAnsi="宋体" w:cs="宋体" w:eastAsia="宋体" w:hint="default"/>
        </w:rPr>
        <w:t>26,055.10</w:t>
      </w:r>
      <w:r>
        <w:rPr/>
        <w:t>万元，占营业收入的比重为</w:t>
      </w:r>
      <w:r>
        <w:rPr>
          <w:rFonts w:ascii="宋体" w:hAnsi="宋体" w:cs="宋体" w:eastAsia="宋体" w:hint="default"/>
        </w:rPr>
        <w:t>10.22%</w:t>
      </w:r>
      <w:r>
        <w:rPr/>
        <w:t>。报告期</w:t>
      </w:r>
      <w:r>
        <w:rPr>
          <w:spacing w:val="-84"/>
        </w:rPr>
        <w:t> </w:t>
      </w:r>
      <w:r>
        <w:rPr>
          <w:spacing w:val="-2"/>
        </w:rPr>
        <w:t>内，公司新取得</w:t>
      </w:r>
      <w:r>
        <w:rPr>
          <w:rFonts w:ascii="宋体" w:hAnsi="宋体" w:cs="宋体" w:eastAsia="宋体" w:hint="default"/>
          <w:spacing w:val="-2"/>
        </w:rPr>
        <w:t>93</w:t>
      </w:r>
      <w:r>
        <w:rPr>
          <w:spacing w:val="-2"/>
        </w:rPr>
        <w:t>项软件著作权、新获专利授权</w:t>
      </w:r>
      <w:r>
        <w:rPr>
          <w:rFonts w:ascii="宋体" w:hAnsi="宋体" w:cs="宋体" w:eastAsia="宋体" w:hint="default"/>
          <w:spacing w:val="-2"/>
        </w:rPr>
        <w:t>72</w:t>
      </w:r>
      <w:r>
        <w:rPr>
          <w:spacing w:val="-2"/>
        </w:rPr>
        <w:t>项，公司“业务运维管理平台软件”、“复合网络环境下的富媒体通信软</w:t>
      </w:r>
      <w:r>
        <w:rPr>
          <w:spacing w:val="-63"/>
        </w:rPr>
        <w:t> </w:t>
      </w:r>
      <w:r>
        <w:rPr>
          <w:spacing w:val="-63"/>
        </w:rPr>
      </w:r>
      <w:r>
        <w:rPr/>
        <w:t>件(Urapport)</w:t>
      </w:r>
      <w:r>
        <w:rPr>
          <w:spacing w:val="6"/>
        </w:rPr>
        <w:t> </w:t>
      </w:r>
      <w:r>
        <w:rPr/>
        <w:t>”被列入了科技部《</w:t>
      </w:r>
      <w:r>
        <w:rPr>
          <w:rFonts w:ascii="宋体" w:hAnsi="宋体" w:cs="宋体" w:eastAsia="宋体" w:hint="default"/>
        </w:rPr>
        <w:t>2014</w:t>
      </w:r>
      <w:r>
        <w:rPr/>
        <w:t>年度国家重点新产品计划立项项目》；“微辐射高带宽密集无线接入技术研究与示 </w:t>
      </w:r>
      <w:r>
        <w:rPr>
          <w:spacing w:val="-2"/>
        </w:rPr>
        <w:t>范”被列入了科技部《</w:t>
      </w:r>
      <w:r>
        <w:rPr>
          <w:rFonts w:ascii="宋体" w:hAnsi="宋体" w:cs="宋体" w:eastAsia="宋体" w:hint="default"/>
          <w:spacing w:val="-2"/>
        </w:rPr>
        <w:t>2014</w:t>
      </w:r>
      <w:r>
        <w:rPr>
          <w:spacing w:val="-2"/>
        </w:rPr>
        <w:t>年度国家火炬计划立项项目》；“基于复杂信息系统的大数据智能运维分析与管理平台”被列入</w:t>
      </w:r>
      <w:r>
        <w:rPr>
          <w:spacing w:val="-63"/>
        </w:rPr>
        <w:t> </w:t>
      </w:r>
      <w:r>
        <w:rPr>
          <w:spacing w:val="-63"/>
        </w:rPr>
      </w:r>
      <w:r>
        <w:rPr/>
        <w:t>“2014年北京软件及应用系统战略新兴产业区域集聚发展试点方案”。</w:t>
      </w:r>
    </w:p>
    <w:p>
      <w:pPr>
        <w:pStyle w:val="BodyText"/>
        <w:spacing w:line="477" w:lineRule="auto" w:before="54"/>
        <w:ind w:right="189" w:firstLine="360"/>
        <w:jc w:val="both"/>
      </w:pPr>
      <w:r>
        <w:rPr/>
        <w:t>截至</w:t>
      </w:r>
      <w:r>
        <w:rPr>
          <w:rFonts w:ascii="宋体" w:hAnsi="宋体" w:cs="宋体" w:eastAsia="宋体" w:hint="default"/>
        </w:rPr>
        <w:t>2014</w:t>
      </w:r>
      <w:r>
        <w:rPr/>
        <w:t>年末，公司及其控股子公司合计拥有</w:t>
      </w:r>
      <w:r>
        <w:rPr>
          <w:rFonts w:ascii="宋体" w:hAnsi="宋体" w:cs="宋体" w:eastAsia="宋体" w:hint="default"/>
        </w:rPr>
        <w:t>697</w:t>
      </w:r>
      <w:r>
        <w:rPr/>
        <w:t>项计算机软件著作权、</w:t>
      </w:r>
      <w:r>
        <w:rPr>
          <w:rFonts w:ascii="宋体" w:hAnsi="宋体" w:cs="宋体" w:eastAsia="宋体" w:hint="default"/>
        </w:rPr>
        <w:t>264</w:t>
      </w:r>
      <w:r>
        <w:rPr/>
        <w:t>项产品登记证、</w:t>
      </w:r>
      <w:r>
        <w:rPr>
          <w:rFonts w:ascii="宋体" w:hAnsi="宋体" w:cs="宋体" w:eastAsia="宋体" w:hint="default"/>
        </w:rPr>
        <w:t>174</w:t>
      </w:r>
      <w:r>
        <w:rPr/>
        <w:t>项授权专利、已受理的 专利申请</w:t>
      </w:r>
      <w:r>
        <w:rPr>
          <w:rFonts w:ascii="宋体" w:hAnsi="宋体" w:cs="宋体" w:eastAsia="宋体" w:hint="default"/>
        </w:rPr>
        <w:t>579</w:t>
      </w:r>
      <w:r>
        <w:rPr/>
        <w:t>项。</w:t>
      </w:r>
      <w:r>
        <w:rPr>
          <w:rFonts w:ascii="宋体" w:hAnsi="宋体" w:cs="宋体" w:eastAsia="宋体" w:hint="default"/>
        </w:rPr>
        <w:t>2011</w:t>
      </w:r>
      <w:r>
        <w:rPr/>
        <w:t>年度公司被评为“国家企业技术中心”；公司及新媒传信连续多年被认定国家规划布局内重点软件企</w:t>
      </w:r>
      <w:r>
        <w:rPr>
          <w:spacing w:val="-85"/>
        </w:rPr>
        <w:t> </w:t>
      </w:r>
      <w:r>
        <w:rPr>
          <w:spacing w:val="-85"/>
        </w:rPr>
      </w:r>
      <w:r>
        <w:rPr>
          <w:spacing w:val="-5"/>
        </w:rPr>
        <w:t>业等，综合体现了公司的技术创新能力、研发实力、市场拓展能力、企业经营能力，成为企业长期持续健康发展的有力支撑。</w:t>
      </w:r>
    </w:p>
    <w:p>
      <w:pPr>
        <w:spacing w:line="477" w:lineRule="auto" w:before="54"/>
        <w:ind w:left="514" w:right="93"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）企业文化建设及员工发展情况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公司始终坚持“高绩效、高贡献、高回报”的人才发展观，不仅要通过提升薪资竞争力来提高人才的吸引力，还要通过</w:t>
      </w:r>
    </w:p>
    <w:p>
      <w:pPr>
        <w:pStyle w:val="BodyText"/>
        <w:spacing w:line="477" w:lineRule="auto" w:before="54"/>
        <w:ind w:left="154" w:right="191"/>
        <w:jc w:val="both"/>
      </w:pPr>
      <w:r>
        <w:rPr>
          <w:spacing w:val="-2"/>
        </w:rPr>
        <w:t>为员工创造良好的职业发展环境、营造适宜的企业文化氛围等系统性的措施来吸引、留住和激励人才。报告期内，公司完成</w:t>
      </w:r>
      <w:r>
        <w:rPr>
          <w:spacing w:val="-66"/>
        </w:rPr>
        <w:t> </w:t>
      </w:r>
      <w:r>
        <w:rPr>
          <w:spacing w:val="-66"/>
        </w:rPr>
      </w:r>
      <w:r>
        <w:rPr>
          <w:spacing w:val="-2"/>
        </w:rPr>
        <w:t>股权激励计划第二期行权，行权激励效果明显，充分调动公司管理人员及核心人员的积极性，有效地将股东利益、公司利益</w:t>
      </w:r>
      <w:r>
        <w:rPr>
          <w:spacing w:val="-66"/>
        </w:rPr>
        <w:t> </w:t>
      </w:r>
      <w:r>
        <w:rPr>
          <w:spacing w:val="-66"/>
        </w:rPr>
      </w:r>
      <w:r>
        <w:rPr/>
        <w:t>和经营者个人利益结合在一起，更好的推动公司发展。</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2、报告期内主要经营情况" w:id="19"/>
      <w:bookmarkEnd w:id="19"/>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营业务分析" w:id="20"/>
      <w:bookmarkEnd w:id="20"/>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13"/>
          <w:szCs w:val="13"/>
        </w:rPr>
      </w:pPr>
    </w:p>
    <w:p>
      <w:pPr>
        <w:pStyle w:val="BodyText"/>
        <w:spacing w:line="477" w:lineRule="auto"/>
        <w:ind w:left="154" w:right="101" w:firstLine="360"/>
        <w:jc w:val="both"/>
      </w:pPr>
      <w:r>
        <w:rPr/>
        <w:t>截止目前，已形成了以运维管理、互联网为重点，兼具物联网、电子商务的业务架构。其中，在互联网自主业务方面， 近两年在游戏、融合通信、职业教育、无线宽带等领域已初见成效。为公司深入发展移动互联网业务打下了良好的基础。</w:t>
      </w:r>
    </w:p>
    <w:p>
      <w:pPr>
        <w:pStyle w:val="BodyText"/>
        <w:spacing w:line="451" w:lineRule="auto" w:before="92"/>
        <w:ind w:right="190" w:firstLine="360"/>
        <w:jc w:val="both"/>
      </w:pPr>
      <w:r>
        <w:rPr/>
        <w:t>报告期内，公司整体保持良好的增长势头，实现营业总收入 </w:t>
      </w:r>
      <w:r>
        <w:rPr>
          <w:rFonts w:ascii="Times New Roman" w:hAnsi="Times New Roman" w:cs="Times New Roman" w:eastAsia="Times New Roman" w:hint="default"/>
        </w:rPr>
        <w:t>254,884.44 </w:t>
      </w:r>
      <w:r>
        <w:rPr/>
        <w:t>万元，比去年同期增长</w:t>
      </w:r>
      <w:r>
        <w:rPr>
          <w:spacing w:val="-53"/>
        </w:rPr>
        <w:t> </w:t>
      </w:r>
      <w:r>
        <w:rPr>
          <w:rFonts w:ascii="Times New Roman" w:hAnsi="Times New Roman" w:cs="Times New Roman" w:eastAsia="Times New Roman" w:hint="default"/>
        </w:rPr>
        <w:t>33.69%</w:t>
      </w:r>
      <w:r>
        <w:rPr/>
        <w:t>；实现营业利润 </w:t>
      </w:r>
      <w:r>
        <w:rPr>
          <w:rFonts w:ascii="Times New Roman" w:hAnsi="Times New Roman" w:cs="Times New Roman" w:eastAsia="Times New Roman" w:hint="default"/>
        </w:rPr>
        <w:t>61,831.51</w:t>
      </w:r>
      <w:r>
        <w:rPr>
          <w:rFonts w:ascii="Times New Roman" w:hAnsi="Times New Roman" w:cs="Times New Roman" w:eastAsia="Times New Roman" w:hint="default"/>
          <w:spacing w:val="3"/>
        </w:rPr>
        <w:t> </w:t>
      </w:r>
      <w:r>
        <w:rPr/>
        <w:t>万元，较去年同期增长</w:t>
      </w:r>
      <w:r>
        <w:rPr>
          <w:spacing w:val="-42"/>
        </w:rPr>
        <w:t> </w:t>
      </w:r>
      <w:r>
        <w:rPr>
          <w:rFonts w:ascii="Times New Roman" w:hAnsi="Times New Roman" w:cs="Times New Roman" w:eastAsia="Times New Roman" w:hint="default"/>
        </w:rPr>
        <w:t>16.92%</w:t>
      </w:r>
      <w:r>
        <w:rPr/>
        <w:t>；实现利润总额</w:t>
      </w:r>
      <w:r>
        <w:rPr>
          <w:spacing w:val="-42"/>
        </w:rPr>
        <w:t> </w:t>
      </w:r>
      <w:r>
        <w:rPr>
          <w:rFonts w:ascii="Times New Roman" w:hAnsi="Times New Roman" w:cs="Times New Roman" w:eastAsia="Times New Roman" w:hint="default"/>
        </w:rPr>
        <w:t>65,141.58</w:t>
      </w:r>
      <w:r>
        <w:rPr>
          <w:rFonts w:ascii="Times New Roman" w:hAnsi="Times New Roman" w:cs="Times New Roman" w:eastAsia="Times New Roman" w:hint="default"/>
          <w:spacing w:val="3"/>
        </w:rPr>
        <w:t> </w:t>
      </w:r>
      <w:r>
        <w:rPr/>
        <w:t>万元，比去年同期增长了</w:t>
      </w:r>
      <w:r>
        <w:rPr>
          <w:spacing w:val="-42"/>
        </w:rPr>
        <w:t> </w:t>
      </w:r>
      <w:r>
        <w:rPr>
          <w:rFonts w:ascii="Times New Roman" w:hAnsi="Times New Roman" w:cs="Times New Roman" w:eastAsia="Times New Roman" w:hint="default"/>
        </w:rPr>
        <w:t>15.61%</w:t>
      </w:r>
      <w:r>
        <w:rPr/>
        <w:t>；实现归属于上市公司 股东的净利润为</w:t>
      </w:r>
      <w:r>
        <w:rPr>
          <w:spacing w:val="-46"/>
        </w:rPr>
        <w:t> </w:t>
      </w:r>
      <w:r>
        <w:rPr>
          <w:rFonts w:ascii="Times New Roman" w:hAnsi="Times New Roman" w:cs="Times New Roman" w:eastAsia="Times New Roman" w:hint="default"/>
        </w:rPr>
        <w:t>62,440.56</w:t>
      </w:r>
      <w:r>
        <w:rPr>
          <w:rFonts w:ascii="Times New Roman" w:hAnsi="Times New Roman" w:cs="Times New Roman" w:eastAsia="Times New Roman" w:hint="default"/>
          <w:spacing w:val="-1"/>
        </w:rPr>
        <w:t> </w:t>
      </w:r>
      <w:r>
        <w:rPr/>
        <w:t>万元，比去年同期增长了</w:t>
      </w:r>
      <w:r>
        <w:rPr>
          <w:spacing w:val="-46"/>
        </w:rPr>
        <w:t> </w:t>
      </w:r>
      <w:r>
        <w:rPr>
          <w:rFonts w:ascii="Times New Roman" w:hAnsi="Times New Roman" w:cs="Times New Roman" w:eastAsia="Times New Roman" w:hint="default"/>
        </w:rPr>
        <w:t>20.65%</w:t>
      </w:r>
      <w:r>
        <w:rPr/>
        <w:t>。</w:t>
      </w:r>
    </w:p>
    <w:p>
      <w:pPr>
        <w:spacing w:after="0" w:line="451" w:lineRule="auto"/>
        <w:jc w:val="both"/>
        <w:sectPr>
          <w:pgSz w:w="11910" w:h="16840"/>
          <w:pgMar w:header="851" w:footer="1226" w:top="1380" w:bottom="1420" w:left="980" w:right="940"/>
        </w:sectPr>
      </w:pPr>
    </w:p>
    <w:p>
      <w:pPr>
        <w:pStyle w:val="Heading4"/>
        <w:spacing w:line="240" w:lineRule="auto" w:before="142"/>
        <w:ind w:right="0"/>
        <w:jc w:val="left"/>
        <w:rPr>
          <w:b w:val="0"/>
          <w:bCs w:val="0"/>
        </w:rPr>
      </w:pPr>
      <w:r>
        <w:rPr>
          <w:rFonts w:ascii="Times New Roman" w:hAnsi="Times New Roman" w:cs="Times New Roman" w:eastAsia="Times New Roman" w:hint="default"/>
        </w:rPr>
        <w:t>2</w:t>
      </w:r>
      <w:r>
        <w:rPr/>
        <w:t>）报告期利润构成或利润来源发生重大变动的说明</w:t>
      </w:r>
      <w:r>
        <w:rPr>
          <w:b w:val="0"/>
          <w:bCs w:val="0"/>
        </w:rPr>
      </w:r>
    </w:p>
    <w:p>
      <w:pPr>
        <w:spacing w:line="240" w:lineRule="auto" w:before="10"/>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02"/>
        <w:ind w:left="153" w:right="0"/>
        <w:jc w:val="left"/>
        <w:rPr>
          <w:b w:val="0"/>
          <w:bCs w:val="0"/>
        </w:rPr>
      </w:pPr>
      <w:r>
        <w:rPr>
          <w:rFonts w:ascii="Times New Roman" w:hAnsi="Times New Roman" w:cs="Times New Roman" w:eastAsia="Times New Roman" w:hint="default"/>
        </w:rPr>
        <w:t>3</w:t>
      </w:r>
      <w:r>
        <w:rPr/>
        <w:t>）收入</w:t>
      </w:r>
      <w:r>
        <w:rPr>
          <w:b w:val="0"/>
          <w:bCs w:val="0"/>
        </w:rPr>
      </w:r>
    </w:p>
    <w:p>
      <w:pPr>
        <w:spacing w:line="240" w:lineRule="auto" w:before="0"/>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2,548,844,392.48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1,906,466,509.04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33.69%</w:t>
            </w:r>
          </w:p>
        </w:tc>
      </w:tr>
    </w:tbl>
    <w:p>
      <w:pPr>
        <w:spacing w:line="240" w:lineRule="auto" w:before="6"/>
        <w:rPr>
          <w:rFonts w:ascii="宋体" w:hAnsi="宋体" w:cs="宋体" w:eastAsia="宋体" w:hint="default"/>
          <w:b/>
          <w:bCs/>
          <w:sz w:val="6"/>
          <w:szCs w:val="6"/>
        </w:rPr>
      </w:pPr>
    </w:p>
    <w:p>
      <w:pPr>
        <w:pStyle w:val="Heading4"/>
        <w:spacing w:line="240" w:lineRule="auto" w:before="44"/>
        <w:ind w:right="0"/>
        <w:jc w:val="left"/>
        <w:rPr>
          <w:b w:val="0"/>
          <w:bCs w:val="0"/>
        </w:rPr>
      </w:pPr>
      <w:r>
        <w:rPr/>
        <w:t>驱动收入变化的因素</w:t>
      </w:r>
      <w:r>
        <w:rPr>
          <w:b w:val="0"/>
          <w:bCs w:val="0"/>
        </w:rPr>
      </w:r>
    </w:p>
    <w:p>
      <w:pPr>
        <w:spacing w:line="240" w:lineRule="auto" w:before="10"/>
        <w:rPr>
          <w:rFonts w:ascii="宋体" w:hAnsi="宋体" w:cs="宋体" w:eastAsia="宋体" w:hint="default"/>
          <w:b/>
          <w:bCs/>
          <w:sz w:val="20"/>
          <w:szCs w:val="20"/>
        </w:rPr>
      </w:pPr>
    </w:p>
    <w:p>
      <w:pPr>
        <w:pStyle w:val="BodyText"/>
        <w:spacing w:line="451" w:lineRule="auto"/>
        <w:ind w:right="150" w:firstLine="360"/>
        <w:jc w:val="both"/>
      </w:pPr>
      <w:r>
        <w:rPr>
          <w:rFonts w:ascii="Times New Roman" w:hAnsi="Times New Roman" w:cs="Times New Roman" w:eastAsia="Times New Roman" w:hint="default"/>
          <w:spacing w:val="-1"/>
        </w:rPr>
        <w:t>2014</w:t>
      </w:r>
      <w:r>
        <w:rPr>
          <w:spacing w:val="-1"/>
        </w:rPr>
        <w:t>年度，公司业务整体保持良好的增长势头，主营业务收入</w:t>
      </w:r>
      <w:r>
        <w:rPr>
          <w:rFonts w:ascii="Times New Roman" w:hAnsi="Times New Roman" w:cs="Times New Roman" w:eastAsia="Times New Roman" w:hint="default"/>
          <w:spacing w:val="-1"/>
        </w:rPr>
        <w:t>253,128.68</w:t>
      </w:r>
      <w:r>
        <w:rPr>
          <w:spacing w:val="-1"/>
        </w:rPr>
        <w:t>万元，比去年同期增长</w:t>
      </w:r>
      <w:r>
        <w:rPr>
          <w:rFonts w:ascii="Times New Roman" w:hAnsi="Times New Roman" w:cs="Times New Roman" w:eastAsia="Times New Roman" w:hint="default"/>
          <w:spacing w:val="-1"/>
        </w:rPr>
        <w:t>34.06%</w:t>
      </w:r>
      <w:r>
        <w:rPr>
          <w:spacing w:val="-1"/>
        </w:rPr>
        <w:t>，其中：运维管</w:t>
      </w:r>
      <w:r>
        <w:rPr/>
        <w:t> 理业务（解决方案）实现营业收入</w:t>
      </w:r>
      <w:r>
        <w:rPr>
          <w:rFonts w:ascii="Times New Roman" w:hAnsi="Times New Roman" w:cs="Times New Roman" w:eastAsia="Times New Roman" w:hint="default"/>
        </w:rPr>
        <w:t>88,650.57</w:t>
      </w:r>
      <w:r>
        <w:rPr/>
        <w:t>万元，较去年同期增长</w:t>
      </w:r>
      <w:r>
        <w:rPr>
          <w:rFonts w:ascii="Times New Roman" w:hAnsi="Times New Roman" w:cs="Times New Roman" w:eastAsia="Times New Roman" w:hint="default"/>
        </w:rPr>
        <w:t>12.69%</w:t>
      </w:r>
      <w:r>
        <w:rPr/>
        <w:t>；运维管理业务（系统集成购销）实现营业收入</w:t>
      </w:r>
      <w:r>
        <w:rPr>
          <w:spacing w:val="-20"/>
        </w:rPr>
        <w:t> </w:t>
      </w:r>
      <w:r>
        <w:rPr>
          <w:spacing w:val="-20"/>
        </w:rPr>
      </w:r>
      <w:r>
        <w:rPr>
          <w:rFonts w:ascii="Times New Roman" w:hAnsi="Times New Roman" w:cs="Times New Roman" w:eastAsia="Times New Roman" w:hint="default"/>
        </w:rPr>
        <w:t>89,305.11</w:t>
      </w:r>
      <w:r>
        <w:rPr/>
        <w:t>万元，较去年同期增长</w:t>
      </w:r>
      <w:r>
        <w:rPr>
          <w:rFonts w:ascii="Times New Roman" w:hAnsi="Times New Roman" w:cs="Times New Roman" w:eastAsia="Times New Roman" w:hint="default"/>
        </w:rPr>
        <w:t>157.89%</w:t>
      </w:r>
      <w:r>
        <w:rPr/>
        <w:t>；手机游戏业务实现营业收入</w:t>
      </w:r>
      <w:r>
        <w:rPr>
          <w:rFonts w:ascii="Times New Roman" w:hAnsi="Times New Roman" w:cs="Times New Roman" w:eastAsia="Times New Roman" w:hint="default"/>
        </w:rPr>
        <w:t>8,364.79</w:t>
      </w:r>
      <w:r>
        <w:rPr/>
        <w:t>万元。</w:t>
      </w:r>
    </w:p>
    <w:p>
      <w:pPr>
        <w:pStyle w:val="BodyText"/>
        <w:spacing w:line="240" w:lineRule="auto" w:before="43"/>
        <w:ind w:left="513" w:right="0"/>
        <w:jc w:val="left"/>
      </w:pPr>
      <w:r>
        <w:rPr/>
        <w:t>公司各业务板块收入的具体增长情况下：</w:t>
      </w:r>
    </w:p>
    <w:p>
      <w:pPr>
        <w:pStyle w:val="BodyText"/>
        <w:spacing w:line="240" w:lineRule="auto" w:before="154"/>
        <w:ind w:left="6431" w:right="0"/>
        <w:jc w:val="lef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16"/>
        <w:gridCol w:w="1708"/>
        <w:gridCol w:w="1709"/>
        <w:gridCol w:w="1708"/>
      </w:tblGrid>
      <w:tr>
        <w:trPr>
          <w:trHeight w:val="346" w:hRule="exact"/>
        </w:trPr>
        <w:tc>
          <w:tcPr>
            <w:tcW w:w="35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47" w:right="0"/>
              <w:jc w:val="left"/>
              <w:rPr>
                <w:rFonts w:ascii="宋体" w:hAnsi="宋体" w:cs="宋体" w:eastAsia="宋体" w:hint="default"/>
                <w:sz w:val="18"/>
                <w:szCs w:val="18"/>
              </w:rPr>
            </w:pPr>
            <w:r>
              <w:rPr>
                <w:rFonts w:ascii="宋体" w:hAnsi="宋体" w:cs="宋体" w:eastAsia="宋体" w:hint="default"/>
                <w:b/>
                <w:bCs/>
                <w:sz w:val="18"/>
                <w:szCs w:val="18"/>
              </w:rPr>
              <w:t>主要业务板块收入情况</w:t>
            </w:r>
            <w:r>
              <w:rPr>
                <w:rFonts w:ascii="宋体" w:hAnsi="宋体" w:cs="宋体" w:eastAsia="宋体" w:hint="default"/>
                <w:sz w:val="18"/>
                <w:szCs w:val="18"/>
              </w:rPr>
            </w:r>
          </w:p>
        </w:tc>
        <w:tc>
          <w:tcPr>
            <w:tcW w:w="1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c>
          <w:tcPr>
            <w:tcW w:w="1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347"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88,650.57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78,669.69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12.69%</w:t>
            </w:r>
          </w:p>
        </w:tc>
      </w:tr>
      <w:tr>
        <w:trPr>
          <w:trHeight w:val="347"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运维管理业务（系统集成购销）</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89,305.11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34,629.26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157.89%</w:t>
            </w:r>
          </w:p>
        </w:tc>
      </w:tr>
      <w:tr>
        <w:trPr>
          <w:trHeight w:val="347"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互联网开发运营类业务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53,580.83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60,239.79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-11.05%</w:t>
            </w:r>
          </w:p>
        </w:tc>
      </w:tr>
      <w:tr>
        <w:trPr>
          <w:trHeight w:val="347"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13,227.39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15,277.17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-13.42%</w:t>
            </w:r>
          </w:p>
        </w:tc>
      </w:tr>
      <w:tr>
        <w:trPr>
          <w:trHeight w:val="348"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手机游戏业务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8,364.79</w:t>
            </w:r>
          </w:p>
        </w:tc>
        <w:tc>
          <w:tcPr>
            <w:tcW w:w="1709"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6"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253,128.68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188,815.91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34.06%</w:t>
            </w:r>
          </w:p>
        </w:tc>
      </w:tr>
    </w:tbl>
    <w:p>
      <w:pPr>
        <w:pStyle w:val="Heading4"/>
        <w:spacing w:line="240" w:lineRule="auto" w:before="88"/>
        <w:ind w:right="0"/>
        <w:jc w:val="left"/>
        <w:rPr>
          <w:b w:val="0"/>
          <w:bCs w:val="0"/>
        </w:rPr>
      </w:pPr>
      <w:r>
        <w:rPr/>
        <w:t>公司实物销售收入是否大于劳务收入</w:t>
      </w:r>
      <w:r>
        <w:rPr>
          <w:b w:val="0"/>
          <w:bCs w:val="0"/>
        </w:rPr>
      </w:r>
    </w:p>
    <w:p>
      <w:pPr>
        <w:spacing w:line="240" w:lineRule="auto" w:before="10"/>
        <w:rPr>
          <w:rFonts w:ascii="宋体" w:hAnsi="宋体" w:cs="宋体" w:eastAsia="宋体" w:hint="default"/>
          <w:b/>
          <w:bCs/>
          <w:sz w:val="17"/>
          <w:szCs w:val="17"/>
        </w:rPr>
      </w:pPr>
    </w:p>
    <w:p>
      <w:pPr>
        <w:spacing w:line="477" w:lineRule="auto" w:before="0"/>
        <w:ind w:left="154" w:right="778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spacing w:line="477" w:lineRule="auto" w:before="54"/>
        <w:ind w:left="154" w:right="814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b/>
          <w:bCs/>
          <w:sz w:val="18"/>
          <w:szCs w:val="18"/>
        </w:rPr>
        <w:t>√ 不适用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数量分散的订单情况</w:t>
      </w:r>
      <w:r>
        <w:rPr>
          <w:rFonts w:ascii="宋体" w:hAnsi="宋体" w:cs="宋体" w:eastAsia="宋体" w:hint="default"/>
          <w:sz w:val="18"/>
          <w:szCs w:val="18"/>
        </w:rPr>
      </w:r>
    </w:p>
    <w:p>
      <w:pPr>
        <w:pStyle w:val="BodyText"/>
        <w:spacing w:line="518" w:lineRule="auto" w:before="54"/>
        <w:ind w:left="514" w:right="0" w:hanging="360"/>
        <w:jc w:val="left"/>
      </w:pPr>
      <w:r>
        <w:rPr/>
        <w:t>√ </w:t>
      </w:r>
      <w:r>
        <w:rPr>
          <w:rFonts w:ascii="宋体" w:hAnsi="宋体" w:cs="宋体" w:eastAsia="宋体" w:hint="default"/>
          <w:b/>
          <w:bCs/>
        </w:rPr>
        <w:t>适用 </w:t>
      </w:r>
      <w:r>
        <w:rPr/>
        <w:t>□</w:t>
      </w:r>
      <w:r>
        <w:rPr>
          <w:spacing w:val="-1"/>
        </w:rPr>
        <w:t> </w:t>
      </w:r>
      <w:r>
        <w:rPr/>
        <w:t>不适用</w:t>
      </w:r>
      <w:r>
        <w:rPr/>
        <w:t> </w:t>
      </w:r>
      <w:r>
        <w:rPr>
          <w:spacing w:val="-2"/>
        </w:rPr>
        <w:t>报告期内，公司签署的订单比上年相应增加并执行良好。截至报告期末，公司及控股子公司已签约尚未结转收入的合同</w:t>
      </w:r>
    </w:p>
    <w:p>
      <w:pPr>
        <w:pStyle w:val="BodyText"/>
        <w:spacing w:line="451" w:lineRule="auto" w:before="23"/>
        <w:ind w:left="154" w:right="0"/>
        <w:jc w:val="left"/>
      </w:pPr>
      <w:r>
        <w:rPr>
          <w:spacing w:val="-1"/>
        </w:rPr>
        <w:t>余额约为</w:t>
      </w:r>
      <w:r>
        <w:rPr>
          <w:rFonts w:ascii="Times New Roman" w:hAnsi="Times New Roman" w:cs="Times New Roman" w:eastAsia="Times New Roman" w:hint="default"/>
          <w:spacing w:val="-1"/>
        </w:rPr>
        <w:t>10.31</w:t>
      </w:r>
      <w:r>
        <w:rPr>
          <w:spacing w:val="-1"/>
        </w:rPr>
        <w:t>亿元，较年初已签约尚未结转收入余额增长</w:t>
      </w:r>
      <w:r>
        <w:rPr>
          <w:rFonts w:ascii="Times New Roman" w:hAnsi="Times New Roman" w:cs="Times New Roman" w:eastAsia="Times New Roman" w:hint="default"/>
          <w:spacing w:val="-1"/>
        </w:rPr>
        <w:t>6.73%</w:t>
      </w:r>
      <w:r>
        <w:rPr>
          <w:spacing w:val="-1"/>
        </w:rPr>
        <w:t>，其中，运维管理业务尚未结转收入的合同余额约为</w:t>
      </w:r>
      <w:r>
        <w:rPr>
          <w:rFonts w:ascii="Times New Roman" w:hAnsi="Times New Roman" w:cs="Times New Roman" w:eastAsia="Times New Roman" w:hint="default"/>
          <w:spacing w:val="-1"/>
        </w:rPr>
        <w:t>8.04</w:t>
      </w:r>
      <w:r>
        <w:rPr>
          <w:spacing w:val="-1"/>
        </w:rPr>
        <w:t>亿</w:t>
      </w:r>
      <w:r>
        <w:rPr>
          <w:spacing w:val="-40"/>
        </w:rPr>
        <w:t> </w:t>
      </w:r>
      <w:r>
        <w:rPr/>
        <w:t>元；飞信开发支撑业务尚未结转的合同金额约为</w:t>
      </w:r>
      <w:r>
        <w:rPr>
          <w:rFonts w:ascii="Times New Roman" w:hAnsi="Times New Roman" w:cs="Times New Roman" w:eastAsia="Times New Roman" w:hint="default"/>
        </w:rPr>
        <w:t>2.22</w:t>
      </w:r>
      <w:r>
        <w:rPr/>
        <w:t>亿元。</w:t>
      </w:r>
    </w:p>
    <w:tbl>
      <w:tblPr>
        <w:tblW w:w="0" w:type="auto"/>
        <w:jc w:val="left"/>
        <w:tblInd w:w="146" w:type="dxa"/>
        <w:tblLayout w:type="fixed"/>
        <w:tblCellMar>
          <w:top w:w="0" w:type="dxa"/>
          <w:left w:w="0" w:type="dxa"/>
          <w:bottom w:w="0" w:type="dxa"/>
          <w:right w:w="0" w:type="dxa"/>
        </w:tblCellMar>
        <w:tblLook w:val="01E0"/>
      </w:tblPr>
      <w:tblGrid>
        <w:gridCol w:w="3829"/>
        <w:gridCol w:w="2380"/>
        <w:gridCol w:w="3459"/>
      </w:tblGrid>
      <w:tr>
        <w:trPr>
          <w:trHeight w:val="347"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3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2" w:right="31"/>
              <w:jc w:val="left"/>
              <w:rPr>
                <w:rFonts w:ascii="宋体" w:hAnsi="宋体" w:cs="宋体" w:eastAsia="宋体" w:hint="default"/>
                <w:sz w:val="18"/>
                <w:szCs w:val="18"/>
              </w:rPr>
            </w:pPr>
            <w:r>
              <w:rPr>
                <w:rFonts w:ascii="宋体" w:hAnsi="宋体" w:cs="宋体" w:eastAsia="宋体" w:hint="default"/>
                <w:sz w:val="18"/>
                <w:szCs w:val="18"/>
              </w:rPr>
              <w:t>关于与中国工商银行签订移动即时通讯平台产品 项目合同的公告</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2014/8/19</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关于飞信业务的续签公告</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2014/8/27</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关于与中国移动签订融合通信系统业务的公告</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2014/12/26</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p>
        </w:tc>
      </w:tr>
    </w:tbl>
    <w:p>
      <w:pPr>
        <w:pStyle w:val="Heading4"/>
        <w:spacing w:line="240" w:lineRule="auto" w:before="82"/>
        <w:ind w:right="0"/>
        <w:jc w:val="left"/>
        <w:rPr>
          <w:b w:val="0"/>
          <w:bCs w:val="0"/>
        </w:rPr>
      </w:pPr>
      <w:r>
        <w:rPr/>
        <w:t>公司报告期内产品或服务发生重大变化或调整有关情况</w:t>
      </w:r>
      <w:r>
        <w:rPr>
          <w:b w:val="0"/>
          <w:bCs w:val="0"/>
        </w:rPr>
      </w:r>
    </w:p>
    <w:p>
      <w:pPr>
        <w:spacing w:after="0" w:line="240" w:lineRule="auto"/>
        <w:jc w:val="left"/>
        <w:sectPr>
          <w:pgSz w:w="11910" w:h="16840"/>
          <w:pgMar w:header="851" w:footer="1226" w:top="1380" w:bottom="1420" w:left="980" w:right="980"/>
        </w:sectPr>
      </w:pPr>
    </w:p>
    <w:p>
      <w:pPr>
        <w:spacing w:before="1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4</w:t>
      </w:r>
      <w:r>
        <w:rPr/>
        <w:t>）成本</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277"/>
        <w:gridCol w:w="1416"/>
        <w:gridCol w:w="1419"/>
        <w:gridCol w:w="1202"/>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2" w:right="92"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239,573,269.51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193,980,363.03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运维管理业务（系统集成购销）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871,793,993.62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331,615,424.22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103,608,269.37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126,131,940.93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125,044,209.29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145,442,102.66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6,712,091.17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1,346,731,832.96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797,169,830.84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68.94%</w:t>
            </w:r>
          </w:p>
        </w:tc>
      </w:tr>
    </w:tbl>
    <w:p>
      <w:pPr>
        <w:spacing w:line="240" w:lineRule="auto" w:before="6"/>
        <w:rPr>
          <w:rFonts w:ascii="宋体" w:hAnsi="宋体" w:cs="宋体" w:eastAsia="宋体" w:hint="default"/>
          <w:sz w:val="6"/>
          <w:szCs w:val="6"/>
        </w:rPr>
      </w:pPr>
    </w:p>
    <w:p>
      <w:pPr>
        <w:pStyle w:val="Heading4"/>
        <w:spacing w:line="240" w:lineRule="auto" w:before="44"/>
        <w:ind w:right="0"/>
        <w:jc w:val="left"/>
        <w:rPr>
          <w:b w:val="0"/>
          <w:bCs w:val="0"/>
        </w:rPr>
      </w:pPr>
      <w:r>
        <w:rPr>
          <w:rFonts w:ascii="Times New Roman" w:hAnsi="Times New Roman" w:cs="Times New Roman" w:eastAsia="Times New Roman" w:hint="default"/>
        </w:rPr>
        <w:t>5</w:t>
      </w:r>
      <w:r>
        <w:rPr/>
        <w:t>）费用</w:t>
      </w:r>
      <w:r>
        <w:rPr>
          <w:b w:val="0"/>
          <w:bCs w:val="0"/>
        </w:rPr>
      </w:r>
    </w:p>
    <w:p>
      <w:pPr>
        <w:spacing w:line="240" w:lineRule="auto" w:before="6"/>
        <w:rPr>
          <w:rFonts w:ascii="宋体" w:hAnsi="宋体" w:cs="宋体" w:eastAsia="宋体" w:hint="default"/>
          <w:b/>
          <w:bCs/>
          <w:sz w:val="16"/>
          <w:szCs w:val="16"/>
        </w:rPr>
      </w:pPr>
    </w:p>
    <w:p>
      <w:pPr>
        <w:pStyle w:val="BodyText"/>
        <w:spacing w:line="240" w:lineRule="auto" w:before="44"/>
        <w:ind w:left="0" w:right="150"/>
        <w:jc w:val="right"/>
      </w:pPr>
      <w:r>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85,666,954.43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89,125,160.62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566,550,113.20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505,369,275.66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12.11%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-17,915,825.84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-35,830,386.17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主要系利息收入减少所致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47,294,408.70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48,989,335.63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Heading4"/>
        <w:spacing w:line="240" w:lineRule="auto" w:before="44"/>
        <w:ind w:right="0"/>
        <w:jc w:val="left"/>
        <w:rPr>
          <w:b w:val="0"/>
          <w:bCs w:val="0"/>
        </w:rPr>
      </w:pPr>
      <w:r>
        <w:rPr>
          <w:rFonts w:ascii="Times New Roman" w:hAnsi="Times New Roman" w:cs="Times New Roman" w:eastAsia="Times New Roman" w:hint="default"/>
        </w:rPr>
        <w:t>6</w:t>
      </w:r>
      <w:r>
        <w:rPr/>
        <w:t>）研发投入</w:t>
      </w:r>
      <w:r>
        <w:rPr>
          <w:b w:val="0"/>
          <w:bCs w:val="0"/>
        </w:rPr>
      </w:r>
    </w:p>
    <w:p>
      <w:pPr>
        <w:spacing w:line="240" w:lineRule="auto" w:before="11"/>
        <w:rPr>
          <w:rFonts w:ascii="宋体" w:hAnsi="宋体" w:cs="宋体" w:eastAsia="宋体" w:hint="default"/>
          <w:b/>
          <w:bCs/>
          <w:sz w:val="19"/>
          <w:szCs w:val="19"/>
        </w:rPr>
      </w:pPr>
    </w:p>
    <w:p>
      <w:pPr>
        <w:pStyle w:val="BodyText"/>
        <w:spacing w:line="487" w:lineRule="auto"/>
        <w:ind w:left="513" w:right="0"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持续的自主创新能力是市场竞争力的核心要素，公司自成立来一直高度重视研发投入力度，近几年研发投入一直都保持</w:t>
      </w:r>
    </w:p>
    <w:p>
      <w:pPr>
        <w:pStyle w:val="BodyText"/>
        <w:spacing w:line="451" w:lineRule="auto" w:before="47"/>
        <w:ind w:left="513" w:right="0" w:hanging="360"/>
        <w:jc w:val="left"/>
      </w:pPr>
      <w:r>
        <w:rPr/>
        <w:t>在公司营业收入的</w:t>
      </w:r>
      <w:r>
        <w:rPr>
          <w:rFonts w:ascii="Times New Roman" w:hAnsi="Times New Roman" w:cs="Times New Roman" w:eastAsia="Times New Roman" w:hint="default"/>
        </w:rPr>
        <w:t>10%</w:t>
      </w:r>
      <w:r>
        <w:rPr/>
        <w:t>以上，持续的研发投入为公司巩固和进一步提高技术竞争优势提供了有力的物质保障。 </w:t>
      </w:r>
      <w:r>
        <w:rPr>
          <w:spacing w:val="-2"/>
        </w:rPr>
        <w:t>报告期内，公司持续加强现有运维管理业务线的产品开发，提升性能与功能；做好飞信平台与产品、农信通平台与产品</w:t>
      </w:r>
    </w:p>
    <w:p>
      <w:pPr>
        <w:pStyle w:val="BodyText"/>
        <w:spacing w:line="496" w:lineRule="auto" w:before="74"/>
        <w:ind w:right="0"/>
        <w:jc w:val="left"/>
        <w:rPr>
          <w:rFonts w:ascii="宋体" w:hAnsi="宋体" w:cs="宋体" w:eastAsia="宋体" w:hint="default"/>
        </w:rPr>
      </w:pPr>
      <w:r>
        <w:rPr>
          <w:spacing w:val="-2"/>
        </w:rPr>
        <w:t>的开发；加大海外电信市场融合通信系列产品的开发力度；进一步推进在线教育、游戏产品、游戏运营平台等方面的开发与</w:t>
      </w:r>
      <w:r>
        <w:rPr>
          <w:spacing w:val="-66"/>
        </w:rPr>
        <w:t> </w:t>
      </w:r>
      <w:r>
        <w:rPr>
          <w:spacing w:val="-66"/>
        </w:rPr>
      </w:r>
      <w:r>
        <w:rPr/>
        <w:t>应用实践以及物联网技术的研发工作，这些产品研发与技术积累为公司持续发展打下良好基础。 </w:t>
      </w:r>
      <w:r>
        <w:rPr>
          <w:rFonts w:ascii="宋体" w:hAnsi="宋体" w:cs="宋体" w:eastAsia="宋体" w:hint="default"/>
          <w:b/>
          <w:bCs/>
        </w:rPr>
        <w:t>近三年公司研发投入金额及占营业收入的比例</w:t>
      </w:r>
      <w:r>
        <w:rPr>
          <w:rFonts w:ascii="宋体" w:hAnsi="宋体" w:cs="宋体" w:eastAsia="宋体" w:hint="default"/>
        </w:rPr>
      </w:r>
    </w:p>
    <w:tbl>
      <w:tblPr>
        <w:tblW w:w="0" w:type="auto"/>
        <w:jc w:val="left"/>
        <w:tblInd w:w="160" w:type="dxa"/>
        <w:tblLayout w:type="fixed"/>
        <w:tblCellMar>
          <w:top w:w="0" w:type="dxa"/>
          <w:left w:w="0" w:type="dxa"/>
          <w:bottom w:w="0" w:type="dxa"/>
          <w:right w:w="0" w:type="dxa"/>
        </w:tblCellMar>
        <w:tblLook w:val="01E0"/>
      </w:tblPr>
      <w:tblGrid>
        <w:gridCol w:w="4231"/>
        <w:gridCol w:w="1713"/>
        <w:gridCol w:w="1844"/>
        <w:gridCol w:w="177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260,550,982.56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214,224,497.59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191,502,706.13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z w:val="18"/>
              </w:rPr>
              <w:t>10.22%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2"/>
                <w:sz w:val="18"/>
              </w:rPr>
              <w:t>11.24%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z w:val="18"/>
              </w:rPr>
              <w:t>13.59%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92,639,859.49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28,589,405.59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4254"/>
        <w:gridCol w:w="1702"/>
        <w:gridCol w:w="1844"/>
        <w:gridCol w:w="1770"/>
      </w:tblGrid>
      <w:tr>
        <w:trPr>
          <w:trHeight w:val="414" w:hRule="exact"/>
        </w:trPr>
        <w:tc>
          <w:tcPr>
            <w:tcW w:w="425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35.56%</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13.35%</w:t>
            </w:r>
          </w:p>
        </w:tc>
        <w:tc>
          <w:tcPr>
            <w:tcW w:w="17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60" w:lineRule="auto" w:before="88"/>
        <w:ind w:left="113" w:right="103" w:firstLine="360"/>
        <w:jc w:val="left"/>
      </w:pPr>
      <w:r>
        <w:rPr/>
        <w:t>报告期内，公司研发投入的资本化项目分别为：神州泰岳综合业务管理平台软件</w:t>
      </w:r>
      <w:r>
        <w:rPr>
          <w:rFonts w:ascii="Times New Roman" w:hAnsi="Times New Roman" w:cs="Times New Roman" w:eastAsia="Times New Roman" w:hint="default"/>
        </w:rPr>
        <w:t>Ultra-</w:t>
      </w:r>
      <w:r>
        <w:rPr>
          <w:rFonts w:ascii="Times New Roman" w:hAnsi="Times New Roman" w:cs="Times New Roman" w:eastAsia="Times New Roman" w:hint="default"/>
        </w:rPr>
        <w:t>∑M</w:t>
      </w:r>
      <w:r>
        <w:rPr>
          <w:rFonts w:ascii="Times New Roman" w:hAnsi="Times New Roman" w:cs="Times New Roman" w:eastAsia="Times New Roman" w:hint="default"/>
          <w:spacing w:val="8"/>
        </w:rPr>
        <w:t> </w:t>
      </w:r>
      <w:r>
        <w:rPr>
          <w:rFonts w:ascii="Times New Roman" w:hAnsi="Times New Roman" w:cs="Times New Roman" w:eastAsia="Times New Roman" w:hint="default"/>
        </w:rPr>
        <w:t>6.0</w:t>
      </w:r>
      <w:r>
        <w:rPr/>
        <w:t>、神州泰岳基础开发平台 </w:t>
      </w:r>
      <w:r>
        <w:rPr>
          <w:rFonts w:ascii="Times New Roman" w:hAnsi="Times New Roman" w:cs="Times New Roman" w:eastAsia="Times New Roman" w:hint="default"/>
        </w:rPr>
        <w:t>Ultra-UFrame</w:t>
      </w:r>
      <w:r>
        <w:rPr/>
        <w:t>、运行维护服务管理平台软件</w:t>
      </w:r>
      <w:r>
        <w:rPr>
          <w:rFonts w:ascii="Times New Roman" w:hAnsi="Times New Roman" w:cs="Times New Roman" w:eastAsia="Times New Roman" w:hint="default"/>
        </w:rPr>
        <w:t>Ultra-ITSM </w:t>
      </w:r>
      <w:r>
        <w:rPr>
          <w:rFonts w:ascii="Times New Roman" w:hAnsi="Times New Roman" w:cs="Times New Roman" w:eastAsia="Times New Roman" w:hint="default"/>
          <w:spacing w:val="2"/>
        </w:rPr>
        <w:t>4.0</w:t>
      </w:r>
      <w:r>
        <w:rPr>
          <w:spacing w:val="2"/>
        </w:rPr>
        <w:t>、综合采集平台软件</w:t>
      </w:r>
      <w:r>
        <w:rPr>
          <w:rFonts w:ascii="Times New Roman" w:hAnsi="Times New Roman" w:cs="Times New Roman" w:eastAsia="Times New Roman" w:hint="default"/>
          <w:spacing w:val="2"/>
        </w:rPr>
        <w:t>Ultra-IDCP </w:t>
      </w:r>
      <w:r>
        <w:rPr>
          <w:rFonts w:ascii="Times New Roman" w:hAnsi="Times New Roman" w:cs="Times New Roman" w:eastAsia="Times New Roman" w:hint="default"/>
          <w:spacing w:val="3"/>
        </w:rPr>
        <w:t>5.0</w:t>
      </w:r>
      <w:r>
        <w:rPr>
          <w:spacing w:val="3"/>
        </w:rPr>
        <w:t>、新一代的大数据管理软件</w:t>
      </w:r>
      <w:r>
        <w:rPr>
          <w:spacing w:val="-43"/>
        </w:rPr>
        <w:t> </w:t>
      </w:r>
      <w:r>
        <w:rPr>
          <w:spacing w:val="-43"/>
        </w:rPr>
      </w:r>
      <w:r>
        <w:rPr>
          <w:rFonts w:ascii="Times New Roman" w:hAnsi="Times New Roman" w:cs="Times New Roman" w:eastAsia="Times New Roman" w:hint="default"/>
        </w:rPr>
        <w:t>Ultra-Cloudup_3.0.0</w:t>
      </w:r>
      <w:r>
        <w:rPr/>
        <w:t>、漫游宝、音视频通信引擎、基于移动互联网的云沟通平台、</w:t>
      </w:r>
      <w:r>
        <w:rPr>
          <w:rFonts w:ascii="Times New Roman" w:hAnsi="Times New Roman" w:cs="Times New Roman" w:eastAsia="Times New Roman" w:hint="default"/>
        </w:rPr>
        <w:t>rcs</w:t>
      </w:r>
      <w:r>
        <w:rPr/>
        <w:t>系统、游戏发行平台系统</w:t>
      </w:r>
      <w:r>
        <w:rPr>
          <w:rFonts w:ascii="Times New Roman" w:hAnsi="Times New Roman" w:cs="Times New Roman" w:eastAsia="Times New Roman" w:hint="default"/>
        </w:rPr>
        <w:t>uGame</w:t>
      </w:r>
      <w:r>
        <w:rPr/>
        <w:t>、刀塔</w:t>
      </w:r>
      <w:r>
        <w:rPr>
          <w:spacing w:val="-67"/>
        </w:rPr>
        <w:t> </w:t>
      </w:r>
      <w:r>
        <w:rPr>
          <w:spacing w:val="-2"/>
        </w:rPr>
        <w:t>帝国、天天大乱斗、小小三国、智慧线系列产品、面向餐饮行业物流服务云平台、在线教育平台、生活化即时通讯社交平台</w:t>
      </w:r>
      <w:r>
        <w:rPr>
          <w:spacing w:val="-68"/>
        </w:rPr>
        <w:t> </w:t>
      </w:r>
      <w:r>
        <w:rPr>
          <w:spacing w:val="-68"/>
        </w:rPr>
      </w:r>
      <w:r>
        <w:rPr/>
        <w:t>系统，这些项目有些具有广阔的市场前景，有些已具备了较为明确的客户、市场基础，对于增强公司在运维管理、互联网、</w:t>
      </w:r>
      <w:r>
        <w:rPr>
          <w:spacing w:val="-85"/>
        </w:rPr>
        <w:t> </w:t>
      </w:r>
      <w:r>
        <w:rPr>
          <w:spacing w:val="-85"/>
        </w:rPr>
      </w:r>
      <w:r>
        <w:rPr/>
        <w:t>物联网、游戏及在线教育业务的技术、产品能力、提升经营业绩将起到积极的作用。</w:t>
      </w:r>
    </w:p>
    <w:p>
      <w:pPr>
        <w:pStyle w:val="Heading4"/>
        <w:spacing w:line="240" w:lineRule="auto" w:before="107"/>
        <w:ind w:left="113" w:right="0"/>
        <w:jc w:val="left"/>
        <w:rPr>
          <w:b w:val="0"/>
          <w:bCs w:val="0"/>
        </w:rPr>
      </w:pPr>
      <w:r>
        <w:rPr>
          <w:rFonts w:ascii="Times New Roman" w:hAnsi="Times New Roman" w:cs="Times New Roman" w:eastAsia="Times New Roman" w:hint="default"/>
        </w:rPr>
        <w:t>7</w:t>
      </w:r>
      <w:r>
        <w:rPr/>
        <w:t>）现金流</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0" w:right="190"/>
        <w:jc w:val="right"/>
      </w:pPr>
      <w:r>
        <w:rPr/>
        <w:t>单位：元</w:t>
      </w:r>
    </w:p>
    <w:p>
      <w:pPr>
        <w:spacing w:line="240" w:lineRule="auto" w:before="1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533"/>
        <w:gridCol w:w="2138"/>
        <w:gridCol w:w="1985"/>
        <w:gridCol w:w="1913"/>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2,767,459,619.63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2,008,789,232.41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37.77%</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2,417,936,510.19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1,645,594,649.63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349,523,109.44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363,194,582.78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6,276,581.76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7,801,887.20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452,596,126.97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273,577,760.79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-446,319,545.21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-265,775,873.59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238,503,158.42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257,369,255.91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392,212,711.58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247,891,510.39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-153,709,553.16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9,477,745.52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-1,721.79%</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-251,586,576.04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106,564,263.86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-336.09%</w:t>
            </w:r>
            <w:r>
              <w:rPr>
                <w:rFonts w:ascii="Times New Roman"/>
                <w:sz w:val="18"/>
              </w:rPr>
            </w:r>
          </w:p>
        </w:tc>
      </w:tr>
    </w:tbl>
    <w:p>
      <w:pPr>
        <w:spacing w:line="240" w:lineRule="auto" w:before="6"/>
        <w:rPr>
          <w:rFonts w:ascii="宋体" w:hAnsi="宋体" w:cs="宋体" w:eastAsia="宋体" w:hint="default"/>
          <w:sz w:val="6"/>
          <w:szCs w:val="6"/>
        </w:rPr>
      </w:pPr>
    </w:p>
    <w:p>
      <w:pPr>
        <w:pStyle w:val="Heading4"/>
        <w:spacing w:line="240" w:lineRule="auto" w:before="44"/>
        <w:ind w:left="114" w:right="0"/>
        <w:jc w:val="left"/>
        <w:rPr>
          <w:b w:val="0"/>
          <w:bCs w:val="0"/>
        </w:rPr>
      </w:pPr>
      <w:r>
        <w:rPr/>
        <w:t>相关数据同比发生变动</w:t>
      </w:r>
      <w:r>
        <w:rPr>
          <w:spacing w:val="-49"/>
        </w:rPr>
        <w:t> </w:t>
      </w:r>
      <w:r>
        <w:rPr>
          <w:rFonts w:ascii="Times New Roman" w:hAnsi="Times New Roman" w:cs="Times New Roman" w:eastAsia="Times New Roman" w:hint="default"/>
        </w:rPr>
        <w:t>30%</w:t>
      </w:r>
      <w:r>
        <w:rPr/>
        <w:t>以上的原因说明</w:t>
      </w:r>
      <w:r>
        <w:rPr>
          <w:b w:val="0"/>
          <w:bCs w:val="0"/>
        </w:rPr>
      </w:r>
    </w:p>
    <w:p>
      <w:pPr>
        <w:spacing w:line="240" w:lineRule="auto" w:before="11"/>
        <w:rPr>
          <w:rFonts w:ascii="宋体" w:hAnsi="宋体" w:cs="宋体" w:eastAsia="宋体" w:hint="default"/>
          <w:b/>
          <w:bCs/>
          <w:sz w:val="19"/>
          <w:szCs w:val="19"/>
        </w:rPr>
      </w:pPr>
    </w:p>
    <w:p>
      <w:pPr>
        <w:pStyle w:val="BodyText"/>
        <w:spacing w:line="487" w:lineRule="auto"/>
        <w:ind w:left="474" w:right="0"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报告期内，公司经营活动现金流入较上期增长</w:t>
      </w:r>
      <w:r>
        <w:rPr>
          <w:rFonts w:ascii="Times New Roman" w:hAnsi="Times New Roman" w:cs="Times New Roman" w:eastAsia="Times New Roman" w:hint="default"/>
        </w:rPr>
        <w:t>37.77%</w:t>
      </w:r>
      <w:r>
        <w:rPr/>
        <w:t>，主要系本期营业收入较去年增长的同时，加强应收账款的管理</w:t>
      </w:r>
    </w:p>
    <w:p>
      <w:pPr>
        <w:pStyle w:val="BodyText"/>
        <w:spacing w:line="499" w:lineRule="auto" w:before="14"/>
        <w:ind w:left="473" w:right="618" w:hanging="360"/>
        <w:jc w:val="left"/>
      </w:pPr>
      <w:r>
        <w:rPr/>
        <w:t>及与客户的沟通，提高结算进度以及飞信业务回款所致； 经营活动现金流出较上期增长</w:t>
      </w:r>
      <w:r>
        <w:rPr>
          <w:rFonts w:ascii="Times New Roman" w:hAnsi="Times New Roman" w:cs="Times New Roman" w:eastAsia="Times New Roman" w:hint="default"/>
        </w:rPr>
        <w:t>46.93%</w:t>
      </w:r>
      <w:r>
        <w:rPr/>
        <w:t>，系公司收入规模扩大所伴随的第三方产品及服务的外购增大支付的现金； 投资活动现金净流出较上期增长</w:t>
      </w:r>
      <w:r>
        <w:rPr>
          <w:rFonts w:ascii="Times New Roman" w:hAnsi="Times New Roman" w:cs="Times New Roman" w:eastAsia="Times New Roman" w:hint="default"/>
        </w:rPr>
        <w:t>65.44%</w:t>
      </w:r>
      <w:r>
        <w:rPr/>
        <w:t>，主要系收购天津壳木、增资中清龙图等投资活动所致； 筹资活动流出较去年同期增长</w:t>
      </w:r>
      <w:r>
        <w:rPr>
          <w:rFonts w:ascii="Times New Roman" w:hAnsi="Times New Roman" w:cs="Times New Roman" w:eastAsia="Times New Roman" w:hint="default"/>
        </w:rPr>
        <w:t>58.22%</w:t>
      </w:r>
      <w:r>
        <w:rPr/>
        <w:t>，主要系偿还银行短期借款等所致。</w:t>
      </w:r>
    </w:p>
    <w:p>
      <w:pPr>
        <w:pStyle w:val="Heading4"/>
        <w:spacing w:line="240" w:lineRule="auto" w:before="44"/>
        <w:ind w:left="113" w:right="0"/>
        <w:jc w:val="left"/>
        <w:rPr>
          <w:b w:val="0"/>
          <w:bCs w:val="0"/>
        </w:rPr>
      </w:pPr>
      <w:r>
        <w:rPr/>
        <w:t>报告期内公司经营活动的现金流量与本年度净利润存在重大差异的原因说明</w:t>
      </w:r>
      <w:r>
        <w:rPr>
          <w:b w:val="0"/>
          <w:bCs w:val="0"/>
        </w:rPr>
      </w:r>
    </w:p>
    <w:p>
      <w:pPr>
        <w:spacing w:line="240" w:lineRule="auto" w:before="10"/>
        <w:rPr>
          <w:rFonts w:ascii="宋体" w:hAnsi="宋体" w:cs="宋体" w:eastAsia="宋体" w:hint="default"/>
          <w:b/>
          <w:bCs/>
          <w:sz w:val="20"/>
          <w:szCs w:val="20"/>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20" w:right="94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489" w:lineRule="auto" w:before="84"/>
        <w:ind w:left="153" w:right="7334"/>
        <w:jc w:val="left"/>
        <w:rPr>
          <w:b w:val="0"/>
          <w:bCs w:val="0"/>
        </w:rPr>
      </w:pPr>
      <w:r>
        <w:rPr>
          <w:rFonts w:ascii="Times New Roman" w:hAnsi="Times New Roman" w:cs="Times New Roman" w:eastAsia="Times New Roman" w:hint="default"/>
        </w:rPr>
        <w:t>8</w:t>
      </w:r>
      <w:r>
        <w:rPr/>
        <w:t>）公司主要供应商、客户情况</w:t>
      </w:r>
      <w:r>
        <w:rPr>
          <w:w w:val="99"/>
        </w:rPr>
        <w:t> </w:t>
      </w:r>
      <w:r>
        <w:rPr/>
        <w:t>公司主要销售客户情况</w:t>
      </w:r>
      <w:r>
        <w:rPr>
          <w:b w:val="0"/>
          <w:bCs w:val="0"/>
        </w:rPr>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1,138,132,178.77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45.20%</w:t>
            </w:r>
          </w:p>
        </w:tc>
      </w:tr>
    </w:tbl>
    <w:p>
      <w:pPr>
        <w:spacing w:line="240" w:lineRule="auto" w:before="1"/>
        <w:rPr>
          <w:rFonts w:ascii="宋体" w:hAnsi="宋体" w:cs="宋体" w:eastAsia="宋体" w:hint="default"/>
          <w:b/>
          <w:bCs/>
          <w:sz w:val="6"/>
          <w:szCs w:val="6"/>
        </w:rPr>
      </w:pPr>
    </w:p>
    <w:p>
      <w:pPr>
        <w:pStyle w:val="Heading4"/>
        <w:spacing w:line="240" w:lineRule="auto" w:before="44"/>
        <w:ind w:right="0"/>
        <w:jc w:val="left"/>
        <w:rPr>
          <w:b w:val="0"/>
          <w:bCs w:val="0"/>
        </w:rPr>
      </w:pPr>
      <w:r>
        <w:rPr/>
        <w:t>向单一客户销售比例超过</w:t>
      </w:r>
      <w:r>
        <w:rPr>
          <w:spacing w:val="-48"/>
        </w:rPr>
        <w:t> </w:t>
      </w:r>
      <w:r>
        <w:rPr>
          <w:rFonts w:ascii="Times New Roman" w:hAnsi="Times New Roman" w:cs="Times New Roman" w:eastAsia="Times New Roman" w:hint="default"/>
        </w:rPr>
        <w:t>30%</w:t>
      </w:r>
      <w:r>
        <w:rPr/>
        <w:t>的客户资料</w:t>
      </w:r>
      <w:r>
        <w:rPr>
          <w:b w:val="0"/>
          <w:bCs w:val="0"/>
        </w:rPr>
      </w:r>
    </w:p>
    <w:p>
      <w:pPr>
        <w:spacing w:line="240" w:lineRule="auto" w:before="10"/>
        <w:rPr>
          <w:rFonts w:ascii="宋体" w:hAnsi="宋体" w:cs="宋体" w:eastAsia="宋体" w:hint="default"/>
          <w:b/>
          <w:bCs/>
          <w:sz w:val="19"/>
          <w:szCs w:val="19"/>
        </w:rPr>
      </w:pPr>
    </w:p>
    <w:p>
      <w:pPr>
        <w:spacing w:line="489" w:lineRule="auto" w:before="0"/>
        <w:ind w:left="154" w:right="81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公司主要供应商情况</w:t>
      </w:r>
      <w:r>
        <w:rPr>
          <w:rFonts w:ascii="宋体" w:hAnsi="宋体" w:cs="宋体" w:eastAsia="宋体" w:hint="default"/>
          <w:sz w:val="18"/>
          <w:szCs w:val="18"/>
        </w:rPr>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713,904,679.00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50.29%</w:t>
            </w:r>
          </w:p>
        </w:tc>
      </w:tr>
    </w:tbl>
    <w:p>
      <w:pPr>
        <w:pStyle w:val="Heading4"/>
        <w:spacing w:line="240" w:lineRule="auto" w:before="46"/>
        <w:ind w:right="0"/>
        <w:jc w:val="left"/>
        <w:rPr>
          <w:b w:val="0"/>
          <w:bCs w:val="0"/>
        </w:rPr>
      </w:pPr>
      <w:r>
        <w:rPr/>
        <w:t>向单一供应商采购比例超过</w:t>
      </w:r>
      <w:r>
        <w:rPr>
          <w:spacing w:val="-48"/>
        </w:rPr>
        <w:t> </w:t>
      </w:r>
      <w:r>
        <w:rPr>
          <w:rFonts w:ascii="Times New Roman" w:hAnsi="Times New Roman" w:cs="Times New Roman" w:eastAsia="Times New Roman" w:hint="default"/>
        </w:rPr>
        <w:t>30%</w:t>
      </w:r>
      <w:r>
        <w:rPr/>
        <w:t>的客户资料</w:t>
      </w:r>
      <w:r>
        <w:rPr>
          <w:b w:val="0"/>
          <w:bCs w:val="0"/>
        </w:rPr>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94"/>
        <w:gridCol w:w="1984"/>
        <w:gridCol w:w="2070"/>
        <w:gridCol w:w="2820"/>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4" w:right="54" w:hanging="631"/>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采购金额或比例与以前年度相比发 生较大变化的说明</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北京实利通和科技发展有限公司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520,267,202.00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36.65%</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该供应商是公司系统集成购销业务 的主要供应商，增幅较大主要系该 等业务规模扩大所致。</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520,267,202.00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36.65%</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Heading4"/>
        <w:spacing w:line="489" w:lineRule="auto" w:before="44"/>
        <w:ind w:left="153" w:right="2392"/>
        <w:jc w:val="left"/>
        <w:rPr>
          <w:b w:val="0"/>
          <w:bCs w:val="0"/>
        </w:rPr>
      </w:pPr>
      <w:r>
        <w:rPr>
          <w:rFonts w:ascii="Times New Roman" w:hAnsi="Times New Roman" w:cs="Times New Roman" w:eastAsia="Times New Roman" w:hint="default"/>
        </w:rPr>
        <w:t>9</w:t>
      </w:r>
      <w:r>
        <w:rPr/>
        <w:t>）公司未来发展与规划延续至报告期的说明</w:t>
      </w:r>
      <w:r>
        <w:rPr>
          <w:w w:val="99"/>
        </w:rPr>
        <w:t> </w:t>
      </w:r>
      <w:r>
        <w:rPr>
          <w:w w:val="95"/>
        </w:rPr>
        <w:t>首次公开发行招股说明书中披露的未来发展与规划在本报告期的实施情况</w:t>
      </w:r>
      <w:r>
        <w:rPr>
          <w:b w:val="0"/>
          <w:bCs w:val="0"/>
        </w:rPr>
      </w:r>
    </w:p>
    <w:p>
      <w:pPr>
        <w:pStyle w:val="Heading4"/>
        <w:spacing w:line="489" w:lineRule="auto" w:before="86"/>
        <w:ind w:right="5093"/>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w w:val="95"/>
        </w:rPr>
        <w:t>前期披露的发展战略和经营计划在报告期内的进展情况</w:t>
      </w:r>
      <w:r>
        <w:rPr>
          <w:b w:val="0"/>
          <w:bCs w:val="0"/>
        </w:rPr>
      </w:r>
    </w:p>
    <w:p>
      <w:pPr>
        <w:spacing w:line="489" w:lineRule="auto" w:before="83"/>
        <w:ind w:left="153" w:right="433" w:firstLine="360"/>
        <w:jc w:val="left"/>
        <w:rPr>
          <w:rFonts w:ascii="宋体" w:hAnsi="宋体" w:cs="宋体" w:eastAsia="宋体" w:hint="default"/>
          <w:sz w:val="18"/>
          <w:szCs w:val="18"/>
        </w:rPr>
      </w:pPr>
      <w:r>
        <w:rPr>
          <w:rFonts w:ascii="宋体" w:hAnsi="宋体" w:cs="宋体" w:eastAsia="宋体" w:hint="default"/>
          <w:sz w:val="18"/>
          <w:szCs w:val="18"/>
        </w:rPr>
        <w:t>报告期内公司围绕发展战略和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年度经营计划，积极推进各项工作，具体情况详见本节之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公司实际经营业绩较曾公开披露过的本年度盈利预测低于或高于</w:t>
      </w:r>
      <w:r>
        <w:rPr>
          <w:rFonts w:ascii="宋体" w:hAnsi="宋体" w:cs="宋体" w:eastAsia="宋体" w:hint="default"/>
          <w:b/>
          <w:bCs/>
          <w:spacing w:val="-52"/>
          <w:sz w:val="18"/>
          <w:szCs w:val="18"/>
        </w:rPr>
        <w:t> </w:t>
      </w:r>
      <w:r>
        <w:rPr>
          <w:rFonts w:ascii="Times New Roman" w:hAnsi="Times New Roman" w:cs="Times New Roman" w:eastAsia="Times New Roman" w:hint="default"/>
          <w:b/>
          <w:bCs/>
          <w:sz w:val="18"/>
          <w:szCs w:val="18"/>
        </w:rPr>
        <w:t>20%</w:t>
      </w:r>
      <w:r>
        <w:rPr>
          <w:rFonts w:ascii="宋体" w:hAnsi="宋体" w:cs="宋体" w:eastAsia="宋体" w:hint="default"/>
          <w:b/>
          <w:bCs/>
          <w:sz w:val="18"/>
          <w:szCs w:val="18"/>
        </w:rPr>
        <w:t>以上的差异原因</w:t>
      </w:r>
      <w:r>
        <w:rPr>
          <w:rFonts w:ascii="宋体" w:hAnsi="宋体" w:cs="宋体" w:eastAsia="宋体" w:hint="default"/>
          <w:sz w:val="18"/>
          <w:szCs w:val="18"/>
        </w:rPr>
      </w:r>
    </w:p>
    <w:p>
      <w:pPr>
        <w:spacing w:before="5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2）主营业务分部报告" w:id="21"/>
      <w:bookmarkEnd w:id="21"/>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Heading4"/>
        <w:spacing w:line="240" w:lineRule="auto" w:before="44"/>
        <w:ind w:right="0"/>
        <w:jc w:val="left"/>
        <w:rPr>
          <w:b w:val="0"/>
          <w:bCs w:val="0"/>
        </w:rPr>
      </w:pPr>
      <w:r>
        <w:rPr>
          <w:rFonts w:ascii="Times New Roman" w:hAnsi="Times New Roman" w:cs="Times New Roman" w:eastAsia="Times New Roman" w:hint="default"/>
        </w:rPr>
        <w:t>1</w:t>
      </w:r>
      <w:r>
        <w:rPr/>
        <w:t>）报告期主营业务收入及主营业务利润的构成</w:t>
      </w:r>
      <w:r>
        <w:rPr>
          <w:b w:val="0"/>
          <w:bCs w:val="0"/>
        </w:rPr>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运维管理业务（解决方案）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886,505,749.17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646,932,479.66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运维管理业务（系统集成购销）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893,051,055.28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21,257,061.66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535,808,300.37</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432,200,031.00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132,273,867.38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7,229,658.09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83,647,876.34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76,935,785.17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2,531,286,848.54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1,184,555,015.58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161,175,789.06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143,821,206.90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1,006,790,860.26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854,477,284.89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1,231,046,331.83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179,026,865.70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132,273,867.38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7,229,658.09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2,531,286,848.54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1,184,555,015.58</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2,479,335,234.14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1,134,423,394.09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51,951,614.40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50,131,621.49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2,531,286,848.54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1,184,555,015.58</w:t>
            </w:r>
          </w:p>
        </w:tc>
      </w:tr>
    </w:tbl>
    <w:p>
      <w:pPr>
        <w:spacing w:line="240" w:lineRule="auto" w:before="6"/>
        <w:rPr>
          <w:rFonts w:ascii="宋体" w:hAnsi="宋体" w:cs="宋体" w:eastAsia="宋体" w:hint="default"/>
          <w:sz w:val="6"/>
          <w:szCs w:val="6"/>
        </w:rPr>
      </w:pPr>
    </w:p>
    <w:p>
      <w:pPr>
        <w:pStyle w:val="Heading4"/>
        <w:spacing w:line="240" w:lineRule="auto" w:before="44"/>
        <w:ind w:left="114" w:right="209"/>
        <w:jc w:val="left"/>
        <w:rPr>
          <w:b w:val="0"/>
          <w:bCs w:val="0"/>
        </w:rPr>
      </w:pPr>
      <w:r>
        <w:rPr>
          <w:rFonts w:ascii="Times New Roman" w:hAnsi="Times New Roman" w:cs="Times New Roman" w:eastAsia="Times New Roman" w:hint="default"/>
        </w:rPr>
        <w:t>2</w:t>
      </w:r>
      <w:r>
        <w:rPr/>
        <w:t>）占比</w:t>
      </w:r>
      <w:r>
        <w:rPr>
          <w:spacing w:val="-50"/>
        </w:rPr>
        <w:t> </w:t>
      </w:r>
      <w:r>
        <w:rPr>
          <w:rFonts w:ascii="Times New Roman" w:hAnsi="Times New Roman" w:cs="Times New Roman" w:eastAsia="Times New Roman" w:hint="default"/>
        </w:rPr>
        <w:t>10%</w:t>
      </w:r>
      <w:r>
        <w:rPr/>
        <w:t>以上的产品、行业或地区情况</w:t>
      </w:r>
      <w:r>
        <w:rPr>
          <w:b w:val="0"/>
          <w:bCs w:val="0"/>
        </w:rPr>
      </w:r>
    </w:p>
    <w:p>
      <w:pPr>
        <w:spacing w:line="240" w:lineRule="auto" w:before="11"/>
        <w:rPr>
          <w:rFonts w:ascii="宋体" w:hAnsi="宋体" w:cs="宋体" w:eastAsia="宋体" w:hint="default"/>
          <w:b/>
          <w:bCs/>
          <w:sz w:val="19"/>
          <w:szCs w:val="19"/>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9"/>
        <w:gridCol w:w="1559"/>
        <w:gridCol w:w="1419"/>
        <w:gridCol w:w="1070"/>
        <w:gridCol w:w="1367"/>
        <w:gridCol w:w="1367"/>
        <w:gridCol w:w="1372"/>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运维管理业务（解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决方案）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886,505,749.17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239,573,269.51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运维管理业务（系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统集成购销）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893,051,055.28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871,793,993.62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互联网运营业务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535,808,300.37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103,608,269.37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电子商务业务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132,273,867.38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125,044,209.29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手机游戏业务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83,647,876.34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6,712,091.17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2,531,286,848.54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1,346,731,832.96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软件产品开发与 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161,175,789.06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17,354,582.16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1,006,790,860.26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152,313,575.37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1,231,046,331.83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1,052,019,466.14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132,273,867.38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125,044,209.29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419"/>
        <w:gridCol w:w="1559"/>
        <w:gridCol w:w="1419"/>
        <w:gridCol w:w="1070"/>
        <w:gridCol w:w="1367"/>
        <w:gridCol w:w="1367"/>
        <w:gridCol w:w="1372"/>
      </w:tblGrid>
      <w:tr>
        <w:trPr>
          <w:trHeight w:val="414" w:hRule="exact"/>
        </w:trPr>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2,531,286,848.54</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1,346,731,832.96</w:t>
            </w:r>
          </w:p>
        </w:tc>
        <w:tc>
          <w:tcPr>
            <w:tcW w:w="10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46.80%</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34.06%</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68.94%</w:t>
            </w:r>
          </w:p>
        </w:tc>
        <w:tc>
          <w:tcPr>
            <w:tcW w:w="13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2,479,335,234.14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1,344,911,840.05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51,951,614.40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1,819,992.91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2,441.39%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28,852.88%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2,531,286,848.54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1,346,731,832.96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r>
    </w:tbl>
    <w:p>
      <w:pPr>
        <w:spacing w:line="240" w:lineRule="auto" w:before="6"/>
        <w:rPr>
          <w:rFonts w:ascii="宋体" w:hAnsi="宋体" w:cs="宋体" w:eastAsia="宋体" w:hint="default"/>
          <w:sz w:val="6"/>
          <w:szCs w:val="6"/>
        </w:rPr>
      </w:pPr>
    </w:p>
    <w:p>
      <w:pPr>
        <w:pStyle w:val="Heading4"/>
        <w:spacing w:line="240" w:lineRule="auto" w:before="44"/>
        <w:ind w:left="134" w:right="0"/>
        <w:jc w:val="left"/>
        <w:rPr>
          <w:b w:val="0"/>
          <w:bCs w:val="0"/>
        </w:rPr>
      </w:pPr>
      <w:r>
        <w:rPr>
          <w:rFonts w:ascii="Times New Roman" w:hAnsi="Times New Roman" w:cs="Times New Roman" w:eastAsia="Times New Roman" w:hint="default"/>
        </w:rPr>
        <w:t>3</w:t>
      </w:r>
      <w:r>
        <w:rPr/>
        <w:t>）公司主营业务数据统计口径在报告期发生调整的情况下，公司最近</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年按报告期末口径调整后的主营业务数据</w:t>
      </w:r>
      <w:r>
        <w:rPr>
          <w:b w:val="0"/>
          <w:bCs w:val="0"/>
        </w:rPr>
      </w:r>
    </w:p>
    <w:p>
      <w:pPr>
        <w:spacing w:line="240" w:lineRule="auto" w:before="11"/>
        <w:rPr>
          <w:rFonts w:ascii="宋体" w:hAnsi="宋体" w:cs="宋体" w:eastAsia="宋体" w:hint="default"/>
          <w:b/>
          <w:bCs/>
          <w:sz w:val="19"/>
          <w:szCs w:val="19"/>
        </w:rPr>
      </w:pPr>
    </w:p>
    <w:p>
      <w:pPr>
        <w:spacing w:before="0"/>
        <w:ind w:left="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Heading3"/>
        <w:spacing w:line="240" w:lineRule="auto"/>
        <w:ind w:left="134" w:right="0"/>
        <w:jc w:val="left"/>
        <w:rPr>
          <w:b w:val="0"/>
          <w:bCs w:val="0"/>
        </w:rPr>
      </w:pPr>
      <w:bookmarkStart w:name="（3）资产、负债状况分析" w:id="22"/>
      <w:bookmarkEnd w:id="22"/>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Heading4"/>
        <w:spacing w:line="240" w:lineRule="auto"/>
        <w:ind w:left="134"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13"/>
          <w:szCs w:val="1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776"/>
        <w:gridCol w:w="1940"/>
        <w:gridCol w:w="1308"/>
        <w:gridCol w:w="1862"/>
        <w:gridCol w:w="1306"/>
        <w:gridCol w:w="1490"/>
      </w:tblGrid>
      <w:tr>
        <w:trPr>
          <w:trHeight w:val="206" w:hRule="exact"/>
        </w:trPr>
        <w:tc>
          <w:tcPr>
            <w:tcW w:w="1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776" w:type="dxa"/>
            <w:vMerge w:val="restart"/>
            <w:tcBorders>
              <w:top w:val="nil" w:sz="6" w:space="0" w:color="auto"/>
              <w:left w:val="single" w:sz="4" w:space="0" w:color="000000"/>
              <w:right w:val="single" w:sz="4" w:space="0" w:color="000000"/>
            </w:tcBorders>
            <w:shd w:val="clear" w:color="auto" w:fill="D2D2D2"/>
          </w:tcPr>
          <w:p>
            <w:pPr/>
          </w:p>
        </w:tc>
        <w:tc>
          <w:tcPr>
            <w:tcW w:w="3249" w:type="dxa"/>
            <w:gridSpan w:val="2"/>
            <w:vMerge/>
            <w:tcBorders>
              <w:left w:val="single" w:sz="4" w:space="0" w:color="000000"/>
              <w:bottom w:val="single" w:sz="4" w:space="0" w:color="000000"/>
              <w:right w:val="single" w:sz="4" w:space="0" w:color="000000"/>
            </w:tcBorders>
            <w:shd w:val="clear" w:color="auto" w:fill="D2D2D2"/>
          </w:tcPr>
          <w:p>
            <w:pPr/>
          </w:p>
        </w:tc>
        <w:tc>
          <w:tcPr>
            <w:tcW w:w="3168" w:type="dxa"/>
            <w:gridSpan w:val="2"/>
            <w:vMerge/>
            <w:tcBorders>
              <w:left w:val="single" w:sz="4" w:space="0" w:color="000000"/>
              <w:bottom w:val="single" w:sz="4" w:space="0" w:color="000000"/>
              <w:right w:val="single" w:sz="4" w:space="0" w:color="000000"/>
            </w:tcBorders>
            <w:shd w:val="clear" w:color="auto" w:fill="D2D2D2"/>
          </w:tcPr>
          <w:p>
            <w:pPr/>
          </w:p>
        </w:tc>
        <w:tc>
          <w:tcPr>
            <w:tcW w:w="1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196" w:hRule="exact"/>
        </w:trPr>
        <w:tc>
          <w:tcPr>
            <w:tcW w:w="1776" w:type="dxa"/>
            <w:vMerge/>
            <w:tcBorders>
              <w:left w:val="single" w:sz="4" w:space="0" w:color="000000"/>
              <w:bottom w:val="nil" w:sz="6" w:space="0" w:color="auto"/>
              <w:right w:val="single" w:sz="4" w:space="0" w:color="000000"/>
            </w:tcBorders>
            <w:shd w:val="clear" w:color="auto" w:fill="D2D2D2"/>
          </w:tcPr>
          <w:p>
            <w:pP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90"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862"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1,234,637,722.26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1,483,831,768.20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-13.10%</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914,606,410.60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751,270,747.88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215,795,462.07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119,461,280.92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172,224,954.32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176,306,416.52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418,004,622.91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323,419,915.64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354,145,848.14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325,845,421.72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27,523,320.41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29,784,002.93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r>
    </w:tbl>
    <w:p>
      <w:pPr>
        <w:spacing w:line="240" w:lineRule="auto" w:before="6"/>
        <w:rPr>
          <w:rFonts w:ascii="宋体" w:hAnsi="宋体" w:cs="宋体" w:eastAsia="宋体" w:hint="default"/>
          <w:sz w:val="6"/>
          <w:szCs w:val="6"/>
        </w:rPr>
      </w:pPr>
    </w:p>
    <w:p>
      <w:pPr>
        <w:pStyle w:val="Heading4"/>
        <w:spacing w:line="240" w:lineRule="auto" w:before="44"/>
        <w:ind w:left="134"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5"/>
        <w:rPr>
          <w:rFonts w:ascii="宋体" w:hAnsi="宋体" w:cs="宋体" w:eastAsia="宋体" w:hint="default"/>
          <w:b/>
          <w:bCs/>
          <w:sz w:val="16"/>
          <w:szCs w:val="16"/>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572"/>
        <w:gridCol w:w="1582"/>
        <w:gridCol w:w="1853"/>
        <w:gridCol w:w="1668"/>
        <w:gridCol w:w="1822"/>
        <w:gridCol w:w="1187"/>
      </w:tblGrid>
      <w:tr>
        <w:trPr>
          <w:trHeight w:val="205" w:hRule="exact"/>
        </w:trPr>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192" w:hRule="exact"/>
        </w:trPr>
        <w:tc>
          <w:tcPr>
            <w:tcW w:w="1572" w:type="dxa"/>
            <w:vMerge w:val="restart"/>
            <w:tcBorders>
              <w:top w:val="nil" w:sz="6" w:space="0" w:color="auto"/>
              <w:left w:val="single" w:sz="4" w:space="0" w:color="000000"/>
              <w:right w:val="single" w:sz="4" w:space="0" w:color="000000"/>
            </w:tcBorders>
            <w:shd w:val="clear" w:color="auto" w:fill="D2D2D2"/>
          </w:tcPr>
          <w:p>
            <w:pPr/>
          </w:p>
        </w:tc>
        <w:tc>
          <w:tcPr>
            <w:tcW w:w="3435" w:type="dxa"/>
            <w:gridSpan w:val="2"/>
            <w:vMerge/>
            <w:tcBorders>
              <w:left w:val="single" w:sz="4" w:space="0" w:color="000000"/>
              <w:bottom w:val="single" w:sz="4" w:space="0" w:color="000000"/>
              <w:right w:val="single" w:sz="4" w:space="0" w:color="000000"/>
            </w:tcBorders>
            <w:shd w:val="clear" w:color="auto" w:fill="D2D2D2"/>
          </w:tcPr>
          <w:p>
            <w:pPr/>
          </w:p>
        </w:tc>
        <w:tc>
          <w:tcPr>
            <w:tcW w:w="3490" w:type="dxa"/>
            <w:gridSpan w:val="2"/>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right w:val="single" w:sz="4" w:space="0" w:color="000000"/>
            </w:tcBorders>
            <w:shd w:val="clear" w:color="auto" w:fill="D2D2D2"/>
          </w:tcPr>
          <w:p>
            <w:pPr/>
          </w:p>
        </w:tc>
      </w:tr>
      <w:tr>
        <w:trPr>
          <w:trHeight w:val="200" w:hRule="exact"/>
        </w:trPr>
        <w:tc>
          <w:tcPr>
            <w:tcW w:w="1572" w:type="dxa"/>
            <w:vMerge/>
            <w:tcBorders>
              <w:left w:val="single" w:sz="4" w:space="0" w:color="000000"/>
              <w:bottom w:val="nil" w:sz="6" w:space="0" w:color="auto"/>
              <w:right w:val="single" w:sz="4" w:space="0" w:color="000000"/>
            </w:tcBorders>
            <w:shd w:val="clear" w:color="auto" w:fill="D2D2D2"/>
          </w:tcPr>
          <w:p>
            <w:pP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87" w:type="dxa"/>
            <w:vMerge/>
            <w:tcBorders>
              <w:left w:val="single" w:sz="4" w:space="0" w:color="000000"/>
              <w:right w:val="single" w:sz="4" w:space="0" w:color="000000"/>
            </w:tcBorders>
            <w:shd w:val="clear" w:color="auto" w:fill="D2D2D2"/>
          </w:tcPr>
          <w:p>
            <w:pPr/>
          </w:p>
        </w:tc>
      </w:tr>
      <w:tr>
        <w:trPr>
          <w:trHeight w:val="206" w:hRule="exact"/>
        </w:trPr>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853"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c>
          <w:tcPr>
            <w:tcW w:w="1822"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66,072,061.00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143,691,761.00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0" w:right="0"/>
              <w:jc w:val="lef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82" w:type="dxa"/>
            <w:tcBorders>
              <w:top w:val="single" w:sz="4" w:space="0" w:color="000000"/>
              <w:left w:val="single" w:sz="13" w:space="0" w:color="D2D2D2"/>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Heading4"/>
        <w:spacing w:line="240" w:lineRule="auto" w:before="44"/>
        <w:ind w:left="134"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1"/>
        <w:rPr>
          <w:rFonts w:ascii="宋体" w:hAnsi="宋体" w:cs="宋体" w:eastAsia="宋体" w:hint="default"/>
          <w:b/>
          <w:bCs/>
          <w:sz w:val="19"/>
          <w:szCs w:val="19"/>
        </w:rPr>
      </w:pPr>
    </w:p>
    <w:p>
      <w:pPr>
        <w:spacing w:before="0"/>
        <w:ind w:left="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1985"/>
        <w:gridCol w:w="1277"/>
        <w:gridCol w:w="850"/>
        <w:gridCol w:w="992"/>
        <w:gridCol w:w="1000"/>
        <w:gridCol w:w="1155"/>
        <w:gridCol w:w="965"/>
        <w:gridCol w:w="1343"/>
      </w:tblGrid>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4" w:right="43"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6"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851" w:footer="1226" w:top="1380" w:bottom="1420" w:left="1000" w:right="980"/>
        </w:sectPr>
      </w:pPr>
    </w:p>
    <w:p>
      <w:pPr>
        <w:spacing w:line="240" w:lineRule="auto" w:before="12"/>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962"/>
        <w:gridCol w:w="1288"/>
        <w:gridCol w:w="850"/>
        <w:gridCol w:w="992"/>
        <w:gridCol w:w="1000"/>
        <w:gridCol w:w="1155"/>
        <w:gridCol w:w="965"/>
        <w:gridCol w:w="1343"/>
      </w:tblGrid>
      <w:tr>
        <w:trPr>
          <w:trHeight w:val="409" w:hRule="exact"/>
        </w:trPr>
        <w:tc>
          <w:tcPr>
            <w:tcW w:w="9555" w:type="dxa"/>
            <w:gridSpan w:val="8"/>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5"/>
                <w:sz w:val="18"/>
                <w:szCs w:val="18"/>
              </w:rPr>
              <w:t>融资产（不含衍生金融资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1,004,205.37</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1,004,205.37</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Heading4"/>
        <w:spacing w:line="240" w:lineRule="auto" w:before="44"/>
        <w:ind w:left="114" w:right="0"/>
        <w:jc w:val="left"/>
        <w:rPr>
          <w:b w:val="0"/>
          <w:bCs w:val="0"/>
        </w:rPr>
      </w:pPr>
      <w:r>
        <w:rPr/>
        <w:t>报告期内公司主要资产计量属性是否发生重大变化</w:t>
      </w:r>
      <w:r>
        <w:rPr>
          <w:b w:val="0"/>
          <w:bCs w:val="0"/>
        </w:rPr>
      </w:r>
    </w:p>
    <w:p>
      <w:pPr>
        <w:spacing w:line="240" w:lineRule="auto" w:before="12"/>
        <w:rPr>
          <w:rFonts w:ascii="宋体" w:hAnsi="宋体" w:cs="宋体" w:eastAsia="宋体" w:hint="default"/>
          <w:b/>
          <w:bCs/>
          <w:sz w:val="20"/>
          <w:szCs w:val="20"/>
        </w:rPr>
      </w:pPr>
    </w:p>
    <w:p>
      <w:pPr>
        <w:spacing w:before="0"/>
        <w:ind w:left="1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3" w:right="0"/>
        <w:jc w:val="left"/>
        <w:rPr>
          <w:b w:val="0"/>
          <w:bCs w:val="0"/>
        </w:rPr>
      </w:pPr>
      <w:bookmarkStart w:name="（4）公司竞争能力重大变化分析" w:id="23"/>
      <w:bookmarkEnd w:id="23"/>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left="113" w:right="101" w:firstLine="360"/>
        <w:jc w:val="both"/>
      </w:pPr>
      <w:r>
        <w:rPr/>
        <w:t>公司的核心竞争力主要集中体现于市场品牌、客户资源、行业经验、技术与产品、人才团队、服务等方面。报告期内， 公司的上述竞争优势都不同程度地得到了提升。</w:t>
      </w:r>
    </w:p>
    <w:p>
      <w:pPr>
        <w:spacing w:line="477" w:lineRule="auto" w:before="54"/>
        <w:ind w:left="5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）市场品牌与客户资源优势</w:t>
      </w:r>
      <w:r>
        <w:rPr>
          <w:rFonts w:ascii="宋体" w:hAnsi="宋体" w:cs="宋体" w:eastAsia="宋体" w:hint="default"/>
          <w:b/>
          <w:bCs/>
          <w:w w:val="99"/>
          <w:sz w:val="18"/>
          <w:szCs w:val="18"/>
        </w:rPr>
        <w:t> </w:t>
      </w:r>
      <w:r>
        <w:rPr>
          <w:rFonts w:ascii="宋体" w:hAnsi="宋体" w:cs="宋体" w:eastAsia="宋体" w:hint="default"/>
          <w:sz w:val="18"/>
          <w:szCs w:val="18"/>
        </w:rPr>
        <w:t>公司在多年的业务发展过程中积累了一批以电信行业为主，兼顾金融、政府、能源、交通等行业中的大中型企业以及</w:t>
      </w:r>
    </w:p>
    <w:p>
      <w:pPr>
        <w:pStyle w:val="BodyText"/>
        <w:spacing w:line="477" w:lineRule="auto" w:before="54"/>
        <w:ind w:left="114" w:right="0"/>
        <w:jc w:val="left"/>
      </w:pPr>
      <w:r>
        <w:rPr/>
        <w:t>政府机构的优质客户资源，主要包括</w:t>
      </w:r>
      <w:r>
        <w:rPr>
          <w:rFonts w:ascii="宋体" w:hAnsi="宋体" w:cs="宋体" w:eastAsia="宋体" w:hint="default"/>
        </w:rPr>
        <w:t>:</w:t>
      </w:r>
      <w:r>
        <w:rPr/>
        <w:t>中国移动、中国联通、中国电信、人民银行、建设银行、光大银行、民生银行、中国</w:t>
      </w:r>
      <w:r>
        <w:rPr>
          <w:spacing w:val="-83"/>
        </w:rPr>
        <w:t> </w:t>
      </w:r>
      <w:r>
        <w:rPr>
          <w:spacing w:val="-83"/>
        </w:rPr>
      </w:r>
      <w:r>
        <w:rPr>
          <w:spacing w:val="-2"/>
        </w:rPr>
        <w:t>人寿、新华人寿、上海证券交易所、中国证券登记结算公司、中国海洋石油总公司、国家电网公司、南方电网公司、中国华</w:t>
      </w:r>
      <w:r>
        <w:rPr>
          <w:spacing w:val="-72"/>
        </w:rPr>
        <w:t> </w:t>
      </w:r>
      <w:r>
        <w:rPr>
          <w:spacing w:val="-72"/>
        </w:rPr>
      </w:r>
      <w:r>
        <w:rPr>
          <w:spacing w:val="-5"/>
        </w:rPr>
        <w:t>能、国务院办公厅、全国政协办公厅、国家地震局、国家知识专利局、北京市人民政府、新华通讯社、中央人民广播电台等。</w:t>
      </w:r>
      <w:r>
        <w:rPr>
          <w:spacing w:val="-81"/>
        </w:rPr>
        <w:t> </w:t>
      </w:r>
      <w:r>
        <w:rPr>
          <w:spacing w:val="-81"/>
        </w:rPr>
      </w:r>
      <w:r>
        <w:rPr>
          <w:spacing w:val="-4"/>
        </w:rPr>
        <w:t>公司的产品和服务在上述客户中得到了广泛应用与高度认同，在业内留下了良好的口碑。良好的市场品牌和优质的客户资源，</w:t>
      </w:r>
      <w:r>
        <w:rPr>
          <w:spacing w:val="-43"/>
        </w:rPr>
        <w:t> </w:t>
      </w:r>
      <w:r>
        <w:rPr>
          <w:spacing w:val="-43"/>
        </w:rPr>
      </w:r>
      <w:r>
        <w:rPr/>
        <w:t>为公司进一步拓展新的市场空间、保持稳定的增长奠定了坚实的基础。</w:t>
      </w:r>
    </w:p>
    <w:p>
      <w:pPr>
        <w:pStyle w:val="BodyText"/>
        <w:spacing w:line="477" w:lineRule="auto" w:before="54"/>
        <w:ind w:left="113" w:right="189" w:firstLine="420"/>
        <w:jc w:val="both"/>
      </w:pPr>
      <w:r>
        <w:rPr>
          <w:rFonts w:ascii="宋体" w:hAnsi="宋体" w:cs="宋体" w:eastAsia="宋体" w:hint="default"/>
          <w:spacing w:val="-3"/>
        </w:rPr>
        <w:t>2007</w:t>
      </w:r>
      <w:r>
        <w:rPr>
          <w:spacing w:val="-3"/>
        </w:rPr>
        <w:t>年，公司被北京市人民政府、科学技术部和中国科学院联合认定为“中关村科技园区创新型试点企业”；</w:t>
      </w:r>
      <w:r>
        <w:rPr>
          <w:rFonts w:ascii="宋体" w:hAnsi="宋体" w:cs="宋体" w:eastAsia="宋体" w:hint="default"/>
          <w:spacing w:val="-3"/>
        </w:rPr>
        <w:t>2008</w:t>
      </w:r>
      <w:r>
        <w:rPr>
          <w:spacing w:val="-3"/>
        </w:rPr>
        <w:t>年，</w:t>
      </w:r>
      <w:r>
        <w:rPr/>
        <w:t> 被中国中小商业企业协会、中国中小企业家年会组委会评为“2008中国科技创新型中小企业</w:t>
      </w:r>
      <w:r>
        <w:rPr>
          <w:rFonts w:ascii="宋体" w:hAnsi="宋体" w:cs="宋体" w:eastAsia="宋体" w:hint="default"/>
        </w:rPr>
        <w:t>100</w:t>
      </w:r>
      <w:r>
        <w:rPr/>
        <w:t>强”；</w:t>
      </w:r>
      <w:r>
        <w:rPr>
          <w:spacing w:val="-48"/>
        </w:rPr>
        <w:t> </w:t>
      </w:r>
      <w:r>
        <w:rPr>
          <w:rFonts w:ascii="宋体" w:hAnsi="宋体" w:cs="宋体" w:eastAsia="宋体" w:hint="default"/>
          <w:spacing w:val="-3"/>
        </w:rPr>
        <w:t>2009</w:t>
      </w:r>
      <w:r>
        <w:rPr>
          <w:spacing w:val="-3"/>
        </w:rPr>
        <w:t>年，被中国软件</w:t>
      </w:r>
      <w:r>
        <w:rPr/>
        <w:t> </w:t>
      </w:r>
      <w:r>
        <w:rPr>
          <w:spacing w:val="-2"/>
        </w:rPr>
        <w:t>行业协会评为“2009中国软件产业脊梁企业”；</w:t>
      </w:r>
      <w:r>
        <w:rPr>
          <w:rFonts w:ascii="宋体" w:hAnsi="宋体" w:cs="宋体" w:eastAsia="宋体" w:hint="default"/>
          <w:spacing w:val="-2"/>
        </w:rPr>
        <w:t>2011</w:t>
      </w:r>
      <w:r>
        <w:rPr>
          <w:spacing w:val="-2"/>
        </w:rPr>
        <w:t>年，公司被国家发展改革委、科技部、财政部、海关总署、国家税务总</w:t>
      </w:r>
      <w:r>
        <w:rPr>
          <w:spacing w:val="-59"/>
        </w:rPr>
        <w:t> </w:t>
      </w:r>
      <w:r>
        <w:rPr>
          <w:spacing w:val="-59"/>
        </w:rPr>
      </w:r>
      <w:r>
        <w:rPr>
          <w:spacing w:val="-3"/>
        </w:rPr>
        <w:t>局公司评为“国家企业技术中心”；荣获了中国软件行业协会评选的“2011中国软件和信息技术服务业最有价值品牌”；北</w:t>
      </w:r>
      <w:r>
        <w:rPr>
          <w:spacing w:val="-46"/>
        </w:rPr>
        <w:t> </w:t>
      </w:r>
      <w:r>
        <w:rPr>
          <w:spacing w:val="-46"/>
        </w:rPr>
      </w:r>
      <w:r>
        <w:rPr>
          <w:spacing w:val="-2"/>
        </w:rPr>
        <w:t>京中关村国际孵化软件协会评选的“2010年度中关村国家自主创新示范区核心区软件行业创新示范百强企业”；赛迪网评选</w:t>
      </w:r>
    </w:p>
    <w:p>
      <w:pPr>
        <w:pStyle w:val="BodyText"/>
        <w:spacing w:line="240" w:lineRule="auto" w:before="54"/>
        <w:ind w:left="113" w:right="0"/>
        <w:jc w:val="left"/>
      </w:pPr>
      <w:r>
        <w:rPr/>
        <w:t>的“2011年创新</w:t>
      </w:r>
      <w:r>
        <w:rPr>
          <w:rFonts w:ascii="宋体" w:hAnsi="宋体" w:cs="宋体" w:eastAsia="宋体" w:hint="default"/>
        </w:rPr>
        <w:t>IT</w:t>
      </w:r>
      <w:r>
        <w:rPr/>
        <w:t>领军企业奖”；中国企业联合会评选的“2010</w:t>
      </w:r>
      <w:r>
        <w:rPr>
          <w:rFonts w:ascii="宋体" w:hAnsi="宋体" w:cs="宋体" w:eastAsia="宋体" w:hint="default"/>
        </w:rPr>
        <w:t>-2011</w:t>
      </w:r>
      <w:r>
        <w:rPr/>
        <w:t>年度全国企业文化优秀成果”；工业和信息化部评选</w:t>
      </w:r>
    </w:p>
    <w:p>
      <w:pPr>
        <w:spacing w:after="0" w:line="240" w:lineRule="auto"/>
        <w:jc w:val="left"/>
        <w:sectPr>
          <w:pgSz w:w="11910" w:h="16840"/>
          <w:pgMar w:header="851" w:footer="1226" w:top="1380" w:bottom="1420" w:left="102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54" w:right="93"/>
        <w:jc w:val="left"/>
      </w:pPr>
      <w:r>
        <w:rPr/>
        <w:t>的“2011中国软件业务收入前百家企业”；通信产业报社评选的“中国通信设备技术供应商</w:t>
      </w:r>
      <w:r>
        <w:rPr>
          <w:rFonts w:ascii="宋体" w:hAnsi="宋体" w:cs="宋体" w:eastAsia="宋体" w:hint="default"/>
        </w:rPr>
        <w:t>50</w:t>
      </w:r>
      <w:r>
        <w:rPr/>
        <w:t>强（</w:t>
      </w:r>
      <w:r>
        <w:rPr>
          <w:rFonts w:ascii="宋体" w:hAnsi="宋体" w:cs="宋体" w:eastAsia="宋体" w:hint="default"/>
        </w:rPr>
        <w:t>2010-2011</w:t>
      </w:r>
      <w:r>
        <w:rPr/>
        <w:t>）”。</w:t>
      </w:r>
    </w:p>
    <w:p>
      <w:pPr>
        <w:spacing w:line="240" w:lineRule="auto" w:before="10"/>
        <w:rPr>
          <w:rFonts w:ascii="宋体" w:hAnsi="宋体" w:cs="宋体" w:eastAsia="宋体" w:hint="default"/>
          <w:sz w:val="17"/>
          <w:szCs w:val="17"/>
        </w:rPr>
      </w:pPr>
    </w:p>
    <w:p>
      <w:pPr>
        <w:spacing w:line="477" w:lineRule="auto" w:before="0"/>
        <w:ind w:left="573" w:right="9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）运维管理行业经验优势及互联网开发及运营实践经验</w:t>
      </w:r>
      <w:r>
        <w:rPr>
          <w:rFonts w:ascii="宋体" w:hAnsi="宋体" w:cs="宋体" w:eastAsia="宋体" w:hint="default"/>
          <w:b/>
          <w:bCs/>
          <w:w w:val="99"/>
          <w:sz w:val="18"/>
          <w:szCs w:val="18"/>
        </w:rPr>
        <w:t> </w:t>
      </w:r>
      <w:r>
        <w:rPr>
          <w:rFonts w:ascii="宋体" w:hAnsi="宋体" w:cs="宋体" w:eastAsia="宋体" w:hint="default"/>
          <w:sz w:val="18"/>
          <w:szCs w:val="18"/>
        </w:rPr>
        <w:t>公司拥有丰富的电信、金融、能源等行业和政府机构的运维管理项目实施经验，尤其是在线关键业务</w:t>
      </w:r>
      <w:r>
        <w:rPr>
          <w:rFonts w:ascii="宋体" w:hAnsi="宋体" w:cs="宋体" w:eastAsia="宋体" w:hint="default"/>
          <w:sz w:val="18"/>
          <w:szCs w:val="18"/>
        </w:rPr>
        <w:t>IT</w:t>
      </w:r>
      <w:r>
        <w:rPr>
          <w:rFonts w:ascii="宋体" w:hAnsi="宋体" w:cs="宋体" w:eastAsia="宋体" w:hint="default"/>
          <w:sz w:val="18"/>
          <w:szCs w:val="18"/>
        </w:rPr>
        <w:t>运维管理的经</w:t>
      </w:r>
    </w:p>
    <w:p>
      <w:pPr>
        <w:pStyle w:val="BodyText"/>
        <w:spacing w:line="477" w:lineRule="auto" w:before="54"/>
        <w:ind w:right="192"/>
        <w:jc w:val="both"/>
      </w:pPr>
      <w:r>
        <w:rPr>
          <w:spacing w:val="-5"/>
        </w:rPr>
        <w:t>验和方法论。作为电信运营商的重要合作伙伴，公司积累了丰富的电信行业项目经验，多次参与电信运营商技术规范的制定，</w:t>
      </w:r>
      <w:r>
        <w:rPr>
          <w:spacing w:val="-79"/>
        </w:rPr>
        <w:t> </w:t>
      </w:r>
      <w:r>
        <w:rPr>
          <w:spacing w:val="-79"/>
        </w:rPr>
      </w:r>
      <w:r>
        <w:rPr>
          <w:spacing w:val="-2"/>
        </w:rPr>
        <w:t>通过对电信运营商的运维需求进行深入分析和梳理，积淀了丰富的实践经验并将其向其他行业推广，从而为其他行业的客户</w:t>
      </w:r>
      <w:r>
        <w:rPr>
          <w:spacing w:val="-64"/>
        </w:rPr>
        <w:t> </w:t>
      </w:r>
      <w:r>
        <w:rPr>
          <w:spacing w:val="-64"/>
        </w:rPr>
      </w:r>
      <w:r>
        <w:rPr/>
        <w:t>提供成熟优质的产品和服务。</w:t>
      </w:r>
    </w:p>
    <w:p>
      <w:pPr>
        <w:pStyle w:val="BodyText"/>
        <w:spacing w:line="477" w:lineRule="auto" w:before="54"/>
        <w:ind w:right="192" w:firstLine="420"/>
        <w:jc w:val="both"/>
      </w:pPr>
      <w:r>
        <w:rPr/>
        <w:t>公司在飞信业务、农信通业务的开发运营实践中，形成了强大的互联网产品开发能力和运营能力，在技术、产品、团 </w:t>
      </w:r>
      <w:r>
        <w:rPr>
          <w:spacing w:val="-2"/>
        </w:rPr>
        <w:t>队、运营经验、对互联网市场的理解等诸多方面均有着深厚的积累，这些为公司在互联网运营服务领域的进一步发展打下了</w:t>
      </w:r>
      <w:r>
        <w:rPr>
          <w:spacing w:val="-65"/>
        </w:rPr>
        <w:t> </w:t>
      </w:r>
      <w:r>
        <w:rPr>
          <w:spacing w:val="-65"/>
        </w:rPr>
      </w:r>
      <w:r>
        <w:rPr/>
        <w:t>坚实基础，有利于公司拓展面向国内外大型组织机构的互联网运营业务。</w:t>
      </w:r>
    </w:p>
    <w:p>
      <w:pPr>
        <w:pStyle w:val="BodyText"/>
        <w:spacing w:line="477" w:lineRule="auto" w:before="54"/>
        <w:ind w:left="573" w:right="175"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）技术与产品优势</w:t>
      </w:r>
      <w:r>
        <w:rPr>
          <w:rFonts w:ascii="宋体" w:hAnsi="宋体" w:cs="宋体" w:eastAsia="宋体" w:hint="default"/>
          <w:b/>
          <w:bCs/>
          <w:w w:val="99"/>
        </w:rPr>
        <w:t> </w:t>
      </w:r>
      <w:r>
        <w:rPr>
          <w:rFonts w:ascii="宋体" w:hAnsi="宋体" w:cs="宋体" w:eastAsia="宋体" w:hint="default"/>
          <w:spacing w:val="-1"/>
        </w:rPr>
        <w:t>A</w:t>
      </w:r>
      <w:r>
        <w:rPr>
          <w:spacing w:val="-1"/>
        </w:rPr>
        <w:t>、公司既有强大的项目实施团队也有专业产品研发团队，基于从用户或市场中不断提炼出的需求，通过实施和研发部</w:t>
      </w:r>
    </w:p>
    <w:p>
      <w:pPr>
        <w:pStyle w:val="BodyText"/>
        <w:spacing w:line="477" w:lineRule="auto" w:before="54"/>
        <w:ind w:left="573" w:right="93" w:hanging="420"/>
        <w:jc w:val="left"/>
      </w:pPr>
      <w:r>
        <w:rPr/>
        <w:t>门的快速互动，形成了良性的技术和产品水平不断提升和创新的机制。 </w:t>
      </w:r>
      <w:r>
        <w:rPr>
          <w:rFonts w:ascii="宋体" w:hAnsi="宋体" w:cs="宋体" w:eastAsia="宋体" w:hint="default"/>
          <w:spacing w:val="-2"/>
        </w:rPr>
        <w:t>B</w:t>
      </w:r>
      <w:r>
        <w:rPr>
          <w:spacing w:val="-2"/>
        </w:rPr>
        <w:t>、公司长期紧密跟踪运维管理的技术发展趋势，深度挖掘客户对</w:t>
      </w:r>
      <w:r>
        <w:rPr>
          <w:rFonts w:ascii="宋体" w:hAnsi="宋体" w:cs="宋体" w:eastAsia="宋体" w:hint="default"/>
          <w:spacing w:val="-2"/>
        </w:rPr>
        <w:t>IT</w:t>
      </w:r>
      <w:r>
        <w:rPr>
          <w:spacing w:val="-2"/>
        </w:rPr>
        <w:t>系统（尤其在线关键业务</w:t>
      </w:r>
      <w:r>
        <w:rPr>
          <w:rFonts w:ascii="宋体" w:hAnsi="宋体" w:cs="宋体" w:eastAsia="宋体" w:hint="default"/>
          <w:spacing w:val="-2"/>
        </w:rPr>
        <w:t>IT</w:t>
      </w:r>
      <w:r>
        <w:rPr>
          <w:spacing w:val="-2"/>
        </w:rPr>
        <w:t>应用系统）的运维管理</w:t>
      </w:r>
    </w:p>
    <w:p>
      <w:pPr>
        <w:pStyle w:val="BodyText"/>
        <w:spacing w:line="477" w:lineRule="auto" w:before="54"/>
        <w:ind w:right="93"/>
        <w:jc w:val="left"/>
      </w:pPr>
      <w:r>
        <w:rPr/>
        <w:t>需求，形成了一系列独特的软件产品和方法论。技术水平在国内处于领先地位，即使与</w:t>
      </w:r>
      <w:r>
        <w:rPr>
          <w:rFonts w:ascii="宋体" w:hAnsi="宋体" w:cs="宋体" w:eastAsia="宋体" w:hint="default"/>
        </w:rPr>
        <w:t>IBM</w:t>
      </w:r>
      <w:r>
        <w:rPr/>
        <w:t>、</w:t>
      </w:r>
      <w:r>
        <w:rPr>
          <w:rFonts w:ascii="宋体" w:hAnsi="宋体" w:cs="宋体" w:eastAsia="宋体" w:hint="default"/>
        </w:rPr>
        <w:t>HP</w:t>
      </w:r>
      <w:r>
        <w:rPr/>
        <w:t>、</w:t>
      </w:r>
      <w:r>
        <w:rPr>
          <w:rFonts w:ascii="宋体" w:hAnsi="宋体" w:cs="宋体" w:eastAsia="宋体" w:hint="default"/>
        </w:rPr>
        <w:t>BMC</w:t>
      </w:r>
      <w:r>
        <w:rPr/>
        <w:t>、</w:t>
      </w:r>
      <w:r>
        <w:rPr>
          <w:rFonts w:ascii="宋体" w:hAnsi="宋体" w:cs="宋体" w:eastAsia="宋体" w:hint="default"/>
        </w:rPr>
        <w:t>CA</w:t>
      </w:r>
      <w:r>
        <w:rPr/>
        <w:t>等国际厂商相比，</w:t>
      </w:r>
      <w:r>
        <w:rPr>
          <w:spacing w:val="-82"/>
        </w:rPr>
        <w:t> </w:t>
      </w:r>
      <w:r>
        <w:rPr>
          <w:spacing w:val="-82"/>
        </w:rPr>
      </w:r>
      <w:r>
        <w:rPr>
          <w:spacing w:val="-2"/>
        </w:rPr>
        <w:t>在可靠性、丰富性、独特性和创新性等方面也形成了有力竞争并局部有所超越，公司所提供的解决方案符合国内外的相关标</w:t>
      </w:r>
      <w:r>
        <w:rPr>
          <w:spacing w:val="-66"/>
        </w:rPr>
        <w:t> </w:t>
      </w:r>
      <w:r>
        <w:rPr>
          <w:spacing w:val="-66"/>
        </w:rPr>
      </w:r>
      <w:r>
        <w:rPr>
          <w:spacing w:val="-2"/>
        </w:rPr>
        <w:t>准与规范，在理论基础和系统架构上均达到国际一流水平；与国内同行业厂商比较，公司的产品在上述各方面均具有一定的</w:t>
      </w:r>
      <w:r>
        <w:rPr>
          <w:spacing w:val="-66"/>
        </w:rPr>
        <w:t> </w:t>
      </w:r>
      <w:r>
        <w:rPr>
          <w:spacing w:val="-66"/>
        </w:rPr>
      </w:r>
      <w:r>
        <w:rPr/>
        <w:t>领先优势。</w:t>
      </w:r>
    </w:p>
    <w:p>
      <w:pPr>
        <w:pStyle w:val="BodyText"/>
        <w:spacing w:line="477" w:lineRule="auto" w:before="54"/>
        <w:ind w:right="191" w:firstLine="422"/>
        <w:jc w:val="both"/>
      </w:pPr>
      <w:r>
        <w:rPr>
          <w:rFonts w:ascii="宋体" w:hAnsi="宋体" w:cs="宋体" w:eastAsia="宋体" w:hint="default"/>
          <w:spacing w:val="-2"/>
        </w:rPr>
        <w:t>C</w:t>
      </w:r>
      <w:r>
        <w:rPr>
          <w:spacing w:val="-2"/>
        </w:rPr>
        <w:t>、公司及新媒传信连续多年均被认定为国家规划布局内重点软件企业，同时公司具备计算机系统集成一级资质、国家</w:t>
      </w:r>
      <w:r>
        <w:rPr/>
        <w:t> </w:t>
      </w:r>
      <w:r>
        <w:rPr>
          <w:spacing w:val="6"/>
        </w:rPr>
        <w:t>信息安全认证服务二级资质、</w:t>
      </w:r>
      <w:r>
        <w:rPr>
          <w:rFonts w:ascii="宋体" w:hAnsi="宋体" w:cs="宋体" w:eastAsia="宋体" w:hint="default"/>
          <w:spacing w:val="6"/>
        </w:rPr>
        <w:t>ISO20000 </w:t>
      </w:r>
      <w:r>
        <w:rPr>
          <w:rFonts w:ascii="宋体" w:hAnsi="宋体" w:cs="宋体" w:eastAsia="宋体" w:hint="default"/>
          <w:spacing w:val="8"/>
        </w:rPr>
        <w:t>IT</w:t>
      </w:r>
      <w:r>
        <w:rPr>
          <w:spacing w:val="8"/>
        </w:rPr>
        <w:t>服务管理国际标准认证、软件能力成熟度模型集成（</w:t>
      </w:r>
      <w:r>
        <w:rPr>
          <w:rFonts w:ascii="宋体" w:hAnsi="宋体" w:cs="宋体" w:eastAsia="宋体" w:hint="default"/>
          <w:spacing w:val="8"/>
        </w:rPr>
        <w:t>CMMI</w:t>
      </w:r>
      <w:r>
        <w:rPr>
          <w:rFonts w:ascii="宋体" w:hAnsi="宋体" w:cs="宋体" w:eastAsia="宋体" w:hint="default"/>
          <w:spacing w:val="15"/>
        </w:rPr>
        <w:t> </w:t>
      </w:r>
      <w:r>
        <w:rPr>
          <w:rFonts w:ascii="宋体" w:hAnsi="宋体" w:cs="宋体" w:eastAsia="宋体" w:hint="default"/>
          <w:spacing w:val="7"/>
        </w:rPr>
        <w:t>L3</w:t>
      </w:r>
      <w:r>
        <w:rPr>
          <w:spacing w:val="7"/>
        </w:rPr>
        <w:t>）三级认证、</w:t>
      </w:r>
      <w:r>
        <w:rPr/>
        <w:t> </w:t>
      </w:r>
      <w:r>
        <w:rPr>
          <w:rFonts w:ascii="宋体" w:hAnsi="宋体" w:cs="宋体" w:eastAsia="宋体" w:hint="default"/>
        </w:rPr>
        <w:t>ISO9001:2000</w:t>
      </w:r>
      <w:r>
        <w:rPr/>
        <w:t>质量管理体系认证等多项资质。</w:t>
      </w:r>
    </w:p>
    <w:p>
      <w:pPr>
        <w:pStyle w:val="BodyText"/>
        <w:spacing w:line="477" w:lineRule="auto" w:before="54"/>
        <w:ind w:left="573" w:right="93"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）人才团队优势</w:t>
      </w:r>
      <w:r>
        <w:rPr>
          <w:rFonts w:ascii="宋体" w:hAnsi="宋体" w:cs="宋体" w:eastAsia="宋体" w:hint="default"/>
          <w:b/>
          <w:bCs/>
          <w:w w:val="99"/>
        </w:rPr>
        <w:t> </w:t>
      </w:r>
      <w:r>
        <w:rPr/>
        <w:t>公司拥有稳定的核心管理团队和优秀的技术团队。核心管理团队稳定且具有丰富的运维管理市场经验、互联网运营经</w:t>
      </w:r>
    </w:p>
    <w:p>
      <w:pPr>
        <w:pStyle w:val="BodyText"/>
        <w:spacing w:line="240" w:lineRule="auto" w:before="54"/>
        <w:ind w:right="93"/>
        <w:jc w:val="left"/>
      </w:pPr>
      <w:r>
        <w:rPr/>
        <w:t>验和企业管理能力，对运维管理行业、互联网行业的业务发展趋势具有深刻理解。</w:t>
      </w:r>
    </w:p>
    <w:p>
      <w:pPr>
        <w:spacing w:line="240" w:lineRule="auto" w:before="10"/>
        <w:rPr>
          <w:rFonts w:ascii="宋体" w:hAnsi="宋体" w:cs="宋体" w:eastAsia="宋体" w:hint="default"/>
          <w:sz w:val="17"/>
          <w:szCs w:val="17"/>
        </w:rPr>
      </w:pPr>
    </w:p>
    <w:p>
      <w:pPr>
        <w:pStyle w:val="BodyText"/>
        <w:spacing w:line="518" w:lineRule="auto"/>
        <w:ind w:left="514" w:right="93" w:firstLine="6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）服务优势</w:t>
      </w:r>
      <w:r>
        <w:rPr>
          <w:rFonts w:ascii="宋体" w:hAnsi="宋体" w:cs="宋体" w:eastAsia="宋体" w:hint="default"/>
          <w:b/>
          <w:bCs/>
          <w:w w:val="99"/>
        </w:rPr>
        <w:t> </w:t>
      </w:r>
      <w:r>
        <w:rPr>
          <w:spacing w:val="-2"/>
        </w:rPr>
        <w:t>公司具备快速的产品提炼能力、快速的反应能力、持续的服务能力和综合性的支持服务能力以及多样的服务形式。凭借</w:t>
      </w:r>
    </w:p>
    <w:p>
      <w:pPr>
        <w:pStyle w:val="BodyText"/>
        <w:spacing w:line="477" w:lineRule="auto" w:before="22"/>
        <w:ind w:left="154" w:right="93"/>
        <w:jc w:val="left"/>
      </w:pPr>
      <w:r>
        <w:rPr>
          <w:spacing w:val="-2"/>
        </w:rPr>
        <w:t>多年来在运维管理行业、互联网行业的实践经验积累，能快速分析市场及客户的需求、形成解决方案或产品，为客户提供多</w:t>
      </w:r>
      <w:r>
        <w:rPr>
          <w:spacing w:val="-66"/>
        </w:rPr>
        <w:t> </w:t>
      </w:r>
      <w:r>
        <w:rPr>
          <w:spacing w:val="-66"/>
        </w:rPr>
      </w:r>
      <w:r>
        <w:rPr/>
        <w:t>方位的、高质量的技术开发与面向业务运营的运维支撑服务。</w:t>
      </w:r>
    </w:p>
    <w:p>
      <w:pPr>
        <w:pStyle w:val="Heading3"/>
        <w:spacing w:line="240" w:lineRule="auto" w:before="67"/>
        <w:ind w:right="93"/>
        <w:jc w:val="left"/>
        <w:rPr>
          <w:b w:val="0"/>
          <w:bCs w:val="0"/>
        </w:rPr>
      </w:pPr>
      <w:bookmarkStart w:name="（5）投资状况分析" w:id="24"/>
      <w:bookmarkEnd w:id="24"/>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6"/>
        <w:rPr>
          <w:rFonts w:ascii="宋体" w:hAnsi="宋体" w:cs="宋体" w:eastAsia="宋体" w:hint="default"/>
          <w:b/>
          <w:bCs/>
          <w:sz w:val="15"/>
          <w:szCs w:val="15"/>
        </w:rPr>
      </w:pPr>
    </w:p>
    <w:p>
      <w:pPr>
        <w:pStyle w:val="Heading4"/>
        <w:spacing w:line="240" w:lineRule="auto"/>
        <w:ind w:right="93"/>
        <w:jc w:val="left"/>
        <w:rPr>
          <w:b w:val="0"/>
          <w:bCs w:val="0"/>
        </w:rPr>
      </w:pPr>
      <w:r>
        <w:rPr>
          <w:rFonts w:ascii="Times New Roman" w:hAnsi="Times New Roman" w:cs="Times New Roman" w:eastAsia="Times New Roman" w:hint="default"/>
        </w:rPr>
        <w:t>1</w:t>
      </w:r>
      <w:r>
        <w:rPr/>
        <w:t>）对外投资情况</w:t>
      </w:r>
      <w:r>
        <w:rPr>
          <w:b w:val="0"/>
          <w:bCs w:val="0"/>
        </w:rPr>
      </w:r>
    </w:p>
    <w:p>
      <w:pPr>
        <w:spacing w:after="0" w:line="240" w:lineRule="auto"/>
        <w:jc w:val="left"/>
        <w:sectPr>
          <w:pgSz w:w="11910" w:h="16840"/>
          <w:pgMar w:header="851" w:footer="1226" w:top="1380" w:bottom="1420" w:left="980" w:right="940"/>
        </w:sectPr>
      </w:pPr>
    </w:p>
    <w:p>
      <w:pPr>
        <w:spacing w:before="1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94"/>
        <w:gridCol w:w="497"/>
        <w:gridCol w:w="1062"/>
        <w:gridCol w:w="851"/>
        <w:gridCol w:w="1134"/>
        <w:gridCol w:w="143"/>
        <w:gridCol w:w="1275"/>
        <w:gridCol w:w="1277"/>
        <w:gridCol w:w="63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1,357,299,447.00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384,750,000.00</w:t>
            </w:r>
          </w:p>
        </w:tc>
        <w:tc>
          <w:tcPr>
            <w:tcW w:w="3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252.77%</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133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上市公司 占被投资 公司权益 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3" w:right="42" w:hanging="180"/>
              <w:jc w:val="left"/>
              <w:rPr>
                <w:rFonts w:ascii="宋体" w:hAnsi="宋体" w:cs="宋体" w:eastAsia="宋体" w:hint="default"/>
                <w:sz w:val="18"/>
                <w:szCs w:val="18"/>
              </w:rPr>
            </w:pPr>
            <w:r>
              <w:rPr>
                <w:rFonts w:ascii="宋体" w:hAnsi="宋体" w:cs="宋体" w:eastAsia="宋体" w:hint="default"/>
                <w:sz w:val="18"/>
                <w:szCs w:val="18"/>
              </w:rPr>
              <w:t>是否涉 诉</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游戏开发、运营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firstLine="88"/>
              <w:jc w:val="both"/>
              <w:rPr>
                <w:rFonts w:ascii="宋体" w:hAnsi="宋体" w:cs="宋体" w:eastAsia="宋体" w:hint="default"/>
                <w:sz w:val="18"/>
                <w:szCs w:val="18"/>
              </w:rPr>
            </w:pPr>
            <w:r>
              <w:rPr>
                <w:rFonts w:ascii="宋体" w:hAnsi="宋体" w:cs="宋体" w:eastAsia="宋体" w:hint="default"/>
                <w:sz w:val="18"/>
                <w:szCs w:val="18"/>
              </w:rPr>
              <w:t>募集资金结 余、超募资 金、发行股份</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75,536,217.94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漫游宝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北京漫游兄弟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-159,136.54</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62" w:right="81" w:hanging="1081"/>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 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启天同信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-314,751.03</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62" w:right="81" w:hanging="1081"/>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 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信息安全解决方案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2,565,642.34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3" w:right="53" w:hanging="540"/>
              <w:jc w:val="left"/>
              <w:rPr>
                <w:rFonts w:ascii="宋体" w:hAnsi="宋体" w:cs="宋体" w:eastAsia="宋体" w:hint="default"/>
                <w:sz w:val="18"/>
                <w:szCs w:val="18"/>
              </w:rPr>
            </w:pPr>
            <w:r>
              <w:rPr>
                <w:rFonts w:ascii="宋体" w:hAnsi="宋体" w:cs="宋体" w:eastAsia="宋体" w:hint="default"/>
                <w:sz w:val="18"/>
                <w:szCs w:val="18"/>
              </w:rPr>
              <w:t>移动游戏产业投资 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0"/>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前海梧桐并购投 资基金和中青龙 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-638,858.02</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18"/>
                <w:sz w:val="18"/>
              </w:rPr>
              <w:t> </w:t>
            </w:r>
            <w:r>
              <w:rPr>
                <w:rFonts w:ascii="Times New Roman"/>
                <w:spacing w:val="-5"/>
                <w:sz w:val="18"/>
              </w:rPr>
              <w:t>LTD.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53" w:hanging="90"/>
              <w:jc w:val="left"/>
              <w:rPr>
                <w:rFonts w:ascii="宋体" w:hAnsi="宋体" w:cs="宋体" w:eastAsia="宋体" w:hint="default"/>
                <w:sz w:val="18"/>
                <w:szCs w:val="18"/>
              </w:rPr>
            </w:pPr>
            <w:r>
              <w:rPr>
                <w:rFonts w:ascii="宋体" w:hAnsi="宋体" w:cs="宋体" w:eastAsia="宋体" w:hint="default"/>
                <w:sz w:val="18"/>
                <w:szCs w:val="18"/>
              </w:rPr>
              <w:t>游戏发行平台的开 发、运营、推广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1" w:right="21" w:hanging="269"/>
              <w:jc w:val="left"/>
              <w:rPr>
                <w:rFonts w:ascii="宋体" w:hAnsi="宋体" w:cs="宋体" w:eastAsia="宋体" w:hint="default"/>
                <w:sz w:val="18"/>
                <w:szCs w:val="18"/>
              </w:rPr>
            </w:pPr>
            <w:r>
              <w:rPr>
                <w:rFonts w:ascii="宋体" w:hAnsi="宋体" w:cs="宋体" w:eastAsia="宋体" w:hint="default"/>
                <w:sz w:val="18"/>
                <w:szCs w:val="18"/>
              </w:rPr>
              <w:t>自有资金、超 募资金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58" w:right="58"/>
              <w:jc w:val="center"/>
              <w:rPr>
                <w:rFonts w:ascii="Times New Roman" w:hAnsi="Times New Roman" w:cs="Times New Roman" w:eastAsia="Times New Roman" w:hint="default"/>
                <w:sz w:val="18"/>
                <w:szCs w:val="18"/>
              </w:rPr>
            </w:pPr>
            <w:r>
              <w:rPr>
                <w:rFonts w:ascii="Times New Roman"/>
                <w:sz w:val="18"/>
              </w:rPr>
              <w:t>QifeiInternational</w:t>
            </w:r>
            <w:r>
              <w:rPr>
                <w:rFonts w:ascii="Times New Roman"/>
                <w:w w:val="99"/>
                <w:sz w:val="18"/>
              </w:rPr>
              <w:t> </w:t>
            </w:r>
            <w:r>
              <w:rPr>
                <w:rFonts w:ascii="Times New Roman"/>
                <w:sz w:val="18"/>
              </w:rPr>
              <w:t>Development</w:t>
            </w:r>
            <w:r>
              <w:rPr>
                <w:rFonts w:ascii="Times New Roman"/>
                <w:spacing w:val="-2"/>
                <w:sz w:val="18"/>
              </w:rPr>
              <w:t> </w:t>
            </w:r>
            <w:r>
              <w:rPr>
                <w:rFonts w:ascii="Times New Roman"/>
                <w:sz w:val="18"/>
              </w:rPr>
              <w:t>Co.</w:t>
            </w:r>
          </w:p>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-15,371,763.75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pStyle w:val="Heading4"/>
        <w:spacing w:line="240" w:lineRule="auto" w:before="44"/>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1"/>
        <w:rPr>
          <w:rFonts w:ascii="宋体" w:hAnsi="宋体" w:cs="宋体" w:eastAsia="宋体" w:hint="default"/>
          <w:b/>
          <w:bCs/>
          <w:sz w:val="19"/>
          <w:szCs w:val="19"/>
        </w:rPr>
      </w:pPr>
    </w:p>
    <w:p>
      <w:pPr>
        <w:pStyle w:val="Heading4"/>
        <w:spacing w:line="240" w:lineRule="auto"/>
        <w:ind w:left="153" w:right="0"/>
        <w:jc w:val="left"/>
        <w:rPr>
          <w:b w:val="0"/>
          <w:bCs w:val="0"/>
        </w:rPr>
      </w:pP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10"/>
          <w:szCs w:val="10"/>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170,336.31</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47,919.23</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159,397.55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4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170,336.31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万元，其中：招股说明书所列的六个募集资金适用项目计划金额</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50,252.80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万元、超募资</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金总额为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120,083.51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万元。总体使用情况如下：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年末，招股说明书所列募集资金项目已经实施完毕，实际使</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29,521.39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万元，结余</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20,731.41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、超募资金全部规划完毕，截止报告期末已经使用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96,148.38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、募集及</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超募资金结余实际使用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33,727.78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pStyle w:val="Heading4"/>
        <w:spacing w:line="240" w:lineRule="auto" w:before="141"/>
        <w:ind w:left="254" w:right="112"/>
        <w:jc w:val="left"/>
        <w:rPr>
          <w:b w:val="0"/>
          <w:bCs w:val="0"/>
        </w:rPr>
      </w:pPr>
      <w:r>
        <w:rPr/>
        <w:pict>
          <v:shape style="position:absolute;margin-left:132.440002pt;margin-top:609.519958pt;width:41.8pt;height:15.6pt;mso-position-horizontal-relative:page;mso-position-vertical-relative:page;z-index:-1111624" type="#_x0000_t202" filled="false" stroked="false">
            <v:textbox inset="0,0,0,0">
              <w:txbxContent>
                <w:p>
                  <w:pPr>
                    <w:pStyle w:val="BodyText"/>
                    <w:spacing w:line="208" w:lineRule="exact"/>
                    <w:ind w:left="0" w:right="0"/>
                    <w:jc w:val="left"/>
                  </w:pPr>
                  <w:r>
                    <w:rPr/>
                    <w:t>）</w:t>
                  </w:r>
                </w:p>
              </w:txbxContent>
            </v:textbox>
            <w10:wrap type="none"/>
          </v:shape>
        </w:pict>
      </w:r>
      <w:r>
        <w:rPr/>
        <w:pict>
          <v:group style="position:absolute;margin-left:138.619995pt;margin-top:609.519958pt;width:35.6pt;height:15.6pt;mso-position-horizontal-relative:page;mso-position-vertical-relative:page;z-index:-1111600" coordorigin="2772,12190" coordsize="712,312">
            <v:shape style="position:absolute;left:2772;top:12190;width:712;height:312" coordorigin="2772,12190" coordsize="712,312" path="m2772,12502l3484,12502,3484,12190,2772,12190,2772,12502xe" filled="true" fillcolor="#ffffff" stroked="false">
              <v:path arrowok="t"/>
              <v:fill type="solid"/>
            </v:shape>
            <w10:wrap type="none"/>
          </v:group>
        </w:pic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16"/>
          <w:szCs w:val="16"/>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64"/>
        <w:gridCol w:w="644"/>
        <w:gridCol w:w="90"/>
        <w:gridCol w:w="720"/>
        <w:gridCol w:w="894"/>
        <w:gridCol w:w="426"/>
        <w:gridCol w:w="827"/>
        <w:gridCol w:w="739"/>
        <w:gridCol w:w="720"/>
        <w:gridCol w:w="723"/>
        <w:gridCol w:w="960"/>
        <w:gridCol w:w="568"/>
        <w:gridCol w:w="638"/>
      </w:tblGrid>
      <w:tr>
        <w:trPr>
          <w:trHeight w:val="16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21" w:right="60"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6"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4"/>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4" w:right="4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、飞信平台大规模改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造升级（注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16,840.38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16,840.38</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14,365.27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85.30%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8,412.42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50,199.65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、电信综合网管产品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Ultra-TIMP</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8,813.7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8,813.7</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3,772.6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42.80%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4,584.74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12,405.29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、无线网络优化平台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Ultra-WOSS</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6,422.94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6,422.94</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3,102.9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48.31%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2,872.84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7,362.81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监控管理平台</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w:t>
            </w:r>
            <w:r>
              <w:rPr>
                <w:rFonts w:ascii="Times New Roman" w:hAnsi="Times New Roman" w:cs="Times New Roman" w:eastAsia="Times New Roman" w:hint="default"/>
                <w:sz w:val="18"/>
                <w:szCs w:val="18"/>
              </w:rPr>
              <w:t>ΣM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系列软件</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7,149.65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7,149.65</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3,177.09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44.44%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4,966.11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13,402.72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、运维服务流程管理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5,994.23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5,994.23</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2,543.71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42.44%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3,920.16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11,986.82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、新一代安全运行管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理中心</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Ultra-SOMC3.0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6"/>
              <w:jc w:val="righ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5,031.9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5,031.9</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2,559.82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50.87%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5,110.23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11,601.09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7"/>
              <w:jc w:val="righ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66"/>
              <w:jc w:val="right"/>
              <w:rPr>
                <w:rFonts w:ascii="Times New Roman" w:hAnsi="Times New Roman" w:cs="Times New Roman" w:eastAsia="Times New Roman" w:hint="default"/>
                <w:sz w:val="18"/>
                <w:szCs w:val="18"/>
              </w:rPr>
            </w:pPr>
            <w:r>
              <w:rPr>
                <w:rFonts w:ascii="Times New Roman"/>
                <w:sz w:val="18"/>
              </w:rPr>
              <w:t>--</w:t>
            </w:r>
          </w:p>
        </w:tc>
        <w:tc>
          <w:tcPr>
            <w:tcW w:w="8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50,252.8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50,252.8</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29,521.39</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29,866.5</w:t>
            </w:r>
          </w:p>
        </w:tc>
        <w:tc>
          <w:tcPr>
            <w:tcW w:w="96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106,958.38</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5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1</w:t>
            </w:r>
            <w:r>
              <w:rPr>
                <w:rFonts w:ascii="宋体" w:hAnsi="宋体" w:cs="宋体" w:eastAsia="宋体" w:hint="default"/>
                <w:sz w:val="18"/>
                <w:szCs w:val="18"/>
              </w:rPr>
              <w:t>、研发及办公 </w:t>
            </w:r>
            <w:r>
              <w:rPr>
                <w:rFonts w:ascii="宋体" w:hAnsi="宋体" w:cs="宋体" w:eastAsia="宋体" w:hint="default"/>
                <w:spacing w:val="-9"/>
                <w:sz w:val="18"/>
                <w:szCs w:val="18"/>
              </w:rPr>
              <w:t>用房的建设（北辰首作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14 </w:t>
            </w:r>
            <w:r>
              <w:rPr>
                <w:rFonts w:ascii="宋体" w:hAnsi="宋体" w:cs="宋体" w:eastAsia="宋体" w:hint="default"/>
                <w:spacing w:val="-32"/>
                <w:sz w:val="18"/>
                <w:szCs w:val="18"/>
              </w:rPr>
              <w:t>层）（注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25,453.85</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24,077.12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94.59%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2</w:t>
            </w:r>
            <w:r>
              <w:rPr>
                <w:rFonts w:ascii="宋体" w:hAnsi="宋体" w:cs="宋体" w:eastAsia="宋体" w:hint="default"/>
                <w:sz w:val="18"/>
                <w:szCs w:val="18"/>
              </w:rPr>
              <w:t>、收购大连华 信计算机技术股份有 限公司部分股权</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7,230.38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7,230.38</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7,230.38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6,854.76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3</w:t>
            </w:r>
            <w:r>
              <w:rPr>
                <w:rFonts w:ascii="宋体" w:hAnsi="宋体" w:cs="宋体" w:eastAsia="宋体" w:hint="default"/>
                <w:sz w:val="18"/>
                <w:szCs w:val="18"/>
              </w:rPr>
              <w:t>、对外投资设 立重庆新媒农信科技 有限公司</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10,330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7.17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4,869.18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47.14%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988.05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16,036.44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4</w:t>
            </w:r>
            <w:r>
              <w:rPr>
                <w:rFonts w:ascii="宋体" w:hAnsi="宋体" w:cs="宋体" w:eastAsia="宋体" w:hint="default"/>
                <w:sz w:val="18"/>
                <w:szCs w:val="18"/>
              </w:rPr>
              <w:t>、收购友联创 </w:t>
            </w:r>
            <w:r>
              <w:rPr>
                <w:rFonts w:ascii="宋体" w:hAnsi="宋体" w:cs="宋体" w:eastAsia="宋体" w:hint="default"/>
                <w:spacing w:val="-9"/>
                <w:sz w:val="18"/>
                <w:szCs w:val="18"/>
              </w:rPr>
              <w:t>新（现已更名为北京神</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5,900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1,963.86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6,312.72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226" w:top="1380" w:bottom="1420" w:left="880" w:right="980"/>
        </w:sectPr>
      </w:pPr>
    </w:p>
    <w:tbl>
      <w:tblPr>
        <w:tblW w:w="0" w:type="auto"/>
        <w:jc w:val="left"/>
        <w:tblInd w:w="107" w:type="dxa"/>
        <w:tblLayout w:type="fixed"/>
        <w:tblCellMar>
          <w:top w:w="0" w:type="dxa"/>
          <w:left w:w="0" w:type="dxa"/>
          <w:bottom w:w="0" w:type="dxa"/>
          <w:right w:w="0" w:type="dxa"/>
        </w:tblCellMar>
        <w:tblLook w:val="01E0"/>
      </w:tblPr>
      <w:tblGrid>
        <w:gridCol w:w="1775"/>
        <w:gridCol w:w="722"/>
        <w:gridCol w:w="720"/>
        <w:gridCol w:w="894"/>
        <w:gridCol w:w="426"/>
        <w:gridCol w:w="793"/>
        <w:gridCol w:w="773"/>
        <w:gridCol w:w="720"/>
        <w:gridCol w:w="723"/>
        <w:gridCol w:w="960"/>
        <w:gridCol w:w="568"/>
        <w:gridCol w:w="638"/>
      </w:tblGrid>
      <w:tr>
        <w:trPr>
          <w:trHeight w:val="685" w:hRule="exact"/>
        </w:trPr>
        <w:tc>
          <w:tcPr>
            <w:tcW w:w="1775"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20"/>
              <w:jc w:val="left"/>
              <w:rPr>
                <w:rFonts w:ascii="宋体" w:hAnsi="宋体" w:cs="宋体" w:eastAsia="宋体" w:hint="default"/>
                <w:sz w:val="18"/>
                <w:szCs w:val="18"/>
              </w:rPr>
            </w:pPr>
            <w:r>
              <w:rPr>
                <w:rFonts w:ascii="宋体" w:hAnsi="宋体" w:cs="宋体" w:eastAsia="宋体" w:hint="default"/>
                <w:sz w:val="18"/>
                <w:szCs w:val="18"/>
              </w:rPr>
              <w:t>州泰岳系统集成有限 公司）</w:t>
            </w:r>
          </w:p>
        </w:tc>
        <w:tc>
          <w:tcPr>
            <w:tcW w:w="722"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894" w:type="dxa"/>
            <w:tcBorders>
              <w:top w:val="single" w:sz="10" w:space="0" w:color="000000"/>
              <w:left w:val="single" w:sz="4" w:space="0" w:color="000000"/>
              <w:bottom w:val="single" w:sz="4" w:space="0" w:color="000000"/>
              <w:right w:val="single" w:sz="4" w:space="0" w:color="000000"/>
            </w:tcBorders>
          </w:tcPr>
          <w:p>
            <w:pPr/>
          </w:p>
        </w:tc>
        <w:tc>
          <w:tcPr>
            <w:tcW w:w="426" w:type="dxa"/>
            <w:tcBorders>
              <w:top w:val="single" w:sz="10" w:space="0" w:color="000000"/>
              <w:left w:val="single" w:sz="4" w:space="0" w:color="000000"/>
              <w:bottom w:val="single" w:sz="4" w:space="0" w:color="000000"/>
              <w:right w:val="single" w:sz="4" w:space="0" w:color="000000"/>
            </w:tcBorders>
          </w:tcPr>
          <w:p>
            <w:pPr/>
          </w:p>
        </w:tc>
        <w:tc>
          <w:tcPr>
            <w:tcW w:w="793" w:type="dxa"/>
            <w:tcBorders>
              <w:top w:val="single" w:sz="10" w:space="0" w:color="000000"/>
              <w:left w:val="single" w:sz="4" w:space="0" w:color="000000"/>
              <w:bottom w:val="single" w:sz="4" w:space="0" w:color="000000"/>
              <w:right w:val="single" w:sz="4" w:space="0" w:color="000000"/>
            </w:tcBorders>
          </w:tcPr>
          <w:p>
            <w:pPr/>
          </w:p>
        </w:tc>
        <w:tc>
          <w:tcPr>
            <w:tcW w:w="773"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10" w:space="0" w:color="000000"/>
              <w:left w:val="single" w:sz="4" w:space="0" w:color="000000"/>
              <w:bottom w:val="single" w:sz="4" w:space="0" w:color="000000"/>
              <w:right w:val="single" w:sz="4" w:space="0" w:color="000000"/>
            </w:tcBorders>
          </w:tcPr>
          <w:p>
            <w:pPr/>
          </w:p>
        </w:tc>
        <w:tc>
          <w:tcPr>
            <w:tcW w:w="960" w:type="dxa"/>
            <w:tcBorders>
              <w:top w:val="single" w:sz="10" w:space="0" w:color="000000"/>
              <w:left w:val="single" w:sz="4" w:space="0" w:color="000000"/>
              <w:bottom w:val="single" w:sz="4" w:space="0" w:color="000000"/>
              <w:right w:val="single" w:sz="4" w:space="0" w:color="000000"/>
            </w:tcBorders>
          </w:tcPr>
          <w:p>
            <w:pPr/>
          </w:p>
        </w:tc>
        <w:tc>
          <w:tcPr>
            <w:tcW w:w="568" w:type="dxa"/>
            <w:tcBorders>
              <w:top w:val="single" w:sz="10" w:space="0" w:color="000000"/>
              <w:left w:val="single" w:sz="4" w:space="0" w:color="000000"/>
              <w:bottom w:val="single" w:sz="4" w:space="0" w:color="000000"/>
              <w:right w:val="single" w:sz="4" w:space="0" w:color="000000"/>
            </w:tcBorders>
          </w:tcPr>
          <w:p>
            <w:pPr/>
          </w:p>
        </w:tc>
        <w:tc>
          <w:tcPr>
            <w:tcW w:w="638"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3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5</w:t>
            </w:r>
            <w:r>
              <w:rPr>
                <w:rFonts w:ascii="宋体" w:hAnsi="宋体" w:cs="宋体" w:eastAsia="宋体" w:hint="default"/>
                <w:sz w:val="18"/>
                <w:szCs w:val="18"/>
              </w:rPr>
              <w:t>、收购及增资 奇点新源（注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w:t>
            </w: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-845.86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-1,581.55</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3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6</w:t>
            </w:r>
            <w:r>
              <w:rPr>
                <w:rFonts w:ascii="宋体" w:hAnsi="宋体" w:cs="宋体" w:eastAsia="宋体" w:hint="default"/>
                <w:sz w:val="18"/>
                <w:szCs w:val="18"/>
              </w:rPr>
              <w:t>、收购宁波普 天通信技术有限公司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5,309.35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17,418.16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3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7</w:t>
            </w:r>
            <w:r>
              <w:rPr>
                <w:rFonts w:ascii="宋体" w:hAnsi="宋体" w:cs="宋体" w:eastAsia="宋体" w:hint="default"/>
                <w:sz w:val="18"/>
                <w:szCs w:val="18"/>
              </w:rPr>
              <w:t>、设立香港全 资子公司（注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3,550</w:t>
            </w: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7"/>
              <w:ind w:left="22" w:right="21"/>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8</w:t>
            </w:r>
            <w:r>
              <w:rPr>
                <w:rFonts w:ascii="宋体" w:hAnsi="宋体" w:cs="宋体" w:eastAsia="宋体" w:hint="default"/>
                <w:sz w:val="18"/>
                <w:szCs w:val="18"/>
              </w:rPr>
              <w:t>、对外投资设 立北京神州泰岳良品 </w:t>
            </w:r>
            <w:r>
              <w:rPr>
                <w:rFonts w:ascii="宋体" w:hAnsi="宋体" w:cs="宋体" w:eastAsia="宋体" w:hint="default"/>
                <w:spacing w:val="-9"/>
                <w:sz w:val="18"/>
                <w:szCs w:val="18"/>
              </w:rPr>
              <w:t>电子商务有限公司（注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-2,488.21</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7"/>
              <w:ind w:left="22" w:right="30"/>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9</w:t>
            </w:r>
            <w:r>
              <w:rPr>
                <w:rFonts w:ascii="宋体" w:hAnsi="宋体" w:cs="宋体" w:eastAsia="宋体" w:hint="default"/>
                <w:sz w:val="18"/>
                <w:szCs w:val="18"/>
              </w:rPr>
              <w:t>、收购北京广 通神州网络技术股份 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443.27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22" w:right="21"/>
              <w:jc w:val="left"/>
              <w:rPr>
                <w:rFonts w:ascii="宋体" w:hAnsi="宋体" w:cs="宋体" w:eastAsia="宋体" w:hint="default"/>
                <w:sz w:val="18"/>
                <w:szCs w:val="18"/>
              </w:rPr>
            </w:pPr>
            <w:r>
              <w:rPr>
                <w:rFonts w:ascii="宋体" w:hAnsi="宋体" w:cs="宋体" w:eastAsia="宋体" w:hint="default"/>
                <w:spacing w:val="-10"/>
                <w:sz w:val="18"/>
                <w:szCs w:val="18"/>
              </w:rPr>
              <w:t>超募－</w:t>
            </w: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、收购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Bridge Minds Consulting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（智桥资讯公司）</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5,935.84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-1,254.8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-1,286.75</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21"/>
              <w:jc w:val="left"/>
              <w:rPr>
                <w:rFonts w:ascii="宋体" w:hAnsi="宋体" w:cs="宋体" w:eastAsia="宋体" w:hint="default"/>
                <w:sz w:val="18"/>
                <w:szCs w:val="18"/>
              </w:rPr>
            </w:pPr>
            <w:r>
              <w:rPr>
                <w:rFonts w:ascii="宋体" w:hAnsi="宋体" w:cs="宋体" w:eastAsia="宋体" w:hint="default"/>
                <w:spacing w:val="-8"/>
                <w:sz w:val="18"/>
                <w:szCs w:val="18"/>
              </w:rPr>
              <w:t>超募－</w:t>
            </w: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、收购天津壳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木软件有限责任公司</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21,669.28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9,74</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4.28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9,744.28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75,536.22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结余募集资金投向</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、收购天津壳木软件 有限责任公司（注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21,080.72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21,080.72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、永久补充流动资金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85"/>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12,647.06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12,647.06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5" w:val="left" w:leader="none"/>
              </w:tabs>
              <w:spacing w:line="240" w:lineRule="auto" w:before="47"/>
              <w:ind w:left="-133" w:right="295"/>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13" w:space="0" w:color="D2D2D2"/>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5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5" w:val="left" w:leader="none"/>
              </w:tabs>
              <w:spacing w:line="240" w:lineRule="auto" w:before="47"/>
              <w:ind w:left="-133" w:right="295"/>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13" w:space="0" w:color="D2D2D2"/>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93"/>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52"/>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153,811.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153,811.29</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3"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129,876.1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6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117,206.37</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5"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793"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960"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52"/>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204,064.09</w:t>
            </w:r>
          </w:p>
        </w:tc>
        <w:tc>
          <w:tcPr>
            <w:tcW w:w="426" w:type="dxa"/>
            <w:vMerge w:val="restart"/>
            <w:tcBorders>
              <w:top w:val="single" w:sz="4" w:space="0" w:color="000000"/>
              <w:left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3"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159,397.5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112,253.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96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224,164.75</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5"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c>
          <w:tcPr>
            <w:tcW w:w="426" w:type="dxa"/>
            <w:vMerge/>
            <w:tcBorders>
              <w:left w:val="single" w:sz="4" w:space="0" w:color="000000"/>
              <w:right w:val="single" w:sz="4" w:space="0" w:color="000000"/>
            </w:tcBorders>
          </w:tcPr>
          <w:p>
            <w:pPr/>
          </w:p>
        </w:tc>
        <w:tc>
          <w:tcPr>
            <w:tcW w:w="793" w:type="dxa"/>
            <w:vMerge/>
            <w:tcBorders>
              <w:left w:val="single" w:sz="4" w:space="0" w:color="000000"/>
              <w:right w:val="single" w:sz="9" w:space="0" w:color="D2D2D2"/>
            </w:tcBorders>
          </w:tcPr>
          <w:p>
            <w:pP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93"/>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960" w:type="dxa"/>
            <w:vMerge/>
            <w:tcBorders>
              <w:left w:val="single" w:sz="4" w:space="0" w:color="000000"/>
              <w:right w:val="single" w:sz="9" w:space="0" w:color="D2D2D2"/>
            </w:tcBorders>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17"/>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right="252"/>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9" w:space="0" w:color="D2D2D2"/>
            </w:tcBorders>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9" w:space="0" w:color="D2D2D2"/>
            </w:tcBorders>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1" w:footer="1226" w:top="1420" w:bottom="1420" w:left="880" w:right="1020"/>
        </w:sectPr>
      </w:pPr>
    </w:p>
    <w:p>
      <w:pPr>
        <w:spacing w:line="240" w:lineRule="auto" w:before="0"/>
        <w:rPr>
          <w:rFonts w:ascii="宋体" w:hAnsi="宋体" w:cs="宋体" w:eastAsia="宋体" w:hint="default"/>
          <w:sz w:val="20"/>
          <w:szCs w:val="20"/>
        </w:rPr>
      </w:pPr>
      <w:r>
        <w:rPr/>
        <w:pict>
          <v:shape style="position:absolute;margin-left:49.380001pt;margin-top:71.699982pt;width:486.4pt;height:688.4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5"/>
                    <w:gridCol w:w="7938"/>
                  </w:tblGrid>
                  <w:tr>
                    <w:trPr>
                      <w:trHeight w:val="1033" w:hRule="exact"/>
                    </w:trPr>
                    <w:tc>
                      <w:tcPr>
                        <w:tcW w:w="177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602"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170,336.31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120,083.51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万元。具体使用如下：</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8"/>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28"/>
                            <w:sz w:val="18"/>
                            <w:szCs w:val="18"/>
                          </w:rPr>
                          <w:t>了</w:t>
                        </w:r>
                        <w:r>
                          <w:rPr>
                            <w:rFonts w:ascii="宋体" w:hAnsi="宋体" w:cs="宋体" w:eastAsia="宋体" w:hint="default"/>
                            <w:sz w:val="18"/>
                            <w:szCs w:val="18"/>
                          </w:rPr>
                          <w:t>《关于超募资金使用计划及其实施的议案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7"/>
                            <w:sz w:val="18"/>
                            <w:szCs w:val="18"/>
                          </w:rPr>
                          <w:t>第一批超募资金 </w:t>
                        </w:r>
                        <w:r>
                          <w:rPr>
                            <w:rFonts w:ascii="Times New Roman" w:hAnsi="Times New Roman" w:cs="Times New Roman" w:eastAsia="Times New Roman" w:hint="default"/>
                            <w:sz w:val="18"/>
                            <w:szCs w:val="18"/>
                          </w:rPr>
                          <w:t>25,453.85 </w:t>
                        </w:r>
                        <w:r>
                          <w:rPr>
                            <w:rFonts w:ascii="Times New Roman" w:hAnsi="Times New Roman" w:cs="Times New Roman" w:eastAsia="Times New Roman" w:hint="default"/>
                            <w:spacing w:val="37"/>
                            <w:sz w:val="18"/>
                            <w:szCs w:val="18"/>
                          </w:rPr>
                          <w:t> </w:t>
                        </w:r>
                        <w:r>
                          <w:rPr>
                            <w:rFonts w:ascii="宋体" w:hAnsi="宋体" w:cs="宋体" w:eastAsia="宋体" w:hint="default"/>
                            <w:spacing w:val="7"/>
                            <w:sz w:val="18"/>
                            <w:szCs w:val="18"/>
                          </w:rPr>
                          <w:t>万元用于研发及办公用房的购置与建设，至年末实际投入项目金额为</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24,077.12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9" w:lineRule="auto" w:before="101"/>
                          <w:ind w:left="22"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日，公司第三届董事会第二十三次会议审议通过了《关于超募资金使用计划及其实 </w:t>
                        </w:r>
                        <w:r>
                          <w:rPr>
                            <w:rFonts w:ascii="宋体" w:hAnsi="宋体" w:cs="宋体" w:eastAsia="宋体" w:hint="default"/>
                            <w:spacing w:val="-2"/>
                            <w:sz w:val="18"/>
                            <w:szCs w:val="18"/>
                          </w:rPr>
                          <w:t>施的议案》，第二批超募资金计划用于如下两个项目：收购微软中国投资控股有限公司持有的大连华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信计算机技术股份有限公司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12,000,000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股股份（占其总股本的</w:t>
                        </w:r>
                        <w:r>
                          <w:rPr>
                            <w:rFonts w:ascii="宋体" w:hAnsi="宋体" w:cs="宋体" w:eastAsia="宋体" w:hint="default"/>
                            <w:spacing w:val="-44"/>
                            <w:sz w:val="18"/>
                            <w:szCs w:val="18"/>
                          </w:rPr>
                          <w:t> </w:t>
                        </w:r>
                        <w:r>
                          <w:rPr>
                            <w:rFonts w:ascii="Times New Roman" w:hAnsi="Times New Roman" w:cs="Times New Roman" w:eastAsia="Times New Roman" w:hint="default"/>
                            <w:spacing w:val="-12"/>
                            <w:sz w:val="18"/>
                            <w:szCs w:val="18"/>
                          </w:rPr>
                          <w:t>8%</w:t>
                        </w:r>
                        <w:r>
                          <w:rPr>
                            <w:rFonts w:ascii="宋体" w:hAnsi="宋体" w:cs="宋体" w:eastAsia="宋体" w:hint="default"/>
                            <w:spacing w:val="-12"/>
                            <w:sz w:val="18"/>
                            <w:szCs w:val="18"/>
                          </w:rPr>
                          <w:t>），总价款为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1,080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万美元，至年末</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实际投入项目金额为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7,230.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万元在重庆高新区设立全资子公司重庆</w:t>
                        </w:r>
                        <w:r>
                          <w:rPr>
                            <w:rFonts w:ascii="宋体" w:hAnsi="宋体" w:cs="宋体" w:eastAsia="宋体" w:hint="default"/>
                            <w:spacing w:val="1"/>
                            <w:sz w:val="18"/>
                            <w:szCs w:val="18"/>
                          </w:rPr>
                          <w:t>新</w:t>
                        </w:r>
                        <w:r>
                          <w:rPr>
                            <w:rFonts w:ascii="宋体" w:hAnsi="宋体" w:cs="宋体" w:eastAsia="宋体" w:hint="default"/>
                            <w:sz w:val="18"/>
                            <w:szCs w:val="18"/>
                          </w:rPr>
                          <w:t>媒</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农信科技有限公司，至年末实际投入使用金额为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4,869.18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日，公司第四届董事会第八次会议审议通过了《关于使用部分超募资金收购北京</w:t>
                        </w:r>
                      </w:p>
                      <w:p>
                        <w:pPr>
                          <w:pStyle w:val="TableParagraph"/>
                          <w:spacing w:line="300" w:lineRule="auto" w:before="63"/>
                          <w:ind w:left="22" w:right="25"/>
                          <w:jc w:val="left"/>
                          <w:rPr>
                            <w:rFonts w:ascii="宋体" w:hAnsi="宋体" w:cs="宋体" w:eastAsia="宋体" w:hint="default"/>
                            <w:sz w:val="18"/>
                            <w:szCs w:val="18"/>
                          </w:rPr>
                        </w:pPr>
                        <w:r>
                          <w:rPr>
                            <w:rFonts w:ascii="宋体" w:hAnsi="宋体" w:cs="宋体" w:eastAsia="宋体" w:hint="default"/>
                            <w:spacing w:val="-6"/>
                            <w:sz w:val="18"/>
                            <w:szCs w:val="18"/>
                          </w:rPr>
                          <w:t>友联创新系统集成有限公司的议案》，计划使用第三批超募资金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5,900</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万元收购徐伟、徐秀华、聂小平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赵朝华所持有的友联创新</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的股权，使其成为公司的全资子公司，至年末实际投入项目金额为</w:t>
                        </w:r>
                        <w:r>
                          <w:rPr>
                            <w:rFonts w:ascii="宋体" w:hAnsi="宋体" w:cs="宋体" w:eastAsia="宋体" w:hint="default"/>
                            <w:sz w:val="18"/>
                            <w:szCs w:val="18"/>
                          </w:rPr>
                          <w:t> </w:t>
                        </w:r>
                        <w:r>
                          <w:rPr>
                            <w:rFonts w:ascii="Times New Roman" w:hAnsi="Times New Roman" w:cs="Times New Roman" w:eastAsia="Times New Roman" w:hint="default"/>
                            <w:sz w:val="18"/>
                            <w:szCs w:val="18"/>
                          </w:rPr>
                          <w:t>5,900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年北京友联创新系统集成有限公司已更名为北京神州泰岳系统集成有限公司。</w:t>
                        </w:r>
                      </w:p>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日，公司第四届董事会第十次会议审议通过了《关于使用部分超募资金收购及增资</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6"/>
                            <w:sz w:val="18"/>
                            <w:szCs w:val="18"/>
                          </w:rPr>
                          <w:t>奇点新源国际技术开发（北京）有限公司的议案》，计划使用第四批超募资金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万元对奇点新源国</w:t>
                        </w:r>
                        <w:r>
                          <w:rPr>
                            <w:rFonts w:ascii="宋体" w:hAnsi="宋体" w:cs="宋体" w:eastAsia="宋体" w:hint="default"/>
                            <w:spacing w:val="-86"/>
                            <w:sz w:val="18"/>
                            <w:szCs w:val="18"/>
                          </w:rPr>
                          <w:t> </w:t>
                        </w:r>
                        <w:r>
                          <w:rPr>
                            <w:rFonts w:ascii="宋体" w:hAnsi="宋体" w:cs="宋体" w:eastAsia="宋体" w:hint="default"/>
                            <w:spacing w:val="-1"/>
                            <w:sz w:val="18"/>
                            <w:szCs w:val="18"/>
                          </w:rPr>
                          <w:t>际技术开发（北京）有限公司进行收购及增资，该收购及增资手续已经办理完毕，至年末实际投入项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3"/>
                          <w:ind w:left="22"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日，公司第四届董事会第十四次会议审议通过了《关于使用部分超募资金收购宁波</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普天通信技术有限公司的议案</w:t>
                        </w:r>
                        <w:r>
                          <w:rPr>
                            <w:rFonts w:ascii="宋体" w:hAnsi="宋体" w:cs="宋体" w:eastAsia="宋体" w:hint="default"/>
                            <w:spacing w:val="-90"/>
                            <w:sz w:val="18"/>
                            <w:szCs w:val="18"/>
                          </w:rPr>
                          <w:t>》</w:t>
                        </w:r>
                        <w:r>
                          <w:rPr>
                            <w:rFonts w:ascii="宋体" w:hAnsi="宋体" w:cs="宋体" w:eastAsia="宋体" w:hint="default"/>
                            <w:sz w:val="18"/>
                            <w:szCs w:val="18"/>
                          </w:rPr>
                          <w:t>，计划第五批超募资金不超过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万</w:t>
                        </w:r>
                        <w:r>
                          <w:rPr>
                            <w:rFonts w:ascii="宋体" w:hAnsi="宋体" w:cs="宋体" w:eastAsia="宋体" w:hint="default"/>
                            <w:sz w:val="18"/>
                            <w:szCs w:val="18"/>
                          </w:rPr>
                          <w:t>元用于收购孙海粟等自然人持</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有的宁波普天通信技术有限公司全部股权，至年末实际投入项目金额为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日，公司第四届董事会第十六次会议审议通过了《关于使用部分超募资金设立香港</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全资子公司的议案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计划以第六批超募资金出资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万元在中华人民共和国香港特别行政区设立全</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资子公司，用于海外市场销售网络建设及海外市场开拓，该公司于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年境内外注册事宜已办理完 </w:t>
                        </w:r>
                        <w:r>
                          <w:rPr>
                            <w:rFonts w:ascii="宋体" w:hAnsi="宋体" w:cs="宋体" w:eastAsia="宋体" w:hint="default"/>
                            <w:spacing w:val="-3"/>
                            <w:sz w:val="18"/>
                            <w:szCs w:val="18"/>
                          </w:rPr>
                          <w:t>成，公司名称为神州泰岳（香港）有限公司。</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年，神州泰岳（香港）有限公司以北京神州泰岳软 件股份有限公司名义在平安银行北京花园路支行设立募集资金专户，将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万元出资额单独存放于</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的该账户中，至年末实际投入项目金额为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日，公司第四届董事会第十九次会议审议通过了《关于对外投资设立合资公司的议</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pacing w:val="-9"/>
                            <w:sz w:val="18"/>
                            <w:szCs w:val="18"/>
                          </w:rPr>
                          <w:t>案》，计划以第七批超募资金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万元与奇点新源国际技术开发（北京）有限公司、北京中利丰贸易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发展有限公司、北京中秀明天科技有限公司共同出资设立北京神州泰岳良品电子商务有限公司。奇点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新源国际技术开发（北京）有限公司投入的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万元也属于公司超募资金，至报告期末公司及奇点新</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源国际技术开发（北京）有限公司实际投入超募资金共计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万元（其中北京神州泰岳软件股份有</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限公司实际投入超募资金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日，公司第五届董事会第五次会议审议通过了《关于使用部分超募资金收购北京</w:t>
                        </w:r>
                      </w:p>
                      <w:p>
                        <w:pPr>
                          <w:pStyle w:val="TableParagraph"/>
                          <w:spacing w:line="309" w:lineRule="auto" w:before="63"/>
                          <w:ind w:left="22" w:right="19"/>
                          <w:jc w:val="both"/>
                          <w:rPr>
                            <w:rFonts w:ascii="宋体" w:hAnsi="宋体" w:cs="宋体" w:eastAsia="宋体" w:hint="default"/>
                            <w:sz w:val="18"/>
                            <w:szCs w:val="18"/>
                          </w:rPr>
                        </w:pPr>
                        <w:r>
                          <w:rPr>
                            <w:rFonts w:ascii="宋体" w:hAnsi="宋体" w:cs="宋体" w:eastAsia="宋体" w:hint="default"/>
                            <w:sz w:val="18"/>
                            <w:szCs w:val="18"/>
                          </w:rPr>
                          <w:t>广通神州网络技术有限公司的议案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计划以第八批超募资金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万元全资收购北京广通神州网络技 </w:t>
                        </w:r>
                        <w:r>
                          <w:rPr>
                            <w:rFonts w:ascii="宋体" w:hAnsi="宋体" w:cs="宋体" w:eastAsia="宋体" w:hint="default"/>
                            <w:spacing w:val="1"/>
                            <w:sz w:val="18"/>
                            <w:szCs w:val="18"/>
                          </w:rPr>
                          <w:t>术有限公司，苏州优峰通信科技有限公司、苏州东方九胜创业投资企业（有限合伙</w:t>
                        </w:r>
                        <w:r>
                          <w:rPr>
                            <w:rFonts w:ascii="宋体" w:hAnsi="宋体" w:cs="宋体" w:eastAsia="宋体" w:hint="default"/>
                            <w:spacing w:val="-89"/>
                            <w:sz w:val="18"/>
                            <w:szCs w:val="18"/>
                          </w:rPr>
                          <w:t>）</w:t>
                        </w:r>
                        <w:r>
                          <w:rPr>
                            <w:rFonts w:ascii="宋体" w:hAnsi="宋体" w:cs="宋体" w:eastAsia="宋体" w:hint="default"/>
                            <w:spacing w:val="1"/>
                            <w:sz w:val="18"/>
                            <w:szCs w:val="18"/>
                          </w:rPr>
                          <w:t>、北京泛亚太信</w:t>
                        </w:r>
                        <w:r>
                          <w:rPr>
                            <w:rFonts w:ascii="宋体" w:hAnsi="宋体" w:cs="宋体" w:eastAsia="宋体" w:hint="default"/>
                            <w:spacing w:val="1"/>
                            <w:sz w:val="18"/>
                            <w:szCs w:val="18"/>
                          </w:rPr>
                          <w:t> </w:t>
                        </w:r>
                        <w:r>
                          <w:rPr>
                            <w:rFonts w:ascii="宋体" w:hAnsi="宋体" w:cs="宋体" w:eastAsia="宋体" w:hint="default"/>
                            <w:sz w:val="18"/>
                            <w:szCs w:val="18"/>
                          </w:rPr>
                          <w:t>息技术研究</w:t>
                        </w:r>
                        <w:r>
                          <w:rPr>
                            <w:rFonts w:ascii="宋体" w:hAnsi="宋体" w:cs="宋体" w:eastAsia="宋体" w:hint="default"/>
                            <w:spacing w:val="-8"/>
                            <w:sz w:val="18"/>
                            <w:szCs w:val="18"/>
                          </w:rPr>
                          <w:t>所</w:t>
                        </w:r>
                        <w:r>
                          <w:rPr>
                            <w:rFonts w:ascii="宋体" w:hAnsi="宋体" w:cs="宋体" w:eastAsia="宋体" w:hint="default"/>
                            <w:sz w:val="18"/>
                            <w:szCs w:val="18"/>
                          </w:rPr>
                          <w:t>（普通合伙</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倪健中</w:t>
                        </w:r>
                        <w:r>
                          <w:rPr>
                            <w:rFonts w:ascii="宋体" w:hAnsi="宋体" w:cs="宋体" w:eastAsia="宋体" w:hint="default"/>
                            <w:spacing w:val="-8"/>
                            <w:sz w:val="18"/>
                            <w:szCs w:val="18"/>
                          </w:rPr>
                          <w:t>、</w:t>
                        </w:r>
                        <w:r>
                          <w:rPr>
                            <w:rFonts w:ascii="宋体" w:hAnsi="宋体" w:cs="宋体" w:eastAsia="宋体" w:hint="default"/>
                            <w:sz w:val="18"/>
                            <w:szCs w:val="18"/>
                          </w:rPr>
                          <w:t>陈硕等股东持有的北京广通神州网络技术有限公</w:t>
                        </w:r>
                        <w:r>
                          <w:rPr>
                            <w:rFonts w:ascii="宋体" w:hAnsi="宋体" w:cs="宋体" w:eastAsia="宋体" w:hint="default"/>
                            <w:spacing w:val="-8"/>
                            <w:sz w:val="18"/>
                            <w:szCs w:val="18"/>
                          </w:rPr>
                          <w:t>司</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广通</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0" w:right="11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16"/>
        <w:jc w:val="right"/>
      </w:pPr>
      <w:r>
        <w:rPr/>
        <w:t>、</w:t>
      </w:r>
    </w:p>
    <w:p>
      <w:pPr>
        <w:spacing w:after="0" w:line="240" w:lineRule="auto"/>
        <w:jc w:val="right"/>
        <w:sectPr>
          <w:pgSz w:w="11910" w:h="16840"/>
          <w:pgMar w:header="851" w:footer="1226" w:top="1420" w:bottom="1420" w:left="880" w:right="1020"/>
        </w:sectPr>
      </w:pPr>
    </w:p>
    <w:tbl>
      <w:tblPr>
        <w:tblW w:w="0" w:type="auto"/>
        <w:jc w:val="left"/>
        <w:tblInd w:w="107" w:type="dxa"/>
        <w:tblLayout w:type="fixed"/>
        <w:tblCellMar>
          <w:top w:w="0" w:type="dxa"/>
          <w:left w:w="0" w:type="dxa"/>
          <w:bottom w:w="0" w:type="dxa"/>
          <w:right w:w="0" w:type="dxa"/>
        </w:tblCellMar>
        <w:tblLook w:val="01E0"/>
      </w:tblPr>
      <w:tblGrid>
        <w:gridCol w:w="1775"/>
        <w:gridCol w:w="7938"/>
      </w:tblGrid>
      <w:tr>
        <w:trPr>
          <w:trHeight w:val="5753" w:hRule="exact"/>
        </w:trPr>
        <w:tc>
          <w:tcPr>
            <w:tcW w:w="1775"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both"/>
              <w:rPr>
                <w:rFonts w:ascii="宋体" w:hAnsi="宋体" w:cs="宋体" w:eastAsia="宋体" w:hint="default"/>
                <w:sz w:val="18"/>
                <w:szCs w:val="18"/>
              </w:rPr>
            </w:pPr>
            <w:r>
              <w:rPr>
                <w:rFonts w:ascii="宋体" w:hAnsi="宋体" w:cs="宋体" w:eastAsia="宋体" w:hint="default"/>
                <w:sz w:val="18"/>
                <w:szCs w:val="18"/>
              </w:rPr>
              <w:t>神州</w:t>
            </w:r>
            <w:r>
              <w:rPr>
                <w:rFonts w:ascii="Times New Roman" w:hAnsi="Times New Roman" w:cs="Times New Roman" w:eastAsia="Times New Roman" w:hint="default"/>
                <w:sz w:val="18"/>
                <w:szCs w:val="18"/>
              </w:rPr>
              <w:t>”</w:t>
            </w:r>
            <w:r>
              <w:rPr>
                <w:rFonts w:ascii="宋体" w:hAnsi="宋体" w:cs="宋体" w:eastAsia="宋体" w:hint="default"/>
                <w:sz w:val="18"/>
                <w:szCs w:val="18"/>
              </w:rPr>
              <w:t>）全部股权，使其成为公司的全资子公司，至年末实际投入项目金额为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日，公司第五届董事会第八次会议审议通过了《关于使用部分超募资金收购及增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Minds </w:t>
            </w:r>
            <w:r>
              <w:rPr>
                <w:rFonts w:ascii="Times New Roman" w:hAnsi="Times New Roman" w:cs="Times New Roman" w:eastAsia="Times New Roman" w:hint="default"/>
                <w:sz w:val="18"/>
                <w:szCs w:val="18"/>
              </w:rPr>
              <w:t>Consulting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Pte </w:t>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（智桥资讯公司）的议案》，计划以第九批超募资金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 州泰岳（香港）有限公司（以下简称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泰岳香港</w:t>
            </w:r>
            <w:r>
              <w:rPr>
                <w:rFonts w:ascii="Times New Roman" w:hAnsi="Times New Roman" w:cs="Times New Roman" w:eastAsia="Times New Roman" w:hint="default"/>
                <w:sz w:val="18"/>
                <w:szCs w:val="18"/>
              </w:rPr>
              <w:t>”</w:t>
            </w:r>
            <w:r>
              <w:rPr>
                <w:rFonts w:ascii="宋体" w:hAnsi="宋体" w:cs="宋体" w:eastAsia="宋体" w:hint="default"/>
                <w:sz w:val="18"/>
                <w:szCs w:val="18"/>
              </w:rPr>
              <w:t>）进行收购及增资，该等款项的用途包括：</w:t>
            </w:r>
            <w:r>
              <w:rPr>
                <w:rFonts w:ascii="Times New Roman" w:hAnsi="Times New Roman" w:cs="Times New Roman" w:eastAsia="Times New Roman" w:hint="default"/>
                <w:sz w:val="18"/>
                <w:szCs w:val="18"/>
              </w:rPr>
              <w:t>1</w:t>
            </w:r>
            <w:r>
              <w:rPr>
                <w:rFonts w:ascii="宋体" w:hAnsi="宋体" w:cs="宋体" w:eastAsia="宋体" w:hint="default"/>
                <w:sz w:val="18"/>
                <w:szCs w:val="18"/>
              </w:rPr>
              <w:t>、由泰</w:t>
            </w:r>
            <w:r>
              <w:rPr>
                <w:rFonts w:ascii="宋体" w:hAnsi="宋体" w:cs="宋体" w:eastAsia="宋体" w:hint="default"/>
                <w:spacing w:val="-27"/>
                <w:sz w:val="18"/>
                <w:szCs w:val="18"/>
              </w:rPr>
              <w:t> </w:t>
            </w:r>
            <w:r>
              <w:rPr>
                <w:rFonts w:ascii="宋体" w:hAnsi="宋体" w:cs="宋体" w:eastAsia="宋体" w:hint="default"/>
                <w:sz w:val="18"/>
                <w:szCs w:val="18"/>
              </w:rPr>
              <w:t>岳香港使用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CHEN </w:t>
            </w:r>
            <w:r>
              <w:rPr>
                <w:rFonts w:ascii="Times New Roman" w:hAnsi="Times New Roman" w:cs="Times New Roman" w:eastAsia="Times New Roman" w:hint="default"/>
                <w:spacing w:val="-7"/>
                <w:sz w:val="18"/>
                <w:szCs w:val="18"/>
              </w:rPr>
              <w:t>BIN</w:t>
            </w:r>
            <w:r>
              <w:rPr>
                <w:rFonts w:ascii="宋体" w:hAnsi="宋体" w:cs="宋体" w:eastAsia="宋体" w:hint="default"/>
                <w:spacing w:val="-7"/>
                <w:sz w:val="18"/>
                <w:szCs w:val="18"/>
              </w:rPr>
              <w:t>（陈斌）持有的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Minds Consulting 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（智桥资讯</w:t>
            </w:r>
            <w:r>
              <w:rPr>
                <w:rFonts w:ascii="宋体" w:hAnsi="宋体" w:cs="宋体" w:eastAsia="宋体" w:hint="default"/>
                <w:sz w:val="18"/>
                <w:szCs w:val="18"/>
              </w:rPr>
              <w:t> 公司）</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的股权，收购完成后泰岳香港持有智桥资讯公司的股权比例从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增至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，成为智桥资 讯公司的控股公司；</w:t>
            </w:r>
            <w:r>
              <w:rPr>
                <w:rFonts w:ascii="Times New Roman" w:hAnsi="Times New Roman" w:cs="Times New Roman" w:eastAsia="Times New Roman" w:hint="default"/>
                <w:sz w:val="18"/>
                <w:szCs w:val="18"/>
              </w:rPr>
              <w:t>2</w:t>
            </w:r>
            <w:r>
              <w:rPr>
                <w:rFonts w:ascii="宋体" w:hAnsi="宋体" w:cs="宋体" w:eastAsia="宋体" w:hint="default"/>
                <w:sz w:val="18"/>
                <w:szCs w:val="18"/>
              </w:rPr>
              <w:t>、泰岳香港与 </w:t>
            </w:r>
            <w:r>
              <w:rPr>
                <w:rFonts w:ascii="Times New Roman" w:hAnsi="Times New Roman" w:cs="Times New Roman" w:eastAsia="Times New Roman" w:hint="default"/>
                <w:sz w:val="18"/>
                <w:szCs w:val="18"/>
              </w:rPr>
              <w:t>CHEN BIN</w:t>
            </w:r>
            <w:r>
              <w:rPr>
                <w:rFonts w:ascii="宋体" w:hAnsi="宋体" w:cs="宋体" w:eastAsia="宋体" w:hint="default"/>
                <w:sz w:val="18"/>
                <w:szCs w:val="18"/>
              </w:rPr>
              <w:t>（陈斌）按照</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的比例共同对智桥资讯公司 进行增资，增资金额合计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万元，其中泰岳香港增资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万元。至报告期末，上述事项</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全部完成，鉴于汇率因素公司实际投入项目金额为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5,935.84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日，公司第五届董事会第九次会议审议通过了《关于公司使用超募资金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21,669.28</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万元支付收购天津壳木软件有限责任公司的现金对价的议案</w:t>
            </w:r>
            <w:r>
              <w:rPr>
                <w:rFonts w:ascii="宋体" w:hAnsi="宋体" w:cs="宋体" w:eastAsia="宋体" w:hint="default"/>
                <w:spacing w:val="-90"/>
                <w:sz w:val="18"/>
                <w:szCs w:val="18"/>
              </w:rPr>
              <w:t>》、</w:t>
            </w:r>
            <w:r>
              <w:rPr>
                <w:rFonts w:ascii="宋体" w:hAnsi="宋体" w:cs="宋体" w:eastAsia="宋体" w:hint="default"/>
                <w:sz w:val="18"/>
                <w:szCs w:val="18"/>
              </w:rPr>
              <w:t>《关于使用结余募集资金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21,080.72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1"/>
                <w:sz w:val="18"/>
                <w:szCs w:val="18"/>
              </w:rPr>
              <w:t>元支付收购</w:t>
            </w:r>
            <w:r>
              <w:rPr>
                <w:rFonts w:ascii="宋体" w:hAnsi="宋体" w:cs="宋体" w:eastAsia="宋体" w:hint="default"/>
                <w:spacing w:val="2"/>
                <w:sz w:val="18"/>
                <w:szCs w:val="18"/>
              </w:rPr>
              <w:t>天</w:t>
            </w:r>
            <w:r>
              <w:rPr>
                <w:rFonts w:ascii="宋体" w:hAnsi="宋体" w:cs="宋体" w:eastAsia="宋体" w:hint="default"/>
                <w:spacing w:val="1"/>
                <w:sz w:val="18"/>
                <w:szCs w:val="18"/>
              </w:rPr>
              <w:t>津壳木软件</w:t>
            </w:r>
            <w:r>
              <w:rPr>
                <w:rFonts w:ascii="宋体" w:hAnsi="宋体" w:cs="宋体" w:eastAsia="宋体" w:hint="default"/>
                <w:spacing w:val="2"/>
                <w:sz w:val="18"/>
                <w:szCs w:val="18"/>
              </w:rPr>
              <w:t>有</w:t>
            </w:r>
            <w:r>
              <w:rPr>
                <w:rFonts w:ascii="宋体" w:hAnsi="宋体" w:cs="宋体" w:eastAsia="宋体" w:hint="default"/>
                <w:spacing w:val="1"/>
                <w:sz w:val="18"/>
                <w:szCs w:val="18"/>
              </w:rPr>
              <w:t>限责任公司</w:t>
            </w:r>
            <w:r>
              <w:rPr>
                <w:rFonts w:ascii="宋体" w:hAnsi="宋体" w:cs="宋体" w:eastAsia="宋体" w:hint="default"/>
                <w:spacing w:val="2"/>
                <w:sz w:val="18"/>
                <w:szCs w:val="18"/>
              </w:rPr>
              <w:t>的</w:t>
            </w:r>
            <w:r>
              <w:rPr>
                <w:rFonts w:ascii="宋体" w:hAnsi="宋体" w:cs="宋体" w:eastAsia="宋体" w:hint="default"/>
                <w:spacing w:val="1"/>
                <w:sz w:val="18"/>
                <w:szCs w:val="18"/>
              </w:rPr>
              <w:t>现金对价的</w:t>
            </w:r>
            <w:r>
              <w:rPr>
                <w:rFonts w:ascii="宋体" w:hAnsi="宋体" w:cs="宋体" w:eastAsia="宋体" w:hint="default"/>
                <w:spacing w:val="2"/>
                <w:sz w:val="18"/>
                <w:szCs w:val="18"/>
              </w:rPr>
              <w:t>议</w:t>
            </w:r>
            <w:r>
              <w:rPr>
                <w:rFonts w:ascii="宋体" w:hAnsi="宋体" w:cs="宋体" w:eastAsia="宋体" w:hint="default"/>
                <w:spacing w:val="1"/>
                <w:sz w:val="18"/>
                <w:szCs w:val="18"/>
              </w:rPr>
              <w:t>案</w:t>
            </w:r>
            <w:r>
              <w:rPr>
                <w:rFonts w:ascii="宋体" w:hAnsi="宋体" w:cs="宋体" w:eastAsia="宋体" w:hint="default"/>
                <w:spacing w:val="-89"/>
                <w:sz w:val="18"/>
                <w:szCs w:val="18"/>
              </w:rPr>
              <w:t>》</w:t>
            </w:r>
            <w:r>
              <w:rPr>
                <w:rFonts w:ascii="宋体" w:hAnsi="宋体" w:cs="宋体" w:eastAsia="宋体" w:hint="default"/>
                <w:spacing w:val="1"/>
                <w:sz w:val="18"/>
                <w:szCs w:val="18"/>
              </w:rPr>
              <w:t>，计划以</w:t>
            </w:r>
            <w:r>
              <w:rPr>
                <w:rFonts w:ascii="宋体" w:hAnsi="宋体" w:cs="宋体" w:eastAsia="宋体" w:hint="default"/>
                <w:spacing w:val="2"/>
                <w:sz w:val="18"/>
                <w:szCs w:val="18"/>
              </w:rPr>
              <w:t>第</w:t>
            </w:r>
            <w:r>
              <w:rPr>
                <w:rFonts w:ascii="宋体" w:hAnsi="宋体" w:cs="宋体" w:eastAsia="宋体" w:hint="default"/>
                <w:spacing w:val="1"/>
                <w:sz w:val="18"/>
                <w:szCs w:val="18"/>
              </w:rPr>
              <w:t>十批募集资</w:t>
            </w:r>
            <w:r>
              <w:rPr>
                <w:rFonts w:ascii="宋体" w:hAnsi="宋体" w:cs="宋体" w:eastAsia="宋体" w:hint="default"/>
                <w:sz w:val="18"/>
                <w:szCs w:val="18"/>
              </w:rPr>
              <w:t>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42,750.00 </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（包括超募资金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21,669.28  </w:t>
            </w:r>
            <w:r>
              <w:rPr>
                <w:rFonts w:ascii="宋体" w:hAnsi="宋体" w:cs="宋体" w:eastAsia="宋体" w:hint="default"/>
                <w:spacing w:val="-2"/>
                <w:sz w:val="18"/>
                <w:szCs w:val="18"/>
              </w:rPr>
              <w:t>万</w:t>
            </w:r>
            <w:r>
              <w:rPr>
                <w:rFonts w:ascii="宋体" w:hAnsi="宋体" w:cs="宋体" w:eastAsia="宋体" w:hint="default"/>
                <w:sz w:val="18"/>
                <w:szCs w:val="18"/>
              </w:rPr>
              <w:t>元和结余募集资金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21,080.72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作为收购天津壳木软件有限责任公司</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股权的现金对价部分，至报告期末实际投入项目金额为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30,825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万元（包括超募资金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9,744.28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元和结余募集资金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21,080.72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1"/>
                <w:sz w:val="18"/>
                <w:szCs w:val="18"/>
              </w:rPr>
              <w:t>日</w:t>
            </w:r>
            <w:r>
              <w:rPr>
                <w:rFonts w:ascii="宋体" w:hAnsi="宋体" w:cs="宋体" w:eastAsia="宋体" w:hint="default"/>
                <w:spacing w:val="-42"/>
                <w:sz w:val="18"/>
                <w:szCs w:val="18"/>
              </w:rPr>
              <w:t>，</w:t>
            </w:r>
            <w:r>
              <w:rPr>
                <w:rFonts w:ascii="宋体" w:hAnsi="宋体" w:cs="宋体" w:eastAsia="宋体" w:hint="default"/>
                <w:sz w:val="18"/>
                <w:szCs w:val="18"/>
              </w:rPr>
              <w:t>公司第五届董事会第三十四次会议审议通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14"/>
                <w:sz w:val="18"/>
                <w:szCs w:val="18"/>
              </w:rPr>
              <w:t>了</w:t>
            </w:r>
            <w:r>
              <w:rPr>
                <w:rFonts w:ascii="宋体" w:hAnsi="宋体" w:cs="宋体" w:eastAsia="宋体" w:hint="default"/>
                <w:sz w:val="18"/>
                <w:szCs w:val="18"/>
              </w:rPr>
              <w:t>《关于使用节余募集资金永久性补充流动资金的议案</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计划将节余募集资金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12,339.60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4"/>
                <w:sz w:val="18"/>
                <w:szCs w:val="18"/>
              </w:rPr>
              <w:t>元</w:t>
            </w:r>
            <w:r>
              <w:rPr>
                <w:rFonts w:ascii="宋体" w:hAnsi="宋体" w:cs="宋体" w:eastAsia="宋体" w:hint="default"/>
                <w:sz w:val="18"/>
                <w:szCs w:val="18"/>
              </w:rPr>
              <w:t>（包</w:t>
            </w:r>
          </w:p>
          <w:p>
            <w:pPr>
              <w:pStyle w:val="TableParagraph"/>
              <w:spacing w:line="302" w:lineRule="auto" w:before="63"/>
              <w:ind w:left="22" w:right="21"/>
              <w:jc w:val="both"/>
              <w:rPr>
                <w:rFonts w:ascii="宋体" w:hAnsi="宋体" w:cs="宋体" w:eastAsia="宋体" w:hint="default"/>
                <w:sz w:val="18"/>
                <w:szCs w:val="18"/>
              </w:rPr>
            </w:pPr>
            <w:r>
              <w:rPr>
                <w:rFonts w:ascii="宋体" w:hAnsi="宋体" w:cs="宋体" w:eastAsia="宋体" w:hint="default"/>
                <w:spacing w:val="-5"/>
                <w:sz w:val="18"/>
                <w:szCs w:val="18"/>
              </w:rPr>
              <w:t>括利息收入）（具体以转账日金额为准，转账日金额为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12,647.06</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万元）永久性补充流动资金，用于公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司日常生产经营活动。</w:t>
            </w: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5"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5"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日募集资金到账前</w:t>
            </w:r>
            <w:r>
              <w:rPr>
                <w:rFonts w:ascii="宋体" w:hAnsi="宋体" w:cs="宋体" w:eastAsia="宋体" w:hint="default"/>
                <w:spacing w:val="-90"/>
                <w:sz w:val="18"/>
                <w:szCs w:val="18"/>
              </w:rPr>
              <w:t>，</w:t>
            </w:r>
            <w:r>
              <w:rPr>
                <w:rFonts w:ascii="宋体" w:hAnsi="宋体" w:cs="宋体" w:eastAsia="宋体" w:hint="default"/>
                <w:sz w:val="18"/>
                <w:szCs w:val="18"/>
              </w:rPr>
              <w:t>公司以自筹资金预先投入募集资金投资项目实际投资额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957.25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万元，业经立信会计师事务所出具信会师报字（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11945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号《关于北京神州泰岳软件股份有限</w:t>
            </w:r>
          </w:p>
          <w:p>
            <w:pPr>
              <w:pStyle w:val="TableParagraph"/>
              <w:spacing w:line="302"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公司以自筹资金预先投入募投项目的鉴证报告》鉴证确认，置换资金已于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月份从募集资金 专户转出。</w:t>
            </w: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日，公司第五届董事会第二十四次会议审议通过了《关于公司使用节余募集资金暂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计划从节余募集资金中使用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90"/>
                <w:sz w:val="18"/>
                <w:szCs w:val="18"/>
              </w:rPr>
              <w:t>，</w:t>
            </w:r>
            <w:r>
              <w:rPr>
                <w:rFonts w:ascii="宋体" w:hAnsi="宋体" w:cs="宋体" w:eastAsia="宋体" w:hint="default"/>
                <w:sz w:val="18"/>
                <w:szCs w:val="18"/>
              </w:rPr>
              <w:t>使用期限为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月，用于公司日常生产经营活动。</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日，上述资金已全部归还至募集资金专户。</w:t>
            </w:r>
          </w:p>
        </w:tc>
      </w:tr>
      <w:tr>
        <w:trPr>
          <w:trHeight w:val="402" w:hRule="exact"/>
        </w:trPr>
        <w:tc>
          <w:tcPr>
            <w:tcW w:w="1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0"/>
              <w:ind w:left="22"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3" w:hRule="exact"/>
        </w:trPr>
        <w:tc>
          <w:tcPr>
            <w:tcW w:w="1775"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公司加快软件系统开发进度，调整设备配置、降低设备投入款，采用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边开发、边上线、边销售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的方</w:t>
            </w:r>
            <w:r>
              <w:rPr>
                <w:rFonts w:ascii="宋体" w:hAnsi="宋体" w:cs="宋体" w:eastAsia="宋体" w:hint="default"/>
                <w:spacing w:val="-70"/>
                <w:sz w:val="18"/>
                <w:szCs w:val="18"/>
              </w:rPr>
              <w:t> </w:t>
            </w:r>
            <w:r>
              <w:rPr>
                <w:rFonts w:ascii="宋体" w:hAnsi="宋体" w:cs="宋体" w:eastAsia="宋体" w:hint="default"/>
                <w:sz w:val="18"/>
                <w:szCs w:val="18"/>
              </w:rPr>
              <w:t>式加速销售实现与回款，减少流动资金投入，这些因素使募集资金项目的总投资额减少了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20,731.41 </w:t>
            </w:r>
            <w:r>
              <w:rPr>
                <w:rFonts w:ascii="宋体" w:hAnsi="宋体" w:cs="宋体" w:eastAsia="宋体" w:hint="default"/>
                <w:spacing w:val="-3"/>
                <w:sz w:val="18"/>
                <w:szCs w:val="18"/>
              </w:rPr>
              <w:t>万元，其中：</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、飞信平台大规模改造升级减少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2,475.11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、电信综合网管产品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Ultra-TIMP </w:t>
            </w:r>
            <w:r>
              <w:rPr>
                <w:rFonts w:ascii="宋体" w:hAnsi="宋体" w:cs="宋体" w:eastAsia="宋体" w:hint="default"/>
                <w:sz w:val="18"/>
                <w:szCs w:val="18"/>
              </w:rPr>
              <w:t>减少 </w:t>
            </w:r>
            <w:r>
              <w:rPr>
                <w:rFonts w:ascii="Times New Roman" w:hAnsi="Times New Roman" w:cs="Times New Roman" w:eastAsia="Times New Roman" w:hint="default"/>
                <w:sz w:val="18"/>
                <w:szCs w:val="18"/>
              </w:rPr>
              <w:t>5,041.10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、无线网络优化平台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Ultra-WOSS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3,320.04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IT </w:t>
            </w:r>
            <w:r>
              <w:rPr>
                <w:rFonts w:ascii="宋体" w:hAnsi="宋体" w:cs="宋体" w:eastAsia="宋体" w:hint="default"/>
                <w:sz w:val="18"/>
                <w:szCs w:val="18"/>
              </w:rPr>
              <w:t>监控管理平台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Ultra-</w:t>
            </w:r>
            <w:r>
              <w:rPr>
                <w:rFonts w:ascii="Times New Roman" w:hAnsi="Times New Roman" w:cs="Times New Roman" w:eastAsia="Times New Roman" w:hint="default"/>
                <w:sz w:val="18"/>
                <w:szCs w:val="18"/>
              </w:rPr>
              <w:t>ΣM</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系列软件减少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3,972.56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宋体" w:hAnsi="宋体" w:cs="宋体" w:eastAsia="宋体" w:hint="default"/>
                <w:sz w:val="18"/>
                <w:szCs w:val="18"/>
              </w:rPr>
              <w:t>、运维服务流程管理系统减少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3,450.52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w:t>
            </w:r>
            <w:r>
              <w:rPr>
                <w:rFonts w:ascii="宋体" w:hAnsi="宋体" w:cs="宋体" w:eastAsia="宋体" w:hint="default"/>
                <w:sz w:val="18"/>
                <w:szCs w:val="18"/>
              </w:rPr>
              <w:t>、新一代安全运行管理</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z w:val="18"/>
                <w:szCs w:val="18"/>
              </w:rPr>
              <w:t>C3.0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2,472.08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超募资金使用结余情况</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25,453.85</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1226" w:top="1420" w:bottom="1420" w:left="880" w:right="102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75"/>
        <w:gridCol w:w="7938"/>
      </w:tblGrid>
      <w:tr>
        <w:trPr>
          <w:trHeight w:val="992" w:hRule="exact"/>
        </w:trPr>
        <w:tc>
          <w:tcPr>
            <w:tcW w:w="1775"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万元购置与建设研发及办公用房，截至年末实际投入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24,077.12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万元，该项目均已支付完毕，该项目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万元，收购及增资智桥资讯公司，截止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日由于汇率因素实际投入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5,935.84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万元，该项目已支付完成，该项目结余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pacing w:val="-1"/>
                <w:sz w:val="18"/>
                <w:szCs w:val="18"/>
              </w:rPr>
              <w:t>项目仍在实施的，尚未使用的募集资金存放在募集资金专户；项目实施完成的，剩余资金也仍存放在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募集资金账户。公司将根据发展规划及实际生产经营需求，妥善安排使用计划，提交董事会审议通过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后及时披露。</w:t>
            </w:r>
          </w:p>
        </w:tc>
      </w:tr>
      <w:tr>
        <w:trPr>
          <w:trHeight w:val="1027" w:hRule="exact"/>
        </w:trPr>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Heading4"/>
        <w:spacing w:line="240" w:lineRule="auto" w:before="44"/>
        <w:ind w:left="254" w:right="6312"/>
        <w:jc w:val="left"/>
        <w:rPr>
          <w:b w:val="0"/>
          <w:bCs w:val="0"/>
        </w:rPr>
      </w:pP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19"/>
          <w:szCs w:val="19"/>
        </w:rPr>
      </w:pPr>
    </w:p>
    <w:p>
      <w:pPr>
        <w:pStyle w:val="BodyText"/>
        <w:spacing w:line="489" w:lineRule="auto"/>
        <w:ind w:left="254" w:right="63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公司报告期不存在募集资金变更项目情况。</w:t>
      </w:r>
    </w:p>
    <w:p>
      <w:pPr>
        <w:pStyle w:val="Heading4"/>
        <w:spacing w:line="240" w:lineRule="auto" w:before="85"/>
        <w:ind w:left="254" w:right="6312"/>
        <w:jc w:val="left"/>
        <w:rPr>
          <w:b w:val="0"/>
          <w:bCs w:val="0"/>
        </w:rPr>
      </w:pPr>
      <w:r>
        <w:rPr>
          <w:rFonts w:ascii="Times New Roman" w:hAnsi="Times New Roman" w:cs="Times New Roman" w:eastAsia="Times New Roman" w:hint="default"/>
        </w:rPr>
        <w:t>3</w:t>
      </w:r>
      <w:r>
        <w:rPr/>
        <w:t>）非募集资金投资的重大项目情况</w:t>
      </w:r>
      <w:r>
        <w:rPr>
          <w:b w:val="0"/>
          <w:bCs w:val="0"/>
        </w:rPr>
      </w:r>
    </w:p>
    <w:p>
      <w:pPr>
        <w:spacing w:line="240" w:lineRule="auto" w:before="5"/>
        <w:rPr>
          <w:rFonts w:ascii="宋体" w:hAnsi="宋体" w:cs="宋体" w:eastAsia="宋体" w:hint="default"/>
          <w:b/>
          <w:bCs/>
          <w:sz w:val="10"/>
          <w:szCs w:val="10"/>
        </w:rPr>
      </w:pPr>
    </w:p>
    <w:p>
      <w:pPr>
        <w:pStyle w:val="BodyText"/>
        <w:spacing w:line="240" w:lineRule="auto" w:before="44"/>
        <w:ind w:left="0" w:right="110"/>
        <w:jc w:val="right"/>
      </w:pPr>
      <w:r>
        <w:rPr/>
        <w:t>单位：万元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419"/>
        <w:gridCol w:w="973"/>
        <w:gridCol w:w="1196"/>
        <w:gridCol w:w="1197"/>
        <w:gridCol w:w="1195"/>
        <w:gridCol w:w="966"/>
        <w:gridCol w:w="1702"/>
        <w:gridCol w:w="920"/>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1" w:right="30" w:hanging="360"/>
              <w:jc w:val="left"/>
              <w:rPr>
                <w:rFonts w:ascii="宋体" w:hAnsi="宋体" w:cs="宋体" w:eastAsia="宋体" w:hint="default"/>
                <w:sz w:val="18"/>
                <w:szCs w:val="18"/>
              </w:rPr>
            </w:pPr>
            <w:r>
              <w:rPr>
                <w:rFonts w:ascii="宋体" w:hAnsi="宋体" w:cs="宋体" w:eastAsia="宋体" w:hint="default"/>
                <w:sz w:val="18"/>
                <w:szCs w:val="18"/>
              </w:rPr>
              <w:t>计划投资总 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5"/>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对全资子公司北 京神州泰岳信息 安全技术有限公 司增资</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2014-016</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59"/>
              <w:jc w:val="left"/>
              <w:rPr>
                <w:rFonts w:ascii="Times New Roman" w:hAnsi="Times New Roman" w:cs="Times New Roman" w:eastAsia="Times New Roman" w:hint="default"/>
                <w:sz w:val="18"/>
                <w:szCs w:val="18"/>
              </w:rPr>
            </w:pPr>
            <w:r>
              <w:rPr>
                <w:rFonts w:ascii="宋体" w:hAnsi="宋体" w:cs="宋体" w:eastAsia="宋体" w:hint="default"/>
                <w:sz w:val="18"/>
                <w:szCs w:val="18"/>
              </w:rPr>
              <w:t>设立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Ultrapower 360 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10,147.34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10,147.34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10,147.34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-1,537.18</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16147.34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16147.34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16147.34</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-1280.62</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line="504" w:lineRule="auto" w:before="44"/>
        <w:ind w:left="253" w:right="63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持有其他上市公司股权情况</w:t>
      </w:r>
      <w:r>
        <w:rPr>
          <w:rFonts w:ascii="宋体" w:hAnsi="宋体" w:cs="宋体" w:eastAsia="宋体" w:hint="default"/>
          <w:b/>
          <w:bCs/>
          <w:w w:val="99"/>
          <w:sz w:val="18"/>
          <w:szCs w:val="18"/>
        </w:rPr>
        <w:t> </w:t>
      </w:r>
      <w:r>
        <w:rPr>
          <w:rFonts w:ascii="宋体" w:hAnsi="宋体" w:cs="宋体" w:eastAsia="宋体" w:hint="default"/>
          <w:sz w:val="18"/>
          <w:szCs w:val="18"/>
        </w:rPr>
        <w:t>公司未持有其他上市公司股权的情况。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持有金融企业股权情况</w:t>
      </w:r>
      <w:r>
        <w:rPr>
          <w:rFonts w:ascii="宋体" w:hAnsi="宋体" w:cs="宋体" w:eastAsia="宋体" w:hint="default"/>
          <w:b/>
          <w:bCs/>
          <w:w w:val="99"/>
          <w:sz w:val="18"/>
          <w:szCs w:val="18"/>
        </w:rPr>
        <w:t> </w:t>
      </w:r>
      <w:r>
        <w:rPr>
          <w:rFonts w:ascii="宋体" w:hAnsi="宋体" w:cs="宋体" w:eastAsia="宋体" w:hint="default"/>
          <w:sz w:val="18"/>
          <w:szCs w:val="18"/>
        </w:rPr>
        <w:t>公司未持有非上市金融企业股权的情况。 </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买卖其他上市公司股份的情况</w:t>
      </w:r>
      <w:r>
        <w:rPr>
          <w:rFonts w:ascii="宋体" w:hAnsi="宋体" w:cs="宋体" w:eastAsia="宋体" w:hint="default"/>
          <w:b/>
          <w:bCs/>
          <w:w w:val="99"/>
          <w:sz w:val="18"/>
          <w:szCs w:val="18"/>
        </w:rPr>
        <w:t> </w:t>
      </w:r>
      <w:r>
        <w:rPr>
          <w:rFonts w:ascii="宋体" w:hAnsi="宋体" w:cs="宋体" w:eastAsia="宋体" w:hint="default"/>
          <w:sz w:val="18"/>
          <w:szCs w:val="18"/>
        </w:rPr>
        <w:t>公司未发生买卖其他上市公司股权的情况。 </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）以公允价值计量的金融资产</w:t>
      </w:r>
      <w:r>
        <w:rPr>
          <w:rFonts w:ascii="宋体" w:hAnsi="宋体" w:cs="宋体" w:eastAsia="宋体" w:hint="default"/>
          <w:sz w:val="18"/>
          <w:szCs w:val="18"/>
        </w:rPr>
      </w:r>
    </w:p>
    <w:p>
      <w:pPr>
        <w:pStyle w:val="BodyText"/>
        <w:spacing w:line="240" w:lineRule="auto" w:before="40"/>
        <w:ind w:left="0" w:right="110"/>
        <w:jc w:val="right"/>
      </w:pPr>
      <w:r>
        <w:rPr/>
        <w:t>单位：元</w:t>
      </w:r>
    </w:p>
    <w:p>
      <w:pPr>
        <w:spacing w:line="240" w:lineRule="auto" w:before="4"/>
        <w:rPr>
          <w:rFonts w:ascii="宋体" w:hAnsi="宋体" w:cs="宋体" w:eastAsia="宋体" w:hint="default"/>
          <w:sz w:val="14"/>
          <w:szCs w:val="14"/>
        </w:rPr>
      </w:pPr>
    </w:p>
    <w:tbl>
      <w:tblPr>
        <w:tblW w:w="0" w:type="auto"/>
        <w:jc w:val="left"/>
        <w:tblInd w:w="249" w:type="dxa"/>
        <w:tblLayout w:type="fixed"/>
        <w:tblCellMar>
          <w:top w:w="0" w:type="dxa"/>
          <w:left w:w="0" w:type="dxa"/>
          <w:bottom w:w="0" w:type="dxa"/>
          <w:right w:w="0" w:type="dxa"/>
        </w:tblCellMar>
        <w:tblLook w:val="01E0"/>
      </w:tblPr>
      <w:tblGrid>
        <w:gridCol w:w="1702"/>
        <w:gridCol w:w="1276"/>
        <w:gridCol w:w="851"/>
        <w:gridCol w:w="992"/>
        <w:gridCol w:w="1134"/>
        <w:gridCol w:w="745"/>
        <w:gridCol w:w="814"/>
        <w:gridCol w:w="1262"/>
        <w:gridCol w:w="791"/>
      </w:tblGrid>
      <w:tr>
        <w:trPr>
          <w:trHeight w:val="7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0" w:right="59"/>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0" w:right="41"/>
              <w:jc w:val="left"/>
              <w:rPr>
                <w:rFonts w:ascii="宋体" w:hAnsi="宋体" w:cs="宋体" w:eastAsia="宋体" w:hint="default"/>
                <w:sz w:val="18"/>
                <w:szCs w:val="18"/>
              </w:rPr>
            </w:pPr>
            <w:r>
              <w:rPr>
                <w:rFonts w:ascii="宋体" w:hAnsi="宋体" w:cs="宋体" w:eastAsia="宋体" w:hint="default"/>
                <w:sz w:val="18"/>
                <w:szCs w:val="18"/>
              </w:rPr>
              <w:t>计入权益的 累计公允价</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7" w:right="96"/>
              <w:jc w:val="left"/>
              <w:rPr>
                <w:rFonts w:ascii="宋体" w:hAnsi="宋体" w:cs="宋体" w:eastAsia="宋体" w:hint="default"/>
                <w:sz w:val="18"/>
                <w:szCs w:val="18"/>
              </w:rPr>
            </w:pPr>
            <w:r>
              <w:rPr>
                <w:rFonts w:ascii="宋体" w:hAnsi="宋体" w:cs="宋体" w:eastAsia="宋体" w:hint="default"/>
                <w:sz w:val="18"/>
                <w:szCs w:val="18"/>
              </w:rPr>
              <w:t>报告期 内售出</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1" w:right="4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851" w:footer="1226" w:top="1380" w:bottom="1420" w:left="880" w:right="102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9"/>
        <w:gridCol w:w="1288"/>
        <w:gridCol w:w="851"/>
        <w:gridCol w:w="992"/>
        <w:gridCol w:w="1134"/>
        <w:gridCol w:w="745"/>
        <w:gridCol w:w="814"/>
        <w:gridCol w:w="1262"/>
        <w:gridCol w:w="792"/>
      </w:tblGrid>
      <w:tr>
        <w:trPr>
          <w:trHeight w:val="373" w:hRule="exact"/>
        </w:trPr>
        <w:tc>
          <w:tcPr>
            <w:tcW w:w="167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0"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99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0"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13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6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11"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其变动计入当期损益 的金融资产（不含衍 生金融资产）</w:t>
            </w:r>
          </w:p>
        </w:tc>
        <w:tc>
          <w:tcPr>
            <w:tcW w:w="1288"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88"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288"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1,004,205.37</w:t>
            </w: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266,004,205.37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288"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1,004,205.37</w:t>
            </w:r>
          </w:p>
        </w:tc>
        <w:tc>
          <w:tcPr>
            <w:tcW w:w="7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266,004,205.37</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主要控股参股公司分析" w:id="25"/>
      <w:bookmarkEnd w:id="25"/>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北京新媒 传信科技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飞信开发 </w:t>
            </w:r>
            <w:r>
              <w:rPr>
                <w:rFonts w:ascii="宋体" w:hAnsi="宋体" w:cs="宋体" w:eastAsia="宋体" w:hint="default"/>
                <w:spacing w:val="-3"/>
                <w:sz w:val="18"/>
                <w:szCs w:val="18"/>
              </w:rPr>
              <w:t>及运营、融</w:t>
            </w:r>
            <w:r>
              <w:rPr>
                <w:rFonts w:ascii="宋体" w:hAnsi="宋体" w:cs="宋体" w:eastAsia="宋体" w:hint="default"/>
                <w:sz w:val="18"/>
                <w:szCs w:val="18"/>
              </w:rPr>
              <w:t> 合通信解 决方案等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727,242,51</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9.61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683,753,21</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7.66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420,127,80</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9.28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112,695,4</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36.91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113,436,252.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神州泰岳 信息安全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信息安全 解决方案</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81,603,779.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79,101,139.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30,323,121.</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2,551,642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2,565,642.34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重庆新媒 农信科技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农村信息 网的开发 建设及运 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103,300,00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227,334,47</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2.73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213,451,93</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3.93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61,651,094.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10,382,20</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1.67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9,880,467.74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北京神州 泰岳系统 集成有限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both"/>
              <w:rPr>
                <w:rFonts w:ascii="宋体" w:hAnsi="宋体" w:cs="宋体" w:eastAsia="宋体" w:hint="default"/>
                <w:sz w:val="18"/>
                <w:szCs w:val="18"/>
              </w:rPr>
            </w:pPr>
            <w:r>
              <w:rPr>
                <w:rFonts w:ascii="宋体" w:hAnsi="宋体" w:cs="宋体" w:eastAsia="宋体" w:hint="default"/>
                <w:sz w:val="18"/>
                <w:szCs w:val="18"/>
              </w:rPr>
              <w:t>计算机系 统集成业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420,019,09</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6.41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103,926,15</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3.80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870,324,48</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5.34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9,697,330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7,367,354.96</w:t>
            </w:r>
          </w:p>
        </w:tc>
      </w:tr>
      <w:tr>
        <w:trPr>
          <w:trHeight w:val="22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宁波普天 通信技术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通信技术 </w:t>
            </w:r>
            <w:r>
              <w:rPr>
                <w:rFonts w:ascii="宋体" w:hAnsi="宋体" w:cs="宋体" w:eastAsia="宋体" w:hint="default"/>
                <w:spacing w:val="-3"/>
                <w:sz w:val="18"/>
                <w:szCs w:val="18"/>
              </w:rPr>
              <w:t>开发，通信</w:t>
            </w:r>
            <w:r>
              <w:rPr>
                <w:rFonts w:ascii="宋体" w:hAnsi="宋体" w:cs="宋体" w:eastAsia="宋体" w:hint="default"/>
                <w:sz w:val="18"/>
                <w:szCs w:val="18"/>
              </w:rPr>
              <w:t> 设备测试、 维修、服 </w:t>
            </w:r>
            <w:r>
              <w:rPr>
                <w:rFonts w:ascii="宋体" w:hAnsi="宋体" w:cs="宋体" w:eastAsia="宋体" w:hint="default"/>
                <w:spacing w:val="-3"/>
                <w:sz w:val="18"/>
                <w:szCs w:val="18"/>
              </w:rPr>
              <w:t>务、计算机</w:t>
            </w:r>
            <w:r>
              <w:rPr>
                <w:rFonts w:ascii="宋体" w:hAnsi="宋体" w:cs="宋体" w:eastAsia="宋体" w:hint="default"/>
                <w:sz w:val="18"/>
                <w:szCs w:val="18"/>
              </w:rPr>
              <w:t> 软硬件技 术服务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265,472,20</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4.31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213,666,47</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7.27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134,318,79</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9.93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52,092,44</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4.96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52,990,443.3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天津壳木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计算机应</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《小小帝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1"/>
              <w:jc w:val="center"/>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center"/>
              <w:rPr>
                <w:rFonts w:ascii="Times New Roman" w:hAnsi="Times New Roman" w:cs="Times New Roman" w:eastAsia="Times New Roman" w:hint="default"/>
                <w:sz w:val="18"/>
                <w:szCs w:val="18"/>
              </w:rPr>
            </w:pPr>
            <w:r>
              <w:rPr>
                <w:rFonts w:ascii="Times New Roman"/>
                <w:sz w:val="18"/>
              </w:rPr>
              <w:t>194,456,64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center"/>
              <w:rPr>
                <w:rFonts w:ascii="Times New Roman" w:hAnsi="Times New Roman" w:cs="Times New Roman" w:eastAsia="Times New Roman" w:hint="default"/>
                <w:sz w:val="18"/>
                <w:szCs w:val="18"/>
              </w:rPr>
            </w:pPr>
            <w:r>
              <w:rPr>
                <w:rFonts w:ascii="Times New Roman"/>
                <w:sz w:val="18"/>
              </w:rPr>
              <w:t>178,504,75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0" w:right="0"/>
              <w:jc w:val="left"/>
              <w:rPr>
                <w:rFonts w:ascii="Times New Roman" w:hAnsi="Times New Roman" w:cs="Times New Roman" w:eastAsia="Times New Roman" w:hint="default"/>
                <w:sz w:val="18"/>
                <w:szCs w:val="18"/>
              </w:rPr>
            </w:pPr>
            <w:r>
              <w:rPr>
                <w:rFonts w:ascii="Times New Roman"/>
                <w:sz w:val="18"/>
              </w:rPr>
              <w:t>105,255,26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97,015,95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8" w:right="0"/>
              <w:jc w:val="center"/>
              <w:rPr>
                <w:rFonts w:ascii="Times New Roman" w:hAnsi="Times New Roman" w:cs="Times New Roman" w:eastAsia="Times New Roman" w:hint="default"/>
                <w:sz w:val="18"/>
                <w:szCs w:val="18"/>
              </w:rPr>
            </w:pPr>
            <w:r>
              <w:rPr>
                <w:rFonts w:ascii="Times New Roman"/>
                <w:sz w:val="18"/>
              </w:rPr>
              <w:t>89,854,403.2</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1226" w:top="138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622" w:hRule="exact"/>
        </w:trPr>
        <w:tc>
          <w:tcPr>
            <w:tcW w:w="946"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软件有限 责任公司</w:t>
            </w:r>
          </w:p>
        </w:tc>
        <w:tc>
          <w:tcPr>
            <w:tcW w:w="1075" w:type="dxa"/>
            <w:tcBorders>
              <w:top w:val="single" w:sz="10" w:space="0" w:color="000000"/>
              <w:left w:val="single" w:sz="4" w:space="0" w:color="000000"/>
              <w:bottom w:val="single" w:sz="4" w:space="0" w:color="000000"/>
              <w:right w:val="single" w:sz="4" w:space="0" w:color="000000"/>
            </w:tcBorders>
          </w:tcPr>
          <w:p>
            <w:pPr/>
          </w:p>
        </w:tc>
        <w:tc>
          <w:tcPr>
            <w:tcW w:w="9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用服务业</w:t>
            </w:r>
          </w:p>
        </w:tc>
        <w:tc>
          <w:tcPr>
            <w:tcW w:w="94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3"/>
                <w:sz w:val="18"/>
                <w:szCs w:val="18"/>
              </w:rPr>
              <w:t>国》、《刀塔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帝国》等手</w:t>
            </w:r>
            <w:r>
              <w:rPr>
                <w:rFonts w:ascii="宋体" w:hAnsi="宋体" w:cs="宋体" w:eastAsia="宋体" w:hint="default"/>
                <w:sz w:val="18"/>
                <w:szCs w:val="18"/>
              </w:rPr>
              <w:t> 机游戏的 开发与运 营</w:t>
            </w:r>
          </w:p>
        </w:tc>
        <w:tc>
          <w:tcPr>
            <w:tcW w:w="9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Times New Roman" w:hAnsi="Times New Roman" w:cs="Times New Roman" w:eastAsia="Times New Roman" w:hint="default"/>
                <w:sz w:val="18"/>
                <w:szCs w:val="18"/>
              </w:rPr>
            </w:pPr>
            <w:r>
              <w:rPr>
                <w:rFonts w:ascii="Times New Roman"/>
                <w:sz w:val="18"/>
              </w:rPr>
              <w:t>5.23</w:t>
            </w:r>
          </w:p>
        </w:tc>
        <w:tc>
          <w:tcPr>
            <w:tcW w:w="9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95" w:right="0"/>
              <w:jc w:val="left"/>
              <w:rPr>
                <w:rFonts w:ascii="Times New Roman" w:hAnsi="Times New Roman" w:cs="Times New Roman" w:eastAsia="Times New Roman" w:hint="default"/>
                <w:sz w:val="18"/>
                <w:szCs w:val="18"/>
              </w:rPr>
            </w:pPr>
            <w:r>
              <w:rPr>
                <w:rFonts w:ascii="Times New Roman"/>
                <w:sz w:val="18"/>
              </w:rPr>
              <w:t>8.97</w:t>
            </w:r>
          </w:p>
        </w:tc>
        <w:tc>
          <w:tcPr>
            <w:tcW w:w="9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Times New Roman" w:hAnsi="Times New Roman" w:cs="Times New Roman" w:eastAsia="Times New Roman" w:hint="default"/>
                <w:sz w:val="18"/>
                <w:szCs w:val="18"/>
              </w:rPr>
            </w:pPr>
            <w:r>
              <w:rPr>
                <w:rFonts w:ascii="Times New Roman"/>
                <w:sz w:val="18"/>
              </w:rPr>
              <w:t>9.82</w:t>
            </w:r>
          </w:p>
        </w:tc>
        <w:tc>
          <w:tcPr>
            <w:tcW w:w="80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460" w:right="0"/>
              <w:jc w:val="left"/>
              <w:rPr>
                <w:rFonts w:ascii="Times New Roman" w:hAnsi="Times New Roman" w:cs="Times New Roman" w:eastAsia="Times New Roman" w:hint="default"/>
                <w:sz w:val="18"/>
                <w:szCs w:val="18"/>
              </w:rPr>
            </w:pPr>
            <w:r>
              <w:rPr>
                <w:rFonts w:ascii="Times New Roman"/>
                <w:sz w:val="18"/>
              </w:rPr>
              <w:t>7.91</w:t>
            </w:r>
          </w:p>
        </w:tc>
        <w:tc>
          <w:tcPr>
            <w:tcW w:w="10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91"/>
              <w:jc w:val="both"/>
              <w:rPr>
                <w:rFonts w:ascii="宋体" w:hAnsi="宋体" w:cs="宋体" w:eastAsia="宋体" w:hint="default"/>
                <w:sz w:val="18"/>
                <w:szCs w:val="18"/>
              </w:rPr>
            </w:pPr>
            <w:r>
              <w:rPr>
                <w:rFonts w:ascii="宋体" w:hAnsi="宋体" w:cs="宋体" w:eastAsia="宋体" w:hint="default"/>
                <w:sz w:val="18"/>
                <w:szCs w:val="18"/>
              </w:rPr>
              <w:t>北京广通 神州网络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9"/>
              <w:jc w:val="left"/>
              <w:rPr>
                <w:rFonts w:ascii="宋体" w:hAnsi="宋体" w:cs="宋体" w:eastAsia="宋体" w:hint="default"/>
                <w:sz w:val="18"/>
                <w:szCs w:val="18"/>
              </w:rPr>
            </w:pPr>
            <w:r>
              <w:rPr>
                <w:rFonts w:ascii="宋体" w:hAnsi="宋体" w:cs="宋体" w:eastAsia="宋体" w:hint="default"/>
                <w:sz w:val="18"/>
                <w:szCs w:val="18"/>
              </w:rPr>
              <w:t>移动增值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25,880,000.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22,879,303.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14,392,927.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30,308,999.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4,362,715.78</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神州泰岳</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pacing w:val="-3"/>
                <w:sz w:val="18"/>
                <w:szCs w:val="18"/>
              </w:rPr>
              <w:t>（香港）有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海外业务 投资平台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244,091,43</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7.72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110,233,90</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0.65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17,791,877.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-33,435,8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94.79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-33,428,368.5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22"/>
              <w:jc w:val="left"/>
              <w:rPr>
                <w:rFonts w:ascii="宋体" w:hAnsi="宋体" w:cs="宋体" w:eastAsia="宋体" w:hint="default"/>
                <w:sz w:val="18"/>
                <w:szCs w:val="18"/>
              </w:rPr>
            </w:pPr>
            <w:r>
              <w:rPr>
                <w:rFonts w:ascii="宋体" w:hAnsi="宋体" w:cs="宋体" w:eastAsia="宋体" w:hint="default"/>
                <w:sz w:val="18"/>
                <w:szCs w:val="18"/>
              </w:rPr>
              <w:t>奇点新源 国际技术 开发（北 </w:t>
            </w:r>
            <w:r>
              <w:rPr>
                <w:rFonts w:ascii="宋体" w:hAnsi="宋体" w:cs="宋体" w:eastAsia="宋体" w:hint="default"/>
                <w:spacing w:val="-3"/>
                <w:sz w:val="18"/>
                <w:szCs w:val="18"/>
              </w:rPr>
              <w:t>京）有限公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基于物联 网领域的 技术开发 与服务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20,063,561.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-11,804,461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1,217,525.0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-10,993,8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86.32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-10,573,286.3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91"/>
              <w:jc w:val="both"/>
              <w:rPr>
                <w:rFonts w:ascii="宋体" w:hAnsi="宋体" w:cs="宋体" w:eastAsia="宋体" w:hint="default"/>
                <w:sz w:val="18"/>
                <w:szCs w:val="18"/>
              </w:rPr>
            </w:pPr>
            <w:r>
              <w:rPr>
                <w:rFonts w:ascii="宋体" w:hAnsi="宋体" w:cs="宋体" w:eastAsia="宋体" w:hint="default"/>
                <w:sz w:val="18"/>
                <w:szCs w:val="18"/>
              </w:rPr>
              <w:t>北京神州 泰岳良品 电子商务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80,005,362.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71,724,858.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132,273,86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7.38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-8,043,70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-6,885,416.13</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91"/>
              <w:jc w:val="both"/>
              <w:rPr>
                <w:rFonts w:ascii="宋体" w:hAnsi="宋体" w:cs="宋体" w:eastAsia="宋体" w:hint="default"/>
                <w:sz w:val="18"/>
                <w:szCs w:val="18"/>
              </w:rPr>
            </w:pPr>
            <w:r>
              <w:rPr>
                <w:rFonts w:ascii="宋体" w:hAnsi="宋体" w:cs="宋体" w:eastAsia="宋体" w:hint="default"/>
                <w:sz w:val="18"/>
                <w:szCs w:val="18"/>
              </w:rPr>
              <w:t>北京神州 泰岳智能 数据技术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19,385,394.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10,773,695.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13,481,729.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-1,088,14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-1,088,146.60</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91"/>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7"/>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89"/>
              <w:jc w:val="left"/>
              <w:rPr>
                <w:rFonts w:ascii="宋体" w:hAnsi="宋体" w:cs="宋体" w:eastAsia="宋体" w:hint="default"/>
                <w:sz w:val="18"/>
                <w:szCs w:val="18"/>
              </w:rPr>
            </w:pPr>
            <w:r>
              <w:rPr>
                <w:rFonts w:ascii="宋体" w:hAnsi="宋体" w:cs="宋体" w:eastAsia="宋体" w:hint="default"/>
                <w:sz w:val="18"/>
                <w:szCs w:val="18"/>
              </w:rPr>
              <w:t>软件服务 外包</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134,705,00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2,163,360,8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02.22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1,075,437,9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52.57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1,249,822,7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26.27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65,174,09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102,446,887.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2"/>
        <w:rPr>
          <w:rFonts w:ascii="宋体" w:hAnsi="宋体" w:cs="宋体" w:eastAsia="宋体" w:hint="default"/>
          <w:sz w:val="6"/>
          <w:szCs w:val="6"/>
        </w:rPr>
      </w:pPr>
    </w:p>
    <w:p>
      <w:pPr>
        <w:pStyle w:val="Heading4"/>
        <w:spacing w:line="240" w:lineRule="auto" w:before="44"/>
        <w:ind w:left="114" w:right="209"/>
        <w:jc w:val="left"/>
        <w:rPr>
          <w:b w:val="0"/>
          <w:bCs w:val="0"/>
        </w:rPr>
      </w:pPr>
      <w:r>
        <w:rPr/>
        <w:t>报告期内取得和处置子公司的情况</w:t>
      </w:r>
      <w:r>
        <w:rPr>
          <w:b w:val="0"/>
          <w:bCs w:val="0"/>
        </w:rPr>
      </w:r>
    </w:p>
    <w:p>
      <w:pPr>
        <w:spacing w:line="240" w:lineRule="auto" w:before="13"/>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进军游戏行业，实施多元化发 展战略。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发行股份和支付现金购买其</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使上市公司进入游戏行业，对 合并净利润影响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北京神州泰岳智能数据技术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提升公司在互联网运营支撑 领域的行业竞争力，发展大数 据业务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现金收购及增资方式取得其</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年处于转型期，对合并净利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润影响</w:t>
            </w:r>
            <w:r>
              <w:rPr>
                <w:rFonts w:ascii="Times New Roman" w:hAnsi="Times New Roman" w:cs="Times New Roman" w:eastAsia="Times New Roman" w:hint="default"/>
                <w:sz w:val="18"/>
                <w:szCs w:val="18"/>
              </w:rPr>
              <w:t>-31.48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19"/>
              <w:jc w:val="left"/>
              <w:rPr>
                <w:rFonts w:ascii="Times New Roman" w:hAnsi="Times New Roman" w:cs="Times New Roman" w:eastAsia="Times New Roman" w:hint="default"/>
                <w:sz w:val="18"/>
                <w:szCs w:val="18"/>
              </w:rPr>
            </w:pPr>
            <w:r>
              <w:rPr>
                <w:rFonts w:ascii="Times New Roman"/>
                <w:sz w:val="18"/>
              </w:rPr>
              <w:t>ULTRAPOWER 360</w:t>
            </w:r>
            <w:r>
              <w:rPr>
                <w:rFonts w:ascii="Times New Roman"/>
                <w:spacing w:val="-17"/>
                <w:sz w:val="18"/>
              </w:rPr>
              <w:t> </w:t>
            </w:r>
            <w:r>
              <w:rPr>
                <w:rFonts w:ascii="Times New Roman"/>
                <w:sz w:val="18"/>
              </w:rPr>
              <w:t>PTE.</w:t>
            </w:r>
            <w:r>
              <w:rPr>
                <w:rFonts w:ascii="Times New Roman"/>
                <w:sz w:val="18"/>
              </w:rPr>
              <w:t> </w:t>
            </w:r>
            <w:r>
              <w:rPr>
                <w:rFonts w:ascii="Times New Roman"/>
                <w:spacing w:val="-5"/>
                <w:sz w:val="18"/>
              </w:rPr>
              <w:t>LTD.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7"/>
              <w:jc w:val="left"/>
              <w:rPr>
                <w:rFonts w:ascii="宋体" w:hAnsi="宋体" w:cs="宋体" w:eastAsia="宋体" w:hint="default"/>
                <w:sz w:val="18"/>
                <w:szCs w:val="18"/>
              </w:rPr>
            </w:pPr>
            <w:r>
              <w:rPr>
                <w:rFonts w:ascii="宋体" w:hAnsi="宋体" w:cs="宋体" w:eastAsia="宋体" w:hint="default"/>
                <w:sz w:val="18"/>
                <w:szCs w:val="18"/>
              </w:rPr>
              <w:t>游戏发行平台的开发、运营、 推广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通过神州泰岳</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Bridge Minds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Consulting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Pte</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使上市公司开始进入游戏发 </w:t>
            </w:r>
            <w:r>
              <w:rPr>
                <w:rFonts w:ascii="宋体" w:hAnsi="宋体" w:cs="宋体" w:eastAsia="宋体" w:hint="default"/>
                <w:spacing w:val="-9"/>
                <w:sz w:val="18"/>
                <w:szCs w:val="18"/>
              </w:rPr>
              <w:t>行领域，</w:t>
            </w:r>
            <w:r>
              <w:rPr>
                <w:rFonts w:ascii="Times New Roman" w:hAnsi="Times New Roman" w:cs="Times New Roman" w:eastAsia="Times New Roman" w:hint="default"/>
                <w:spacing w:val="-9"/>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年对合并净利润影</w:t>
            </w:r>
          </w:p>
        </w:tc>
      </w:tr>
    </w:tbl>
    <w:p>
      <w:pPr>
        <w:spacing w:after="0" w:line="316" w:lineRule="auto"/>
        <w:jc w:val="left"/>
        <w:rPr>
          <w:rFonts w:ascii="宋体" w:hAnsi="宋体" w:cs="宋体" w:eastAsia="宋体" w:hint="default"/>
          <w:sz w:val="18"/>
          <w:szCs w:val="18"/>
        </w:rPr>
        <w:sectPr>
          <w:pgSz w:w="11910" w:h="16840"/>
          <w:pgMar w:header="851" w:footer="1226" w:top="1420" w:bottom="1420" w:left="1020" w:right="1020"/>
        </w:sectPr>
      </w:pP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1934" w:hRule="exact"/>
        </w:trPr>
        <w:tc>
          <w:tcPr>
            <w:tcW w:w="2392" w:type="dxa"/>
            <w:tcBorders>
              <w:top w:val="single" w:sz="10" w:space="0" w:color="000000"/>
              <w:left w:val="single" w:sz="4" w:space="0" w:color="000000"/>
              <w:bottom w:val="single" w:sz="4" w:space="0" w:color="000000"/>
              <w:right w:val="single" w:sz="4" w:space="0" w:color="000000"/>
            </w:tcBorders>
          </w:tcPr>
          <w:p>
            <w:pPr/>
          </w:p>
        </w:tc>
        <w:tc>
          <w:tcPr>
            <w:tcW w:w="2393" w:type="dxa"/>
            <w:tcBorders>
              <w:top w:val="single" w:sz="10" w:space="0" w:color="000000"/>
              <w:left w:val="single" w:sz="4" w:space="0" w:color="000000"/>
              <w:bottom w:val="single" w:sz="4" w:space="0" w:color="000000"/>
              <w:right w:val="single" w:sz="4" w:space="0" w:color="000000"/>
            </w:tcBorders>
          </w:tcPr>
          <w:p>
            <w:pP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与奇虎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旗下控股公司</w:t>
            </w:r>
          </w:p>
          <w:p>
            <w:pPr>
              <w:pStyle w:val="TableParagraph"/>
              <w:spacing w:line="309" w:lineRule="auto" w:before="102"/>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Qifei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z w:val="18"/>
                <w:szCs w:val="18"/>
              </w:rPr>
              <w:t> Development Co.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共同出资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万美元在在新加坡注册 设立合资公司，泰岳方持股 </w:t>
            </w:r>
            <w:r>
              <w:rPr>
                <w:rFonts w:ascii="Times New Roman" w:hAnsi="Times New Roman" w:cs="Times New Roman" w:eastAsia="Times New Roman" w:hint="default"/>
                <w:sz w:val="18"/>
                <w:szCs w:val="18"/>
              </w:rPr>
              <w:t>48%</w:t>
            </w:r>
            <w:r>
              <w:rPr>
                <w:rFonts w:ascii="宋体" w:hAnsi="宋体" w:cs="宋体" w:eastAsia="宋体" w:hint="default"/>
                <w:sz w:val="18"/>
                <w:szCs w:val="18"/>
              </w:rPr>
              <w:t>。</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响</w:t>
            </w:r>
            <w:r>
              <w:rPr>
                <w:rFonts w:ascii="Times New Roman" w:hAnsi="Times New Roman" w:cs="Times New Roman" w:eastAsia="Times New Roman" w:hint="default"/>
                <w:sz w:val="18"/>
                <w:szCs w:val="18"/>
              </w:rPr>
              <w:t>-1,537.18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北京千腾网络信息技术有限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已无实际业务运作，出于简化 股权控制关系、优化营运架构 及减少不必要资源空置目的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没有影响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97"/>
              <w:jc w:val="left"/>
              <w:rPr>
                <w:rFonts w:ascii="宋体" w:hAnsi="宋体" w:cs="宋体" w:eastAsia="宋体" w:hint="default"/>
                <w:sz w:val="18"/>
                <w:szCs w:val="18"/>
              </w:rPr>
            </w:pPr>
            <w:r>
              <w:rPr>
                <w:rFonts w:ascii="宋体" w:hAnsi="宋体" w:cs="宋体" w:eastAsia="宋体" w:hint="default"/>
                <w:sz w:val="18"/>
                <w:szCs w:val="18"/>
              </w:rPr>
              <w:t>宁波万信移动通信技术研究 开发有限公司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已无实际业务运作，出于简化 股权控制关系、优化营运架构 及减少不必要资源空置的目 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没有影响</w:t>
            </w:r>
          </w:p>
        </w:tc>
      </w:tr>
      <w:tr>
        <w:trPr>
          <w:trHeight w:val="133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97"/>
              <w:jc w:val="left"/>
              <w:rPr>
                <w:rFonts w:ascii="宋体" w:hAnsi="宋体" w:cs="宋体" w:eastAsia="宋体" w:hint="default"/>
                <w:sz w:val="18"/>
                <w:szCs w:val="18"/>
              </w:rPr>
            </w:pPr>
            <w:r>
              <w:rPr>
                <w:rFonts w:ascii="宋体" w:hAnsi="宋体" w:cs="宋体" w:eastAsia="宋体" w:hint="default"/>
                <w:sz w:val="18"/>
                <w:szCs w:val="18"/>
              </w:rPr>
              <w:t>宁波普天科技创业服务有限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已无实际业务运作，出于简化 股权控制关系、优化营运架构 及减少不必要资源空置的目 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没有影响</w:t>
            </w:r>
          </w:p>
        </w:tc>
      </w:tr>
    </w:tbl>
    <w:p>
      <w:pPr>
        <w:spacing w:line="240" w:lineRule="auto" w:before="2"/>
        <w:rPr>
          <w:rFonts w:ascii="宋体" w:hAnsi="宋体" w:cs="宋体" w:eastAsia="宋体" w:hint="default"/>
          <w:b/>
          <w:bCs/>
          <w:sz w:val="19"/>
          <w:szCs w:val="19"/>
        </w:rPr>
      </w:pPr>
    </w:p>
    <w:p>
      <w:pPr>
        <w:pStyle w:val="Heading3"/>
        <w:spacing w:line="240" w:lineRule="auto" w:before="35"/>
        <w:ind w:left="114" w:right="209"/>
        <w:jc w:val="left"/>
        <w:rPr>
          <w:b w:val="0"/>
          <w:bCs w:val="0"/>
        </w:rPr>
      </w:pPr>
      <w:bookmarkStart w:name="（7）公司控制的特殊目的主体情况" w:id="26"/>
      <w:bookmarkEnd w:id="26"/>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209"/>
        <w:jc w:val="left"/>
      </w:pPr>
      <w:r>
        <w:rPr/>
        <w:t>公司不存在控制下的特殊目的主体。</w:t>
      </w:r>
    </w:p>
    <w:p>
      <w:pPr>
        <w:spacing w:line="240" w:lineRule="auto" w:before="0"/>
        <w:rPr>
          <w:rFonts w:ascii="宋体" w:hAnsi="宋体" w:cs="宋体" w:eastAsia="宋体" w:hint="default"/>
          <w:sz w:val="25"/>
          <w:szCs w:val="25"/>
        </w:rPr>
      </w:pPr>
    </w:p>
    <w:p>
      <w:pPr>
        <w:pStyle w:val="Heading2"/>
        <w:spacing w:line="240" w:lineRule="auto"/>
        <w:ind w:left="114" w:right="209"/>
        <w:jc w:val="left"/>
        <w:rPr>
          <w:b w:val="0"/>
          <w:bCs w:val="0"/>
        </w:rPr>
      </w:pPr>
      <w:bookmarkStart w:name="二、公司未来发展的展望" w:id="27"/>
      <w:bookmarkEnd w:id="27"/>
      <w:r>
        <w:rPr>
          <w:b w:val="0"/>
          <w:bCs w:val="0"/>
        </w:rPr>
      </w:r>
      <w:r>
        <w:rPr/>
        <w:t>二、公司未来发展的展望</w:t>
      </w:r>
      <w:r>
        <w:rPr>
          <w:b w:val="0"/>
          <w:bCs w:val="0"/>
        </w:rPr>
      </w:r>
    </w:p>
    <w:p>
      <w:pPr>
        <w:spacing w:line="240" w:lineRule="auto" w:before="7"/>
        <w:rPr>
          <w:rFonts w:ascii="宋体" w:hAnsi="宋体" w:cs="宋体" w:eastAsia="宋体" w:hint="default"/>
          <w:b/>
          <w:bCs/>
          <w:sz w:val="32"/>
          <w:szCs w:val="32"/>
        </w:rPr>
      </w:pPr>
    </w:p>
    <w:p>
      <w:pPr>
        <w:pStyle w:val="Heading4"/>
        <w:spacing w:line="600" w:lineRule="auto"/>
        <w:ind w:left="536" w:right="6932" w:hanging="152"/>
        <w:jc w:val="left"/>
        <w:rPr>
          <w:b w:val="0"/>
          <w:bCs w:val="0"/>
        </w:rPr>
      </w:pPr>
      <w:r>
        <w:rPr/>
        <w:t>（一）公司所处行业的发展趋势</w:t>
      </w:r>
      <w:r>
        <w:rPr>
          <w:w w:val="99"/>
        </w:rPr>
        <w:t> </w:t>
      </w:r>
      <w:r>
        <w:rPr>
          <w:rFonts w:ascii="宋体" w:hAnsi="宋体" w:cs="宋体" w:eastAsia="宋体" w:hint="default"/>
        </w:rPr>
        <w:t>1</w:t>
      </w:r>
      <w:r>
        <w:rPr/>
        <w:t>、运维管理行业发展状况</w:t>
      </w:r>
      <w:r>
        <w:rPr>
          <w:b w:val="0"/>
          <w:bCs w:val="0"/>
        </w:rPr>
      </w:r>
    </w:p>
    <w:p>
      <w:pPr>
        <w:pStyle w:val="BodyText"/>
        <w:spacing w:line="477" w:lineRule="auto" w:before="11"/>
        <w:ind w:left="113" w:right="110" w:firstLine="420"/>
        <w:jc w:val="both"/>
      </w:pPr>
      <w:r>
        <w:rPr/>
        <w:t>运维管理是企业信息化建设的重要组成部分，可以细分为面向</w:t>
      </w:r>
      <w:r>
        <w:rPr>
          <w:rFonts w:ascii="宋体" w:hAnsi="宋体" w:cs="宋体" w:eastAsia="宋体" w:hint="default"/>
        </w:rPr>
        <w:t>IT</w:t>
      </w:r>
      <w:r>
        <w:rPr/>
        <w:t>的</w:t>
      </w:r>
      <w:r>
        <w:rPr>
          <w:rFonts w:ascii="宋体" w:hAnsi="宋体" w:cs="宋体" w:eastAsia="宋体" w:hint="default"/>
        </w:rPr>
        <w:t>BSM</w:t>
      </w:r>
      <w:r>
        <w:rPr/>
        <w:t>领域和面向电信的</w:t>
      </w:r>
      <w:r>
        <w:rPr>
          <w:rFonts w:ascii="宋体" w:hAnsi="宋体" w:cs="宋体" w:eastAsia="宋体" w:hint="default"/>
        </w:rPr>
        <w:t>OSS</w:t>
      </w:r>
      <w:r>
        <w:rPr/>
        <w:t>领域。未来几年，运维管 理行业将继续保持稳步发展态势。</w:t>
      </w:r>
    </w:p>
    <w:p>
      <w:pPr>
        <w:pStyle w:val="BodyText"/>
        <w:spacing w:line="477" w:lineRule="auto" w:before="104"/>
        <w:ind w:left="114" w:right="112" w:firstLine="420"/>
        <w:jc w:val="both"/>
      </w:pPr>
      <w:r>
        <w:rPr/>
        <w:t>（</w:t>
      </w:r>
      <w:r>
        <w:rPr>
          <w:rFonts w:ascii="宋体" w:hAnsi="宋体" w:cs="宋体" w:eastAsia="宋体" w:hint="default"/>
        </w:rPr>
        <w:t>1</w:t>
      </w:r>
      <w:r>
        <w:rPr/>
        <w:t>）</w:t>
      </w:r>
      <w:r>
        <w:rPr>
          <w:rFonts w:ascii="宋体" w:hAnsi="宋体" w:cs="宋体" w:eastAsia="宋体" w:hint="default"/>
        </w:rPr>
        <w:t>BSM</w:t>
      </w:r>
      <w:r>
        <w:rPr/>
        <w:t>是企业</w:t>
      </w:r>
      <w:r>
        <w:rPr>
          <w:rFonts w:ascii="宋体" w:hAnsi="宋体" w:cs="宋体" w:eastAsia="宋体" w:hint="default"/>
        </w:rPr>
        <w:t>IT</w:t>
      </w:r>
      <w:r>
        <w:rPr/>
        <w:t>系统建设和运维管理发展的必然趋势，市场规模将保持持续快速增长。随着云计算、云服务以及大 数据的发展需求，必然会对运维管理提出更高的需求。</w:t>
      </w:r>
    </w:p>
    <w:p>
      <w:pPr>
        <w:pStyle w:val="BodyText"/>
        <w:spacing w:line="477" w:lineRule="auto" w:before="104"/>
        <w:ind w:left="113" w:right="110" w:firstLine="420"/>
        <w:jc w:val="both"/>
      </w:pPr>
      <w:r>
        <w:rPr/>
        <w:t>随着互联网、云计算和</w:t>
      </w:r>
      <w:r>
        <w:rPr>
          <w:rFonts w:ascii="宋体" w:hAnsi="宋体" w:cs="宋体" w:eastAsia="宋体" w:hint="default"/>
        </w:rPr>
        <w:t>SOA</w:t>
      </w:r>
      <w:r>
        <w:rPr/>
        <w:t>技术的推广，整个</w:t>
      </w:r>
      <w:r>
        <w:rPr>
          <w:rFonts w:ascii="宋体" w:hAnsi="宋体" w:cs="宋体" w:eastAsia="宋体" w:hint="default"/>
        </w:rPr>
        <w:t>BSM</w:t>
      </w:r>
      <w:r>
        <w:rPr/>
        <w:t>领域面临着技术、业务和管理三个层面的挑战。其中，虚拟化和云计 </w:t>
      </w:r>
      <w:r>
        <w:rPr>
          <w:spacing w:val="-2"/>
        </w:rPr>
        <w:t>算技术将推动整个</w:t>
      </w:r>
      <w:r>
        <w:rPr>
          <w:rFonts w:ascii="宋体" w:hAnsi="宋体" w:cs="宋体" w:eastAsia="宋体" w:hint="default"/>
          <w:spacing w:val="-2"/>
        </w:rPr>
        <w:t>IT</w:t>
      </w:r>
      <w:r>
        <w:rPr>
          <w:spacing w:val="-2"/>
        </w:rPr>
        <w:t>基础架构的监控的变革，对于</w:t>
      </w:r>
      <w:r>
        <w:rPr>
          <w:rFonts w:ascii="宋体" w:hAnsi="宋体" w:cs="宋体" w:eastAsia="宋体" w:hint="default"/>
          <w:spacing w:val="-2"/>
        </w:rPr>
        <w:t>IT</w:t>
      </w:r>
      <w:r>
        <w:rPr>
          <w:spacing w:val="-2"/>
        </w:rPr>
        <w:t>资源的动态申请、分配与回收将导致整个</w:t>
      </w:r>
      <w:r>
        <w:rPr>
          <w:rFonts w:ascii="宋体" w:hAnsi="宋体" w:cs="宋体" w:eastAsia="宋体" w:hint="default"/>
          <w:spacing w:val="-2"/>
        </w:rPr>
        <w:t>IT</w:t>
      </w:r>
      <w:r>
        <w:rPr>
          <w:spacing w:val="-2"/>
        </w:rPr>
        <w:t>资源管理的需求面临巨大的</w:t>
      </w:r>
      <w:r>
        <w:rPr>
          <w:spacing w:val="-58"/>
        </w:rPr>
        <w:t> </w:t>
      </w:r>
      <w:r>
        <w:rPr>
          <w:spacing w:val="-2"/>
        </w:rPr>
        <w:t>变化；同时，将导致各主要行业</w:t>
      </w:r>
      <w:r>
        <w:rPr>
          <w:rFonts w:ascii="宋体" w:hAnsi="宋体" w:cs="宋体" w:eastAsia="宋体" w:hint="default"/>
          <w:spacing w:val="-2"/>
        </w:rPr>
        <w:t>IT</w:t>
      </w:r>
      <w:r>
        <w:rPr>
          <w:spacing w:val="-2"/>
        </w:rPr>
        <w:t>系统大集中成为必然趋势，从而进一步导致各行业在</w:t>
      </w:r>
      <w:r>
        <w:rPr>
          <w:rFonts w:ascii="宋体" w:hAnsi="宋体" w:cs="宋体" w:eastAsia="宋体" w:hint="default"/>
          <w:spacing w:val="-2"/>
        </w:rPr>
        <w:t>IT</w:t>
      </w:r>
      <w:r>
        <w:rPr>
          <w:spacing w:val="-2"/>
        </w:rPr>
        <w:t>领域中的组织与流程的变革，对于</w:t>
      </w:r>
      <w:r>
        <w:rPr>
          <w:spacing w:val="-62"/>
        </w:rPr>
        <w:t> </w:t>
      </w:r>
      <w:r>
        <w:rPr>
          <w:spacing w:val="-62"/>
        </w:rPr>
      </w:r>
      <w:r>
        <w:rPr>
          <w:spacing w:val="-2"/>
        </w:rPr>
        <w:t>通过</w:t>
      </w:r>
      <w:r>
        <w:rPr>
          <w:rFonts w:ascii="宋体" w:hAnsi="宋体" w:cs="宋体" w:eastAsia="宋体" w:hint="default"/>
          <w:spacing w:val="-2"/>
        </w:rPr>
        <w:t>ITSM</w:t>
      </w:r>
      <w:r>
        <w:rPr>
          <w:spacing w:val="-2"/>
        </w:rPr>
        <w:t>系统的建设与完善，推动管理流程与生产流程的结合的需求将越来越强烈。互联网行业的快速发展与普及将使得各</w:t>
      </w:r>
      <w:r>
        <w:rPr>
          <w:spacing w:val="-60"/>
        </w:rPr>
        <w:t> </w:t>
      </w:r>
      <w:r>
        <w:rPr>
          <w:spacing w:val="-60"/>
        </w:rPr>
      </w:r>
      <w:r>
        <w:rPr/>
        <w:t>行业越来越关注用户感知，同时大量采用</w:t>
      </w:r>
      <w:r>
        <w:rPr>
          <w:rFonts w:ascii="宋体" w:hAnsi="宋体" w:cs="宋体" w:eastAsia="宋体" w:hint="default"/>
        </w:rPr>
        <w:t>SOA</w:t>
      </w:r>
      <w:r>
        <w:rPr/>
        <w:t>技术导致应用架构的变革，应用监控和交易监控的市场面临巨大机会；另外，</w:t>
      </w:r>
      <w:r>
        <w:rPr>
          <w:spacing w:val="-83"/>
        </w:rPr>
        <w:t> </w:t>
      </w:r>
      <w:r>
        <w:rPr>
          <w:spacing w:val="-83"/>
        </w:rPr>
      </w:r>
      <w:r>
        <w:rPr>
          <w:rFonts w:ascii="宋体" w:hAnsi="宋体" w:cs="宋体" w:eastAsia="宋体" w:hint="default"/>
        </w:rPr>
        <w:t>IT</w:t>
      </w:r>
      <w:r>
        <w:rPr/>
        <w:t>系统的自身安全以及敏感数据和敏感操作的安全越来越受到各行业的重视，在</w:t>
      </w:r>
      <w:r>
        <w:rPr>
          <w:rFonts w:ascii="宋体" w:hAnsi="宋体" w:cs="宋体" w:eastAsia="宋体" w:hint="default"/>
        </w:rPr>
        <w:t>IT</w:t>
      </w:r>
      <w:r>
        <w:rPr/>
        <w:t>信息安全方面出现了众多的业务机会。</w:t>
      </w:r>
    </w:p>
    <w:p>
      <w:pPr>
        <w:spacing w:after="0" w:line="477" w:lineRule="auto"/>
        <w:jc w:val="both"/>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right="191" w:firstLine="420"/>
        <w:jc w:val="both"/>
      </w:pPr>
      <w:r>
        <w:rPr/>
        <w:t>（</w:t>
      </w:r>
      <w:r>
        <w:rPr>
          <w:rFonts w:ascii="宋体" w:hAnsi="宋体" w:cs="宋体" w:eastAsia="宋体" w:hint="default"/>
        </w:rPr>
        <w:t>2</w:t>
      </w:r>
      <w:r>
        <w:rPr/>
        <w:t>）在</w:t>
      </w:r>
      <w:r>
        <w:rPr>
          <w:rFonts w:ascii="宋体" w:hAnsi="宋体" w:cs="宋体" w:eastAsia="宋体" w:hint="default"/>
        </w:rPr>
        <w:t>OSS</w:t>
      </w:r>
      <w:r>
        <w:rPr/>
        <w:t>领域，随着</w:t>
      </w:r>
      <w:r>
        <w:rPr>
          <w:rFonts w:ascii="宋体" w:hAnsi="宋体" w:cs="宋体" w:eastAsia="宋体" w:hint="default"/>
        </w:rPr>
        <w:t>4G</w:t>
      </w:r>
      <w:r>
        <w:rPr/>
        <w:t>时代的来临，各种新业务的不断推出以及电信运营商对精细化管理的需求加强，如何保障网 </w:t>
      </w:r>
      <w:r>
        <w:rPr>
          <w:spacing w:val="-2"/>
        </w:rPr>
        <w:t>络质量，如何改善用户感知，如何更好的规划与优化网络，如何更好的调度现有的人力与网络资源，成为运营商降本增效的</w:t>
      </w:r>
      <w:r>
        <w:rPr>
          <w:spacing w:val="-66"/>
        </w:rPr>
        <w:t> </w:t>
      </w:r>
      <w:r>
        <w:rPr>
          <w:spacing w:val="-66"/>
        </w:rPr>
      </w:r>
      <w:r>
        <w:rPr/>
        <w:t>必要手段，都将促使电信运营商对</w:t>
      </w:r>
      <w:r>
        <w:rPr>
          <w:rFonts w:ascii="宋体" w:hAnsi="宋体" w:cs="宋体" w:eastAsia="宋体" w:hint="default"/>
        </w:rPr>
        <w:t>OSS</w:t>
      </w:r>
      <w:r>
        <w:rPr/>
        <w:t>市场提出新的需求，包括网络管理系统、服务保障系统、网络优化系统与网络优化服</w:t>
      </w:r>
      <w:r>
        <w:rPr>
          <w:spacing w:val="-83"/>
        </w:rPr>
        <w:t> </w:t>
      </w:r>
      <w:r>
        <w:rPr>
          <w:spacing w:val="-83"/>
        </w:rPr>
      </w:r>
      <w:r>
        <w:rPr/>
        <w:t>务等，</w:t>
      </w:r>
      <w:r>
        <w:rPr>
          <w:rFonts w:ascii="宋体" w:hAnsi="宋体" w:cs="宋体" w:eastAsia="宋体" w:hint="default"/>
        </w:rPr>
        <w:t>OSS</w:t>
      </w:r>
      <w:r>
        <w:rPr/>
        <w:t>市场的需求将处于持续增长阶段。</w:t>
      </w:r>
    </w:p>
    <w:p>
      <w:pPr>
        <w:pStyle w:val="BodyText"/>
        <w:spacing w:line="477" w:lineRule="auto" w:before="103"/>
        <w:ind w:right="93" w:firstLine="420"/>
        <w:jc w:val="left"/>
      </w:pPr>
      <w:r>
        <w:rPr>
          <w:spacing w:val="-3"/>
        </w:rPr>
        <w:t>其中，跨专业、跨网络、大容量的综合监控成为运营商的必然选择；以客户为中心、一站式服务和前后端贯穿的策略，</w:t>
      </w:r>
      <w:r>
        <w:rPr/>
        <w:t> </w:t>
      </w:r>
      <w:r>
        <w:rPr>
          <w:spacing w:val="-2"/>
        </w:rPr>
        <w:t>要求运营商跨部门、跨地域、跨专业间的协作与指挥调度与协同工作，因此在运维流程方面的改造与优化成为运营商的必然</w:t>
      </w:r>
      <w:r>
        <w:rPr>
          <w:spacing w:val="-66"/>
        </w:rPr>
        <w:t> </w:t>
      </w:r>
      <w:r>
        <w:rPr>
          <w:spacing w:val="-66"/>
        </w:rPr>
      </w:r>
      <w:r>
        <w:rPr/>
        <w:t>选择；运营商核心网络与业务方面的安全管理需求越来越受到各层领导的关注与重视；为了节约人力成本，降低重复劳动，</w:t>
      </w:r>
      <w:r>
        <w:rPr>
          <w:spacing w:val="-85"/>
        </w:rPr>
        <w:t> </w:t>
      </w:r>
      <w:r>
        <w:rPr>
          <w:spacing w:val="-85"/>
        </w:rPr>
      </w:r>
      <w:r>
        <w:rPr/>
        <w:t>运营商越来越关注自动化技术，随着</w:t>
      </w:r>
      <w:r>
        <w:rPr>
          <w:rFonts w:ascii="宋体" w:hAnsi="宋体" w:cs="宋体" w:eastAsia="宋体" w:hint="default"/>
        </w:rPr>
        <w:t>SON</w:t>
      </w:r>
      <w:r>
        <w:rPr/>
        <w:t>（自优化网络）理念的提出，在网络自动化和业务自动化方面具备广阔的前景；通</w:t>
      </w:r>
      <w:r>
        <w:rPr>
          <w:spacing w:val="-83"/>
        </w:rPr>
        <w:t> </w:t>
      </w:r>
      <w:r>
        <w:rPr>
          <w:spacing w:val="-83"/>
        </w:rPr>
      </w:r>
      <w:r>
        <w:rPr>
          <w:spacing w:val="-5"/>
        </w:rPr>
        <w:t>过对网管数据、拨测数据、路测数据、</w:t>
      </w:r>
      <w:r>
        <w:rPr>
          <w:rFonts w:ascii="宋体" w:hAnsi="宋体" w:cs="宋体" w:eastAsia="宋体" w:hint="default"/>
          <w:spacing w:val="-5"/>
        </w:rPr>
        <w:t>MR</w:t>
      </w:r>
      <w:r>
        <w:rPr>
          <w:spacing w:val="-5"/>
        </w:rPr>
        <w:t>数据、信令数据的联合分析，改善用户感知、网络结构、支持经营策略、多网协同、</w:t>
      </w:r>
      <w:r>
        <w:rPr>
          <w:spacing w:val="-74"/>
        </w:rPr>
        <w:t> </w:t>
      </w:r>
      <w:r>
        <w:rPr>
          <w:spacing w:val="-74"/>
        </w:rPr>
      </w:r>
      <w:r>
        <w:rPr/>
        <w:t>流量经营，运营商对数据消费的需求越来越迫切，因此，在综合分析市场蕴含巨大商机。</w:t>
      </w:r>
    </w:p>
    <w:p>
      <w:pPr>
        <w:pStyle w:val="BodyText"/>
        <w:spacing w:line="477" w:lineRule="auto" w:before="104"/>
        <w:ind w:left="154" w:right="192" w:firstLine="420"/>
        <w:jc w:val="both"/>
      </w:pPr>
      <w:r>
        <w:rPr>
          <w:spacing w:val="-1"/>
        </w:rPr>
        <w:t>在信息安全领域，信息安全战略日趋被企业所重视，行业大客户的去</w:t>
      </w:r>
      <w:r>
        <w:rPr>
          <w:rFonts w:ascii="宋体" w:hAnsi="宋体" w:cs="宋体" w:eastAsia="宋体" w:hint="default"/>
          <w:spacing w:val="-1"/>
        </w:rPr>
        <w:t>IOE</w:t>
      </w:r>
      <w:r>
        <w:rPr>
          <w:spacing w:val="-1"/>
        </w:rPr>
        <w:t>化和安全产品国产化两大趋势造就大量新的信</w:t>
      </w:r>
      <w:r>
        <w:rPr/>
        <w:t> </w:t>
      </w:r>
      <w:r>
        <w:rPr>
          <w:spacing w:val="-2"/>
        </w:rPr>
        <w:t>息安全业务机会。企业信息安全需求多元化，安全态势变化的高频率、安全管控复杂度的提升等都对信息安全管理服务和产</w:t>
      </w:r>
      <w:r>
        <w:rPr>
          <w:spacing w:val="-66"/>
        </w:rPr>
        <w:t> </w:t>
      </w:r>
      <w:r>
        <w:rPr>
          <w:spacing w:val="-66"/>
        </w:rPr>
      </w:r>
      <w:r>
        <w:rPr/>
        <w:t>品提出了更高的要求，信息安全解决方案开始进入安全管理云模式时代。</w:t>
      </w:r>
    </w:p>
    <w:p>
      <w:pPr>
        <w:pStyle w:val="BodyText"/>
        <w:spacing w:line="477" w:lineRule="auto" w:before="104"/>
        <w:ind w:right="190" w:firstLine="420"/>
        <w:jc w:val="both"/>
      </w:pPr>
      <w:r>
        <w:rPr>
          <w:spacing w:val="-1"/>
        </w:rPr>
        <w:t>在无线网络优化领域，移动电信已进入</w:t>
      </w:r>
      <w:r>
        <w:rPr>
          <w:rFonts w:ascii="宋体" w:hAnsi="宋体" w:cs="宋体" w:eastAsia="宋体" w:hint="default"/>
          <w:spacing w:val="-1"/>
        </w:rPr>
        <w:t>LTE</w:t>
      </w:r>
      <w:r>
        <w:rPr>
          <w:spacing w:val="-1"/>
        </w:rPr>
        <w:t>及移动互联网时代。电信运营商网络评估数据的来源更趋多样化，同时网络</w:t>
      </w:r>
      <w:r>
        <w:rPr/>
        <w:t> 性能去</w:t>
      </w:r>
      <w:r>
        <w:rPr>
          <w:rFonts w:ascii="宋体" w:hAnsi="宋体" w:cs="宋体" w:eastAsia="宋体" w:hint="default"/>
        </w:rPr>
        <w:t>KPI</w:t>
      </w:r>
      <w:r>
        <w:rPr/>
        <w:t>化以及强调重视真实用户感知，均对传统的路测评估产品构成了较大的市场压力。网优行业面临创新挑战的同时</w:t>
      </w:r>
      <w:r>
        <w:rPr>
          <w:spacing w:val="-83"/>
        </w:rPr>
        <w:t> </w:t>
      </w:r>
      <w:r>
        <w:rPr>
          <w:spacing w:val="-83"/>
        </w:rPr>
      </w:r>
      <w:r>
        <w:rPr>
          <w:spacing w:val="-2"/>
        </w:rPr>
        <w:t>也充满机遇。伴随不断完善的</w:t>
      </w:r>
      <w:r>
        <w:rPr>
          <w:rFonts w:ascii="宋体" w:hAnsi="宋体" w:cs="宋体" w:eastAsia="宋体" w:hint="default"/>
          <w:spacing w:val="-2"/>
        </w:rPr>
        <w:t>4G</w:t>
      </w:r>
      <w:r>
        <w:rPr>
          <w:spacing w:val="-2"/>
        </w:rPr>
        <w:t>网络规模建设以及现有的</w:t>
      </w:r>
      <w:r>
        <w:rPr>
          <w:rFonts w:ascii="宋体" w:hAnsi="宋体" w:cs="宋体" w:eastAsia="宋体" w:hint="default"/>
          <w:spacing w:val="-2"/>
        </w:rPr>
        <w:t>3G</w:t>
      </w:r>
      <w:r>
        <w:rPr>
          <w:spacing w:val="-2"/>
        </w:rPr>
        <w:t>、</w:t>
      </w:r>
      <w:r>
        <w:rPr>
          <w:rFonts w:ascii="宋体" w:hAnsi="宋体" w:cs="宋体" w:eastAsia="宋体" w:hint="default"/>
          <w:spacing w:val="-2"/>
        </w:rPr>
        <w:t>2G</w:t>
      </w:r>
      <w:r>
        <w:rPr>
          <w:spacing w:val="-2"/>
        </w:rPr>
        <w:t>网络规模，数据业务在无线网络上的快速增长，终端用户对</w:t>
      </w:r>
      <w:r>
        <w:rPr>
          <w:spacing w:val="-60"/>
        </w:rPr>
        <w:t> </w:t>
      </w:r>
      <w:r>
        <w:rPr>
          <w:spacing w:val="-60"/>
        </w:rPr>
      </w:r>
      <w:r>
        <w:rPr/>
        <w:t>无线网络的运营质量提出了更高的要求，运营商对无线网络优化产品及服务需求将保持较快增长。</w:t>
      </w:r>
    </w:p>
    <w:p>
      <w:pPr>
        <w:pStyle w:val="BodyText"/>
        <w:spacing w:line="477" w:lineRule="auto" w:before="103"/>
        <w:ind w:right="93" w:firstLine="420"/>
        <w:jc w:val="left"/>
      </w:pPr>
      <w:r>
        <w:rPr/>
        <w:t>在大数据分析领域，技术发展已达到前所未有的高度。大数据分析的核心是从数据中获取价值，价值体现在从大数据 </w:t>
      </w:r>
      <w:r>
        <w:rPr>
          <w:spacing w:val="-2"/>
        </w:rPr>
        <w:t>中获取更准确、更深层次的知识，而非对数据的简单统计分析。企业如何利用数据并迅速将数据转化为有价值的信息将成为</w:t>
      </w:r>
      <w:r>
        <w:rPr>
          <w:spacing w:val="-66"/>
        </w:rPr>
        <w:t> </w:t>
      </w:r>
      <w:r>
        <w:rPr>
          <w:spacing w:val="-66"/>
        </w:rPr>
      </w:r>
      <w:r>
        <w:rPr/>
        <w:t>企业发展的关键因素之一。全行业已普遍认识到大数据的价值，移动互联网广告转向精准投放，基于大数据的互联网金融、</w:t>
      </w:r>
      <w:r>
        <w:rPr>
          <w:spacing w:val="-85"/>
        </w:rPr>
        <w:t> </w:t>
      </w:r>
      <w:r>
        <w:rPr>
          <w:spacing w:val="-85"/>
        </w:rPr>
      </w:r>
      <w:r>
        <w:rPr>
          <w:spacing w:val="-2"/>
        </w:rPr>
        <w:t>教育、医疗等市场需求空间巨大。电信运营商在传统模式进一步加剧的市场环境下，也将在寻求转型的过程中开放数据合作</w:t>
      </w:r>
      <w:r>
        <w:rPr>
          <w:spacing w:val="-66"/>
        </w:rPr>
        <w:t> </w:t>
      </w:r>
      <w:r>
        <w:rPr>
          <w:spacing w:val="-66"/>
        </w:rPr>
      </w:r>
      <w:r>
        <w:rPr/>
        <w:t>运营，推动大数据战略。</w:t>
      </w:r>
    </w:p>
    <w:p>
      <w:pPr>
        <w:pStyle w:val="BodyText"/>
        <w:spacing w:line="528" w:lineRule="auto" w:before="104"/>
        <w:ind w:left="573" w:right="181" w:firstLine="2"/>
        <w:jc w:val="left"/>
      </w:pPr>
      <w:r>
        <w:rPr>
          <w:rFonts w:ascii="宋体" w:hAnsi="宋体" w:cs="宋体" w:eastAsia="宋体" w:hint="default"/>
          <w:b/>
          <w:bCs/>
        </w:rPr>
        <w:t>2</w:t>
      </w:r>
      <w:r>
        <w:rPr>
          <w:rFonts w:ascii="宋体" w:hAnsi="宋体" w:cs="宋体" w:eastAsia="宋体" w:hint="default"/>
          <w:b/>
          <w:bCs/>
        </w:rPr>
        <w:t>、移动互联网发展趋势</w:t>
      </w:r>
      <w:r>
        <w:rPr>
          <w:rFonts w:ascii="宋体" w:hAnsi="宋体" w:cs="宋体" w:eastAsia="宋体" w:hint="default"/>
          <w:b/>
          <w:bCs/>
          <w:w w:val="99"/>
        </w:rPr>
        <w:t> </w:t>
      </w:r>
      <w:r>
        <w:rPr>
          <w:spacing w:val="-1"/>
        </w:rPr>
        <w:t>工信部公布的相关数据显示，截至</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月，中国的移动互联网用户数已经达到</w:t>
      </w:r>
      <w:r>
        <w:rPr>
          <w:rFonts w:ascii="宋体" w:hAnsi="宋体" w:cs="宋体" w:eastAsia="宋体" w:hint="default"/>
          <w:spacing w:val="-1"/>
        </w:rPr>
        <w:t>8.72</w:t>
      </w:r>
      <w:r>
        <w:rPr>
          <w:spacing w:val="-1"/>
        </w:rPr>
        <w:t>亿，</w:t>
      </w:r>
      <w:r>
        <w:rPr>
          <w:rFonts w:ascii="宋体" w:hAnsi="宋体" w:cs="宋体" w:eastAsia="宋体" w:hint="default"/>
          <w:spacing w:val="-1"/>
        </w:rPr>
        <w:t>2014</w:t>
      </w:r>
      <w:r>
        <w:rPr>
          <w:spacing w:val="-1"/>
        </w:rPr>
        <w:t>年中国移动市场规模接</w:t>
      </w:r>
    </w:p>
    <w:p>
      <w:pPr>
        <w:pStyle w:val="BodyText"/>
        <w:spacing w:line="477" w:lineRule="auto" w:before="16"/>
        <w:ind w:right="190"/>
        <w:jc w:val="both"/>
      </w:pPr>
      <w:r>
        <w:rPr>
          <w:spacing w:val="-2"/>
        </w:rPr>
        <w:t>近</w:t>
      </w:r>
      <w:r>
        <w:rPr>
          <w:rFonts w:ascii="宋体" w:hAnsi="宋体" w:cs="宋体" w:eastAsia="宋体" w:hint="default"/>
          <w:spacing w:val="-2"/>
        </w:rPr>
        <w:t>1900</w:t>
      </w:r>
      <w:r>
        <w:rPr>
          <w:spacing w:val="-2"/>
        </w:rPr>
        <w:t>亿元，</w:t>
      </w:r>
      <w:r>
        <w:rPr>
          <w:rFonts w:ascii="宋体" w:hAnsi="宋体" w:cs="宋体" w:eastAsia="宋体" w:hint="default"/>
          <w:spacing w:val="-2"/>
        </w:rPr>
        <w:t>2015</w:t>
      </w:r>
      <w:r>
        <w:rPr>
          <w:spacing w:val="-2"/>
        </w:rPr>
        <w:t>年中国的移动互联网市场规模将会达到</w:t>
      </w:r>
      <w:r>
        <w:rPr>
          <w:rFonts w:ascii="宋体" w:hAnsi="宋体" w:cs="宋体" w:eastAsia="宋体" w:hint="default"/>
          <w:spacing w:val="-2"/>
        </w:rPr>
        <w:t>4296</w:t>
      </w:r>
      <w:r>
        <w:rPr>
          <w:spacing w:val="-2"/>
        </w:rPr>
        <w:t>亿元。移动互联网已经进入了一个全面爆发的时代，一大批新</w:t>
      </w:r>
      <w:r>
        <w:rPr>
          <w:spacing w:val="-54"/>
        </w:rPr>
        <w:t> </w:t>
      </w:r>
      <w:r>
        <w:rPr>
          <w:spacing w:val="-54"/>
        </w:rPr>
      </w:r>
      <w:r>
        <w:rPr/>
        <w:t>的商业模式应运而生，移动互联网正在逐渐渗透至各行各业。预计未来</w:t>
      </w:r>
      <w:r>
        <w:rPr>
          <w:rFonts w:ascii="宋体" w:hAnsi="宋体" w:cs="宋体" w:eastAsia="宋体" w:hint="default"/>
        </w:rPr>
        <w:t>5</w:t>
      </w:r>
      <w:r>
        <w:rPr/>
        <w:t>年，由于智能手机、平板电脑、可穿戴设备、视频</w:t>
      </w:r>
      <w:r>
        <w:rPr>
          <w:spacing w:val="-83"/>
        </w:rPr>
        <w:t> </w:t>
      </w:r>
      <w:r>
        <w:rPr>
          <w:spacing w:val="-83"/>
        </w:rPr>
      </w:r>
      <w:r>
        <w:rPr>
          <w:spacing w:val="-2"/>
        </w:rPr>
        <w:t>以及“物联网”大爆发，强劲的增长态势将继续保持。移动互联网的迅猛发展推进其中所涉及到网络接入、应用开发、操作</w:t>
      </w:r>
      <w:r>
        <w:rPr>
          <w:spacing w:val="-66"/>
        </w:rPr>
        <w:t> </w:t>
      </w:r>
      <w:r>
        <w:rPr>
          <w:spacing w:val="-66"/>
        </w:rPr>
      </w:r>
      <w:r>
        <w:rPr/>
        <w:t>系统等等方面做出相应的改进与更新，也将带来即时通信、移动游戏、移动电子商务、在线教育等行业应用的爆发增长。</w:t>
      </w:r>
    </w:p>
    <w:p>
      <w:pPr>
        <w:pStyle w:val="Heading4"/>
        <w:spacing w:line="240" w:lineRule="auto" w:before="103"/>
        <w:ind w:left="573" w:right="93"/>
        <w:jc w:val="left"/>
        <w:rPr>
          <w:b w:val="0"/>
          <w:bCs w:val="0"/>
        </w:rPr>
      </w:pPr>
      <w:r>
        <w:rPr>
          <w:rFonts w:ascii="宋体" w:hAnsi="宋体" w:cs="宋体" w:eastAsia="宋体" w:hint="default"/>
        </w:rPr>
        <w:t>3</w:t>
      </w:r>
      <w:r>
        <w:rPr/>
        <w:t>、移动游戏行业发展趋势</w:t>
      </w:r>
      <w:r>
        <w:rPr>
          <w:b w:val="0"/>
          <w:bCs w:val="0"/>
        </w:rPr>
      </w:r>
    </w:p>
    <w:p>
      <w:pPr>
        <w:spacing w:after="0" w:line="240" w:lineRule="auto"/>
        <w:jc w:val="left"/>
        <w:sectPr>
          <w:pgSz w:w="11910" w:h="16840"/>
          <w:pgMar w:header="851" w:footer="1226" w:top="1380" w:bottom="1420" w:left="980" w:right="940"/>
        </w:sectPr>
      </w:pPr>
    </w:p>
    <w:p>
      <w:pPr>
        <w:pStyle w:val="BodyText"/>
        <w:spacing w:line="477" w:lineRule="auto" w:before="141"/>
        <w:ind w:right="190" w:firstLine="420"/>
        <w:jc w:val="both"/>
      </w:pPr>
      <w:r>
        <w:rPr/>
        <w:t>《</w:t>
      </w:r>
      <w:r>
        <w:rPr>
          <w:rFonts w:ascii="宋体" w:hAnsi="宋体" w:cs="宋体" w:eastAsia="宋体" w:hint="default"/>
        </w:rPr>
        <w:t>2014</w:t>
      </w:r>
      <w:r>
        <w:rPr/>
        <w:t>年中国游戏产业报告》数据显示，</w:t>
      </w:r>
      <w:r>
        <w:rPr>
          <w:rFonts w:ascii="宋体" w:hAnsi="宋体" w:cs="宋体" w:eastAsia="宋体" w:hint="default"/>
        </w:rPr>
        <w:t>2014</w:t>
      </w:r>
      <w:r>
        <w:rPr/>
        <w:t>年中国游戏市场（包括网络游戏、移动游戏和单机游戏市场）实际销售 </w:t>
      </w:r>
      <w:r>
        <w:rPr>
          <w:spacing w:val="-4"/>
        </w:rPr>
        <w:t>收入达到了</w:t>
      </w:r>
      <w:r>
        <w:rPr>
          <w:rFonts w:ascii="宋体" w:hAnsi="宋体" w:cs="宋体" w:eastAsia="宋体" w:hint="default"/>
          <w:spacing w:val="-4"/>
        </w:rPr>
        <w:t>1,144.8</w:t>
      </w:r>
      <w:r>
        <w:rPr>
          <w:spacing w:val="-4"/>
        </w:rPr>
        <w:t>亿元人民币，中国游戏市场用户数量达到</w:t>
      </w:r>
      <w:r>
        <w:rPr>
          <w:rFonts w:ascii="宋体" w:hAnsi="宋体" w:cs="宋体" w:eastAsia="宋体" w:hint="default"/>
          <w:spacing w:val="-4"/>
        </w:rPr>
        <w:t>5.17</w:t>
      </w:r>
      <w:r>
        <w:rPr>
          <w:spacing w:val="-4"/>
        </w:rPr>
        <w:t>亿人，比</w:t>
      </w:r>
      <w:r>
        <w:rPr>
          <w:rFonts w:ascii="宋体" w:hAnsi="宋体" w:cs="宋体" w:eastAsia="宋体" w:hint="default"/>
          <w:spacing w:val="-4"/>
        </w:rPr>
        <w:t>2013</w:t>
      </w:r>
      <w:r>
        <w:rPr>
          <w:spacing w:val="-4"/>
        </w:rPr>
        <w:t>年增长了</w:t>
      </w:r>
      <w:r>
        <w:rPr>
          <w:rFonts w:ascii="宋体" w:hAnsi="宋体" w:cs="宋体" w:eastAsia="宋体" w:hint="default"/>
          <w:spacing w:val="-4"/>
        </w:rPr>
        <w:t>4.6%</w:t>
      </w:r>
      <w:r>
        <w:rPr>
          <w:spacing w:val="-4"/>
        </w:rPr>
        <w:t>。其中手游达到</w:t>
      </w:r>
      <w:r>
        <w:rPr>
          <w:rFonts w:ascii="宋体" w:hAnsi="宋体" w:cs="宋体" w:eastAsia="宋体" w:hint="default"/>
          <w:spacing w:val="-4"/>
        </w:rPr>
        <w:t>20%</w:t>
      </w:r>
      <w:r>
        <w:rPr>
          <w:spacing w:val="-4"/>
        </w:rPr>
        <w:t>以上的增速，</w:t>
      </w:r>
      <w:r>
        <w:rPr/>
        <w:t> </w:t>
      </w:r>
      <w:r>
        <w:rPr>
          <w:spacing w:val="-2"/>
        </w:rPr>
        <w:t>势头强劲，未来手游在整个游戏市场的份额还会持续上升，打破端游的主体地位，端游的一些重度高付费玩家逐步开始向移</w:t>
      </w:r>
      <w:r>
        <w:rPr>
          <w:spacing w:val="-66"/>
        </w:rPr>
        <w:t> </w:t>
      </w:r>
      <w:r>
        <w:rPr>
          <w:spacing w:val="-66"/>
        </w:rPr>
      </w:r>
      <w:r>
        <w:rPr>
          <w:spacing w:val="-2"/>
        </w:rPr>
        <w:t>动端迁移，但竞争会更加激烈。经历了</w:t>
      </w:r>
      <w:r>
        <w:rPr>
          <w:rFonts w:ascii="宋体" w:hAnsi="宋体" w:cs="宋体" w:eastAsia="宋体" w:hint="default"/>
          <w:spacing w:val="-2"/>
        </w:rPr>
        <w:t>2014</w:t>
      </w:r>
      <w:r>
        <w:rPr>
          <w:spacing w:val="-2"/>
        </w:rPr>
        <w:t>年移动游戏行业的疯狂增长，整个手游市场已经开始趋于理性，</w:t>
      </w:r>
      <w:r>
        <w:rPr>
          <w:rFonts w:ascii="宋体" w:hAnsi="宋体" w:cs="宋体" w:eastAsia="宋体" w:hint="default"/>
          <w:spacing w:val="-2"/>
        </w:rPr>
        <w:t>2015</w:t>
      </w:r>
      <w:r>
        <w:rPr>
          <w:spacing w:val="-2"/>
        </w:rPr>
        <w:t>年将是手游</w:t>
      </w:r>
      <w:r>
        <w:rPr>
          <w:spacing w:val="-57"/>
        </w:rPr>
        <w:t> </w:t>
      </w:r>
      <w:r>
        <w:rPr>
          <w:spacing w:val="-2"/>
        </w:rPr>
        <w:t>市场走向更加成熟的一年。在未来两年内移动游戏市场仍将保持爆发式的增长态势，预计</w:t>
      </w:r>
      <w:r>
        <w:rPr>
          <w:rFonts w:ascii="宋体" w:hAnsi="宋体" w:cs="宋体" w:eastAsia="宋体" w:hint="default"/>
          <w:spacing w:val="-2"/>
        </w:rPr>
        <w:t>2015</w:t>
      </w:r>
      <w:r>
        <w:rPr>
          <w:spacing w:val="-2"/>
        </w:rPr>
        <w:t>年中国移动游戏市场规模将有</w:t>
      </w:r>
      <w:r>
        <w:rPr>
          <w:spacing w:val="-60"/>
        </w:rPr>
        <w:t> </w:t>
      </w:r>
      <w:r>
        <w:rPr/>
        <w:t>望达到</w:t>
      </w:r>
      <w:r>
        <w:rPr>
          <w:rFonts w:ascii="宋体" w:hAnsi="宋体" w:cs="宋体" w:eastAsia="宋体" w:hint="default"/>
        </w:rPr>
        <w:t>400-500</w:t>
      </w:r>
      <w:r>
        <w:rPr/>
        <w:t>亿。随着移动游戏市场产业链各环节建设越来越成熟，移动游戏的开发与运营都将从粗放式转为精细化的方</w:t>
      </w:r>
      <w:r>
        <w:rPr>
          <w:spacing w:val="-84"/>
        </w:rPr>
        <w:t> </w:t>
      </w:r>
      <w:r>
        <w:rPr>
          <w:spacing w:val="-84"/>
        </w:rPr>
      </w:r>
      <w:r>
        <w:rPr/>
        <w:t>式。</w:t>
      </w:r>
    </w:p>
    <w:p>
      <w:pPr>
        <w:spacing w:line="240" w:lineRule="auto" w:before="4"/>
        <w:rPr>
          <w:rFonts w:ascii="宋体" w:hAnsi="宋体" w:cs="宋体" w:eastAsia="宋体" w:hint="default"/>
          <w:sz w:val="13"/>
          <w:szCs w:val="13"/>
        </w:rPr>
      </w:pPr>
    </w:p>
    <w:p>
      <w:pPr>
        <w:pStyle w:val="Heading4"/>
        <w:spacing w:line="600" w:lineRule="auto"/>
        <w:ind w:left="671" w:right="5701" w:hanging="202"/>
        <w:jc w:val="left"/>
        <w:rPr>
          <w:b w:val="0"/>
          <w:bCs w:val="0"/>
        </w:rPr>
      </w:pPr>
      <w:r>
        <w:rPr/>
        <w:t>（二）公司未来发展战略规划及</w:t>
      </w:r>
      <w:r>
        <w:rPr>
          <w:rFonts w:ascii="宋体" w:hAnsi="宋体" w:cs="宋体" w:eastAsia="宋体" w:hint="default"/>
        </w:rPr>
        <w:t>2015</w:t>
      </w:r>
      <w:r>
        <w:rPr/>
        <w:t>年经营计划</w:t>
      </w:r>
      <w:r>
        <w:rPr>
          <w:w w:val="99"/>
        </w:rPr>
        <w:t> </w:t>
      </w:r>
      <w:r>
        <w:rPr>
          <w:rFonts w:ascii="宋体" w:hAnsi="宋体" w:cs="宋体" w:eastAsia="宋体" w:hint="default"/>
        </w:rPr>
        <w:t>1</w:t>
      </w:r>
      <w:r>
        <w:rPr/>
        <w:t>、战略规划</w:t>
      </w:r>
      <w:r>
        <w:rPr>
          <w:b w:val="0"/>
          <w:bCs w:val="0"/>
        </w:rPr>
      </w:r>
    </w:p>
    <w:p>
      <w:pPr>
        <w:pStyle w:val="BodyText"/>
        <w:spacing w:line="477" w:lineRule="auto" w:before="82"/>
        <w:ind w:left="154" w:right="193" w:firstLine="420"/>
        <w:jc w:val="both"/>
      </w:pPr>
      <w:r>
        <w:rPr/>
        <w:t>公司自上市以来，顺应信息产业的发展趋势，紧密围绕主营业务，遵循内涵式增长与外延式扩张相结合的发展战略， </w:t>
      </w:r>
      <w:r>
        <w:rPr>
          <w:spacing w:val="-2"/>
        </w:rPr>
        <w:t>在计算机软件应用、互联网领域进行布局、拓展与深化。截止目前，已形成了以运维管理、互联网为重点，兼具物联网、电</w:t>
      </w:r>
      <w:r>
        <w:rPr>
          <w:spacing w:val="-71"/>
        </w:rPr>
        <w:t> </w:t>
      </w:r>
      <w:r>
        <w:rPr>
          <w:spacing w:val="-71"/>
        </w:rPr>
      </w:r>
      <w:r>
        <w:rPr/>
        <w:t>子商务的业务架构。其中，在互联网自主业务方面，近两年在游戏、融合通信、职业教育、无线宽带等领域已初见成效。</w:t>
      </w:r>
    </w:p>
    <w:p>
      <w:pPr>
        <w:spacing w:line="240" w:lineRule="auto" w:before="4"/>
        <w:rPr>
          <w:rFonts w:ascii="宋体" w:hAnsi="宋体" w:cs="宋体" w:eastAsia="宋体" w:hint="default"/>
          <w:sz w:val="13"/>
          <w:szCs w:val="13"/>
        </w:rPr>
      </w:pPr>
    </w:p>
    <w:p>
      <w:pPr>
        <w:pStyle w:val="BodyText"/>
        <w:spacing w:line="477" w:lineRule="auto"/>
        <w:ind w:right="190" w:firstLine="420"/>
        <w:jc w:val="both"/>
      </w:pPr>
      <w:r>
        <w:rPr/>
        <w:t>未来三年，公司将紧密围绕市场需求、深耕细作，进一步巩固和提高国内运维管理领域的领先市场地位；持续做好飞 </w:t>
      </w:r>
      <w:r>
        <w:rPr>
          <w:spacing w:val="-2"/>
        </w:rPr>
        <w:t>信、农信通等互联网运营服务业务；大力拓展融合通信、游戏等互联网业务；积极推进智慧线、电子商务、职业教育的业务</w:t>
      </w:r>
      <w:r>
        <w:rPr>
          <w:spacing w:val="-68"/>
        </w:rPr>
        <w:t> </w:t>
      </w:r>
      <w:r>
        <w:rPr>
          <w:spacing w:val="-68"/>
        </w:rPr>
      </w:r>
      <w:r>
        <w:rPr/>
        <w:t>发展；努力开展融云、小漫</w:t>
      </w:r>
      <w:r>
        <w:rPr>
          <w:rFonts w:ascii="宋体" w:hAnsi="宋体" w:cs="宋体" w:eastAsia="宋体" w:hint="default"/>
        </w:rPr>
        <w:t>WiFi</w:t>
      </w:r>
      <w:r>
        <w:rPr/>
        <w:t>等创新业务，不断提升企业盈利能力及市场竞争力，构建公司持续发展的长效战略格局。</w:t>
      </w:r>
    </w:p>
    <w:p>
      <w:pPr>
        <w:spacing w:line="240" w:lineRule="auto" w:before="4"/>
        <w:rPr>
          <w:rFonts w:ascii="宋体" w:hAnsi="宋体" w:cs="宋体" w:eastAsia="宋体" w:hint="default"/>
          <w:sz w:val="13"/>
          <w:szCs w:val="13"/>
        </w:rPr>
      </w:pPr>
    </w:p>
    <w:p>
      <w:pPr>
        <w:pStyle w:val="Heading4"/>
        <w:spacing w:line="240" w:lineRule="auto"/>
        <w:ind w:left="671" w:right="93"/>
        <w:jc w:val="left"/>
        <w:rPr>
          <w:b w:val="0"/>
          <w:bCs w:val="0"/>
        </w:rPr>
      </w:pPr>
      <w:r>
        <w:rPr>
          <w:rFonts w:ascii="宋体" w:hAnsi="宋体" w:cs="宋体" w:eastAsia="宋体" w:hint="default"/>
        </w:rPr>
        <w:t>2</w:t>
      </w:r>
      <w:r>
        <w:rPr/>
        <w:t>、公司</w:t>
      </w:r>
      <w:r>
        <w:rPr>
          <w:rFonts w:ascii="宋体" w:hAnsi="宋体" w:cs="宋体" w:eastAsia="宋体" w:hint="default"/>
        </w:rPr>
        <w:t>2015</w:t>
      </w:r>
      <w:r>
        <w:rPr/>
        <w:t>年经营计划</w:t>
      </w:r>
      <w:r>
        <w:rPr>
          <w:b w:val="0"/>
          <w:bCs w:val="0"/>
        </w:rPr>
      </w:r>
    </w:p>
    <w:p>
      <w:pPr>
        <w:spacing w:line="240" w:lineRule="auto" w:before="12"/>
        <w:rPr>
          <w:rFonts w:ascii="宋体" w:hAnsi="宋体" w:cs="宋体" w:eastAsia="宋体" w:hint="default"/>
          <w:b/>
          <w:bCs/>
          <w:sz w:val="26"/>
          <w:szCs w:val="26"/>
        </w:rPr>
      </w:pPr>
    </w:p>
    <w:p>
      <w:pPr>
        <w:pStyle w:val="BodyText"/>
        <w:spacing w:line="477" w:lineRule="auto"/>
        <w:ind w:right="192" w:firstLine="420"/>
        <w:jc w:val="both"/>
      </w:pPr>
      <w:r>
        <w:rPr>
          <w:spacing w:val="-2"/>
        </w:rPr>
        <w:t>（</w:t>
      </w:r>
      <w:r>
        <w:rPr>
          <w:rFonts w:ascii="宋体" w:hAnsi="宋体" w:cs="宋体" w:eastAsia="宋体" w:hint="default"/>
          <w:spacing w:val="-2"/>
        </w:rPr>
        <w:t>1</w:t>
      </w:r>
      <w:r>
        <w:rPr>
          <w:spacing w:val="-2"/>
        </w:rPr>
        <w:t>）在运维管理业务领域，密切跟踪以电信行业为代表的国内信息化建设以及互联网的发展趋势，尤其是云计算、大</w:t>
      </w:r>
      <w:r>
        <w:rPr/>
        <w:t> 数据等对运维管理带来的需求，进一步拓展、丰富公司运维管理业务的内容，促进公司业务规模的增长。</w:t>
      </w:r>
    </w:p>
    <w:p>
      <w:pPr>
        <w:spacing w:line="240" w:lineRule="auto" w:before="4"/>
        <w:rPr>
          <w:rFonts w:ascii="宋体" w:hAnsi="宋体" w:cs="宋体" w:eastAsia="宋体" w:hint="default"/>
          <w:sz w:val="13"/>
          <w:szCs w:val="13"/>
        </w:rPr>
      </w:pPr>
    </w:p>
    <w:p>
      <w:pPr>
        <w:pStyle w:val="BodyText"/>
        <w:spacing w:line="477" w:lineRule="auto"/>
        <w:ind w:right="93" w:firstLine="420"/>
        <w:jc w:val="left"/>
      </w:pPr>
      <w:r>
        <w:rPr/>
        <w:t>同时，以“真正为客户创造价值”为目标，基于市场化管理模式，将产品主线划分为网络管理、服务流程管理、信息 安全管理、拨测及网络优化管理、智能数据、大数据分析、非电信运维等几大业务组群，以客户需求为中心，扁平化管理，</w:t>
      </w:r>
      <w:r>
        <w:rPr>
          <w:spacing w:val="-85"/>
        </w:rPr>
        <w:t> </w:t>
      </w:r>
      <w:r>
        <w:rPr>
          <w:spacing w:val="-85"/>
        </w:rPr>
      </w:r>
      <w:r>
        <w:rPr>
          <w:spacing w:val="-2"/>
        </w:rPr>
        <w:t>高效迭代式开发，并构建开放式共享平台，加强不同业务产品的数据、接口标准化定义，输出标准服务及产品，实现不同平</w:t>
      </w:r>
      <w:r>
        <w:rPr>
          <w:spacing w:val="-66"/>
        </w:rPr>
        <w:t> </w:t>
      </w:r>
      <w:r>
        <w:rPr>
          <w:spacing w:val="-66"/>
        </w:rPr>
      </w:r>
      <w:r>
        <w:rPr/>
        <w:t>台基础功能的系统模块共享，有效降低冗余。</w:t>
      </w:r>
    </w:p>
    <w:p>
      <w:pPr>
        <w:spacing w:line="240" w:lineRule="auto" w:before="4"/>
        <w:rPr>
          <w:rFonts w:ascii="宋体" w:hAnsi="宋体" w:cs="宋体" w:eastAsia="宋体" w:hint="default"/>
          <w:sz w:val="13"/>
          <w:szCs w:val="13"/>
        </w:rPr>
      </w:pPr>
    </w:p>
    <w:p>
      <w:pPr>
        <w:pStyle w:val="BodyText"/>
        <w:spacing w:line="477" w:lineRule="auto"/>
        <w:ind w:right="191" w:firstLine="420"/>
        <w:jc w:val="both"/>
      </w:pPr>
      <w:r>
        <w:rPr>
          <w:spacing w:val="-2"/>
        </w:rPr>
        <w:t>（</w:t>
      </w:r>
      <w:r>
        <w:rPr>
          <w:rFonts w:ascii="宋体" w:hAnsi="宋体" w:cs="宋体" w:eastAsia="宋体" w:hint="default"/>
          <w:spacing w:val="-2"/>
        </w:rPr>
        <w:t>2</w:t>
      </w:r>
      <w:r>
        <w:rPr>
          <w:spacing w:val="-2"/>
        </w:rPr>
        <w:t>）积极做好飞信、农信通的开发与支撑服务工作，促进其持续稳定发展；积极配合中国移动的融合通信战略，为其</w:t>
      </w:r>
      <w:r>
        <w:rPr/>
        <w:t> </w:t>
      </w:r>
      <w:r>
        <w:rPr>
          <w:spacing w:val="-2"/>
        </w:rPr>
        <w:t>融合通信平台提供高质量的技术服务，提升用户体验、促进融合通信项目健康、稳定的发展，密切跟踪国内电信运营商在融</w:t>
      </w:r>
      <w:r>
        <w:rPr>
          <w:spacing w:val="-66"/>
        </w:rPr>
        <w:t> </w:t>
      </w:r>
      <w:r>
        <w:rPr>
          <w:spacing w:val="-66"/>
        </w:rPr>
      </w:r>
      <w:r>
        <w:rPr/>
        <w:t>合通信方面的需求，积极拓展国内电信运营商融合通信业务。</w:t>
      </w:r>
    </w:p>
    <w:p>
      <w:pPr>
        <w:spacing w:line="240" w:lineRule="auto" w:before="5"/>
        <w:rPr>
          <w:rFonts w:ascii="宋体" w:hAnsi="宋体" w:cs="宋体" w:eastAsia="宋体" w:hint="default"/>
          <w:sz w:val="13"/>
          <w:szCs w:val="13"/>
        </w:rPr>
      </w:pPr>
    </w:p>
    <w:p>
      <w:pPr>
        <w:pStyle w:val="BodyText"/>
        <w:spacing w:line="477" w:lineRule="auto"/>
        <w:ind w:right="190" w:firstLine="420"/>
        <w:jc w:val="both"/>
      </w:pPr>
      <w:r>
        <w:rPr>
          <w:spacing w:val="-2"/>
        </w:rPr>
        <w:t>（</w:t>
      </w:r>
      <w:r>
        <w:rPr>
          <w:rFonts w:ascii="宋体" w:hAnsi="宋体" w:cs="宋体" w:eastAsia="宋体" w:hint="default"/>
          <w:spacing w:val="-2"/>
        </w:rPr>
        <w:t>3</w:t>
      </w:r>
      <w:r>
        <w:rPr>
          <w:spacing w:val="-2"/>
        </w:rPr>
        <w:t>）充分发挥公司在融合通信业务的技术、产品、方案等方面的先发优势，为移动互联网用户的协作沟通提供集融合</w:t>
      </w:r>
      <w:r>
        <w:rPr/>
        <w:t> </w:t>
      </w:r>
      <w:r>
        <w:rPr>
          <w:spacing w:val="-2"/>
        </w:rPr>
        <w:t>通讯、社交、信息服务于一体的立体化通信解决方案，拓展行业应用、增值业务，帮助客户改变沟通模式。继续做好工商银</w:t>
      </w:r>
    </w:p>
    <w:p>
      <w:pPr>
        <w:spacing w:after="0" w:line="477" w:lineRule="auto"/>
        <w:jc w:val="both"/>
        <w:sectPr>
          <w:pgSz w:w="11910" w:h="16840"/>
          <w:pgMar w:header="851" w:footer="1226" w:top="1380" w:bottom="1420" w:left="980" w:right="940"/>
        </w:sectPr>
      </w:pPr>
    </w:p>
    <w:p>
      <w:pPr>
        <w:pStyle w:val="BodyText"/>
        <w:spacing w:line="477" w:lineRule="auto" w:before="141"/>
        <w:ind w:left="154" w:right="191"/>
        <w:jc w:val="both"/>
      </w:pPr>
      <w:r>
        <w:rPr>
          <w:spacing w:val="-2"/>
        </w:rPr>
        <w:t>行融合通信业务的开发、运营支持工作，并积极推进其他金融机构及大型组织的应用拓展；努力推进印度融合通信合资公司</w:t>
      </w:r>
      <w:r>
        <w:rPr>
          <w:spacing w:val="-66"/>
        </w:rPr>
        <w:t> </w:t>
      </w:r>
      <w:r>
        <w:rPr>
          <w:spacing w:val="-66"/>
        </w:rPr>
      </w:r>
      <w:r>
        <w:rPr>
          <w:spacing w:val="-2"/>
        </w:rPr>
        <w:t>的业务发展，促进产品运营及推广，有效增强终端用户的市场认知度，扩大用户群规模。在此基础上进一步加强与国外大型</w:t>
      </w:r>
      <w:r>
        <w:rPr>
          <w:spacing w:val="-66"/>
        </w:rPr>
        <w:t> </w:t>
      </w:r>
      <w:r>
        <w:rPr>
          <w:spacing w:val="-66"/>
        </w:rPr>
      </w:r>
      <w:r>
        <w:rPr/>
        <w:t>电信运营商的沟通与合作，力争在俄罗斯、荷兰、中东地区等有所突破。</w:t>
      </w:r>
    </w:p>
    <w:p>
      <w:pPr>
        <w:spacing w:line="240" w:lineRule="auto" w:before="5"/>
        <w:rPr>
          <w:rFonts w:ascii="宋体" w:hAnsi="宋体" w:cs="宋体" w:eastAsia="宋体" w:hint="default"/>
          <w:sz w:val="13"/>
          <w:szCs w:val="13"/>
        </w:rPr>
      </w:pPr>
    </w:p>
    <w:p>
      <w:pPr>
        <w:pStyle w:val="BodyText"/>
        <w:spacing w:line="477" w:lineRule="auto"/>
        <w:ind w:right="93" w:firstLine="420"/>
        <w:jc w:val="left"/>
      </w:pPr>
      <w:r>
        <w:rPr/>
        <w:t>（</w:t>
      </w:r>
      <w:r>
        <w:rPr>
          <w:rFonts w:ascii="宋体" w:hAnsi="宋体" w:cs="宋体" w:eastAsia="宋体" w:hint="default"/>
        </w:rPr>
        <w:t>4</w:t>
      </w:r>
      <w:r>
        <w:rPr/>
        <w:t>）在移动游戏领域，做好整合与协同，加大新游戏的研发力度，积极推进游戏发行业务，打造高效的运营团队、完 </w:t>
      </w:r>
      <w:r>
        <w:rPr>
          <w:spacing w:val="-2"/>
        </w:rPr>
        <w:t>善运营配套措施，根据不同市场制定符合相应的运营策略，采取多种方式、积极开展游戏内容引进工作，以做到丰富性、多</w:t>
      </w:r>
      <w:r>
        <w:rPr>
          <w:spacing w:val="-65"/>
        </w:rPr>
        <w:t> </w:t>
      </w:r>
      <w:r>
        <w:rPr>
          <w:spacing w:val="-65"/>
        </w:rPr>
      </w:r>
      <w:r>
        <w:rPr/>
        <w:t>样性，提升未来运营质量与流水。同时，基于业已形成的涵盖游戏开发、发行、渠道全过程的增值服务的移动游戏生态链，</w:t>
      </w:r>
      <w:r>
        <w:rPr>
          <w:spacing w:val="-85"/>
        </w:rPr>
        <w:t> </w:t>
      </w:r>
      <w:r>
        <w:rPr>
          <w:spacing w:val="-85"/>
        </w:rPr>
      </w:r>
      <w:r>
        <w:rPr/>
        <w:t>将游戏行业各环节有机结合，以实现资源共享、发挥协同效应，提升公司游戏业务的整体竞争实力。</w:t>
      </w:r>
    </w:p>
    <w:p>
      <w:pPr>
        <w:spacing w:line="240" w:lineRule="auto" w:before="4"/>
        <w:rPr>
          <w:rFonts w:ascii="宋体" w:hAnsi="宋体" w:cs="宋体" w:eastAsia="宋体" w:hint="default"/>
          <w:sz w:val="13"/>
          <w:szCs w:val="13"/>
        </w:rPr>
      </w:pPr>
    </w:p>
    <w:p>
      <w:pPr>
        <w:pStyle w:val="BodyText"/>
        <w:spacing w:line="477" w:lineRule="auto"/>
        <w:ind w:right="191" w:firstLine="420"/>
        <w:jc w:val="both"/>
      </w:pPr>
      <w:r>
        <w:rPr/>
        <w:t>（</w:t>
      </w:r>
      <w:r>
        <w:rPr>
          <w:rFonts w:ascii="宋体" w:hAnsi="宋体" w:cs="宋体" w:eastAsia="宋体" w:hint="default"/>
        </w:rPr>
        <w:t>5</w:t>
      </w:r>
      <w:r>
        <w:rPr/>
        <w:t>）在物联网领域，智慧线</w:t>
      </w:r>
      <w:r>
        <w:rPr>
          <w:rFonts w:ascii="宋体" w:hAnsi="宋体" w:cs="宋体" w:eastAsia="宋体" w:hint="default"/>
        </w:rPr>
        <w:t>2.0</w:t>
      </w:r>
      <w:r>
        <w:rPr/>
        <w:t>系列在已经正式通过安标国家矿用产品安全标志中心的正式认证的基础上，重点完成 </w:t>
      </w:r>
      <w:r>
        <w:rPr>
          <w:spacing w:val="-2"/>
        </w:rPr>
        <w:t>标准化制定和推广工作，发挥神华集团以及产业链上其他合作伙伴的优势，力争在年内实现市场销售合同的落地。在研发方</w:t>
      </w:r>
      <w:r>
        <w:rPr>
          <w:spacing w:val="-66"/>
        </w:rPr>
        <w:t> </w:t>
      </w:r>
      <w:r>
        <w:rPr>
          <w:spacing w:val="-66"/>
        </w:rPr>
      </w:r>
      <w:r>
        <w:rPr>
          <w:spacing w:val="-2"/>
        </w:rPr>
        <w:t>面重点突破基于智慧线的周界安防领域，矿山、石油、石化等区域的物联网和通信网络，以及部分军事应用周界安防解决方</w:t>
      </w:r>
      <w:r>
        <w:rPr>
          <w:spacing w:val="-66"/>
        </w:rPr>
        <w:t> </w:t>
      </w:r>
      <w:r>
        <w:rPr>
          <w:spacing w:val="-66"/>
        </w:rPr>
      </w:r>
      <w:r>
        <w:rPr/>
        <w:t>案。推进智慧线</w:t>
      </w:r>
      <w:r>
        <w:rPr>
          <w:rFonts w:ascii="宋体" w:hAnsi="宋体" w:cs="宋体" w:eastAsia="宋体" w:hint="default"/>
        </w:rPr>
        <w:t>3.0</w:t>
      </w:r>
      <w:r>
        <w:rPr/>
        <w:t>系列的开发、测试、优化以及环境搭建工作，探索并尝试超宽带接入业务的商业模式，扩展公司的业务</w:t>
      </w:r>
      <w:r>
        <w:rPr>
          <w:spacing w:val="-83"/>
        </w:rPr>
        <w:t> </w:t>
      </w:r>
      <w:r>
        <w:rPr>
          <w:spacing w:val="-83"/>
        </w:rPr>
      </w:r>
      <w:r>
        <w:rPr/>
        <w:t>覆盖范围。</w:t>
      </w:r>
    </w:p>
    <w:p>
      <w:pPr>
        <w:spacing w:line="240" w:lineRule="auto" w:before="4"/>
        <w:rPr>
          <w:rFonts w:ascii="宋体" w:hAnsi="宋体" w:cs="宋体" w:eastAsia="宋体" w:hint="default"/>
          <w:sz w:val="13"/>
          <w:szCs w:val="13"/>
        </w:rPr>
      </w:pPr>
    </w:p>
    <w:p>
      <w:pPr>
        <w:pStyle w:val="BodyText"/>
        <w:spacing w:line="477" w:lineRule="auto"/>
        <w:ind w:right="93" w:firstLine="420"/>
        <w:jc w:val="left"/>
      </w:pPr>
      <w:r>
        <w:rPr/>
        <w:t>（</w:t>
      </w:r>
      <w:r>
        <w:rPr>
          <w:rFonts w:ascii="宋体" w:hAnsi="宋体" w:cs="宋体" w:eastAsia="宋体" w:hint="default"/>
        </w:rPr>
        <w:t>6</w:t>
      </w:r>
      <w:r>
        <w:rPr/>
        <w:t>）积极推进职业教育领域的业务拓展。充分发挥公司原有动感求职就业平台团队所积累的运营经验，努力构建面向 大学生和初入职场人群的职业规划、职业培训、就业推荐三位一体的一站式在线职业教育服务。同时，借力教育产业基金，</w:t>
      </w:r>
      <w:r>
        <w:rPr>
          <w:spacing w:val="-85"/>
        </w:rPr>
        <w:t> </w:t>
      </w:r>
      <w:r>
        <w:rPr>
          <w:spacing w:val="-85"/>
        </w:rPr>
      </w:r>
      <w:r>
        <w:rPr>
          <w:spacing w:val="-2"/>
        </w:rPr>
        <w:t>打造一个涵盖教育产品开发、课程版权、招生渠道、在线平台、就业对接平台等全过程的职前教育产业生态链，实现公司的</w:t>
      </w:r>
      <w:r>
        <w:rPr>
          <w:spacing w:val="-67"/>
        </w:rPr>
        <w:t> </w:t>
      </w:r>
      <w:r>
        <w:rPr>
          <w:spacing w:val="-67"/>
        </w:rPr>
      </w:r>
      <w:r>
        <w:rPr/>
        <w:t>教育产业链整合和快速扩张，推动公司健康、快速成长。</w:t>
      </w:r>
    </w:p>
    <w:p>
      <w:pPr>
        <w:spacing w:line="240" w:lineRule="auto" w:before="4"/>
        <w:rPr>
          <w:rFonts w:ascii="宋体" w:hAnsi="宋体" w:cs="宋体" w:eastAsia="宋体" w:hint="default"/>
          <w:sz w:val="13"/>
          <w:szCs w:val="13"/>
        </w:rPr>
      </w:pPr>
    </w:p>
    <w:p>
      <w:pPr>
        <w:pStyle w:val="BodyText"/>
        <w:spacing w:line="477" w:lineRule="auto"/>
        <w:ind w:right="93" w:firstLine="420"/>
        <w:jc w:val="left"/>
      </w:pPr>
      <w:r>
        <w:rPr>
          <w:spacing w:val="-2"/>
        </w:rPr>
        <w:t>（</w:t>
      </w:r>
      <w:r>
        <w:rPr>
          <w:rFonts w:ascii="宋体" w:hAnsi="宋体" w:cs="宋体" w:eastAsia="宋体" w:hint="default"/>
          <w:spacing w:val="-2"/>
        </w:rPr>
        <w:t>7</w:t>
      </w:r>
      <w:r>
        <w:rPr>
          <w:spacing w:val="-2"/>
        </w:rPr>
        <w:t>）立足主业、持续稳步推进投资并购业务。围绕着运维管理、互联网，尤其是移动互联网领域，积极寻找适合的业</w:t>
      </w:r>
      <w:r>
        <w:rPr/>
        <w:t> 务、产品、技术或团队，通过投资并购活动优化、强化、丰富公司的业务架构，为公司可持续发展构建坚实基础。</w:t>
      </w:r>
    </w:p>
    <w:p>
      <w:pPr>
        <w:spacing w:line="240" w:lineRule="auto" w:before="3"/>
        <w:rPr>
          <w:rFonts w:ascii="宋体" w:hAnsi="宋体" w:cs="宋体" w:eastAsia="宋体" w:hint="default"/>
          <w:sz w:val="13"/>
          <w:szCs w:val="13"/>
        </w:rPr>
      </w:pPr>
    </w:p>
    <w:p>
      <w:pPr>
        <w:pStyle w:val="Heading4"/>
        <w:spacing w:line="240" w:lineRule="auto"/>
        <w:ind w:left="573" w:right="93"/>
        <w:jc w:val="left"/>
        <w:rPr>
          <w:b w:val="0"/>
          <w:bCs w:val="0"/>
        </w:rPr>
      </w:pPr>
      <w:r>
        <w:rPr/>
        <w:t>（三）对公司未来发展战略和经营目标的实现产生不利影响的风险因素分析</w:t>
      </w:r>
      <w:r>
        <w:rPr>
          <w:b w:val="0"/>
          <w:bCs w:val="0"/>
        </w:rPr>
      </w:r>
    </w:p>
    <w:p>
      <w:pPr>
        <w:spacing w:line="240" w:lineRule="auto" w:before="8"/>
        <w:rPr>
          <w:rFonts w:ascii="宋体" w:hAnsi="宋体" w:cs="宋体" w:eastAsia="宋体" w:hint="default"/>
          <w:b/>
          <w:bCs/>
          <w:sz w:val="21"/>
          <w:szCs w:val="21"/>
        </w:rPr>
      </w:pPr>
    </w:p>
    <w:p>
      <w:pPr>
        <w:spacing w:line="477" w:lineRule="auto" w:before="0"/>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、运维管理业务对电信行业依赖的风险及对策</w:t>
      </w:r>
      <w:r>
        <w:rPr>
          <w:rFonts w:ascii="宋体" w:hAnsi="宋体" w:cs="宋体" w:eastAsia="宋体" w:hint="default"/>
          <w:b/>
          <w:bCs/>
          <w:w w:val="99"/>
          <w:sz w:val="18"/>
          <w:szCs w:val="18"/>
        </w:rPr>
        <w:t> </w:t>
      </w:r>
      <w:r>
        <w:rPr>
          <w:rFonts w:ascii="宋体" w:hAnsi="宋体" w:cs="宋体" w:eastAsia="宋体" w:hint="default"/>
          <w:spacing w:val="-2"/>
          <w:sz w:val="18"/>
          <w:szCs w:val="18"/>
        </w:rPr>
        <w:t>电信行业是公司运维管理业务的重点市场领域，公司对电信行业的依赖程度较高。如果未来电信行业发生不可预测的不</w:t>
      </w:r>
    </w:p>
    <w:p>
      <w:pPr>
        <w:pStyle w:val="BodyText"/>
        <w:spacing w:line="477" w:lineRule="auto" w:before="54"/>
        <w:ind w:left="513" w:right="93" w:hanging="360"/>
        <w:jc w:val="left"/>
      </w:pPr>
      <w:r>
        <w:rPr/>
        <w:t>利变化或者电信运营商对信息化建设的投资规模大幅下降，将对公司的盈利能力产生较大不利影响。 公司运维管理业务聚焦于电信行业是市场的必然选择，是公司业务战略的必然选择。 </w:t>
      </w:r>
      <w:r>
        <w:rPr>
          <w:spacing w:val="-2"/>
        </w:rPr>
        <w:t>电信行业与其他行业相比，其信息化程度较高，系统规模庞大且复杂，对</w:t>
      </w:r>
      <w:r>
        <w:rPr>
          <w:rFonts w:ascii="宋体" w:hAnsi="宋体" w:cs="宋体" w:eastAsia="宋体" w:hint="default"/>
          <w:spacing w:val="-2"/>
        </w:rPr>
        <w:t>IT</w:t>
      </w:r>
      <w:r>
        <w:rPr>
          <w:spacing w:val="-2"/>
        </w:rPr>
        <w:t>运维管理的认同和接受程度也较高，</w:t>
      </w:r>
      <w:r>
        <w:rPr>
          <w:rFonts w:ascii="宋体" w:hAnsi="宋体" w:cs="宋体" w:eastAsia="宋体" w:hint="default"/>
          <w:spacing w:val="-2"/>
        </w:rPr>
        <w:t>IT</w:t>
      </w:r>
      <w:r>
        <w:rPr>
          <w:spacing w:val="-2"/>
        </w:rPr>
        <w:t>投资</w:t>
      </w:r>
    </w:p>
    <w:p>
      <w:pPr>
        <w:pStyle w:val="BodyText"/>
        <w:spacing w:line="477" w:lineRule="auto" w:before="54"/>
        <w:ind w:left="154" w:right="190"/>
        <w:jc w:val="both"/>
      </w:pPr>
      <w:r>
        <w:rPr>
          <w:spacing w:val="-2"/>
        </w:rPr>
        <w:t>规模大，是运维管理重点应用领域。电信行业的重组、</w:t>
      </w:r>
      <w:r>
        <w:rPr>
          <w:rFonts w:ascii="宋体" w:hAnsi="宋体" w:cs="宋体" w:eastAsia="宋体" w:hint="default"/>
          <w:spacing w:val="-2"/>
        </w:rPr>
        <w:t>4G</w:t>
      </w:r>
      <w:r>
        <w:rPr>
          <w:spacing w:val="-2"/>
        </w:rPr>
        <w:t>网络的建设，以及电信运营商之间的竞争等，必然促使运营商通过</w:t>
      </w:r>
      <w:r>
        <w:rPr>
          <w:spacing w:val="-64"/>
        </w:rPr>
        <w:t> </w:t>
      </w:r>
      <w:r>
        <w:rPr>
          <w:spacing w:val="-64"/>
        </w:rPr>
      </w:r>
      <w:r>
        <w:rPr>
          <w:spacing w:val="-2"/>
        </w:rPr>
        <w:t>加大网络建设、不断开发新的业务、提高</w:t>
      </w:r>
      <w:r>
        <w:rPr>
          <w:rFonts w:ascii="宋体" w:hAnsi="宋体" w:cs="宋体" w:eastAsia="宋体" w:hint="default"/>
          <w:spacing w:val="-2"/>
        </w:rPr>
        <w:t>IT</w:t>
      </w:r>
      <w:r>
        <w:rPr>
          <w:spacing w:val="-2"/>
        </w:rPr>
        <w:t>系统运行效率等方式以满足用户多样化、个性化、快捷、高效的通信需求，巩固</w:t>
      </w:r>
      <w:r>
        <w:rPr>
          <w:spacing w:val="-66"/>
        </w:rPr>
        <w:t> </w:t>
      </w:r>
      <w:r>
        <w:rPr>
          <w:spacing w:val="-66"/>
        </w:rPr>
      </w:r>
      <w:r>
        <w:rPr>
          <w:spacing w:val="-2"/>
        </w:rPr>
        <w:t>和争取更多市场份额。因此，未来几年，电信运营商对运维管理的投资将继续保持增长态势，为公司运维管理业务的发展提</w:t>
      </w:r>
      <w:r>
        <w:rPr>
          <w:spacing w:val="-66"/>
        </w:rPr>
        <w:t> </w:t>
      </w:r>
      <w:r>
        <w:rPr>
          <w:spacing w:val="-66"/>
        </w:rPr>
      </w:r>
      <w:r>
        <w:rPr/>
        <w:t>供了有力的市场基础。</w:t>
      </w:r>
    </w:p>
    <w:p>
      <w:pPr>
        <w:spacing w:after="0" w:line="477" w:lineRule="auto"/>
        <w:jc w:val="both"/>
        <w:sectPr>
          <w:footerReference w:type="default" r:id="rId14"/>
          <w:pgSz w:w="11910" w:h="16840"/>
          <w:pgMar w:footer="1226" w:header="851" w:top="1380" w:bottom="1420" w:left="980" w:right="940"/>
          <w:pgNumType w:start="35"/>
        </w:sectPr>
      </w:pPr>
    </w:p>
    <w:p>
      <w:pPr>
        <w:pStyle w:val="BodyText"/>
        <w:spacing w:line="477" w:lineRule="auto" w:before="141"/>
        <w:ind w:left="154" w:right="151" w:firstLine="360"/>
        <w:jc w:val="both"/>
      </w:pPr>
      <w:r>
        <w:rPr>
          <w:spacing w:val="-2"/>
        </w:rPr>
        <w:t>公司将紧密跟踪电信运营商多样化的业务需求，进一步丰富运维管理业务线、提升产品性能与功能，深化和巩固在电信</w:t>
      </w:r>
      <w:r>
        <w:rPr/>
        <w:t> </w:t>
      </w:r>
      <w:r>
        <w:rPr>
          <w:spacing w:val="-2"/>
        </w:rPr>
        <w:t>行业的市场地位。同时，进一步加大向金融、能源、政府部门等领域的横向拓展的力度，提升在该等领域市场份额，稳定经</w:t>
      </w:r>
      <w:r>
        <w:rPr>
          <w:spacing w:val="-70"/>
        </w:rPr>
        <w:t> </w:t>
      </w:r>
      <w:r>
        <w:rPr>
          <w:spacing w:val="-70"/>
        </w:rPr>
      </w:r>
      <w:r>
        <w:rPr/>
        <w:t>营，降低风险。</w:t>
      </w:r>
    </w:p>
    <w:p>
      <w:pPr>
        <w:spacing w:line="477" w:lineRule="auto" w:before="54"/>
        <w:ind w:left="514" w:right="2392" w:firstLine="1"/>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、对高端人才的持续需求</w:t>
      </w:r>
      <w:r>
        <w:rPr>
          <w:rFonts w:ascii="宋体" w:hAnsi="宋体" w:cs="宋体" w:eastAsia="宋体" w:hint="default"/>
          <w:b/>
          <w:bCs/>
          <w:w w:val="99"/>
          <w:sz w:val="18"/>
          <w:szCs w:val="18"/>
        </w:rPr>
        <w:t> </w:t>
      </w:r>
      <w:r>
        <w:rPr>
          <w:rFonts w:ascii="宋体" w:hAnsi="宋体" w:cs="宋体" w:eastAsia="宋体" w:hint="default"/>
          <w:sz w:val="18"/>
          <w:szCs w:val="18"/>
        </w:rPr>
        <w:t>公司属于知识密集型、智力密集型行业，高端人才储备不足将制约着企业的进一步发展。</w:t>
      </w:r>
    </w:p>
    <w:p>
      <w:pPr>
        <w:pStyle w:val="BodyText"/>
        <w:spacing w:line="477" w:lineRule="auto" w:before="54"/>
        <w:ind w:right="149" w:firstLine="360"/>
        <w:jc w:val="both"/>
      </w:pPr>
      <w:r>
        <w:rPr>
          <w:spacing w:val="-2"/>
        </w:rPr>
        <w:t>随着公司业务规模不断扩大，以及互联网、网络优化业务领域等业务线、产品线的不断丰富，对软件高级技术人员、营</w:t>
      </w:r>
      <w:r>
        <w:rPr/>
        <w:t> </w:t>
      </w:r>
      <w:r>
        <w:rPr>
          <w:spacing w:val="-2"/>
        </w:rPr>
        <w:t>销人员和管理人员具有较大的需求。如何保持现有技术队伍和管理层的稳定、提高业务人员专业水平和综合素质、培养和引</w:t>
      </w:r>
      <w:r>
        <w:rPr>
          <w:spacing w:val="-66"/>
        </w:rPr>
        <w:t> </w:t>
      </w:r>
      <w:r>
        <w:rPr>
          <w:spacing w:val="-66"/>
        </w:rPr>
      </w:r>
      <w:r>
        <w:rPr>
          <w:spacing w:val="-2"/>
        </w:rPr>
        <w:t>进优秀人才，对公司的快速发展至关重要。为此，公司将始终坚持“高绩效、高贡献、高回报”的人才发展观，通过提升薪</w:t>
      </w:r>
      <w:r>
        <w:rPr>
          <w:spacing w:val="-70"/>
        </w:rPr>
        <w:t> </w:t>
      </w:r>
      <w:r>
        <w:rPr>
          <w:spacing w:val="-70"/>
        </w:rPr>
      </w:r>
      <w:r>
        <w:rPr>
          <w:spacing w:val="-2"/>
        </w:rPr>
        <w:t>资竞争力提高人才的吸引力，通过为员工创造良好的职业发展环境、营造适宜的企业文化氛围等系统性的措施来吸引、留住</w:t>
      </w:r>
      <w:r>
        <w:rPr>
          <w:spacing w:val="-66"/>
        </w:rPr>
        <w:t> </w:t>
      </w:r>
      <w:r>
        <w:rPr>
          <w:spacing w:val="-66"/>
        </w:rPr>
      </w:r>
      <w:r>
        <w:rPr/>
        <w:t>和激励人才。</w:t>
      </w:r>
    </w:p>
    <w:p>
      <w:pPr>
        <w:pStyle w:val="BodyText"/>
        <w:spacing w:line="477" w:lineRule="auto" w:before="54"/>
        <w:ind w:left="514" w:right="0" w:firstLine="1"/>
        <w:jc w:val="left"/>
      </w:pPr>
      <w:r>
        <w:rPr>
          <w:rFonts w:ascii="宋体" w:hAnsi="宋体" w:cs="宋体" w:eastAsia="宋体" w:hint="default"/>
          <w:b/>
          <w:bCs/>
        </w:rPr>
        <w:t>3</w:t>
      </w:r>
      <w:r>
        <w:rPr>
          <w:rFonts w:ascii="宋体" w:hAnsi="宋体" w:cs="宋体" w:eastAsia="宋体" w:hint="default"/>
          <w:b/>
          <w:bCs/>
        </w:rPr>
        <w:t>、集团化管理</w:t>
      </w:r>
      <w:r>
        <w:rPr>
          <w:rFonts w:ascii="宋体" w:hAnsi="宋体" w:cs="宋体" w:eastAsia="宋体" w:hint="default"/>
          <w:b/>
          <w:bCs/>
          <w:w w:val="99"/>
        </w:rPr>
        <w:t> </w:t>
      </w:r>
      <w:r>
        <w:rPr>
          <w:spacing w:val="-2"/>
        </w:rPr>
        <w:t>随着公司资产规模、业务规模的扩大，在战略规划、组织机构设置、企业文化建设、资源配置、运营管理，特别是资金</w:t>
      </w:r>
    </w:p>
    <w:p>
      <w:pPr>
        <w:pStyle w:val="BodyText"/>
        <w:spacing w:line="518" w:lineRule="auto" w:before="54"/>
        <w:ind w:left="513" w:right="0" w:hanging="360"/>
        <w:jc w:val="left"/>
      </w:pPr>
      <w:r>
        <w:rPr/>
        <w:t>管理、人才管理、内部控制等方面以及如何整合、发挥协同效应，都将对管理水平提出更大的挑战。 </w:t>
      </w:r>
      <w:r>
        <w:rPr>
          <w:spacing w:val="-2"/>
        </w:rPr>
        <w:t>为此，公司继续坚持基于扁平化的组织体系和以绩效为核心的管理机制，缩短决策链条、提升决策效率，以交付价值为</w:t>
      </w:r>
    </w:p>
    <w:p>
      <w:pPr>
        <w:pStyle w:val="BodyText"/>
        <w:spacing w:line="477" w:lineRule="auto" w:before="22"/>
        <w:ind w:right="0"/>
        <w:jc w:val="left"/>
      </w:pPr>
      <w:r>
        <w:rPr>
          <w:spacing w:val="-2"/>
        </w:rPr>
        <w:t>指导思想深入组织结构的优化与调整，不断加强内部管控，建立规范化的流程管理和项目管理体系，控制成本支出、提升整</w:t>
      </w:r>
      <w:r>
        <w:rPr>
          <w:spacing w:val="-66"/>
        </w:rPr>
        <w:t> </w:t>
      </w:r>
      <w:r>
        <w:rPr>
          <w:spacing w:val="-66"/>
        </w:rPr>
      </w:r>
      <w:r>
        <w:rPr/>
        <w:t>体管理效能。</w:t>
      </w:r>
    </w:p>
    <w:p>
      <w:pPr>
        <w:spacing w:line="240" w:lineRule="auto" w:before="4"/>
        <w:rPr>
          <w:rFonts w:ascii="宋体" w:hAnsi="宋体" w:cs="宋体" w:eastAsia="宋体" w:hint="default"/>
          <w:sz w:val="17"/>
          <w:szCs w:val="17"/>
        </w:rPr>
      </w:pPr>
    </w:p>
    <w:p>
      <w:pPr>
        <w:pStyle w:val="Heading2"/>
        <w:spacing w:line="240" w:lineRule="auto"/>
        <w:ind w:left="153" w:right="0"/>
        <w:jc w:val="left"/>
        <w:rPr>
          <w:b w:val="0"/>
          <w:bCs w:val="0"/>
        </w:rPr>
      </w:pPr>
      <w:bookmarkStart w:name="三、董事会、监事会对会计师事务所本报告期“非标准审计报告”的说明" w:id="28"/>
      <w:bookmarkEnd w:id="28"/>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四、董事会关于报告期会计政策、会计估计变更或重要前期差错更正的说明" w:id="29"/>
      <w:bookmarkEnd w:id="29"/>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456" w:lineRule="auto"/>
        <w:ind w:right="14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日起，中国财政部陆续发布了《企业会计准则第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 </w:t>
      </w:r>
      <w:r>
        <w:rPr>
          <w:spacing w:val="-2"/>
        </w:rPr>
        <w:t>表列报》、《企业会计准则第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在其他主体中权益的披露》七</w:t>
      </w:r>
      <w:r>
        <w:rPr>
          <w:spacing w:val="-83"/>
        </w:rPr>
        <w:t> </w:t>
      </w:r>
      <w:r>
        <w:rPr>
          <w:spacing w:val="-83"/>
        </w:rPr>
      </w:r>
      <w:r>
        <w:rPr>
          <w:spacing w:val="-2"/>
        </w:rPr>
        <w:t>项具体会计准则（以下简称</w:t>
      </w:r>
      <w:r>
        <w:rPr>
          <w:rFonts w:ascii="Times New Roman" w:hAnsi="Times New Roman" w:cs="Times New Roman" w:eastAsia="Times New Roman" w:hint="default"/>
          <w:spacing w:val="-2"/>
        </w:rPr>
        <w:t>“</w:t>
      </w:r>
      <w:r>
        <w:rPr>
          <w:spacing w:val="-2"/>
        </w:rPr>
        <w:t>新会计准则</w:t>
      </w:r>
      <w:r>
        <w:rPr>
          <w:rFonts w:ascii="Times New Roman" w:hAnsi="Times New Roman" w:cs="Times New Roman" w:eastAsia="Times New Roman" w:hint="default"/>
          <w:spacing w:val="-2"/>
        </w:rPr>
        <w:t>”</w:t>
      </w:r>
      <w:r>
        <w:rPr>
          <w:spacing w:val="-2"/>
        </w:rPr>
        <w:t>）。根据财政部的要求，新会计准则自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日起在所有执行企业会计准则的</w:t>
      </w:r>
      <w:r>
        <w:rPr>
          <w:spacing w:val="-38"/>
        </w:rPr>
        <w:t> </w:t>
      </w:r>
      <w:r>
        <w:rPr>
          <w:spacing w:val="-2"/>
        </w:rPr>
        <w:t>企业范围内施行。根据财政部的规定，本公司自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日起执行上述七项新会计准则。另结合信用证结算的特征以及上</w:t>
      </w:r>
      <w:r>
        <w:rPr>
          <w:spacing w:val="-60"/>
        </w:rPr>
        <w:t> </w:t>
      </w:r>
      <w:r>
        <w:rPr>
          <w:spacing w:val="-60"/>
        </w:rPr>
      </w:r>
      <w:r>
        <w:rPr>
          <w:spacing w:val="-2"/>
        </w:rPr>
        <w:t>市公司相关案例，公司对国内信用证收款的应收帐款作为一个无风险组合计提坏帐准备。《关于会计政策与会计估计变更的</w:t>
      </w:r>
      <w:r>
        <w:rPr>
          <w:spacing w:val="-66"/>
        </w:rPr>
        <w:t> </w:t>
      </w:r>
      <w:r>
        <w:rPr>
          <w:spacing w:val="-66"/>
        </w:rPr>
      </w:r>
      <w:r>
        <w:rPr/>
        <w:t>议案》已经公司第五届董事会第三十七次会议及第五届监事会第十五次会议审议通过。</w:t>
      </w:r>
    </w:p>
    <w:p>
      <w:pPr>
        <w:pStyle w:val="BodyText"/>
        <w:spacing w:line="240" w:lineRule="auto" w:before="70"/>
        <w:ind w:left="513" w:right="0"/>
        <w:jc w:val="left"/>
      </w:pPr>
      <w:r>
        <w:rPr/>
        <w:t>本次会计政策、会计估计变更符合《企业会计准则》及相关规定，能够更客观地反映公司财务状况和经营成果，为投资</w:t>
      </w:r>
    </w:p>
    <w:p>
      <w:pPr>
        <w:spacing w:after="0" w:line="240" w:lineRule="auto"/>
        <w:jc w:val="left"/>
        <w:sectPr>
          <w:pgSz w:w="11910" w:h="16840"/>
          <w:pgMar w:header="851" w:footer="1226" w:top="1380" w:bottom="1420" w:left="980" w:right="980"/>
        </w:sectPr>
      </w:pPr>
    </w:p>
    <w:p>
      <w:pPr>
        <w:pStyle w:val="BodyText"/>
        <w:spacing w:line="240" w:lineRule="auto" w:before="141"/>
        <w:ind w:left="154" w:right="0"/>
        <w:jc w:val="left"/>
      </w:pPr>
      <w:r>
        <w:rPr/>
        <w:t>者提供更可靠、更准确的会计信息。</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五、公司利润分配及分红派息情况" w:id="30"/>
      <w:bookmarkEnd w:id="30"/>
      <w:r>
        <w:rPr>
          <w:b w:val="0"/>
          <w:bCs w:val="0"/>
        </w:rPr>
      </w:r>
      <w:r>
        <w:rPr/>
        <w:t>五、公司利润分配及分红派息情况</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0"/>
        <w:jc w:val="left"/>
        <w:rPr>
          <w:b w:val="0"/>
          <w:bCs w:val="0"/>
        </w:rPr>
      </w:pPr>
      <w:r>
        <w:rPr/>
        <w:t>报告期内利润分配政策特别是现金分红政策的制定、执行或调整情况</w:t>
      </w:r>
      <w:r>
        <w:rPr>
          <w:b w:val="0"/>
          <w:bCs w:val="0"/>
        </w:rPr>
      </w:r>
    </w:p>
    <w:p>
      <w:pPr>
        <w:spacing w:line="240" w:lineRule="auto" w:before="10"/>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pStyle w:val="BodyText"/>
        <w:spacing w:line="451" w:lineRule="auto"/>
        <w:ind w:right="15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年度利润分配及资本公积金转增股本方案》，以公司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28</w:t>
      </w:r>
      <w:r>
        <w:rPr/>
        <w:t>日总股本</w:t>
      </w:r>
      <w:r>
        <w:rPr>
          <w:rFonts w:ascii="Times New Roman" w:hAnsi="Times New Roman" w:cs="Times New Roman" w:eastAsia="Times New Roman" w:hint="default"/>
        </w:rPr>
        <w:t>615,216,384.00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w:t>
      </w:r>
      <w:r>
        <w:rPr/>
        <w:t>元（含税），共分配现金红利</w:t>
      </w:r>
      <w:r>
        <w:rPr>
          <w:rFonts w:ascii="Times New Roman" w:hAnsi="Times New Roman" w:cs="Times New Roman" w:eastAsia="Times New Roman" w:hint="default"/>
        </w:rPr>
        <w:t>15,380.41</w:t>
      </w:r>
      <w:r>
        <w:rPr/>
        <w:t>万元（含 税），同时，由资本公积金向全体股东每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615,216,384.00</w:t>
      </w:r>
      <w:r>
        <w:rPr/>
        <w:t>股。</w:t>
      </w:r>
    </w:p>
    <w:p>
      <w:pPr>
        <w:pStyle w:val="BodyText"/>
        <w:spacing w:line="451" w:lineRule="auto" w:before="43"/>
        <w:ind w:right="159" w:firstLine="360"/>
        <w:jc w:val="both"/>
      </w:pPr>
      <w:r>
        <w:rPr/>
        <w:pict>
          <v:shape style="position:absolute;margin-left:57.029999pt;margin-top:44.551739pt;width:478.6pt;height:172.4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根据</w:t>
      </w:r>
      <w:r>
        <w:rPr>
          <w:rFonts w:ascii="Times New Roman" w:hAnsi="Times New Roman" w:cs="Times New Roman" w:eastAsia="Times New Roman" w:hint="default"/>
        </w:rPr>
        <w:t>2013</w:t>
      </w:r>
      <w:r>
        <w:rPr/>
        <w:t>年度股东大会决议，公司于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日在巨潮资讯网刊登了《</w:t>
      </w:r>
      <w:r>
        <w:rPr>
          <w:rFonts w:ascii="Times New Roman" w:hAnsi="Times New Roman" w:cs="Times New Roman" w:eastAsia="Times New Roman" w:hint="default"/>
        </w:rPr>
        <w:t>2013</w:t>
      </w:r>
      <w:r>
        <w:rPr/>
        <w:t>年度权益分配实施的公告》，本次权益 分配股权登记日为：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日。该利润分配方案已实施完毕。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44"/>
        <w:ind w:right="0"/>
        <w:jc w:val="left"/>
        <w:rPr>
          <w:b w:val="0"/>
          <w:bCs w:val="0"/>
        </w:rPr>
      </w:pPr>
      <w:r>
        <w:rPr/>
        <w:t>公司报告期利润分配预案及资本公积金转增股本预案与公司章程和分红管理办法等的相关规定一致</w:t>
      </w:r>
      <w:r>
        <w:rPr>
          <w:b w:val="0"/>
          <w:bCs w:val="0"/>
        </w:rPr>
      </w:r>
    </w:p>
    <w:p>
      <w:pPr>
        <w:spacing w:line="240" w:lineRule="auto" w:before="10"/>
        <w:rPr>
          <w:rFonts w:ascii="宋体" w:hAnsi="宋体" w:cs="宋体" w:eastAsia="宋体" w:hint="default"/>
          <w:b/>
          <w:bCs/>
          <w:sz w:val="20"/>
          <w:szCs w:val="20"/>
        </w:rPr>
      </w:pPr>
    </w:p>
    <w:p>
      <w:pPr>
        <w:pStyle w:val="BodyText"/>
        <w:spacing w:line="504" w:lineRule="auto"/>
        <w:ind w:right="3293"/>
        <w:jc w:val="left"/>
      </w:pPr>
      <w:r>
        <w:rPr>
          <w:rFonts w:ascii="Times New Roman" w:hAnsi="Times New Roman" w:cs="Times New Roman" w:eastAsia="Times New Roman" w:hint="default"/>
          <w:b/>
          <w:bCs/>
        </w:rPr>
        <w:t>√ </w:t>
      </w:r>
      <w:r>
        <w:rPr>
          <w:rFonts w:ascii="宋体" w:hAnsi="宋体" w:cs="宋体" w:eastAsia="宋体" w:hint="default"/>
          <w:b/>
          <w:bCs/>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1,327,841,494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159,340,979.28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863,119,122.46</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7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、公司现金分红的具体条件：公司该年度实现的可分配利润（即公司弥补亏损、提取公积金后所余的税后利润）为</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9569"/>
      </w:tblGrid>
      <w:tr>
        <w:trPr>
          <w:trHeight w:val="2357" w:hRule="exact"/>
        </w:trPr>
        <w:tc>
          <w:tcPr>
            <w:tcW w:w="9569" w:type="dxa"/>
            <w:tcBorders>
              <w:top w:val="single" w:sz="10" w:space="0" w:color="000000"/>
              <w:left w:val="single" w:sz="4" w:space="0" w:color="000000"/>
              <w:bottom w:val="single" w:sz="4" w:space="0" w:color="000000"/>
              <w:right w:val="single" w:sz="4" w:space="0" w:color="000000"/>
            </w:tcBorders>
          </w:tcPr>
          <w:p>
            <w:pPr>
              <w:pStyle w:val="TableParagraph"/>
              <w:spacing w:line="477" w:lineRule="auto" w:before="88"/>
              <w:ind w:left="22" w:right="23"/>
              <w:jc w:val="both"/>
              <w:rPr>
                <w:rFonts w:ascii="宋体" w:hAnsi="宋体" w:cs="宋体" w:eastAsia="宋体" w:hint="default"/>
                <w:sz w:val="18"/>
                <w:szCs w:val="18"/>
              </w:rPr>
            </w:pPr>
            <w:r>
              <w:rPr>
                <w:rFonts w:ascii="宋体" w:hAnsi="宋体" w:cs="宋体" w:eastAsia="宋体" w:hint="default"/>
                <w:spacing w:val="-1"/>
                <w:sz w:val="18"/>
                <w:szCs w:val="18"/>
              </w:rPr>
              <w:t>正值，且现金流充裕，实施现金分红不会影响公司后续持续经营；审计机构对公司的该年度财务报告出具标准无保留意见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的审计报告；公司未来十二个月内无重大对外投资计划或重大现金支出（募集资金项目除外）。重大对外投资计划或重大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现金支出是指：公司未来十二个月内拟对外投资、收购资产或者购置设备的累计支出达到或者超过公司最近一期经审计净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资产的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w:t>
            </w:r>
          </w:p>
          <w:p>
            <w:pPr>
              <w:pStyle w:val="TableParagraph"/>
              <w:spacing w:line="240" w:lineRule="auto" w:before="54"/>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、现金分红的比例：每年以现金方式分配的利润不少于当年合并报表可供分配利润的</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14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2" w:right="-4"/>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46"/>
                <w:sz w:val="18"/>
                <w:szCs w:val="18"/>
              </w:rPr>
              <w:t> </w:t>
            </w:r>
            <w:r>
              <w:rPr>
                <w:rFonts w:ascii="宋体" w:hAnsi="宋体" w:cs="宋体" w:eastAsia="宋体" w:hint="default"/>
                <w:sz w:val="18"/>
                <w:szCs w:val="18"/>
              </w:rPr>
              <w:t>624,405,597.27</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其中，母公司实现净利润</w:t>
            </w:r>
            <w:r>
              <w:rPr>
                <w:rFonts w:ascii="宋体" w:hAnsi="宋体" w:cs="宋体" w:eastAsia="宋体" w:hint="default"/>
                <w:spacing w:val="-54"/>
                <w:sz w:val="18"/>
                <w:szCs w:val="18"/>
              </w:rPr>
              <w:t> </w:t>
            </w:r>
            <w:r>
              <w:rPr>
                <w:rFonts w:ascii="宋体" w:hAnsi="宋体" w:cs="宋体" w:eastAsia="宋体" w:hint="default"/>
                <w:sz w:val="18"/>
                <w:szCs w:val="18"/>
              </w:rPr>
              <w:t>344,824,410.96</w:t>
            </w:r>
            <w:r>
              <w:rPr>
                <w:rFonts w:ascii="宋体" w:hAnsi="宋体" w:cs="宋体" w:eastAsia="宋体" w:hint="default"/>
                <w:spacing w:val="-54"/>
                <w:sz w:val="18"/>
                <w:szCs w:val="18"/>
              </w:rPr>
              <w:t> </w:t>
            </w:r>
            <w:r>
              <w:rPr>
                <w:rFonts w:ascii="宋体" w:hAnsi="宋体" w:cs="宋体" w:eastAsia="宋体" w:hint="default"/>
                <w:sz w:val="18"/>
                <w:szCs w:val="18"/>
              </w:rPr>
              <w:t>元。根据《公司法》和《公司章程》的有关规定，按</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年度母公司实现净利</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53"/>
                <w:sz w:val="18"/>
                <w:szCs w:val="18"/>
              </w:rPr>
              <w:t> </w:t>
            </w:r>
            <w:r>
              <w:rPr>
                <w:rFonts w:ascii="宋体" w:hAnsi="宋体" w:cs="宋体" w:eastAsia="宋体" w:hint="default"/>
                <w:sz w:val="18"/>
                <w:szCs w:val="18"/>
              </w:rPr>
              <w:t>34,482,441.10</w:t>
            </w:r>
            <w:r>
              <w:rPr>
                <w:rFonts w:ascii="宋体" w:hAnsi="宋体" w:cs="宋体" w:eastAsia="宋体" w:hint="default"/>
                <w:spacing w:val="-53"/>
                <w:sz w:val="18"/>
                <w:szCs w:val="18"/>
              </w:rPr>
              <w:t> </w:t>
            </w:r>
            <w:r>
              <w:rPr>
                <w:rFonts w:ascii="宋体" w:hAnsi="宋体" w:cs="宋体" w:eastAsia="宋体" w:hint="default"/>
                <w:sz w:val="18"/>
                <w:szCs w:val="18"/>
              </w:rPr>
              <w:t>元后</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3"/>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母公司可供股东分配的利润为</w:t>
            </w:r>
            <w:r>
              <w:rPr>
                <w:rFonts w:ascii="宋体" w:hAnsi="宋体" w:cs="宋体" w:eastAsia="宋体" w:hint="default"/>
                <w:spacing w:val="-53"/>
                <w:sz w:val="18"/>
                <w:szCs w:val="18"/>
              </w:rPr>
              <w:t> </w:t>
            </w:r>
            <w:r>
              <w:rPr>
                <w:rFonts w:ascii="宋体" w:hAnsi="宋体" w:cs="宋体" w:eastAsia="宋体" w:hint="default"/>
                <w:sz w:val="18"/>
                <w:szCs w:val="18"/>
              </w:rPr>
              <w:t>863,119,122.46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元，资本公积金余额为</w:t>
            </w:r>
            <w:r>
              <w:rPr>
                <w:rFonts w:ascii="宋体" w:hAnsi="宋体" w:cs="宋体" w:eastAsia="宋体" w:hint="default"/>
                <w:spacing w:val="-46"/>
                <w:sz w:val="18"/>
                <w:szCs w:val="18"/>
              </w:rPr>
              <w:t> </w:t>
            </w:r>
            <w:r>
              <w:rPr>
                <w:rFonts w:ascii="宋体" w:hAnsi="宋体" w:cs="宋体" w:eastAsia="宋体" w:hint="default"/>
                <w:sz w:val="18"/>
                <w:szCs w:val="18"/>
              </w:rPr>
              <w:t>1,461,847,899.81</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公司现拟定如下分配方案：以公司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1,327,841,494</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股为基数，向全体股东以每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元（含税），共分配现金红利</w:t>
            </w:r>
            <w:r>
              <w:rPr>
                <w:rFonts w:ascii="宋体" w:hAnsi="宋体" w:cs="宋体" w:eastAsia="宋体" w:hint="default"/>
                <w:spacing w:val="-46"/>
                <w:sz w:val="18"/>
                <w:szCs w:val="18"/>
              </w:rPr>
              <w:t> </w:t>
            </w:r>
            <w:r>
              <w:rPr>
                <w:rFonts w:ascii="宋体" w:hAnsi="宋体" w:cs="宋体" w:eastAsia="宋体" w:hint="default"/>
                <w:sz w:val="18"/>
                <w:szCs w:val="18"/>
              </w:rPr>
              <w:t>159,340,979.28</w:t>
            </w:r>
            <w:r>
              <w:rPr>
                <w:rFonts w:ascii="宋体" w:hAnsi="宋体" w:cs="宋体" w:eastAsia="宋体" w:hint="default"/>
                <w:spacing w:val="-46"/>
                <w:sz w:val="18"/>
                <w:szCs w:val="18"/>
              </w:rPr>
              <w:t> </w:t>
            </w:r>
            <w:r>
              <w:rPr>
                <w:rFonts w:ascii="宋体" w:hAnsi="宋体" w:cs="宋体" w:eastAsia="宋体" w:hint="default"/>
                <w:sz w:val="18"/>
                <w:szCs w:val="18"/>
              </w:rPr>
              <w:t>元（含税），剩余未分配利润结转以后年度。同时，截止</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日，母公司资本公积金为</w:t>
            </w:r>
            <w:r>
              <w:rPr>
                <w:rFonts w:ascii="宋体" w:hAnsi="宋体" w:cs="宋体" w:eastAsia="宋体" w:hint="default"/>
                <w:spacing w:val="-46"/>
                <w:sz w:val="18"/>
                <w:szCs w:val="18"/>
              </w:rPr>
              <w:t> </w:t>
            </w:r>
            <w:r>
              <w:rPr>
                <w:rFonts w:ascii="宋体" w:hAnsi="宋体" w:cs="宋体" w:eastAsia="宋体" w:hint="default"/>
                <w:sz w:val="18"/>
                <w:szCs w:val="18"/>
              </w:rPr>
              <w:t>1,461,847,899.81</w:t>
            </w:r>
            <w:r>
              <w:rPr>
                <w:rFonts w:ascii="宋体" w:hAnsi="宋体" w:cs="宋体" w:eastAsia="宋体" w:hint="default"/>
                <w:spacing w:val="-46"/>
                <w:sz w:val="18"/>
                <w:szCs w:val="18"/>
              </w:rPr>
              <w:t> </w:t>
            </w:r>
            <w:r>
              <w:rPr>
                <w:rFonts w:ascii="宋体" w:hAnsi="宋体" w:cs="宋体" w:eastAsia="宋体" w:hint="default"/>
                <w:sz w:val="18"/>
                <w:szCs w:val="18"/>
              </w:rPr>
              <w:t>元，以</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4"/>
                <w:sz w:val="18"/>
                <w:szCs w:val="18"/>
              </w:rPr>
              <w:t> </w:t>
            </w:r>
            <w:r>
              <w:rPr>
                <w:rFonts w:ascii="宋体" w:hAnsi="宋体" w:cs="宋体" w:eastAsia="宋体" w:hint="default"/>
                <w:sz w:val="18"/>
                <w:szCs w:val="18"/>
              </w:rPr>
              <w:t>1,327,841,494</w:t>
            </w:r>
            <w:r>
              <w:rPr>
                <w:rFonts w:ascii="宋体" w:hAnsi="宋体" w:cs="宋体" w:eastAsia="宋体" w:hint="default"/>
                <w:spacing w:val="-46"/>
                <w:sz w:val="18"/>
                <w:szCs w:val="18"/>
              </w:rPr>
              <w:t> </w:t>
            </w:r>
            <w:r>
              <w:rPr>
                <w:rFonts w:ascii="宋体" w:hAnsi="宋体" w:cs="宋体" w:eastAsia="宋体" w:hint="default"/>
                <w:sz w:val="18"/>
                <w:szCs w:val="18"/>
              </w:rPr>
              <w:t>股为基数，由资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本公积金向全体股东每</w:t>
            </w:r>
            <w:r>
              <w:rPr>
                <w:rFonts w:ascii="宋体" w:hAnsi="宋体" w:cs="宋体" w:eastAsia="宋体" w:hint="default"/>
                <w:spacing w:val="-46"/>
                <w:sz w:val="18"/>
                <w:szCs w:val="18"/>
              </w:rPr>
              <w:t> </w:t>
            </w:r>
            <w:r>
              <w:rPr>
                <w:rFonts w:ascii="宋体" w:hAnsi="宋体" w:cs="宋体" w:eastAsia="宋体"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股，共计转增</w:t>
            </w:r>
            <w:r>
              <w:rPr>
                <w:rFonts w:ascii="宋体" w:hAnsi="宋体" w:cs="宋体" w:eastAsia="宋体" w:hint="default"/>
                <w:spacing w:val="-46"/>
                <w:sz w:val="18"/>
                <w:szCs w:val="18"/>
              </w:rPr>
              <w:t> </w:t>
            </w:r>
            <w:r>
              <w:rPr>
                <w:rFonts w:ascii="宋体" w:hAnsi="宋体" w:cs="宋体" w:eastAsia="宋体" w:hint="default"/>
                <w:sz w:val="18"/>
                <w:szCs w:val="18"/>
              </w:rPr>
              <w:t>663,920,747.00</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上述预案尚需提交公司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年度股东大会审议。</w:t>
            </w:r>
          </w:p>
        </w:tc>
      </w:tr>
    </w:tbl>
    <w:p>
      <w:pPr>
        <w:spacing w:line="451" w:lineRule="auto" w:before="89"/>
        <w:ind w:left="474" w:right="0" w:hanging="360"/>
        <w:jc w:val="left"/>
        <w:rPr>
          <w:rFonts w:ascii="宋体" w:hAnsi="宋体" w:cs="宋体" w:eastAsia="宋体" w:hint="default"/>
          <w:sz w:val="18"/>
          <w:szCs w:val="18"/>
        </w:rPr>
      </w:pPr>
      <w:r>
        <w:rPr>
          <w:rFonts w:ascii="宋体" w:hAnsi="宋体" w:cs="宋体" w:eastAsia="宋体" w:hint="default"/>
          <w:b/>
          <w:bCs/>
          <w:sz w:val="18"/>
          <w:szCs w:val="18"/>
        </w:rPr>
        <w:t>公司近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年（含报告期）的利润分配方案及资本公积金转增股本方案情况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公司高度重视对股东的投资回报，严格执行公司章程的规定、持续贯彻稳定的股利分配政策，近三年的利润分配及资本</w:t>
      </w:r>
    </w:p>
    <w:p>
      <w:pPr>
        <w:pStyle w:val="BodyText"/>
        <w:spacing w:line="240" w:lineRule="auto" w:before="74"/>
        <w:ind w:left="114" w:right="0"/>
        <w:jc w:val="left"/>
      </w:pPr>
      <w:r>
        <w:rPr/>
        <w:t>公积金转增股本的情况如下：</w:t>
      </w:r>
    </w:p>
    <w:p>
      <w:pPr>
        <w:spacing w:line="240" w:lineRule="auto" w:before="10"/>
        <w:rPr>
          <w:rFonts w:ascii="宋体" w:hAnsi="宋体" w:cs="宋体" w:eastAsia="宋体" w:hint="default"/>
          <w:sz w:val="17"/>
          <w:szCs w:val="17"/>
        </w:rPr>
      </w:pPr>
    </w:p>
    <w:p>
      <w:pPr>
        <w:pStyle w:val="BodyText"/>
        <w:spacing w:line="451" w:lineRule="auto"/>
        <w:ind w:left="114" w:right="0"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年度利润分配方案为：向全体股东按每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4</w:t>
      </w:r>
      <w:r>
        <w:rPr>
          <w:spacing w:val="-2"/>
        </w:rPr>
        <w:t>元（含税），共计派发现金红利</w:t>
      </w:r>
      <w:r>
        <w:rPr>
          <w:rFonts w:ascii="Times New Roman" w:hAnsi="Times New Roman" w:cs="Times New Roman" w:eastAsia="Times New Roman" w:hint="default"/>
          <w:spacing w:val="-2"/>
        </w:rPr>
        <w:t>15,335.35</w:t>
      </w:r>
      <w:r>
        <w:rPr>
          <w:spacing w:val="-2"/>
        </w:rPr>
        <w:t>万元（含</w:t>
      </w:r>
      <w:r>
        <w:rPr/>
        <w:t> 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23,003.022</w:t>
      </w:r>
      <w:r>
        <w:rPr/>
        <w:t>万股。</w:t>
      </w:r>
    </w:p>
    <w:p>
      <w:pPr>
        <w:pStyle w:val="BodyText"/>
        <w:spacing w:line="451" w:lineRule="auto" w:before="43"/>
        <w:ind w:left="113" w:right="0" w:firstLine="36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2013</w:t>
      </w:r>
      <w:r>
        <w:rPr>
          <w:spacing w:val="-4"/>
        </w:rPr>
        <w:t>年度利润分配方案为：向全体股东按每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2.5</w:t>
      </w:r>
      <w:r>
        <w:rPr>
          <w:spacing w:val="-4"/>
        </w:rPr>
        <w:t>元（含税），共计派发现金红利</w:t>
      </w:r>
      <w:r>
        <w:rPr>
          <w:rFonts w:ascii="Times New Roman" w:hAnsi="Times New Roman" w:cs="Times New Roman" w:eastAsia="Times New Roman" w:hint="default"/>
          <w:spacing w:val="-4"/>
        </w:rPr>
        <w:t>15,380.41</w:t>
      </w:r>
      <w:r>
        <w:rPr>
          <w:spacing w:val="-4"/>
        </w:rPr>
        <w:t>万元（含</w:t>
      </w:r>
      <w:r>
        <w:rPr/>
        <w:t> 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615,216,384.00</w:t>
      </w:r>
      <w:r>
        <w:rPr/>
        <w:t>股。</w:t>
      </w:r>
    </w:p>
    <w:p>
      <w:pPr>
        <w:pStyle w:val="BodyText"/>
        <w:spacing w:line="451" w:lineRule="auto" w:before="43"/>
        <w:ind w:left="114" w:right="292"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年度利润分配方案为：向全体股东按每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w:t>
      </w:r>
      <w:r>
        <w:rPr/>
        <w:t>元（含税），共计派发现金红利</w:t>
      </w:r>
      <w:r>
        <w:rPr>
          <w:rFonts w:ascii="Times New Roman" w:hAnsi="Times New Roman" w:cs="Times New Roman" w:eastAsia="Times New Roman" w:hint="default"/>
        </w:rPr>
        <w:t>159,340,979.28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宋体" w:hAnsi="宋体" w:cs="宋体" w:eastAsia="宋体" w:hint="default"/>
        </w:rPr>
        <w:t>663,920,747</w:t>
      </w:r>
      <w:r>
        <w:rPr>
          <w:rFonts w:ascii="Times New Roman" w:hAnsi="Times New Roman" w:cs="Times New Roman" w:eastAsia="Times New Roman" w:hint="default"/>
        </w:rPr>
        <w:t>.00</w:t>
      </w:r>
      <w:r>
        <w:rPr/>
        <w:t>股。</w:t>
      </w:r>
    </w:p>
    <w:p>
      <w:pPr>
        <w:pStyle w:val="BodyText"/>
        <w:spacing w:line="240" w:lineRule="auto" w:before="6"/>
        <w:ind w:left="114" w:right="0"/>
        <w:jc w:val="left"/>
      </w:pPr>
      <w:r>
        <w:rPr/>
        <w:t>公司近三年现金分红情况表</w:t>
      </w:r>
    </w:p>
    <w:p>
      <w:pPr>
        <w:pStyle w:val="BodyText"/>
        <w:spacing w:line="240" w:lineRule="auto" w:before="117"/>
        <w:ind w:left="0" w:right="2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369"/>
        <w:gridCol w:w="2405"/>
        <w:gridCol w:w="2490"/>
        <w:gridCol w:w="2467"/>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9" w:right="69"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48" w:right="56"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90" w:type="dxa"/>
            <w:vMerge/>
            <w:tcBorders>
              <w:left w:val="single" w:sz="4" w:space="0" w:color="000000"/>
              <w:right w:val="single" w:sz="4" w:space="0" w:color="000000"/>
            </w:tcBorders>
            <w:shd w:val="clear" w:color="auto" w:fill="D2D2D2"/>
          </w:tcPr>
          <w:p>
            <w:pPr/>
          </w:p>
        </w:tc>
        <w:tc>
          <w:tcPr>
            <w:tcW w:w="2467"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90" w:type="dxa"/>
            <w:vMerge/>
            <w:tcBorders>
              <w:left w:val="single" w:sz="4" w:space="0" w:color="000000"/>
              <w:bottom w:val="single" w:sz="4" w:space="0" w:color="000000"/>
              <w:right w:val="single" w:sz="4" w:space="0" w:color="000000"/>
            </w:tcBorders>
            <w:shd w:val="clear" w:color="auto" w:fill="D2D2D2"/>
          </w:tcPr>
          <w:p>
            <w:pPr/>
          </w:p>
        </w:tc>
        <w:tc>
          <w:tcPr>
            <w:tcW w:w="24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159,340,979.28</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624,405,597.27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153,804,096.00</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517,544,171.71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153,353,480.00</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429,028,904.35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920"/>
        </w:sectPr>
      </w:pPr>
    </w:p>
    <w:p>
      <w:pPr>
        <w:pStyle w:val="Heading2"/>
        <w:spacing w:line="240" w:lineRule="auto" w:before="15"/>
        <w:ind w:right="0"/>
        <w:jc w:val="both"/>
        <w:rPr>
          <w:b w:val="0"/>
          <w:bCs w:val="0"/>
        </w:rPr>
      </w:pPr>
      <w:r>
        <w:rPr/>
        <w:pict>
          <v:group style="position:absolute;margin-left:55.200001pt;margin-top:2.225632pt;width:485pt;height:.1pt;mso-position-horizontal-relative:page;mso-position-vertical-relative:paragraph;z-index:-1111504"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六、内幕信息知情人管理制度的建立和执行情况" w:id="31"/>
      <w:bookmarkEnd w:id="31"/>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32"/>
          <w:szCs w:val="32"/>
        </w:rPr>
      </w:pPr>
    </w:p>
    <w:p>
      <w:pPr>
        <w:spacing w:line="477"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（一）内幕信息知情人登记管理制度的建立情况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公司自上市以来，为加强公司内幕信息管理，做好内幕信息保密工作，维护信息披露的公平原则，保护广大投资者的合</w:t>
      </w:r>
    </w:p>
    <w:p>
      <w:pPr>
        <w:pStyle w:val="BodyText"/>
        <w:spacing w:line="477" w:lineRule="auto" w:before="54"/>
        <w:ind w:right="152"/>
        <w:jc w:val="both"/>
      </w:pPr>
      <w:r>
        <w:rPr>
          <w:spacing w:val="-2"/>
        </w:rPr>
        <w:t>法权益，根据《中华人民共和国公司法》、《中华人民共和国证券法》、《上市公司信息披露管理办法》、《深圳证券交易</w:t>
      </w:r>
      <w:r>
        <w:rPr>
          <w:spacing w:val="-71"/>
        </w:rPr>
        <w:t> </w:t>
      </w:r>
      <w:r>
        <w:rPr>
          <w:spacing w:val="-71"/>
        </w:rPr>
      </w:r>
      <w:r>
        <w:rPr>
          <w:spacing w:val="-5"/>
        </w:rPr>
        <w:t>所创业板股票上市规则》、《深圳证券交易所创业板上市公司规范运作指引》等有关法律法规，及《公司章程》等有关规定，</w:t>
      </w:r>
      <w:r>
        <w:rPr>
          <w:spacing w:val="-82"/>
        </w:rPr>
        <w:t> </w:t>
      </w:r>
      <w:r>
        <w:rPr>
          <w:spacing w:val="-82"/>
        </w:rPr>
      </w:r>
      <w:r>
        <w:rPr>
          <w:spacing w:val="-5"/>
        </w:rPr>
        <w:t>已制定《信息披露管理制度》、《内幕信息知情人登记制度》、《重大信息内部报告制度》、《外部信息使用人管理制度》、</w:t>
      </w:r>
    </w:p>
    <w:p>
      <w:pPr>
        <w:pStyle w:val="BodyText"/>
        <w:spacing w:line="240" w:lineRule="auto" w:before="54"/>
        <w:ind w:right="0"/>
        <w:jc w:val="both"/>
      </w:pPr>
      <w:r>
        <w:rPr/>
        <w:t>《投资者关系工作管理制度》、《关于重大内部信息报告的执行细则》等多项制度。</w:t>
      </w:r>
    </w:p>
    <w:p>
      <w:pPr>
        <w:spacing w:line="240" w:lineRule="auto" w:before="10"/>
        <w:rPr>
          <w:rFonts w:ascii="宋体" w:hAnsi="宋体" w:cs="宋体" w:eastAsia="宋体" w:hint="default"/>
          <w:sz w:val="17"/>
          <w:szCs w:val="17"/>
        </w:rPr>
      </w:pPr>
    </w:p>
    <w:p>
      <w:pPr>
        <w:spacing w:line="477"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（二）内幕信息知情人登记管理制度的建立及执行情况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报告期内，公司严格执行内幕知情人登记制度，规范信息传递流程，公司及各子公司的内幕信息流转、信息知情人登记</w:t>
      </w:r>
    </w:p>
    <w:p>
      <w:pPr>
        <w:pStyle w:val="BodyText"/>
        <w:spacing w:line="477" w:lineRule="auto" w:before="54"/>
        <w:ind w:right="150"/>
        <w:jc w:val="both"/>
      </w:pPr>
      <w:r>
        <w:rPr>
          <w:spacing w:val="-2"/>
        </w:rPr>
        <w:t>管理、重大事项的报告、传递、审核、披露程序均严格遵守《内幕信息知情人登记制度》、《重大信息内部报告制度》等的</w:t>
      </w:r>
      <w:r>
        <w:rPr>
          <w:spacing w:val="-69"/>
        </w:rPr>
        <w:t> </w:t>
      </w:r>
      <w:r>
        <w:rPr>
          <w:spacing w:val="-69"/>
        </w:rPr>
      </w:r>
      <w:r>
        <w:rPr>
          <w:spacing w:val="-2"/>
        </w:rPr>
        <w:t>有关规定；尽量缩短内幕信息流转审批程序，将信息知情人控制在最小范围，公司证券部负责知情人登记信息的核实、报备</w:t>
      </w:r>
      <w:r>
        <w:rPr>
          <w:spacing w:val="-66"/>
        </w:rPr>
        <w:t> </w:t>
      </w:r>
      <w:r>
        <w:rPr>
          <w:spacing w:val="-66"/>
        </w:rPr>
      </w:r>
      <w:r>
        <w:rPr>
          <w:spacing w:val="-2"/>
        </w:rPr>
        <w:t>和建档，确保《内幕信息知情人登记表》所填报内容真实、准确、完整。在定期报告披露期间，对于未公开信息，公司严格</w:t>
      </w:r>
      <w:r>
        <w:rPr>
          <w:spacing w:val="-67"/>
        </w:rPr>
        <w:t> </w:t>
      </w:r>
      <w:r>
        <w:rPr>
          <w:spacing w:val="-67"/>
        </w:rPr>
      </w:r>
      <w:r>
        <w:rPr>
          <w:spacing w:val="-2"/>
        </w:rPr>
        <w:t>控制内幕信息知情人范围并如实、完整记录内幕信息知情人名单，并向相关监管机构报备内幕信息知情人登记情况。在敏感</w:t>
      </w:r>
      <w:r>
        <w:rPr>
          <w:spacing w:val="-66"/>
        </w:rPr>
        <w:t> </w:t>
      </w:r>
      <w:r>
        <w:rPr>
          <w:spacing w:val="-66"/>
        </w:rPr>
      </w:r>
      <w:r>
        <w:rPr>
          <w:spacing w:val="-2"/>
        </w:rPr>
        <w:t>期间，公司尽量避免接待投资者的调研活动；在日常接待投资者调研时，公司要求投资者签署投资者（机构）承诺书，并根</w:t>
      </w:r>
      <w:r>
        <w:rPr>
          <w:spacing w:val="-67"/>
        </w:rPr>
        <w:t> </w:t>
      </w:r>
      <w:r>
        <w:rPr>
          <w:spacing w:val="-67"/>
        </w:rPr>
      </w:r>
      <w:r>
        <w:rPr/>
        <w:t>据交易所的相关规定及时披露投资者关系管理活动记录表。</w:t>
      </w:r>
    </w:p>
    <w:p>
      <w:pPr>
        <w:spacing w:line="477" w:lineRule="auto" w:before="54"/>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（三）报告期内自查内幕信息知情人涉嫌内幕交易以及监管部门的查处和整改情况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报告期内，公司董事、监事及高级管理人员和其他相关知情人严格遵守了内幕信息知情人登记制度，未发生内幕交易行</w:t>
      </w:r>
    </w:p>
    <w:p>
      <w:pPr>
        <w:pStyle w:val="BodyText"/>
        <w:spacing w:line="240" w:lineRule="auto" w:before="54"/>
        <w:ind w:right="0"/>
        <w:jc w:val="both"/>
      </w:pPr>
      <w:r>
        <w:rPr/>
        <w:t>为以及被监管部门查处和整改的情形。</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53" w:right="0"/>
        <w:jc w:val="both"/>
        <w:rPr>
          <w:b w:val="0"/>
          <w:bCs w:val="0"/>
        </w:rPr>
      </w:pPr>
      <w:bookmarkStart w:name="七、报告期内接待调研、沟通、采访等活动登记表" w:id="32"/>
      <w:bookmarkEnd w:id="32"/>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59"/>
        <w:jc w:val="right"/>
      </w:pPr>
      <w:r>
        <w:rPr/>
        <w:pict>
          <v:shape style="position:absolute;margin-left:56.459999pt;margin-top:-52.148289pt;width:479.25pt;height:190.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8" w:right="22" w:hanging="316"/>
                          <w:jc w:val="left"/>
                          <w:rPr>
                            <w:rFonts w:ascii="宋体" w:hAnsi="宋体" w:cs="宋体" w:eastAsia="宋体" w:hint="default"/>
                            <w:sz w:val="18"/>
                            <w:szCs w:val="18"/>
                          </w:rPr>
                        </w:pPr>
                        <w:r>
                          <w:rPr>
                            <w:rFonts w:ascii="宋体" w:hAnsi="宋体" w:cs="宋体" w:eastAsia="宋体" w:hint="default"/>
                            <w:sz w:val="18"/>
                            <w:szCs w:val="18"/>
                          </w:rPr>
                          <w:t>国泰君安、国信证 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5"/>
                            <w:sz w:val="18"/>
                            <w:szCs w:val="18"/>
                          </w:rPr>
                          <w:t> </w:t>
                        </w:r>
                        <w:r>
                          <w:rPr>
                            <w:rFonts w:ascii="宋体" w:hAnsi="宋体" w:cs="宋体" w:eastAsia="宋体" w:hint="default"/>
                            <w:sz w:val="18"/>
                            <w:szCs w:val="18"/>
                          </w:rPr>
                          <w:t>一</w:t>
                        </w:r>
                        <w:r>
                          <w:rPr>
                            <w:rFonts w:ascii="宋体" w:hAnsi="宋体" w:cs="宋体" w:eastAsia="宋体" w:hint="default"/>
                            <w:spacing w:val="-64"/>
                            <w:sz w:val="18"/>
                            <w:szCs w:val="18"/>
                          </w:rPr>
                          <w:t> </w:t>
                        </w:r>
                        <w:r>
                          <w:rPr>
                            <w:rFonts w:ascii="宋体" w:hAnsi="宋体" w:cs="宋体" w:eastAsia="宋体" w:hint="default"/>
                            <w:sz w:val="18"/>
                            <w:szCs w:val="18"/>
                          </w:rPr>
                          <w:t>季</w:t>
                        </w:r>
                        <w:r>
                          <w:rPr>
                            <w:rFonts w:ascii="宋体" w:hAnsi="宋体" w:cs="宋体" w:eastAsia="宋体" w:hint="default"/>
                            <w:spacing w:val="-65"/>
                            <w:sz w:val="18"/>
                            <w:szCs w:val="18"/>
                          </w:rPr>
                          <w:t> </w:t>
                        </w:r>
                        <w:r>
                          <w:rPr>
                            <w:rFonts w:ascii="宋体" w:hAnsi="宋体" w:cs="宋体" w:eastAsia="宋体" w:hint="default"/>
                            <w:sz w:val="18"/>
                            <w:szCs w:val="18"/>
                          </w:rPr>
                          <w:t>度</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绩</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pacing w:val="-64"/>
                            <w:sz w:val="18"/>
                            <w:szCs w:val="18"/>
                          </w:rPr>
                          <w:t> </w:t>
                        </w:r>
                        <w:r>
                          <w:rPr>
                            <w:rFonts w:ascii="宋体" w:hAnsi="宋体" w:cs="宋体" w:eastAsia="宋体" w:hint="default"/>
                            <w:sz w:val="18"/>
                            <w:szCs w:val="18"/>
                          </w:rPr>
                          <w:t>告</w:t>
                        </w:r>
                        <w:r>
                          <w:rPr>
                            <w:rFonts w:ascii="宋体" w:hAnsi="宋体" w:cs="宋体" w:eastAsia="宋体" w:hint="default"/>
                            <w:spacing w:val="-65"/>
                            <w:sz w:val="18"/>
                            <w:szCs w:val="18"/>
                          </w:rPr>
                          <w:t> </w:t>
                        </w:r>
                        <w:r>
                          <w:rPr>
                            <w:rFonts w:ascii="宋体" w:hAnsi="宋体" w:cs="宋体" w:eastAsia="宋体" w:hint="default"/>
                            <w:sz w:val="18"/>
                            <w:szCs w:val="18"/>
                          </w:rPr>
                          <w:t>情</w:t>
                        </w:r>
                        <w:r>
                          <w:rPr>
                            <w:rFonts w:ascii="宋体" w:hAnsi="宋体" w:cs="宋体" w:eastAsia="宋体" w:hint="default"/>
                            <w:sz w:val="18"/>
                            <w:szCs w:val="18"/>
                          </w:rPr>
                          <w:t> </w:t>
                        </w:r>
                        <w:r>
                          <w:rPr>
                            <w:rFonts w:ascii="宋体" w:hAnsi="宋体" w:cs="宋体" w:eastAsia="宋体" w:hint="default"/>
                            <w:spacing w:val="-4"/>
                            <w:sz w:val="18"/>
                            <w:szCs w:val="18"/>
                          </w:rPr>
                          <w:t>况、未来各业务板块发展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智慧线及壳木软件相关业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务介绍。</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2" w:right="22" w:hanging="320"/>
                          <w:jc w:val="left"/>
                          <w:rPr>
                            <w:rFonts w:ascii="宋体" w:hAnsi="宋体" w:cs="宋体" w:eastAsia="宋体" w:hint="default"/>
                            <w:sz w:val="18"/>
                            <w:szCs w:val="18"/>
                          </w:rPr>
                        </w:pPr>
                        <w:r>
                          <w:rPr>
                            <w:rFonts w:ascii="宋体" w:hAnsi="宋体" w:cs="宋体" w:eastAsia="宋体" w:hint="default"/>
                            <w:sz w:val="18"/>
                            <w:szCs w:val="18"/>
                          </w:rPr>
                          <w:t>招商证券、光大证 券等</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pacing w:val="3"/>
                            <w:sz w:val="18"/>
                            <w:szCs w:val="18"/>
                          </w:rPr>
                          <w:t>公司参股企业业务发展、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壳木软件目前运营状况、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奇点国际车载终端情况介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绍等。</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国海证券、中信产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公司游戏产业发展规划、</w:t>
                        </w:r>
                      </w:p>
                    </w:tc>
                  </w:tr>
                </w:tbl>
                <w:p>
                  <w:pPr/>
                </w:p>
              </w:txbxContent>
            </v:textbox>
            <w10:wrap type="none"/>
          </v:shape>
        </w:pict>
      </w:r>
      <w:r>
        <w:rPr/>
        <w:t>；</w:t>
      </w:r>
    </w:p>
    <w:p>
      <w:pPr>
        <w:spacing w:after="0" w:line="240" w:lineRule="auto"/>
        <w:jc w:val="right"/>
        <w:sectPr>
          <w:pgSz w:w="11910" w:h="16840"/>
          <w:pgMar w:header="851" w:footer="1226" w:top="1380" w:bottom="1420" w:left="980" w:right="98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685" w:hRule="exact"/>
        </w:trPr>
        <w:tc>
          <w:tcPr>
            <w:tcW w:w="1494" w:type="dxa"/>
            <w:tcBorders>
              <w:top w:val="single" w:sz="10" w:space="0" w:color="000000"/>
              <w:left w:val="single" w:sz="4" w:space="0" w:color="000000"/>
              <w:bottom w:val="single" w:sz="4" w:space="0" w:color="000000"/>
              <w:right w:val="single" w:sz="4" w:space="0" w:color="000000"/>
            </w:tcBorders>
          </w:tcPr>
          <w:p>
            <w:pPr/>
          </w:p>
        </w:tc>
        <w:tc>
          <w:tcPr>
            <w:tcW w:w="1498" w:type="dxa"/>
            <w:tcBorders>
              <w:top w:val="single" w:sz="10" w:space="0" w:color="000000"/>
              <w:left w:val="single" w:sz="4" w:space="0" w:color="000000"/>
              <w:bottom w:val="single" w:sz="4" w:space="0" w:color="000000"/>
              <w:right w:val="single" w:sz="4" w:space="0" w:color="000000"/>
            </w:tcBorders>
          </w:tcPr>
          <w:p>
            <w:pPr/>
          </w:p>
        </w:tc>
        <w:tc>
          <w:tcPr>
            <w:tcW w:w="1497" w:type="dxa"/>
            <w:tcBorders>
              <w:top w:val="single" w:sz="10" w:space="0" w:color="000000"/>
              <w:left w:val="single" w:sz="4" w:space="0" w:color="000000"/>
              <w:bottom w:val="single" w:sz="4" w:space="0" w:color="000000"/>
              <w:right w:val="single" w:sz="4" w:space="0" w:color="000000"/>
            </w:tcBorders>
          </w:tcPr>
          <w:p>
            <w:pPr/>
          </w:p>
        </w:tc>
        <w:tc>
          <w:tcPr>
            <w:tcW w:w="1498" w:type="dxa"/>
            <w:tcBorders>
              <w:top w:val="single" w:sz="10" w:space="0" w:color="000000"/>
              <w:left w:val="single" w:sz="4" w:space="0" w:color="000000"/>
              <w:bottom w:val="single" w:sz="4" w:space="0" w:color="000000"/>
              <w:right w:val="single" w:sz="4" w:space="0" w:color="000000"/>
            </w:tcBorders>
          </w:tcPr>
          <w:p>
            <w:pPr/>
          </w:p>
        </w:tc>
        <w:tc>
          <w:tcPr>
            <w:tcW w:w="14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02" w:right="0"/>
              <w:jc w:val="left"/>
              <w:rPr>
                <w:rFonts w:ascii="宋体" w:hAnsi="宋体" w:cs="宋体" w:eastAsia="宋体" w:hint="default"/>
                <w:sz w:val="18"/>
                <w:szCs w:val="18"/>
              </w:rPr>
            </w:pPr>
            <w:r>
              <w:rPr>
                <w:rFonts w:ascii="宋体" w:hAnsi="宋体" w:cs="宋体" w:eastAsia="宋体" w:hint="default"/>
                <w:sz w:val="18"/>
                <w:szCs w:val="18"/>
              </w:rPr>
              <w:t>业基金等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7"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2" w:right="24"/>
              <w:jc w:val="left"/>
              <w:rPr>
                <w:rFonts w:ascii="宋体" w:hAnsi="宋体" w:cs="宋体" w:eastAsia="宋体" w:hint="default"/>
                <w:sz w:val="18"/>
                <w:szCs w:val="18"/>
              </w:rPr>
            </w:pPr>
            <w:r>
              <w:rPr>
                <w:rFonts w:ascii="宋体" w:hAnsi="宋体" w:cs="宋体" w:eastAsia="宋体" w:hint="default"/>
                <w:spacing w:val="3"/>
                <w:sz w:val="18"/>
                <w:szCs w:val="18"/>
              </w:rPr>
              <w:t>壳木软件新游戏、飞信续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签等相关情况介绍。</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8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hanging="1"/>
              <w:jc w:val="center"/>
              <w:rPr>
                <w:rFonts w:ascii="宋体" w:hAnsi="宋体" w:cs="宋体" w:eastAsia="宋体" w:hint="default"/>
                <w:sz w:val="18"/>
                <w:szCs w:val="18"/>
              </w:rPr>
            </w:pPr>
            <w:r>
              <w:rPr>
                <w:rFonts w:ascii="宋体" w:hAnsi="宋体" w:cs="宋体" w:eastAsia="宋体" w:hint="default"/>
                <w:sz w:val="18"/>
                <w:szCs w:val="18"/>
              </w:rPr>
              <w:t>齐鲁证券、长江证 </w:t>
            </w:r>
            <w:r>
              <w:rPr>
                <w:rFonts w:ascii="宋体" w:hAnsi="宋体" w:cs="宋体" w:eastAsia="宋体" w:hint="default"/>
                <w:spacing w:val="-7"/>
                <w:sz w:val="18"/>
                <w:szCs w:val="18"/>
              </w:rPr>
              <w:t>券、高华证券等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智慧线产品进展情况。</w:t>
            </w:r>
          </w:p>
        </w:tc>
      </w:tr>
      <w:tr>
        <w:trPr>
          <w:trHeight w:val="71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8" w:right="22" w:hanging="316"/>
              <w:jc w:val="left"/>
              <w:rPr>
                <w:rFonts w:ascii="宋体" w:hAnsi="宋体" w:cs="宋体" w:eastAsia="宋体" w:hint="default"/>
                <w:sz w:val="18"/>
                <w:szCs w:val="18"/>
              </w:rPr>
            </w:pPr>
            <w:r>
              <w:rPr>
                <w:rFonts w:ascii="宋体" w:hAnsi="宋体" w:cs="宋体" w:eastAsia="宋体" w:hint="default"/>
                <w:sz w:val="18"/>
                <w:szCs w:val="18"/>
              </w:rPr>
              <w:t>广发基金、国泰君 安等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pacing w:val="3"/>
                <w:sz w:val="18"/>
                <w:szCs w:val="18"/>
              </w:rPr>
              <w:t>公司业务板块介绍、拟收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购项目情况介绍。</w:t>
            </w:r>
          </w:p>
        </w:tc>
      </w:tr>
    </w:tbl>
    <w:p>
      <w:pPr>
        <w:spacing w:after="0" w:line="316" w:lineRule="auto"/>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4"/>
        <w:rPr>
          <w:rFonts w:ascii="Times New Roman" w:hAnsi="Times New Roman" w:cs="Times New Roman" w:eastAsia="Times New Roman" w:hint="default"/>
          <w:sz w:val="3"/>
          <w:szCs w:val="3"/>
        </w:rPr>
      </w:pPr>
      <w:r>
        <w:rPr/>
        <w:pict>
          <v:group style="position:absolute;margin-left:274.179993pt;margin-top:667.359985pt;width:43pt;height:97.6pt;mso-position-horizontal-relative:page;mso-position-vertical-relative:page;z-index:-1111432" coordorigin="5484,13347" coordsize="860,1952">
            <v:group style="position:absolute;left:5484;top:13347;width:860;height:781" coordorigin="5484,13347" coordsize="860,781">
              <v:shape style="position:absolute;left:5484;top:13347;width:860;height:781" coordorigin="5484,13347" coordsize="860,781" path="m5484,14128l6343,14128,6343,13347,5484,13347,5484,14128xe" filled="true" fillcolor="#ffffff" stroked="false">
                <v:path arrowok="t"/>
                <v:fill type="solid"/>
              </v:shape>
            </v:group>
            <v:group style="position:absolute;left:5495;top:14128;width:2;height:392" coordorigin="5495,14128" coordsize="2,392">
              <v:shape style="position:absolute;left:5495;top:14128;width:2;height:392" coordorigin="5495,14128" coordsize="0,392" path="m5495,14128l5495,14519e" filled="false" stroked="true" strokeweight="1.140pt" strokecolor="#ffffff">
                <v:path arrowok="t"/>
              </v:shape>
            </v:group>
            <v:group style="position:absolute;left:5484;top:14519;width:860;height:780" coordorigin="5484,14519" coordsize="860,780">
              <v:shape style="position:absolute;left:5484;top:14519;width:860;height:780" coordorigin="5484,14519" coordsize="860,780" path="m5484,15299l6343,15299,6343,14519,5484,14519,5484,15299xe" filled="true" fillcolor="#ffffff" stroked="false">
                <v:path arrowok="t"/>
                <v:fill type="solid"/>
              </v:shape>
            </v:group>
            <v:group style="position:absolute;left:5506;top:14128;width:814;height:392" coordorigin="5506,14128" coordsize="814,392">
              <v:shape style="position:absolute;left:5506;top:14128;width:814;height:392" coordorigin="5506,14128" coordsize="814,392" path="m5506,14519l6320,14519,6320,14128,5506,14128,5506,14519xe" filled="true" fillcolor="#ffffff" stroked="false">
                <v:path arrowok="t"/>
                <v:fill type="solid"/>
              </v:shape>
            </v:group>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81"/>
        <w:ind w:right="495"/>
        <w:jc w:val="center"/>
        <w:rPr>
          <w:b w:val="0"/>
          <w:bCs w:val="0"/>
        </w:rPr>
      </w:pPr>
      <w:bookmarkStart w:name="第五节 重要事项" w:id="33"/>
      <w:bookmarkEnd w:id="33"/>
      <w:r>
        <w:rPr>
          <w:b w:val="0"/>
          <w:bCs w:val="0"/>
        </w:rPr>
      </w:r>
      <w:bookmarkStart w:name="_bookmark4" w:id="34"/>
      <w:bookmarkEnd w:id="34"/>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重大诉讼仲裁事项" w:id="35"/>
      <w:bookmarkEnd w:id="35"/>
      <w:r>
        <w:rPr>
          <w:b w:val="0"/>
          <w:bCs w:val="0"/>
        </w:rPr>
      </w:r>
      <w:r>
        <w:rPr/>
        <w:t>一、重大诉讼仲裁事项</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68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本年度公司无重大诉讼、仲裁事项。</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二、上市公司发生控股股东及其关联方非经营性占用资金情况" w:id="36"/>
      <w:bookmarkEnd w:id="36"/>
      <w:r>
        <w:rPr>
          <w:b w:val="0"/>
          <w:bCs w:val="0"/>
        </w:rPr>
      </w:r>
      <w:r>
        <w:rPr/>
        <w:t>二、上市公司发生控股股东及其关联方非经营性占用资金情况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三、破产重整相关事项" w:id="37"/>
      <w:bookmarkEnd w:id="37"/>
      <w:r>
        <w:rPr>
          <w:b w:val="0"/>
          <w:bCs w:val="0"/>
        </w:rPr>
      </w:r>
      <w:r>
        <w:rPr/>
        <w:t>三、破产重整相关事项</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公司报告期未发生破产重整相关事项。</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四、资产交易事项" w:id="38"/>
      <w:bookmarkEnd w:id="38"/>
      <w:r>
        <w:rPr>
          <w:b w:val="0"/>
          <w:bCs w:val="0"/>
        </w:rPr>
      </w:r>
      <w:r>
        <w:rPr/>
        <w:t>四、资产交易事项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39"/>
      <w:bookmarkEnd w:id="39"/>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6" w:right="66"/>
              <w:jc w:val="center"/>
              <w:rPr>
                <w:rFonts w:ascii="宋体" w:hAnsi="宋体" w:cs="宋体" w:eastAsia="宋体" w:hint="default"/>
                <w:sz w:val="18"/>
                <w:szCs w:val="18"/>
              </w:rPr>
            </w:pPr>
            <w:r>
              <w:rPr>
                <w:rFonts w:ascii="宋体" w:hAnsi="宋体" w:cs="宋体" w:eastAsia="宋体" w:hint="default"/>
                <w:sz w:val="18"/>
                <w:szCs w:val="18"/>
              </w:rPr>
              <w:t>杨明、郝 敬涛、刘 维超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北京神州 泰岳智能 数据技术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9" w:right="69"/>
              <w:jc w:val="both"/>
              <w:rPr>
                <w:rFonts w:ascii="宋体" w:hAnsi="宋体" w:cs="宋体" w:eastAsia="宋体" w:hint="default"/>
                <w:sz w:val="18"/>
                <w:szCs w:val="18"/>
              </w:rPr>
            </w:pPr>
            <w:r>
              <w:rPr>
                <w:rFonts w:ascii="宋体" w:hAnsi="宋体" w:cs="宋体" w:eastAsia="宋体" w:hint="default"/>
                <w:sz w:val="18"/>
                <w:szCs w:val="18"/>
              </w:rPr>
              <w:t>提升公司 在大数据 方面的技 术与产品 能力。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-31.48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2013-089</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李毅、李 章晶、天 津骆壳、 高宇扬、 戴志康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天津壳木 软件有限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69" w:right="68"/>
              <w:jc w:val="center"/>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firstLine="46"/>
              <w:jc w:val="both"/>
              <w:rPr>
                <w:rFonts w:ascii="宋体" w:hAnsi="宋体" w:cs="宋体" w:eastAsia="宋体" w:hint="default"/>
                <w:sz w:val="18"/>
                <w:szCs w:val="18"/>
              </w:rPr>
            </w:pPr>
            <w:r>
              <w:rPr>
                <w:rFonts w:ascii="宋体" w:hAnsi="宋体" w:cs="宋体" w:eastAsia="宋体" w:hint="default"/>
                <w:sz w:val="18"/>
                <w:szCs w:val="18"/>
              </w:rPr>
              <w:t>提升游戏 研发实力 快速切入 游戏行业 形成新的 盈利增长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20"/>
                <w:szCs w:val="20"/>
              </w:rPr>
            </w:pPr>
          </w:p>
          <w:p>
            <w:pPr>
              <w:pStyle w:val="TableParagraph"/>
              <w:spacing w:line="161" w:lineRule="exact"/>
              <w:ind w:left="136" w:right="0"/>
              <w:jc w:val="left"/>
              <w:rPr>
                <w:rFonts w:ascii="Times New Roman" w:hAnsi="Times New Roman" w:cs="Times New Roman" w:eastAsia="Times New Roman" w:hint="default"/>
                <w:sz w:val="18"/>
                <w:szCs w:val="18"/>
              </w:rPr>
            </w:pPr>
            <w:r>
              <w:rPr>
                <w:rFonts w:ascii="Times New Roman"/>
                <w:sz w:val="18"/>
              </w:rPr>
              <w:t>7063.62</w:t>
            </w:r>
          </w:p>
          <w:p>
            <w:pPr>
              <w:pStyle w:val="TableParagraph"/>
              <w:spacing w:line="190"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38"/>
              <w:jc w:val="righ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2013-053</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both"/>
        <w:rPr>
          <w:b w:val="0"/>
          <w:bCs w:val="0"/>
        </w:rPr>
      </w:pPr>
      <w:bookmarkStart w:name="2、出售资产情况" w:id="40"/>
      <w:bookmarkEnd w:id="40"/>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公司报告期未出售资产。</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3、企业合并情况" w:id="41"/>
      <w:bookmarkEnd w:id="41"/>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BodyText"/>
        <w:spacing w:line="475" w:lineRule="auto"/>
        <w:ind w:right="149" w:firstLine="360"/>
        <w:jc w:val="both"/>
      </w:pPr>
      <w:r>
        <w:rPr/>
        <w:t>（</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9</w:t>
      </w:r>
      <w:r>
        <w:rPr/>
        <w:t>日，公司刊登了《与关联方共同收购、增资暨关联交易的公告》，公司现金出资</w:t>
      </w:r>
      <w:r>
        <w:rPr>
          <w:rFonts w:ascii="宋体" w:hAnsi="宋体" w:cs="宋体" w:eastAsia="宋体" w:hint="default"/>
        </w:rPr>
        <w:t>1,275</w:t>
      </w:r>
      <w:r>
        <w:rPr/>
        <w:t>万元收购北京 </w:t>
      </w:r>
      <w:r>
        <w:rPr>
          <w:spacing w:val="-2"/>
        </w:rPr>
        <w:t>神州泰岳智能数据技术有限公司</w:t>
      </w:r>
      <w:r>
        <w:rPr>
          <w:rFonts w:ascii="宋体" w:hAnsi="宋体" w:cs="宋体" w:eastAsia="宋体" w:hint="default"/>
          <w:spacing w:val="-2"/>
        </w:rPr>
        <w:t>85%</w:t>
      </w:r>
      <w:r>
        <w:rPr>
          <w:spacing w:val="-2"/>
        </w:rPr>
        <w:t>及现金出资</w:t>
      </w:r>
      <w:r>
        <w:rPr>
          <w:rFonts w:ascii="宋体" w:hAnsi="宋体" w:cs="宋体" w:eastAsia="宋体" w:hint="default"/>
          <w:spacing w:val="-2"/>
        </w:rPr>
        <w:t>1,700</w:t>
      </w:r>
      <w:r>
        <w:rPr>
          <w:spacing w:val="-2"/>
        </w:rPr>
        <w:t>万元增资北京神州泰岳智能数据技术有限公司，该事项已按计划如期实</w:t>
      </w:r>
      <w:r>
        <w:rPr>
          <w:spacing w:val="-56"/>
        </w:rPr>
        <w:t> </w:t>
      </w:r>
      <w:r>
        <w:rPr>
          <w:spacing w:val="-56"/>
        </w:rPr>
      </w:r>
      <w:r>
        <w:rPr/>
        <w:t>施完毕。企业合并事项有助于提升公司在大数据方面的技术与产品能力，该资产对公司净利润的影响为</w:t>
      </w:r>
      <w:r>
        <w:rPr>
          <w:rFonts w:ascii="宋体" w:hAnsi="宋体" w:cs="宋体" w:eastAsia="宋体" w:hint="default"/>
        </w:rPr>
        <w:t>-31.48</w:t>
      </w:r>
      <w:r>
        <w:rPr/>
        <w:t>万元。</w:t>
      </w:r>
    </w:p>
    <w:p>
      <w:pPr>
        <w:pStyle w:val="BodyText"/>
        <w:spacing w:line="477" w:lineRule="auto" w:before="56"/>
        <w:ind w:right="150" w:firstLine="360"/>
        <w:jc w:val="both"/>
      </w:pPr>
      <w:r>
        <w:rPr/>
        <w:t>（</w:t>
      </w:r>
      <w:r>
        <w:rPr>
          <w:rFonts w:ascii="宋体" w:hAnsi="宋体" w:cs="宋体" w:eastAsia="宋体" w:hint="default"/>
        </w:rPr>
        <w:t>2</w:t>
      </w:r>
      <w:r>
        <w:rPr/>
        <w:t>）</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7</w:t>
      </w:r>
      <w:r>
        <w:rPr/>
        <w:t>日，公司刊登了《发行股份及支付现金购买资产报告书（草案）》，计划采取发行股份及支付现金的 方式收购天津壳木软件有限责任公司</w:t>
      </w:r>
      <w:r>
        <w:rPr>
          <w:rFonts w:ascii="宋体" w:hAnsi="宋体" w:cs="宋体" w:eastAsia="宋体" w:hint="default"/>
        </w:rPr>
        <w:t>100%</w:t>
      </w:r>
      <w:r>
        <w:rPr/>
        <w:t>的股权，本次交易作价</w:t>
      </w:r>
      <w:r>
        <w:rPr>
          <w:rFonts w:ascii="宋体" w:hAnsi="宋体" w:cs="宋体" w:eastAsia="宋体" w:hint="default"/>
        </w:rPr>
        <w:t>12.15</w:t>
      </w:r>
      <w:r>
        <w:rPr/>
        <w:t>亿元，企业合并事项有助于提升移动游戏研发实力、</w:t>
      </w:r>
      <w:r>
        <w:rPr>
          <w:spacing w:val="-83"/>
        </w:rPr>
        <w:t> </w:t>
      </w:r>
      <w:r>
        <w:rPr>
          <w:spacing w:val="-83"/>
        </w:rPr>
      </w:r>
      <w:r>
        <w:rPr>
          <w:spacing w:val="-2"/>
        </w:rPr>
        <w:t>快速切入移动游戏行业，形成新的盈利增长，该事项已按计划如期实施完毕，自本期初至报告期末为上市公司贡献的净利润</w:t>
      </w:r>
      <w:r>
        <w:rPr>
          <w:spacing w:val="-65"/>
        </w:rPr>
        <w:t> </w:t>
      </w:r>
      <w:r>
        <w:rPr>
          <w:spacing w:val="-65"/>
        </w:rPr>
      </w:r>
      <w:r>
        <w:rPr/>
        <w:t>为</w:t>
      </w:r>
      <w:r>
        <w:rPr>
          <w:rFonts w:ascii="宋体" w:hAnsi="宋体" w:cs="宋体" w:eastAsia="宋体" w:hint="default"/>
        </w:rPr>
        <w:t>7,063.62</w:t>
      </w:r>
      <w:r>
        <w:rPr/>
        <w:t>万元。</w:t>
      </w:r>
    </w:p>
    <w:p>
      <w:pPr>
        <w:spacing w:line="240" w:lineRule="auto" w:before="3"/>
        <w:rPr>
          <w:rFonts w:ascii="宋体" w:hAnsi="宋体" w:cs="宋体" w:eastAsia="宋体" w:hint="default"/>
          <w:sz w:val="19"/>
          <w:szCs w:val="19"/>
        </w:rPr>
      </w:pPr>
    </w:p>
    <w:p>
      <w:pPr>
        <w:pStyle w:val="Heading3"/>
        <w:spacing w:line="259" w:lineRule="auto"/>
        <w:ind w:right="0"/>
        <w:jc w:val="left"/>
        <w:rPr>
          <w:b w:val="0"/>
          <w:bCs w:val="0"/>
        </w:rPr>
      </w:pPr>
      <w:bookmarkStart w:name="4、自资产重组报告书或收购出售资产公告刊登后，该事项的进展情况及对报告期经营成果" w:id="42"/>
      <w:bookmarkEnd w:id="42"/>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3" w:right="0"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日，公司第五届董事会第三十五次会议审议通过了《北京神州泰岳软件股份有限公司发行股份及支付现金</w:t>
      </w:r>
    </w:p>
    <w:p>
      <w:pPr>
        <w:pStyle w:val="BodyText"/>
        <w:spacing w:line="477" w:lineRule="auto" w:before="103"/>
        <w:ind w:left="154" w:right="149"/>
        <w:jc w:val="both"/>
      </w:pPr>
      <w:r>
        <w:rPr/>
        <w:t>购买资产并募集配套资金暨关联交易报告书</w:t>
      </w:r>
      <w:r>
        <w:rPr>
          <w:rFonts w:ascii="宋体" w:hAnsi="宋体" w:cs="宋体" w:eastAsia="宋体" w:hint="default"/>
        </w:rPr>
        <w:t>(</w:t>
      </w:r>
      <w:r>
        <w:rPr/>
        <w:t>草案）》等议案，拟发行股份及支付现金收购北京市天元网络技术股份有限公</w:t>
      </w:r>
      <w:r>
        <w:rPr>
          <w:spacing w:val="-83"/>
        </w:rPr>
        <w:t> </w:t>
      </w:r>
      <w:r>
        <w:rPr>
          <w:spacing w:val="-83"/>
        </w:rPr>
      </w:r>
      <w:r>
        <w:rPr>
          <w:spacing w:val="-2"/>
        </w:rPr>
        <w:t>司、北京神州祥升软件有限公司，该等事项业经</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日召开的公司</w:t>
      </w:r>
      <w:r>
        <w:rPr>
          <w:rFonts w:ascii="宋体" w:hAnsi="宋体" w:cs="宋体" w:eastAsia="宋体" w:hint="default"/>
          <w:spacing w:val="-2"/>
        </w:rPr>
        <w:t>2014</w:t>
      </w:r>
      <w:r>
        <w:rPr>
          <w:spacing w:val="-2"/>
        </w:rPr>
        <w:t>年第三次临时股东大会审议通过并报中国证</w:t>
      </w:r>
      <w:r>
        <w:rPr>
          <w:spacing w:val="-53"/>
        </w:rPr>
        <w:t> </w:t>
      </w:r>
      <w:r>
        <w:rPr/>
        <w:t>监会审核。</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日，经中国证监会上市公司并购重组委员会召开</w:t>
      </w:r>
      <w:r>
        <w:rPr>
          <w:rFonts w:ascii="宋体" w:hAnsi="宋体" w:cs="宋体" w:eastAsia="宋体" w:hint="default"/>
        </w:rPr>
        <w:t>2015</w:t>
      </w:r>
      <w:r>
        <w:rPr/>
        <w:t>年第</w:t>
      </w:r>
      <w:r>
        <w:rPr>
          <w:rFonts w:ascii="宋体" w:hAnsi="宋体" w:cs="宋体" w:eastAsia="宋体" w:hint="default"/>
        </w:rPr>
        <w:t>21</w:t>
      </w:r>
      <w:r>
        <w:rPr/>
        <w:t>次工作会议审议，本次重大资产重组事</w:t>
      </w:r>
      <w:r>
        <w:rPr>
          <w:spacing w:val="-83"/>
        </w:rPr>
        <w:t> </w:t>
      </w:r>
      <w:r>
        <w:rPr>
          <w:spacing w:val="-83"/>
        </w:rPr>
      </w:r>
      <w:r>
        <w:rPr/>
        <w:t>项未获得通过。（具体内容详见巨潮资讯网相关公告）</w:t>
      </w:r>
    </w:p>
    <w:p>
      <w:pPr>
        <w:pStyle w:val="BodyText"/>
        <w:spacing w:line="240" w:lineRule="auto" w:before="54"/>
        <w:ind w:left="514" w:right="0"/>
        <w:jc w:val="left"/>
      </w:pPr>
      <w:r>
        <w:rPr/>
        <w:t>对报告期内的经营成果与财务状况未产生影响。</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五、公司股权激励的实施情况及其影响" w:id="43"/>
      <w:bookmarkEnd w:id="43"/>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pStyle w:val="BodyText"/>
        <w:spacing w:line="451" w:lineRule="auto"/>
        <w:ind w:right="14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日，公司第四届董事会第二十九次会议审议通过了《关于公司股权激励计划所涉股票期权与限制性股</w:t>
      </w:r>
      <w:r>
        <w:rPr/>
        <w:t> 票授予的议案》，股权激励计划规定的授予条件已经满足，公司董事会同意授予</w:t>
      </w:r>
      <w:r>
        <w:rPr>
          <w:rFonts w:ascii="Times New Roman" w:hAnsi="Times New Roman" w:cs="Times New Roman" w:eastAsia="Times New Roman" w:hint="default"/>
        </w:rPr>
        <w:t>370</w:t>
      </w:r>
      <w:r>
        <w:rPr/>
        <w:t>名激励对象</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w:t>
      </w:r>
      <w:r>
        <w:rPr>
          <w:spacing w:val="-82"/>
        </w:rPr>
        <w:t> </w:t>
      </w:r>
      <w:r>
        <w:rPr/>
        <w:t>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日，期权行权价格为</w:t>
      </w:r>
      <w:r>
        <w:rPr>
          <w:rFonts w:ascii="Times New Roman" w:hAnsi="Times New Roman" w:cs="Times New Roman" w:eastAsia="Times New Roman" w:hint="default"/>
        </w:rPr>
        <w:t>18.3</w:t>
      </w:r>
      <w:r>
        <w:rPr/>
        <w:t>元</w:t>
      </w:r>
      <w:r>
        <w:rPr>
          <w:rFonts w:ascii="Times New Roman" w:hAnsi="Times New Roman" w:cs="Times New Roman" w:eastAsia="Times New Roman" w:hint="default"/>
        </w:rPr>
        <w:t>/</w:t>
      </w:r>
      <w:r>
        <w:rPr/>
        <w:t>股、限制性股票价格为</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日，公司完 成股权激励所涉授予期权与限制性股票的登记工作，其中</w:t>
      </w:r>
      <w:r>
        <w:rPr>
          <w:rFonts w:ascii="Times New Roman" w:hAnsi="Times New Roman" w:cs="Times New Roman" w:eastAsia="Times New Roman" w:hint="default"/>
        </w:rPr>
        <w:t>185</w:t>
      </w:r>
      <w:r>
        <w:rPr/>
        <w:t>名激励对象认购了限制性股票合计</w:t>
      </w:r>
      <w:r>
        <w:rPr>
          <w:rFonts w:ascii="Times New Roman" w:hAnsi="Times New Roman" w:cs="Times New Roman" w:eastAsia="Times New Roman" w:hint="default"/>
        </w:rPr>
        <w:t>418.37</w:t>
      </w:r>
      <w:r>
        <w:rPr/>
        <w:t>万股。</w:t>
      </w:r>
    </w:p>
    <w:p>
      <w:pPr>
        <w:spacing w:after="0" w:line="451" w:lineRule="auto"/>
        <w:jc w:val="both"/>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6" w:lineRule="auto" w:before="83"/>
        <w:ind w:right="149"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日，第五届董事会第六次会议审议通过《关于回购注销部分已不符合激励条件的原激励对象已获授的</w:t>
      </w:r>
      <w:r>
        <w:rPr/>
        <w:t> </w:t>
      </w:r>
      <w:r>
        <w:rPr>
          <w:spacing w:val="-2"/>
        </w:rPr>
        <w:t>限制性股票的议案》、《关于注销部分已不符合激励条件的原激励对象已获授的股票期权的议案》、《关于股票期权和限制</w:t>
      </w:r>
      <w:r>
        <w:rPr>
          <w:spacing w:val="-68"/>
        </w:rPr>
        <w:t> </w:t>
      </w:r>
      <w:r>
        <w:rPr>
          <w:spacing w:val="-68"/>
        </w:rPr>
      </w:r>
      <w:r>
        <w:rPr/>
        <w:t>性股票激励计划相关参数调整的议案》，由于</w:t>
      </w:r>
      <w:r>
        <w:rPr>
          <w:rFonts w:ascii="Times New Roman" w:hAnsi="Times New Roman" w:cs="Times New Roman" w:eastAsia="Times New Roman" w:hint="default"/>
        </w:rPr>
        <w:t>37</w:t>
      </w:r>
      <w:r>
        <w:rPr/>
        <w:t>名激励对象离职及公司实施了</w:t>
      </w:r>
      <w:r>
        <w:rPr>
          <w:rFonts w:ascii="Times New Roman" w:hAnsi="Times New Roman" w:cs="Times New Roman" w:eastAsia="Times New Roman" w:hint="default"/>
        </w:rPr>
        <w:t>2012</w:t>
      </w:r>
      <w:r>
        <w:rPr/>
        <w:t>年度权益分配方案，激励对象人数从</w:t>
      </w:r>
      <w:r>
        <w:rPr>
          <w:rFonts w:ascii="Times New Roman" w:hAnsi="Times New Roman" w:cs="Times New Roman" w:eastAsia="Times New Roman" w:hint="default"/>
        </w:rPr>
        <w:t>370</w:t>
      </w:r>
      <w:r>
        <w:rPr>
          <w:rFonts w:ascii="Times New Roman" w:hAnsi="Times New Roman" w:cs="Times New Roman" w:eastAsia="Times New Roman" w:hint="default"/>
          <w:spacing w:val="-38"/>
        </w:rPr>
        <w:t> </w:t>
      </w:r>
      <w:r>
        <w:rPr/>
        <w:t>人调整为</w:t>
      </w:r>
      <w:r>
        <w:rPr>
          <w:rFonts w:ascii="Times New Roman" w:hAnsi="Times New Roman" w:cs="Times New Roman" w:eastAsia="Times New Roman" w:hint="default"/>
        </w:rPr>
        <w:t>333</w:t>
      </w:r>
      <w:r>
        <w:rPr/>
        <w:t>人，其中授予激励对象的股票期权的总数由</w:t>
      </w:r>
      <w:r>
        <w:rPr>
          <w:rFonts w:ascii="Times New Roman" w:hAnsi="Times New Roman" w:cs="Times New Roman" w:eastAsia="Times New Roman" w:hint="default"/>
        </w:rPr>
        <w:t>850</w:t>
      </w:r>
      <w:r>
        <w:rPr/>
        <w:t>万份调整为</w:t>
      </w:r>
      <w:r>
        <w:rPr>
          <w:rFonts w:ascii="Times New Roman" w:hAnsi="Times New Roman" w:cs="Times New Roman" w:eastAsia="Times New Roman" w:hint="default"/>
        </w:rPr>
        <w:t>12,182,800</w:t>
      </w:r>
      <w:r>
        <w:rPr/>
        <w:t>股，行权价格由</w:t>
      </w:r>
      <w:r>
        <w:rPr>
          <w:rFonts w:ascii="Times New Roman" w:hAnsi="Times New Roman" w:cs="Times New Roman" w:eastAsia="Times New Roman" w:hint="default"/>
        </w:rPr>
        <w:t>18.3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11.19</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股；授予激励对象的限制性股票总数为</w:t>
      </w:r>
      <w:r>
        <w:rPr>
          <w:rFonts w:ascii="Times New Roman" w:hAnsi="Times New Roman" w:cs="Times New Roman" w:eastAsia="Times New Roman" w:hint="default"/>
        </w:rPr>
        <w:t>6,413,120</w:t>
      </w:r>
      <w:r>
        <w:rPr/>
        <w:t>股。上述股票期权和限制性股票注销工作已分别于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spacing w:val="-85"/>
        </w:rPr>
        <w:t> </w:t>
      </w:r>
      <w:r>
        <w:rPr/>
        <w:t>完成。</w:t>
      </w:r>
    </w:p>
    <w:p>
      <w:pPr>
        <w:pStyle w:val="BodyText"/>
        <w:spacing w:line="456" w:lineRule="auto" w:before="70"/>
        <w:ind w:right="149"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日，第五届董事会第十次会议审议通过《关于注销已不符合激励条件的原激励对象已获授的股票期权</w:t>
      </w:r>
      <w:r>
        <w:rPr/>
        <w:t> 的议案》、《关于公司股票期权与限制性股票激励计划第一个行权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解锁的议案》、《关于股票期权与限制性 </w:t>
      </w:r>
      <w:r>
        <w:rPr>
          <w:spacing w:val="-2"/>
        </w:rPr>
        <w:t>股票激励计划之股票期权第一个行权期选择自主行权模式的议案》，由于激励对象王淇淳、褚雷已离职，公司对其获授的股</w:t>
      </w:r>
      <w:r>
        <w:rPr>
          <w:spacing w:val="-66"/>
        </w:rPr>
        <w:t> </w:t>
      </w:r>
      <w:r>
        <w:rPr>
          <w:spacing w:val="-66"/>
        </w:rPr>
      </w:r>
      <w:r>
        <w:rPr/>
        <w:t>票期权全部进行注销，注销工作已于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月完成；公司激励计划授予股票期权的</w:t>
      </w:r>
      <w:r>
        <w:rPr>
          <w:rFonts w:ascii="Times New Roman" w:hAnsi="Times New Roman" w:cs="Times New Roman" w:eastAsia="Times New Roman" w:hint="default"/>
        </w:rPr>
        <w:t>327</w:t>
      </w:r>
      <w:r>
        <w:rPr/>
        <w:t>名激励对象在第一个行权期自</w:t>
      </w:r>
      <w:r>
        <w:rPr>
          <w:rFonts w:ascii="Times New Roman" w:hAnsi="Times New Roman" w:cs="Times New Roman" w:eastAsia="Times New Roman" w:hint="default"/>
        </w:rPr>
        <w:t>2013</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日起至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日止，采取自主行权模式进行行权，可行权数量共计</w:t>
      </w:r>
      <w:r>
        <w:rPr>
          <w:rFonts w:ascii="Times New Roman" w:hAnsi="Times New Roman" w:cs="Times New Roman" w:eastAsia="Times New Roman" w:hint="default"/>
        </w:rPr>
        <w:t>2,417,360</w:t>
      </w:r>
      <w:r>
        <w:rPr/>
        <w:t>份。限制性股票的首次上市流通日</w:t>
      </w:r>
      <w:r>
        <w:rPr>
          <w:spacing w:val="-85"/>
        </w:rPr>
        <w:t> </w:t>
      </w:r>
      <w:r>
        <w:rPr>
          <w:spacing w:val="-85"/>
        </w:rPr>
      </w:r>
      <w:r>
        <w:rPr/>
        <w:t>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日，第一次解锁数量为</w:t>
      </w:r>
      <w:r>
        <w:rPr>
          <w:rFonts w:ascii="Times New Roman" w:hAnsi="Times New Roman" w:cs="Times New Roman" w:eastAsia="Times New Roman" w:hint="default"/>
        </w:rPr>
        <w:t>1,282,624</w:t>
      </w:r>
      <w:r>
        <w:rPr/>
        <w:t>股。</w:t>
      </w:r>
    </w:p>
    <w:p>
      <w:pPr>
        <w:pStyle w:val="BodyText"/>
        <w:spacing w:line="451" w:lineRule="auto" w:before="39"/>
        <w:ind w:right="151"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日，第五届董事会第二十五次会议审议通过了《关于股票期权和限制性股票激励计划相关参数调整的</w:t>
      </w:r>
      <w:r>
        <w:rPr/>
        <w:t> </w:t>
      </w:r>
      <w:r>
        <w:rPr>
          <w:spacing w:val="-3"/>
        </w:rPr>
        <w:t>议案》，鉴于公司实施了利润分配方案，因此股票期权和限制性股票作相应的调整，调整后，期权的总份数调整为</w:t>
      </w:r>
      <w:r>
        <w:rPr>
          <w:rFonts w:ascii="Times New Roman" w:hAnsi="Times New Roman" w:cs="Times New Roman" w:eastAsia="Times New Roman" w:hint="default"/>
          <w:spacing w:val="-3"/>
        </w:rPr>
        <w:t>20,199,072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股，行权价格调整为</w:t>
      </w:r>
      <w:r>
        <w:rPr>
          <w:rFonts w:ascii="Times New Roman" w:hAnsi="Times New Roman" w:cs="Times New Roman" w:eastAsia="Times New Roman" w:hint="default"/>
        </w:rPr>
        <w:t>5.47</w:t>
      </w:r>
      <w:r>
        <w:rPr/>
        <w:t>元</w:t>
      </w:r>
      <w:r>
        <w:rPr>
          <w:rFonts w:ascii="Times New Roman" w:hAnsi="Times New Roman" w:cs="Times New Roman" w:eastAsia="Times New Roman" w:hint="default"/>
        </w:rPr>
        <w:t>/</w:t>
      </w:r>
      <w:r>
        <w:rPr/>
        <w:t>股。限制性股票的总数量为</w:t>
      </w:r>
      <w:r>
        <w:rPr>
          <w:rFonts w:ascii="Times New Roman" w:hAnsi="Times New Roman" w:cs="Times New Roman" w:eastAsia="Times New Roman" w:hint="default"/>
        </w:rPr>
        <w:t>10,260,992</w:t>
      </w:r>
      <w:r>
        <w:rPr/>
        <w:t>股，回购价格调整为</w:t>
      </w:r>
      <w:r>
        <w:rPr>
          <w:rFonts w:ascii="Times New Roman" w:hAnsi="Times New Roman" w:cs="Times New Roman" w:eastAsia="Times New Roman" w:hint="default"/>
        </w:rPr>
        <w:t>2.555</w:t>
      </w:r>
      <w:r>
        <w:rPr/>
        <w:t>元</w:t>
      </w:r>
      <w:r>
        <w:rPr>
          <w:rFonts w:ascii="Times New Roman" w:hAnsi="Times New Roman" w:cs="Times New Roman" w:eastAsia="Times New Roman" w:hint="default"/>
        </w:rPr>
        <w:t>/</w:t>
      </w:r>
      <w:r>
        <w:rPr/>
        <w:t>股。</w:t>
      </w:r>
    </w:p>
    <w:p>
      <w:pPr>
        <w:pStyle w:val="BodyText"/>
        <w:spacing w:line="458" w:lineRule="auto" w:before="44"/>
        <w:ind w:right="150"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日，公司召开第五届董事会第三十二次会议和第五届监事会第十二次会议，审议通过了《关于注销已 </w:t>
      </w:r>
      <w:r>
        <w:rPr>
          <w:spacing w:val="-2"/>
        </w:rPr>
        <w:t>不符合激励条件的原激励对象已获授的股票期权的议案》、《关于注销股票期权与限制性股票激励计划第一个行权期到期未</w:t>
      </w:r>
      <w:r>
        <w:rPr>
          <w:spacing w:val="-64"/>
        </w:rPr>
        <w:t> </w:t>
      </w:r>
      <w:r>
        <w:rPr>
          <w:spacing w:val="-64"/>
        </w:rPr>
      </w:r>
      <w:r>
        <w:rPr>
          <w:spacing w:val="-2"/>
        </w:rPr>
        <w:t>行权期权的议案》、《关于回购注销部分已不符合激励条件的原激励对象已获授的限制性股票的议案》、《关于公司股票期</w:t>
      </w:r>
      <w:r>
        <w:rPr>
          <w:spacing w:val="-68"/>
        </w:rPr>
        <w:t> </w:t>
      </w:r>
      <w:r>
        <w:rPr>
          <w:spacing w:val="-68"/>
        </w:rPr>
      </w:r>
      <w:r>
        <w:rPr/>
        <w:t>权与限制性股票激励计划第二个行权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解锁的议案》、《关于股票期权与限制性股票激励计划之股票期权第二 </w:t>
      </w:r>
      <w:r>
        <w:rPr>
          <w:spacing w:val="-2"/>
        </w:rPr>
        <w:t>个行权期选择自主行权模式的议案》。鉴于原激励对象王遂、范传根、宋慧英、孙冬梅、王熙宇、刘显健等</w:t>
      </w:r>
      <w:r>
        <w:rPr>
          <w:rFonts w:ascii="Times New Roman" w:hAnsi="Times New Roman" w:cs="Times New Roman" w:eastAsia="Times New Roman" w:hint="default"/>
          <w:spacing w:val="-2"/>
        </w:rPr>
        <w:t>18</w:t>
      </w:r>
      <w:r>
        <w:rPr>
          <w:spacing w:val="-2"/>
        </w:rPr>
        <w:t>人因个人原因</w:t>
      </w:r>
      <w:r>
        <w:rPr>
          <w:spacing w:val="-69"/>
        </w:rPr>
        <w:t> </w:t>
      </w:r>
      <w:r>
        <w:rPr>
          <w:spacing w:val="-69"/>
        </w:rPr>
      </w:r>
      <w:r>
        <w:rPr/>
        <w:t>已离职，不具备激励对象资格，公司对该等原激励对象获授的股票期权</w:t>
      </w:r>
      <w:r>
        <w:rPr>
          <w:rFonts w:ascii="Times New Roman" w:hAnsi="Times New Roman" w:cs="Times New Roman" w:eastAsia="Times New Roman" w:hint="default"/>
        </w:rPr>
        <w:t>932,480</w:t>
      </w:r>
      <w:r>
        <w:rPr/>
        <w:t>份进行注销，限制性股票</w:t>
      </w:r>
      <w:r>
        <w:rPr>
          <w:rFonts w:ascii="Times New Roman" w:hAnsi="Times New Roman" w:cs="Times New Roman" w:eastAsia="Times New Roman" w:hint="default"/>
        </w:rPr>
        <w:t>269,056</w:t>
      </w:r>
      <w:r>
        <w:rPr/>
        <w:t>股进行回购</w:t>
      </w:r>
      <w:r>
        <w:rPr>
          <w:spacing w:val="-84"/>
        </w:rPr>
        <w:t> </w:t>
      </w:r>
      <w:r>
        <w:rPr/>
        <w:t>注销，同时，注销激励对象万能先生到期未行权期权</w:t>
      </w:r>
      <w:r>
        <w:rPr>
          <w:rFonts w:ascii="Times New Roman" w:hAnsi="Times New Roman" w:cs="Times New Roman" w:eastAsia="Times New Roman" w:hint="default"/>
        </w:rPr>
        <w:t>320,000</w:t>
      </w:r>
      <w:r>
        <w:rPr/>
        <w:t>份，上述注销工作已于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月完成。公司激励计划授予股</w:t>
      </w:r>
      <w:r>
        <w:rPr>
          <w:spacing w:val="-46"/>
        </w:rPr>
        <w:t> </w:t>
      </w:r>
      <w:r>
        <w:rPr>
          <w:spacing w:val="-46"/>
        </w:rPr>
      </w:r>
      <w:r>
        <w:rPr>
          <w:spacing w:val="-2"/>
        </w:rPr>
        <w:t>票期权的</w:t>
      </w:r>
      <w:r>
        <w:rPr>
          <w:rFonts w:ascii="Times New Roman" w:hAnsi="Times New Roman" w:cs="Times New Roman" w:eastAsia="Times New Roman" w:hint="default"/>
          <w:spacing w:val="-2"/>
        </w:rPr>
        <w:t>313</w:t>
      </w:r>
      <w:r>
        <w:rPr>
          <w:spacing w:val="-2"/>
        </w:rPr>
        <w:t>名激励对象在第二个行权期自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日起至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日止，可行权数量为</w:t>
      </w:r>
      <w:r>
        <w:rPr>
          <w:rFonts w:ascii="Times New Roman" w:hAnsi="Times New Roman" w:cs="Times New Roman" w:eastAsia="Times New Roman" w:hint="default"/>
          <w:spacing w:val="-2"/>
        </w:rPr>
        <w:t>4,601,600</w:t>
      </w:r>
      <w:r>
        <w:rPr>
          <w:spacing w:val="-2"/>
        </w:rPr>
        <w:t>份股票期权，采取自</w:t>
      </w:r>
      <w:r>
        <w:rPr>
          <w:spacing w:val="-40"/>
        </w:rPr>
        <w:t> </w:t>
      </w:r>
      <w:r>
        <w:rPr>
          <w:spacing w:val="-40"/>
        </w:rPr>
      </w:r>
      <w:r>
        <w:rPr/>
        <w:t>主行权模式进行行权。限制性股票的上市流通日为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日，第二次解锁数量为</w:t>
      </w:r>
      <w:r>
        <w:rPr>
          <w:rFonts w:ascii="Times New Roman" w:hAnsi="Times New Roman" w:cs="Times New Roman" w:eastAsia="Times New Roman" w:hint="default"/>
        </w:rPr>
        <w:t>2,497,984</w:t>
      </w:r>
      <w:r>
        <w:rPr/>
        <w:t>股。</w:t>
      </w:r>
    </w:p>
    <w:p>
      <w:pPr>
        <w:spacing w:line="489" w:lineRule="auto" w:before="37"/>
        <w:ind w:left="154" w:right="2077" w:firstLine="360"/>
        <w:jc w:val="left"/>
        <w:rPr>
          <w:rFonts w:ascii="宋体" w:hAnsi="宋体" w:cs="宋体" w:eastAsia="宋体" w:hint="default"/>
          <w:sz w:val="18"/>
          <w:szCs w:val="18"/>
        </w:rPr>
      </w:pPr>
      <w:r>
        <w:rPr>
          <w:rFonts w:ascii="宋体" w:hAnsi="宋体" w:cs="宋体" w:eastAsia="宋体" w:hint="default"/>
          <w:sz w:val="18"/>
          <w:szCs w:val="18"/>
        </w:rPr>
        <w:t>根据《企业会计准则》的有关规定，报告期内，公司合计确认了</w:t>
      </w:r>
      <w:r>
        <w:rPr>
          <w:rFonts w:ascii="Times New Roman" w:hAnsi="Times New Roman" w:cs="Times New Roman" w:eastAsia="Times New Roman" w:hint="default"/>
          <w:sz w:val="18"/>
          <w:szCs w:val="18"/>
        </w:rPr>
        <w:t>693.88</w:t>
      </w:r>
      <w:r>
        <w:rPr>
          <w:rFonts w:ascii="宋体" w:hAnsi="宋体" w:cs="宋体" w:eastAsia="宋体" w:hint="default"/>
          <w:sz w:val="18"/>
          <w:szCs w:val="18"/>
        </w:rPr>
        <w:t>万元的股权激励成本。 </w:t>
      </w:r>
      <w:r>
        <w:rPr>
          <w:rFonts w:ascii="宋体" w:hAnsi="宋体" w:cs="宋体" w:eastAsia="宋体" w:hint="default"/>
          <w:b/>
          <w:bCs/>
          <w:sz w:val="18"/>
          <w:szCs w:val="18"/>
        </w:rPr>
        <w:t>股权激励主要事项临时报告披露网站查询</w:t>
      </w:r>
      <w:r>
        <w:rPr>
          <w:rFonts w:ascii="宋体" w:hAnsi="宋体" w:cs="宋体" w:eastAsia="宋体" w:hint="default"/>
          <w:sz w:val="18"/>
          <w:szCs w:val="18"/>
        </w:rPr>
      </w:r>
    </w:p>
    <w:tbl>
      <w:tblPr>
        <w:tblW w:w="0" w:type="auto"/>
        <w:jc w:val="left"/>
        <w:tblInd w:w="146" w:type="dxa"/>
        <w:tblLayout w:type="fixed"/>
        <w:tblCellMar>
          <w:top w:w="0" w:type="dxa"/>
          <w:left w:w="0" w:type="dxa"/>
          <w:bottom w:w="0" w:type="dxa"/>
          <w:right w:w="0" w:type="dxa"/>
        </w:tblCellMar>
        <w:tblLook w:val="01E0"/>
      </w:tblPr>
      <w:tblGrid>
        <w:gridCol w:w="3189"/>
        <w:gridCol w:w="3190"/>
        <w:gridCol w:w="3191"/>
      </w:tblGrid>
      <w:tr>
        <w:trPr>
          <w:trHeight w:val="428"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1046"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第四届董事会第二十三次会议决议公告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第四届监事会第十二次会议决议公告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bl>
    <w:p>
      <w:pPr>
        <w:spacing w:after="0" w:line="240" w:lineRule="auto"/>
        <w:jc w:val="center"/>
        <w:rPr>
          <w:rFonts w:ascii="宋体" w:hAnsi="宋体" w:cs="宋体" w:eastAsia="宋体" w:hint="default"/>
          <w:sz w:val="18"/>
          <w:szCs w:val="18"/>
        </w:rPr>
        <w:sectPr>
          <w:pgSz w:w="11910" w:h="16840"/>
          <w:pgMar w:header="851" w:footer="1226" w:top="1380" w:bottom="1420" w:left="980" w:right="980"/>
        </w:sectPr>
      </w:pPr>
    </w:p>
    <w:tbl>
      <w:tblPr>
        <w:tblW w:w="0" w:type="auto"/>
        <w:jc w:val="left"/>
        <w:tblInd w:w="106" w:type="dxa"/>
        <w:tblLayout w:type="fixed"/>
        <w:tblCellMar>
          <w:top w:w="0" w:type="dxa"/>
          <w:left w:w="0" w:type="dxa"/>
          <w:bottom w:w="0" w:type="dxa"/>
          <w:right w:w="0" w:type="dxa"/>
        </w:tblCellMar>
        <w:tblLook w:val="01E0"/>
      </w:tblPr>
      <w:tblGrid>
        <w:gridCol w:w="3189"/>
        <w:gridCol w:w="3190"/>
        <w:gridCol w:w="3191"/>
      </w:tblGrid>
      <w:tr>
        <w:trPr>
          <w:trHeight w:val="442" w:hRule="exact"/>
        </w:trPr>
        <w:tc>
          <w:tcPr>
            <w:tcW w:w="31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第四届董事会第二十八次会议决议公告</w:t>
            </w:r>
          </w:p>
        </w:tc>
        <w:tc>
          <w:tcPr>
            <w:tcW w:w="3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31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6"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第四届监事会第十四次会议决议公告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年第一次临时股东大会决议公告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第四届董事会第二十九次会议决议公告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第四届监事会第十五次会议决议公告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关于股权激励计划授予相关事项的公告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第四届董事会第三十次会议决议公告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3"/>
              <w:ind w:left="2" w:right="111"/>
              <w:jc w:val="left"/>
              <w:rPr>
                <w:rFonts w:ascii="宋体" w:hAnsi="宋体" w:cs="宋体" w:eastAsia="宋体" w:hint="default"/>
                <w:sz w:val="18"/>
                <w:szCs w:val="18"/>
              </w:rPr>
            </w:pPr>
            <w:r>
              <w:rPr>
                <w:rFonts w:ascii="宋体" w:hAnsi="宋体" w:cs="宋体" w:eastAsia="宋体" w:hint="default"/>
                <w:sz w:val="18"/>
                <w:szCs w:val="18"/>
              </w:rPr>
              <w:t>关于股权激励计划授予的期权与限制性 股票登记完成公告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5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第五届董事会第六次会议决议公告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1051"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both"/>
              <w:rPr>
                <w:rFonts w:ascii="宋体" w:hAnsi="宋体" w:cs="宋体" w:eastAsia="宋体" w:hint="default"/>
                <w:sz w:val="18"/>
                <w:szCs w:val="18"/>
              </w:rPr>
            </w:pPr>
            <w:r>
              <w:rPr>
                <w:rFonts w:ascii="宋体" w:hAnsi="宋体" w:cs="宋体" w:eastAsia="宋体" w:hint="default"/>
                <w:sz w:val="18"/>
                <w:szCs w:val="18"/>
              </w:rPr>
              <w:t>关于股票期权和限制性股票激励计划相 关参数调整及注销部分已授予限制性股 票和期权的公告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关于公司回购股权激励股份的债权人公 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第五届董事会第十次会议决议公告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3"/>
              <w:ind w:left="2" w:right="111"/>
              <w:jc w:val="left"/>
              <w:rPr>
                <w:rFonts w:ascii="宋体" w:hAnsi="宋体" w:cs="宋体" w:eastAsia="宋体" w:hint="default"/>
                <w:sz w:val="18"/>
                <w:szCs w:val="18"/>
              </w:rPr>
            </w:pPr>
            <w:r>
              <w:rPr>
                <w:rFonts w:ascii="宋体" w:hAnsi="宋体" w:cs="宋体" w:eastAsia="宋体" w:hint="default"/>
                <w:sz w:val="18"/>
                <w:szCs w:val="18"/>
              </w:rPr>
              <w:t>关于首期股权激励计划限制性股票第一 期可解锁的公告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关于首期股权激励计划期权第一个行权 期可行权公告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股权激励计划期权第一个行权期采用自 主行权模式的提示性公告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股权激励计划限制性股票第一次解锁股 份上市流通的提示性公告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关于部分股票期权注销及部分限制性股 票回购注销的完成公告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95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第五届董事会第二十五次会议决议公告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6"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关于股票期权和限制性股票激励计划相 关参数调整的公告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关于股票期权和限制性股票激励计划相 关参数调整的补充公告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2" w:right="111"/>
              <w:jc w:val="left"/>
              <w:rPr>
                <w:rFonts w:ascii="宋体" w:hAnsi="宋体" w:cs="宋体" w:eastAsia="宋体" w:hint="default"/>
                <w:sz w:val="18"/>
                <w:szCs w:val="18"/>
              </w:rPr>
            </w:pPr>
            <w:r>
              <w:rPr>
                <w:rFonts w:ascii="宋体" w:hAnsi="宋体" w:cs="宋体" w:eastAsia="宋体" w:hint="default"/>
                <w:sz w:val="18"/>
                <w:szCs w:val="18"/>
              </w:rPr>
              <w:t>关于公司回购股权激励股份的债权人公 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bl>
    <w:p>
      <w:pPr>
        <w:spacing w:after="0" w:line="240" w:lineRule="auto"/>
        <w:jc w:val="center"/>
        <w:rPr>
          <w:rFonts w:ascii="宋体" w:hAnsi="宋体" w:cs="宋体" w:eastAsia="宋体" w:hint="default"/>
          <w:sz w:val="18"/>
          <w:szCs w:val="18"/>
        </w:rPr>
        <w:sectPr>
          <w:pgSz w:w="11910" w:h="16840"/>
          <w:pgMar w:header="851" w:footer="1226" w:top="1420" w:bottom="1420" w:left="1020" w:right="1020"/>
        </w:sectPr>
      </w:pPr>
    </w:p>
    <w:p>
      <w:pPr>
        <w:spacing w:line="240" w:lineRule="auto" w:before="5"/>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189"/>
        <w:gridCol w:w="3190"/>
        <w:gridCol w:w="3191"/>
      </w:tblGrid>
      <w:tr>
        <w:trPr>
          <w:trHeight w:val="754" w:hRule="exact"/>
        </w:trPr>
        <w:tc>
          <w:tcPr>
            <w:tcW w:w="3189"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69"/>
              <w:ind w:left="2" w:right="11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关于股票期权和限制性股票激励计划注 销部分已授予限制性股票和期权的公告</w:t>
            </w:r>
          </w:p>
        </w:tc>
        <w:tc>
          <w:tcPr>
            <w:tcW w:w="3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1"/>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关于股票期权与限制性股票激励计划股 票期权第二个行权期可行权公告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关于股票期权与限制性股票激励计划限 制性股票第二期可解锁的公告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第五届董事会第三十二次会议决议公告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第五届监事会第十二次会议决议公告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4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年第二次临时股东大会决议公告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股权激励计划限制性股票第二次解锁股 份上市流通的提示性公告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1"/>
              <w:jc w:val="left"/>
              <w:rPr>
                <w:rFonts w:ascii="宋体" w:hAnsi="宋体" w:cs="宋体" w:eastAsia="宋体" w:hint="default"/>
                <w:sz w:val="18"/>
                <w:szCs w:val="18"/>
              </w:rPr>
            </w:pPr>
            <w:r>
              <w:rPr>
                <w:rFonts w:ascii="宋体" w:hAnsi="宋体" w:cs="宋体" w:eastAsia="宋体" w:hint="default"/>
                <w:sz w:val="18"/>
                <w:szCs w:val="18"/>
              </w:rPr>
              <w:t>股权激励计划期权第二个行权期采用自 主行权模式的提示性公告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r>
        <w:trPr>
          <w:trHeight w:val="739"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1"/>
              <w:jc w:val="left"/>
              <w:rPr>
                <w:rFonts w:ascii="宋体" w:hAnsi="宋体" w:cs="宋体" w:eastAsia="宋体" w:hint="default"/>
                <w:sz w:val="18"/>
                <w:szCs w:val="18"/>
              </w:rPr>
            </w:pPr>
            <w:r>
              <w:rPr>
                <w:rFonts w:ascii="宋体" w:hAnsi="宋体" w:cs="宋体" w:eastAsia="宋体" w:hint="default"/>
                <w:sz w:val="18"/>
                <w:szCs w:val="18"/>
              </w:rPr>
              <w:t>关于部分已授予限制性股票回购注销完 成的公告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9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pStyle w:val="Heading2"/>
        <w:spacing w:line="240" w:lineRule="auto" w:before="26"/>
        <w:ind w:left="114" w:right="209"/>
        <w:jc w:val="left"/>
        <w:rPr>
          <w:b w:val="0"/>
          <w:bCs w:val="0"/>
        </w:rPr>
      </w:pPr>
      <w:bookmarkStart w:name="六、重大关联交易" w:id="44"/>
      <w:bookmarkEnd w:id="44"/>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209"/>
        <w:jc w:val="left"/>
        <w:rPr>
          <w:b w:val="0"/>
          <w:bCs w:val="0"/>
        </w:rPr>
      </w:pPr>
      <w:bookmarkStart w:name="1、与日常经营相关的关联交易" w:id="45"/>
      <w:bookmarkEnd w:id="4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8"/>
        <w:gridCol w:w="810"/>
        <w:gridCol w:w="810"/>
        <w:gridCol w:w="810"/>
        <w:gridCol w:w="812"/>
        <w:gridCol w:w="808"/>
        <w:gridCol w:w="809"/>
        <w:gridCol w:w="809"/>
        <w:gridCol w:w="809"/>
        <w:gridCol w:w="809"/>
        <w:gridCol w:w="805"/>
        <w:gridCol w:w="671"/>
      </w:tblGrid>
      <w:tr>
        <w:trPr>
          <w:trHeight w:val="1025" w:hRule="exact"/>
        </w:trPr>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8" w:right="3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神州泰岳 顶策科技</w:t>
            </w:r>
          </w:p>
          <w:p>
            <w:pPr>
              <w:pStyle w:val="TableParagraph"/>
              <w:spacing w:line="319" w:lineRule="auto" w:before="19"/>
              <w:ind w:left="22" w:right="53"/>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公司董事 担任董事 的联营企 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7"/>
              <w:jc w:val="left"/>
              <w:rPr>
                <w:rFonts w:ascii="宋体" w:hAnsi="宋体" w:cs="宋体" w:eastAsia="宋体" w:hint="default"/>
                <w:sz w:val="18"/>
                <w:szCs w:val="18"/>
              </w:rPr>
            </w:pPr>
            <w:r>
              <w:rPr>
                <w:rFonts w:ascii="宋体" w:hAnsi="宋体" w:cs="宋体" w:eastAsia="宋体" w:hint="default"/>
                <w:sz w:val="18"/>
                <w:szCs w:val="18"/>
              </w:rPr>
              <w:t>市场化原 则</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项目验收</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公司董事 担任董事 的联营企 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5"/>
              <w:jc w:val="left"/>
              <w:rPr>
                <w:rFonts w:ascii="宋体" w:hAnsi="宋体" w:cs="宋体" w:eastAsia="宋体" w:hint="default"/>
                <w:sz w:val="18"/>
                <w:szCs w:val="18"/>
              </w:rPr>
            </w:pPr>
            <w:r>
              <w:rPr>
                <w:rFonts w:ascii="宋体" w:hAnsi="宋体" w:cs="宋体" w:eastAsia="宋体" w:hint="default"/>
                <w:sz w:val="18"/>
                <w:szCs w:val="18"/>
              </w:rPr>
              <w:t>软件服务 外包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7"/>
              <w:jc w:val="left"/>
              <w:rPr>
                <w:rFonts w:ascii="宋体" w:hAnsi="宋体" w:cs="宋体" w:eastAsia="宋体" w:hint="default"/>
                <w:sz w:val="18"/>
                <w:szCs w:val="18"/>
              </w:rPr>
            </w:pPr>
            <w:r>
              <w:rPr>
                <w:rFonts w:ascii="宋体" w:hAnsi="宋体" w:cs="宋体" w:eastAsia="宋体" w:hint="default"/>
                <w:sz w:val="18"/>
                <w:szCs w:val="18"/>
              </w:rPr>
              <w:t>市场化原 则</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0.29%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项目验收</w:t>
            </w:r>
          </w:p>
        </w:tc>
        <w:tc>
          <w:tcPr>
            <w:tcW w:w="809"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469.87</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38" w:right="0"/>
              <w:jc w:val="lef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32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p>
        </w:tc>
        <w:tc>
          <w:tcPr>
            <w:tcW w:w="633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37"/>
        <w:gridCol w:w="6331"/>
      </w:tblGrid>
      <w:tr>
        <w:trPr>
          <w:trHeight w:val="368" w:hRule="exact"/>
        </w:trPr>
        <w:tc>
          <w:tcPr>
            <w:tcW w:w="32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情况（如有）</w:t>
            </w:r>
          </w:p>
        </w:tc>
        <w:tc>
          <w:tcPr>
            <w:tcW w:w="633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影响极小</w:t>
            </w:r>
          </w:p>
        </w:tc>
      </w:tr>
    </w:tbl>
    <w:p>
      <w:pPr>
        <w:spacing w:line="240" w:lineRule="auto" w:before="6"/>
        <w:rPr>
          <w:rFonts w:ascii="宋体" w:hAnsi="宋体" w:cs="宋体" w:eastAsia="宋体" w:hint="default"/>
          <w:sz w:val="6"/>
          <w:szCs w:val="6"/>
        </w:rPr>
      </w:pPr>
    </w:p>
    <w:p>
      <w:pPr>
        <w:pStyle w:val="Heading4"/>
        <w:spacing w:line="240" w:lineRule="auto" w:before="44"/>
        <w:ind w:left="114" w:right="143"/>
        <w:jc w:val="left"/>
        <w:rPr>
          <w:b w:val="0"/>
          <w:bCs w:val="0"/>
        </w:rPr>
      </w:pPr>
      <w:r>
        <w:rPr/>
        <w:t>报告期内公司向关联方销售（采购）产品和提供（接受）劳务的情况</w:t>
      </w:r>
      <w:r>
        <w:rPr>
          <w:b w:val="0"/>
          <w:bCs w:val="0"/>
        </w:rPr>
      </w:r>
    </w:p>
    <w:p>
      <w:pPr>
        <w:spacing w:line="240" w:lineRule="auto" w:before="13"/>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3"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z w:val="18"/>
                <w:szCs w:val="18"/>
              </w:rPr>
              <w:t>神州泰岳顶策科技（北京） 有限公司</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大连华信计算机技术股份 有限公司</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408.72</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469.87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r>
    </w:tbl>
    <w:p>
      <w:pPr>
        <w:pStyle w:val="BodyText"/>
        <w:spacing w:line="240" w:lineRule="auto" w:before="51"/>
        <w:ind w:left="114" w:right="143"/>
        <w:jc w:val="left"/>
      </w:pPr>
      <w:r>
        <w:rPr/>
        <w:t>其中：报告期内公司向控股股东及其子公司销售产品或提供劳务的关联交易金额</w:t>
      </w:r>
      <w:r>
        <w:rPr>
          <w:spacing w:val="-45"/>
        </w:rPr>
        <w:t> </w:t>
      </w:r>
      <w:r>
        <w:rPr>
          <w:rFonts w:ascii="Times New Roman" w:hAnsi="Times New Roman" w:cs="Times New Roman" w:eastAsia="Times New Roman" w:hint="default"/>
        </w:rPr>
        <w:t>0 </w:t>
      </w:r>
      <w:r>
        <w:rPr/>
        <w:t>万元。</w:t>
      </w:r>
    </w:p>
    <w:p>
      <w:pPr>
        <w:spacing w:line="240" w:lineRule="auto" w:before="9"/>
        <w:rPr>
          <w:rFonts w:ascii="宋体" w:hAnsi="宋体" w:cs="宋体" w:eastAsia="宋体" w:hint="default"/>
          <w:sz w:val="25"/>
          <w:szCs w:val="25"/>
        </w:rPr>
      </w:pPr>
    </w:p>
    <w:p>
      <w:pPr>
        <w:pStyle w:val="Heading3"/>
        <w:spacing w:line="240" w:lineRule="auto"/>
        <w:ind w:left="113" w:right="143"/>
        <w:jc w:val="left"/>
        <w:rPr>
          <w:b w:val="0"/>
          <w:bCs w:val="0"/>
        </w:rPr>
      </w:pPr>
      <w:bookmarkStart w:name="2、资产收购、出售发生的关联交易" w:id="46"/>
      <w:bookmarkEnd w:id="46"/>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1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143"/>
        <w:jc w:val="left"/>
        <w:rPr>
          <w:b w:val="0"/>
          <w:bCs w:val="0"/>
        </w:rPr>
      </w:pPr>
      <w:bookmarkStart w:name="3、共同对外投资的重大关联交易" w:id="47"/>
      <w:bookmarkEnd w:id="47"/>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spacing w:before="0"/>
        <w:ind w:left="114" w:right="14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、关联债权债务往来</w:t>
      </w:r>
    </w:p>
    <w:p>
      <w:pPr>
        <w:spacing w:line="240" w:lineRule="auto" w:before="10"/>
        <w:rPr>
          <w:rFonts w:ascii="宋体" w:hAnsi="宋体" w:cs="宋体" w:eastAsia="宋体" w:hint="default"/>
          <w:sz w:val="13"/>
          <w:szCs w:val="13"/>
        </w:rPr>
      </w:pPr>
    </w:p>
    <w:p>
      <w:pPr>
        <w:spacing w:line="489" w:lineRule="auto" w:before="0"/>
        <w:ind w:left="114" w:right="688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是否存在非经营性关联债权债务往来</w:t>
      </w:r>
      <w:r>
        <w:rPr>
          <w:rFonts w:ascii="宋体" w:hAnsi="宋体" w:cs="宋体" w:eastAsia="宋体" w:hint="default"/>
          <w:sz w:val="18"/>
          <w:szCs w:val="18"/>
        </w:rPr>
      </w:r>
    </w:p>
    <w:p>
      <w:pPr>
        <w:spacing w:before="85"/>
        <w:ind w:left="113" w:right="14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41"/>
        <w:gridCol w:w="1457"/>
        <w:gridCol w:w="848"/>
        <w:gridCol w:w="847"/>
        <w:gridCol w:w="1356"/>
        <w:gridCol w:w="1085"/>
        <w:gridCol w:w="1148"/>
        <w:gridCol w:w="1085"/>
      </w:tblGrid>
      <w:tr>
        <w:trPr>
          <w:trHeight w:val="713" w:hRule="exact"/>
        </w:trPr>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38" w:right="57" w:hanging="180"/>
              <w:jc w:val="left"/>
              <w:rPr>
                <w:rFonts w:ascii="宋体" w:hAnsi="宋体" w:cs="宋体" w:eastAsia="宋体" w:hint="default"/>
                <w:sz w:val="18"/>
                <w:szCs w:val="18"/>
              </w:rPr>
            </w:pPr>
            <w:r>
              <w:rPr>
                <w:rFonts w:ascii="宋体" w:hAnsi="宋体" w:cs="宋体" w:eastAsia="宋体" w:hint="default"/>
                <w:sz w:val="18"/>
                <w:szCs w:val="18"/>
              </w:rPr>
              <w:t>债权债务 类型</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是否存在非经营 性资金占用</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56" w:right="21" w:hanging="334"/>
              <w:jc w:val="left"/>
              <w:rPr>
                <w:rFonts w:ascii="宋体" w:hAnsi="宋体" w:cs="宋体" w:eastAsia="宋体" w:hint="default"/>
                <w:sz w:val="18"/>
                <w:szCs w:val="18"/>
              </w:rPr>
            </w:pPr>
            <w:r>
              <w:rPr>
                <w:rFonts w:ascii="宋体" w:hAnsi="宋体" w:cs="宋体" w:eastAsia="宋体" w:hint="default"/>
                <w:spacing w:val="-9"/>
                <w:sz w:val="18"/>
                <w:szCs w:val="18"/>
              </w:rPr>
              <w:t>期初余额（万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56" w:right="20" w:hanging="334"/>
              <w:jc w:val="left"/>
              <w:rPr>
                <w:rFonts w:ascii="宋体" w:hAnsi="宋体" w:cs="宋体" w:eastAsia="宋体" w:hint="default"/>
                <w:sz w:val="18"/>
                <w:szCs w:val="18"/>
              </w:rPr>
            </w:pPr>
            <w:r>
              <w:rPr>
                <w:rFonts w:ascii="宋体" w:hAnsi="宋体" w:cs="宋体" w:eastAsia="宋体" w:hint="default"/>
                <w:spacing w:val="-9"/>
                <w:sz w:val="18"/>
                <w:szCs w:val="18"/>
              </w:rPr>
              <w:t>期末余额（万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r>
      <w:tr>
        <w:trPr>
          <w:trHeight w:val="71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神州泰岳顶策科技（北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京）有限公司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公司董事担任董 事的联营企业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3"/>
              <w:jc w:val="left"/>
              <w:rPr>
                <w:rFonts w:ascii="宋体" w:hAnsi="宋体" w:cs="宋体" w:eastAsia="宋体" w:hint="default"/>
                <w:sz w:val="18"/>
                <w:szCs w:val="18"/>
              </w:rPr>
            </w:pPr>
            <w:r>
              <w:rPr>
                <w:rFonts w:ascii="宋体" w:hAnsi="宋体" w:cs="宋体" w:eastAsia="宋体" w:hint="default"/>
                <w:sz w:val="18"/>
                <w:szCs w:val="18"/>
              </w:rPr>
              <w:t>应收关联 方债权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财务资助</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204.38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273.40</w:t>
            </w:r>
          </w:p>
        </w:tc>
      </w:tr>
      <w:tr>
        <w:trPr>
          <w:trHeight w:val="71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6"/>
              <w:jc w:val="left"/>
              <w:rPr>
                <w:rFonts w:ascii="宋体" w:hAnsi="宋体" w:cs="宋体" w:eastAsia="宋体" w:hint="default"/>
                <w:sz w:val="18"/>
                <w:szCs w:val="18"/>
              </w:rPr>
            </w:pPr>
            <w:r>
              <w:rPr>
                <w:rFonts w:ascii="宋体" w:hAnsi="宋体" w:cs="宋体" w:eastAsia="宋体" w:hint="default"/>
                <w:sz w:val="18"/>
                <w:szCs w:val="18"/>
              </w:rPr>
              <w:t>宁波泰岳梧桐投资管 理有限公司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公司董事担任董 事的联营企业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3"/>
              <w:jc w:val="left"/>
              <w:rPr>
                <w:rFonts w:ascii="宋体" w:hAnsi="宋体" w:cs="宋体" w:eastAsia="宋体" w:hint="default"/>
                <w:sz w:val="18"/>
                <w:szCs w:val="18"/>
              </w:rPr>
            </w:pPr>
            <w:r>
              <w:rPr>
                <w:rFonts w:ascii="宋体" w:hAnsi="宋体" w:cs="宋体" w:eastAsia="宋体" w:hint="default"/>
                <w:sz w:val="18"/>
                <w:szCs w:val="18"/>
              </w:rPr>
              <w:t>应收关联 方债权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应收关联 方债权</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w:t>
            </w:r>
          </w:p>
        </w:tc>
      </w:tr>
      <w:tr>
        <w:trPr>
          <w:trHeight w:val="715" w:hRule="exact"/>
        </w:trPr>
        <w:tc>
          <w:tcPr>
            <w:tcW w:w="329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 的影响</w:t>
            </w:r>
          </w:p>
        </w:tc>
        <w:tc>
          <w:tcPr>
            <w:tcW w:w="6369" w:type="dxa"/>
            <w:gridSpan w:val="6"/>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向联营企业提供的财务资助，金额较小。</w:t>
            </w:r>
          </w:p>
        </w:tc>
      </w:tr>
    </w:tbl>
    <w:p>
      <w:pPr>
        <w:spacing w:line="240" w:lineRule="auto" w:before="3"/>
        <w:rPr>
          <w:rFonts w:ascii="宋体" w:hAnsi="宋体" w:cs="宋体" w:eastAsia="宋体" w:hint="default"/>
          <w:sz w:val="19"/>
          <w:szCs w:val="19"/>
        </w:rPr>
      </w:pPr>
    </w:p>
    <w:p>
      <w:pPr>
        <w:pStyle w:val="Heading3"/>
        <w:spacing w:line="240" w:lineRule="auto" w:before="35"/>
        <w:ind w:left="114" w:right="143"/>
        <w:jc w:val="left"/>
        <w:rPr>
          <w:b w:val="0"/>
          <w:bCs w:val="0"/>
        </w:rPr>
      </w:pPr>
      <w:bookmarkStart w:name="5、其他重大关联交易" w:id="48"/>
      <w:bookmarkEnd w:id="4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before="0"/>
        <w:ind w:left="114"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20" w:right="980"/>
        </w:sectPr>
      </w:pPr>
    </w:p>
    <w:p>
      <w:pPr>
        <w:pStyle w:val="Heading2"/>
        <w:spacing w:line="240" w:lineRule="auto" w:before="14"/>
        <w:ind w:right="0"/>
        <w:jc w:val="left"/>
        <w:rPr>
          <w:b w:val="0"/>
          <w:bCs w:val="0"/>
        </w:rPr>
      </w:pPr>
      <w:r>
        <w:rPr/>
        <w:pict>
          <v:group style="position:absolute;margin-left:55.200001pt;margin-top:2.23563pt;width:485pt;height:.1pt;mso-position-horizontal-relative:page;mso-position-vertical-relative:paragraph;z-index:-111136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七、重大合同及其履行情况" w:id="49"/>
      <w:bookmarkEnd w:id="49"/>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0"/>
      <w:bookmarkEnd w:id="5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1"/>
      <w:bookmarkEnd w:id="5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515" w:right="706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公司报告期不存在托管情况。</w:t>
      </w:r>
      <w:r>
        <w:rPr>
          <w:rFonts w:ascii="宋体" w:hAnsi="宋体" w:cs="宋体" w:eastAsia="宋体" w:hint="default"/>
          <w:sz w:val="18"/>
          <w:szCs w:val="18"/>
        </w:rPr>
      </w:r>
    </w:p>
    <w:p>
      <w:pPr>
        <w:spacing w:line="240" w:lineRule="auto" w:before="13"/>
        <w:rPr>
          <w:rFonts w:ascii="宋体" w:hAnsi="宋体" w:cs="宋体" w:eastAsia="宋体" w:hint="default"/>
          <w:b/>
          <w:bCs/>
          <w:sz w:val="22"/>
          <w:szCs w:val="22"/>
        </w:rPr>
      </w:pPr>
    </w:p>
    <w:p>
      <w:pPr>
        <w:pStyle w:val="Heading3"/>
        <w:spacing w:line="240" w:lineRule="auto"/>
        <w:ind w:left="153" w:right="0"/>
        <w:jc w:val="left"/>
        <w:rPr>
          <w:b w:val="0"/>
          <w:bCs w:val="0"/>
        </w:rPr>
      </w:pPr>
      <w:bookmarkStart w:name="（2）承包情况" w:id="52"/>
      <w:bookmarkEnd w:id="5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515" w:right="706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公司报告期不存在承包情况。</w:t>
      </w:r>
      <w:r>
        <w:rPr>
          <w:rFonts w:ascii="宋体" w:hAnsi="宋体" w:cs="宋体" w:eastAsia="宋体" w:hint="default"/>
          <w:sz w:val="18"/>
          <w:szCs w:val="18"/>
        </w:rPr>
      </w:r>
    </w:p>
    <w:p>
      <w:pPr>
        <w:spacing w:line="240" w:lineRule="auto" w:before="13"/>
        <w:rPr>
          <w:rFonts w:ascii="宋体" w:hAnsi="宋体" w:cs="宋体" w:eastAsia="宋体" w:hint="default"/>
          <w:b/>
          <w:bCs/>
          <w:sz w:val="22"/>
          <w:szCs w:val="22"/>
        </w:rPr>
      </w:pPr>
    </w:p>
    <w:p>
      <w:pPr>
        <w:pStyle w:val="Heading3"/>
        <w:spacing w:line="240" w:lineRule="auto"/>
        <w:ind w:left="153" w:right="0"/>
        <w:jc w:val="left"/>
        <w:rPr>
          <w:b w:val="0"/>
          <w:bCs w:val="0"/>
        </w:rPr>
      </w:pPr>
      <w:bookmarkStart w:name="（3）租赁情况" w:id="53"/>
      <w:bookmarkEnd w:id="5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515" w:right="706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公司报告期不存在租赁情况。</w:t>
      </w:r>
      <w:r>
        <w:rPr>
          <w:rFonts w:ascii="宋体" w:hAnsi="宋体" w:cs="宋体" w:eastAsia="宋体" w:hint="default"/>
          <w:sz w:val="18"/>
          <w:szCs w:val="18"/>
        </w:rPr>
      </w:r>
    </w:p>
    <w:p>
      <w:pPr>
        <w:spacing w:line="240" w:lineRule="auto" w:before="13"/>
        <w:rPr>
          <w:rFonts w:ascii="宋体" w:hAnsi="宋体" w:cs="宋体" w:eastAsia="宋体" w:hint="default"/>
          <w:b/>
          <w:bCs/>
          <w:sz w:val="22"/>
          <w:szCs w:val="22"/>
        </w:rPr>
      </w:pPr>
    </w:p>
    <w:p>
      <w:pPr>
        <w:pStyle w:val="Heading3"/>
        <w:spacing w:line="240" w:lineRule="auto"/>
        <w:ind w:left="153" w:right="0"/>
        <w:jc w:val="left"/>
        <w:rPr>
          <w:b w:val="0"/>
          <w:bCs w:val="0"/>
        </w:rPr>
      </w:pPr>
      <w:bookmarkStart w:name="2、担保情况" w:id="54"/>
      <w:bookmarkEnd w:id="54"/>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50"/>
        <w:gridCol w:w="949"/>
        <w:gridCol w:w="1229"/>
        <w:gridCol w:w="1195"/>
        <w:gridCol w:w="1110"/>
        <w:gridCol w:w="1029"/>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0"/>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1"/>
              <w:ind w:left="111" w:right="10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0" w:type="dxa"/>
            <w:tcBorders>
              <w:top w:val="single" w:sz="4" w:space="0" w:color="000000"/>
              <w:left w:val="single" w:sz="4" w:space="0" w:color="000000"/>
              <w:bottom w:val="single" w:sz="4" w:space="0" w:color="000000"/>
              <w:right w:val="single" w:sz="5" w:space="0" w:color="000000"/>
            </w:tcBorders>
          </w:tcPr>
          <w:p>
            <w:pPr/>
          </w:p>
        </w:tc>
        <w:tc>
          <w:tcPr>
            <w:tcW w:w="949" w:type="dxa"/>
            <w:tcBorders>
              <w:top w:val="single" w:sz="4" w:space="0" w:color="000000"/>
              <w:left w:val="single" w:sz="5"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78"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78"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32" w:type="dxa"/>
            <w:vMerge w:val="restart"/>
            <w:tcBorders>
              <w:top w:val="single" w:sz="4" w:space="0" w:color="000000"/>
              <w:left w:val="single" w:sz="4" w:space="0" w:color="000000"/>
              <w:right w:val="single" w:sz="4" w:space="0" w:color="000000"/>
            </w:tcBorders>
            <w:shd w:val="clear" w:color="auto" w:fill="D2D2D2"/>
          </w:tcPr>
          <w:p>
            <w:pP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8" w:right="11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9" w:type="dxa"/>
            <w:vMerge w:val="restart"/>
            <w:tcBorders>
              <w:top w:val="single" w:sz="4" w:space="0" w:color="000000"/>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10"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6" w:hRule="exact"/>
        </w:trPr>
        <w:tc>
          <w:tcPr>
            <w:tcW w:w="1632" w:type="dxa"/>
            <w:vMerge/>
            <w:tcBorders>
              <w:left w:val="single" w:sz="4" w:space="0" w:color="000000"/>
              <w:bottom w:val="nil" w:sz="6" w:space="0" w:color="auto"/>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vMerge/>
            <w:tcBorders>
              <w:left w:val="single" w:sz="4" w:space="0" w:color="000000"/>
              <w:bottom w:val="nil" w:sz="6" w:space="0" w:color="auto"/>
              <w:right w:val="single" w:sz="4" w:space="0" w:color="000000"/>
            </w:tcBorders>
            <w:shd w:val="clear" w:color="auto" w:fill="D2D2D2"/>
          </w:tcPr>
          <w:p>
            <w:pPr/>
          </w:p>
        </w:tc>
        <w:tc>
          <w:tcPr>
            <w:tcW w:w="1110"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vMerge/>
            <w:tcBorders>
              <w:left w:val="single" w:sz="4" w:space="0" w:color="000000"/>
              <w:right w:val="single" w:sz="4" w:space="0" w:color="000000"/>
            </w:tcBorders>
            <w:shd w:val="clear" w:color="auto" w:fill="D2D2D2"/>
          </w:tcPr>
          <w:p>
            <w:pPr/>
          </w:p>
        </w:tc>
      </w:tr>
      <w:tr>
        <w:trPr>
          <w:trHeight w:val="392"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0"/>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vMerge/>
            <w:tcBorders>
              <w:left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51"/>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8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vMerge/>
            <w:tcBorders>
              <w:left w:val="single" w:sz="4" w:space="0" w:color="000000"/>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32" w:type="dxa"/>
            <w:vMerge w:val="restart"/>
            <w:tcBorders>
              <w:top w:val="nil" w:sz="6" w:space="0" w:color="auto"/>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10"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61"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949"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10"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北京新媒传信科技 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北京神州泰岳系统 集成有限公司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tbl>
      <w:tblPr>
        <w:tblW w:w="0" w:type="auto"/>
        <w:jc w:val="left"/>
        <w:tblInd w:w="120" w:type="dxa"/>
        <w:tblLayout w:type="fixed"/>
        <w:tblCellMar>
          <w:top w:w="0" w:type="dxa"/>
          <w:left w:w="0" w:type="dxa"/>
          <w:bottom w:w="0" w:type="dxa"/>
          <w:right w:w="0" w:type="dxa"/>
        </w:tblCellMar>
        <w:tblLook w:val="01E0"/>
      </w:tblPr>
      <w:tblGrid>
        <w:gridCol w:w="1621"/>
        <w:gridCol w:w="942"/>
        <w:gridCol w:w="957"/>
        <w:gridCol w:w="1229"/>
        <w:gridCol w:w="1195"/>
        <w:gridCol w:w="1105"/>
        <w:gridCol w:w="1032"/>
        <w:gridCol w:w="818"/>
        <w:gridCol w:w="661"/>
      </w:tblGrid>
      <w:tr>
        <w:trPr>
          <w:trHeight w:val="726" w:hRule="exact"/>
        </w:trPr>
        <w:tc>
          <w:tcPr>
            <w:tcW w:w="162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北京神州良品电子 商务有限公司</w:t>
            </w:r>
          </w:p>
        </w:tc>
        <w:tc>
          <w:tcPr>
            <w:tcW w:w="9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10" w:space="0" w:color="000000"/>
              <w:left w:val="single" w:sz="4" w:space="0" w:color="000000"/>
              <w:bottom w:val="single" w:sz="4" w:space="0" w:color="000000"/>
              <w:right w:val="single" w:sz="4" w:space="0" w:color="000000"/>
            </w:tcBorders>
          </w:tcPr>
          <w:p>
            <w:pPr/>
          </w:p>
        </w:tc>
        <w:tc>
          <w:tcPr>
            <w:tcW w:w="110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11" w:right="22"/>
              <w:jc w:val="left"/>
              <w:rPr>
                <w:rFonts w:ascii="宋体" w:hAnsi="宋体" w:cs="宋体" w:eastAsia="宋体" w:hint="default"/>
                <w:sz w:val="18"/>
                <w:szCs w:val="18"/>
              </w:rPr>
            </w:pPr>
            <w:r>
              <w:rPr>
                <w:rFonts w:ascii="宋体" w:hAnsi="宋体" w:cs="宋体" w:eastAsia="宋体" w:hint="default"/>
                <w:sz w:val="18"/>
                <w:szCs w:val="18"/>
              </w:rPr>
              <w:t>奇点新源国际技术 </w:t>
            </w:r>
            <w:r>
              <w:rPr>
                <w:rFonts w:ascii="宋体" w:hAnsi="宋体" w:cs="宋体" w:eastAsia="宋体" w:hint="default"/>
                <w:spacing w:val="-6"/>
                <w:sz w:val="18"/>
                <w:szCs w:val="18"/>
              </w:rPr>
              <w:t>开发（北京）有限公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17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 w:right="2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3" w:right="10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 w:right="2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40,000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3" w:right="10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0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6"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40,000</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11" w:right="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3"/>
        <w:spacing w:line="240" w:lineRule="auto" w:before="35"/>
        <w:ind w:left="113" w:right="209"/>
        <w:jc w:val="left"/>
        <w:rPr>
          <w:b w:val="0"/>
          <w:bCs w:val="0"/>
        </w:rPr>
      </w:pPr>
      <w:bookmarkStart w:name="（1）违规对外担保情况" w:id="55"/>
      <w:bookmarkEnd w:id="55"/>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7"/>
        <w:rPr>
          <w:rFonts w:ascii="宋体" w:hAnsi="宋体" w:cs="宋体" w:eastAsia="宋体" w:hint="default"/>
          <w:b/>
          <w:bCs/>
          <w:sz w:val="32"/>
          <w:szCs w:val="32"/>
        </w:rPr>
      </w:pPr>
    </w:p>
    <w:p>
      <w:pPr>
        <w:pStyle w:val="Heading4"/>
        <w:spacing w:line="489" w:lineRule="auto"/>
        <w:ind w:left="475" w:right="6660" w:hanging="362"/>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t>公司报告期无违规对外担保情况。</w:t>
      </w:r>
      <w:r>
        <w:rPr>
          <w:b w:val="0"/>
          <w:bCs w:val="0"/>
        </w:rPr>
      </w:r>
    </w:p>
    <w:p>
      <w:pPr>
        <w:spacing w:line="240" w:lineRule="auto" w:before="7"/>
        <w:rPr>
          <w:rFonts w:ascii="宋体" w:hAnsi="宋体" w:cs="宋体" w:eastAsia="宋体" w:hint="default"/>
          <w:b/>
          <w:bCs/>
          <w:sz w:val="18"/>
          <w:szCs w:val="18"/>
        </w:rPr>
      </w:pPr>
    </w:p>
    <w:p>
      <w:pPr>
        <w:pStyle w:val="Heading3"/>
        <w:spacing w:line="240" w:lineRule="auto"/>
        <w:ind w:left="113" w:right="209"/>
        <w:jc w:val="left"/>
        <w:rPr>
          <w:b w:val="0"/>
          <w:bCs w:val="0"/>
        </w:rPr>
      </w:pPr>
      <w:bookmarkStart w:name="3、委托理财、衍生品投资和委托贷款情况" w:id="56"/>
      <w:bookmarkEnd w:id="56"/>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209"/>
        <w:jc w:val="left"/>
        <w:rPr>
          <w:b w:val="0"/>
          <w:bCs w:val="0"/>
        </w:rPr>
      </w:pPr>
      <w:bookmarkStart w:name="（1）委托理财情况" w:id="57"/>
      <w:bookmarkEnd w:id="5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475" w:right="702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公司报告期不存在委托理财。</w:t>
      </w:r>
      <w:r>
        <w:rPr>
          <w:rFonts w:ascii="宋体" w:hAnsi="宋体" w:cs="宋体" w:eastAsia="宋体" w:hint="default"/>
          <w:sz w:val="18"/>
          <w:szCs w:val="18"/>
        </w:rPr>
      </w:r>
    </w:p>
    <w:p>
      <w:pPr>
        <w:spacing w:after="0" w:line="412" w:lineRule="auto"/>
        <w:jc w:val="left"/>
        <w:rPr>
          <w:rFonts w:ascii="宋体" w:hAnsi="宋体" w:cs="宋体" w:eastAsia="宋体" w:hint="default"/>
          <w:sz w:val="18"/>
          <w:szCs w:val="18"/>
        </w:rPr>
        <w:sectPr>
          <w:pgSz w:w="11910" w:h="16840"/>
          <w:pgMar w:header="851" w:footer="1226" w:top="1420" w:bottom="1420" w:left="1020" w:right="1020"/>
        </w:sectPr>
      </w:pPr>
    </w:p>
    <w:p>
      <w:pPr>
        <w:spacing w:line="240" w:lineRule="auto" w:before="12"/>
        <w:rPr>
          <w:rFonts w:ascii="宋体" w:hAnsi="宋体" w:cs="宋体" w:eastAsia="宋体" w:hint="default"/>
          <w:b/>
          <w:bCs/>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534" w:right="7141"/>
        <w:jc w:val="left"/>
        <w:rPr>
          <w:b w:val="0"/>
          <w:bCs w:val="0"/>
        </w:rPr>
      </w:pPr>
      <w:bookmarkStart w:name="（2）衍生品投资情况" w:id="58"/>
      <w:bookmarkEnd w:id="58"/>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Heading4"/>
        <w:spacing w:line="412" w:lineRule="auto"/>
        <w:ind w:left="895" w:right="7141" w:hanging="362"/>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t>公司报告期不存在衍生品投资。</w:t>
      </w:r>
      <w:r>
        <w:rPr>
          <w:b w:val="0"/>
          <w:bCs w:val="0"/>
        </w:rPr>
      </w:r>
    </w:p>
    <w:p>
      <w:pPr>
        <w:spacing w:line="240" w:lineRule="auto" w:before="0"/>
        <w:rPr>
          <w:rFonts w:ascii="宋体" w:hAnsi="宋体" w:cs="宋体" w:eastAsia="宋体" w:hint="default"/>
          <w:b/>
          <w:bCs/>
          <w:sz w:val="23"/>
          <w:szCs w:val="23"/>
        </w:rPr>
      </w:pPr>
    </w:p>
    <w:p>
      <w:pPr>
        <w:pStyle w:val="Heading3"/>
        <w:spacing w:line="240" w:lineRule="auto"/>
        <w:ind w:left="534" w:right="7141"/>
        <w:jc w:val="left"/>
        <w:rPr>
          <w:b w:val="0"/>
          <w:bCs w:val="0"/>
        </w:rPr>
      </w:pPr>
      <w:bookmarkStart w:name="（3）委托贷款情况" w:id="59"/>
      <w:bookmarkEnd w:id="59"/>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895" w:right="732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公司报告期不存在委托贷款。</w:t>
      </w:r>
      <w:r>
        <w:rPr>
          <w:rFonts w:ascii="宋体" w:hAnsi="宋体" w:cs="宋体" w:eastAsia="宋体" w:hint="default"/>
          <w:sz w:val="18"/>
          <w:szCs w:val="18"/>
        </w:rPr>
      </w:r>
    </w:p>
    <w:p>
      <w:pPr>
        <w:spacing w:line="240" w:lineRule="auto" w:before="13"/>
        <w:rPr>
          <w:rFonts w:ascii="宋体" w:hAnsi="宋体" w:cs="宋体" w:eastAsia="宋体" w:hint="default"/>
          <w:b/>
          <w:bCs/>
          <w:sz w:val="22"/>
          <w:szCs w:val="22"/>
        </w:rPr>
      </w:pPr>
    </w:p>
    <w:p>
      <w:pPr>
        <w:pStyle w:val="Heading3"/>
        <w:spacing w:line="240" w:lineRule="auto"/>
        <w:ind w:left="534" w:right="7141"/>
        <w:jc w:val="left"/>
        <w:rPr>
          <w:b w:val="0"/>
          <w:bCs w:val="0"/>
        </w:rPr>
      </w:pPr>
      <w:bookmarkStart w:name="4、其他重大合同" w:id="60"/>
      <w:bookmarkEnd w:id="6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32"/>
          <w:szCs w:val="32"/>
        </w:rPr>
      </w:pPr>
    </w:p>
    <w:p>
      <w:pPr>
        <w:spacing w:before="0"/>
        <w:ind w:left="534" w:right="714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pStyle w:val="BodyText"/>
        <w:spacing w:line="451" w:lineRule="auto"/>
        <w:ind w:left="533" w:right="41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月，公司与中国工商银行股份有限公司就移动即时通讯平台产品达成《软件产品合同》，公司向工商银行提</w:t>
      </w:r>
      <w:r>
        <w:rPr/>
        <w:t> </w:t>
      </w:r>
      <w:r>
        <w:rPr>
          <w:spacing w:val="-3"/>
        </w:rPr>
        <w:t>供即时通信软件开发系统软件，软件产品费为</w:t>
      </w:r>
      <w:r>
        <w:rPr>
          <w:rFonts w:ascii="Times New Roman" w:hAnsi="Times New Roman" w:cs="Times New Roman" w:eastAsia="Times New Roman" w:hint="default"/>
          <w:spacing w:val="-3"/>
        </w:rPr>
        <w:t>1,260</w:t>
      </w:r>
      <w:r>
        <w:rPr>
          <w:spacing w:val="-3"/>
        </w:rPr>
        <w:t>万元人民币。本项目的签订是公司</w:t>
      </w:r>
      <w:r>
        <w:rPr>
          <w:rFonts w:ascii="Times New Roman" w:hAnsi="Times New Roman" w:cs="Times New Roman" w:eastAsia="Times New Roman" w:hint="default"/>
          <w:spacing w:val="-3"/>
        </w:rPr>
        <w:t>2014</w:t>
      </w:r>
      <w:r>
        <w:rPr>
          <w:spacing w:val="-3"/>
        </w:rPr>
        <w:t>年融合通信市场拓展的重大成果，</w:t>
      </w:r>
      <w:r>
        <w:rPr>
          <w:spacing w:val="-43"/>
        </w:rPr>
        <w:t> </w:t>
      </w:r>
      <w:r>
        <w:rPr/>
        <w:t>是公司融合通信技术创新能力、研发实力的综合体现。（详见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日巨潮资讯网相关公告）</w:t>
      </w:r>
    </w:p>
    <w:p>
      <w:pPr>
        <w:pStyle w:val="BodyText"/>
        <w:spacing w:line="240" w:lineRule="auto" w:before="43"/>
        <w:ind w:left="893" w:right="0"/>
        <w:jc w:val="left"/>
      </w:pPr>
      <w:r>
        <w:rPr>
          <w:rFonts w:ascii="Times New Roman" w:hAnsi="Times New Roman" w:cs="Times New Roman" w:eastAsia="Times New Roman" w:hint="default"/>
        </w:rPr>
        <w:t>2</w:t>
      </w:r>
      <w:r>
        <w:rPr>
          <w:spacing w:val="-88"/>
        </w:rPr>
        <w:t>、</w:t>
      </w:r>
      <w:r>
        <w:rPr/>
        <w:t>公司全资子公司</w:t>
      </w:r>
      <w:r>
        <w:rPr>
          <w:rFonts w:ascii="Times New Roman" w:hAnsi="Times New Roman" w:cs="Times New Roman" w:eastAsia="Times New Roman" w:hint="default"/>
        </w:rPr>
        <w:t>——</w:t>
      </w:r>
      <w:r>
        <w:rPr/>
        <w:t>北京新媒传信科技有限公司与中国移动通信集团广东有限公司围</w:t>
      </w:r>
      <w:r>
        <w:rPr>
          <w:spacing w:val="-88"/>
        </w:rPr>
        <w:t>绕</w:t>
      </w:r>
      <w:r>
        <w:rPr/>
        <w:t>《飞信业务基础服务子项目</w:t>
      </w:r>
      <w:r>
        <w:rPr>
          <w:spacing w:val="-88"/>
        </w:rPr>
        <w:t>》</w:t>
      </w:r>
      <w:r>
        <w:rPr/>
        <w:t>、</w:t>
      </w:r>
    </w:p>
    <w:p>
      <w:pPr>
        <w:spacing w:line="240" w:lineRule="auto" w:before="9"/>
        <w:rPr>
          <w:rFonts w:ascii="宋体" w:hAnsi="宋体" w:cs="宋体" w:eastAsia="宋体" w:hint="default"/>
          <w:sz w:val="16"/>
          <w:szCs w:val="16"/>
        </w:rPr>
      </w:pPr>
    </w:p>
    <w:p>
      <w:pPr>
        <w:pStyle w:val="BodyText"/>
        <w:spacing w:line="468" w:lineRule="auto"/>
        <w:ind w:left="534" w:right="312"/>
        <w:jc w:val="left"/>
      </w:pPr>
      <w:r>
        <w:rPr>
          <w:spacing w:val="-2"/>
        </w:rPr>
        <w:t>《飞信业务同窗子项目》、《飞信业务公共服务子项目》中的技术实施支撑服务内容分别签署了《基础服务子项目技术实施</w:t>
      </w:r>
      <w:r>
        <w:rPr>
          <w:spacing w:val="-66"/>
        </w:rPr>
        <w:t> </w:t>
      </w:r>
      <w:r>
        <w:rPr>
          <w:spacing w:val="-66"/>
        </w:rPr>
      </w:r>
      <w:r>
        <w:rPr/>
        <w:t>与支撑合同》、《同窗子项目技术实施与支撑合同》、 《公共服务子项目技术实施与支撑合同》。基础服务子项目技术实</w:t>
      </w:r>
      <w:r>
        <w:rPr>
          <w:spacing w:val="-87"/>
        </w:rPr>
        <w:t> </w:t>
      </w:r>
      <w:r>
        <w:rPr>
          <w:spacing w:val="-87"/>
        </w:rPr>
      </w:r>
      <w:r>
        <w:rPr/>
        <w:t>施与支撑合同结算封顶金额为</w:t>
      </w:r>
      <w:r>
        <w:rPr>
          <w:rFonts w:ascii="Times New Roman" w:hAnsi="Times New Roman" w:cs="Times New Roman" w:eastAsia="Times New Roman" w:hint="default"/>
        </w:rPr>
        <w:t>292,547,996.00</w:t>
      </w:r>
      <w:r>
        <w:rPr/>
        <w:t>元；飞信系统同窗子项目技术实施与支撑合同结算封顶金额为</w:t>
      </w:r>
      <w:r>
        <w:rPr>
          <w:rFonts w:ascii="Times New Roman" w:hAnsi="Times New Roman" w:cs="Times New Roman" w:eastAsia="Times New Roman" w:hint="default"/>
        </w:rPr>
        <w:t>58,621,138.00</w:t>
      </w:r>
      <w:r>
        <w:rPr/>
        <w:t>元； 公共服务子项目技术实施与支撑合同结算封顶金额为</w:t>
      </w:r>
      <w:r>
        <w:rPr>
          <w:rFonts w:ascii="Times New Roman" w:hAnsi="Times New Roman" w:cs="Times New Roman" w:eastAsia="Times New Roman" w:hint="default"/>
        </w:rPr>
        <w:t>32,860,850.00</w:t>
      </w:r>
      <w:r>
        <w:rPr/>
        <w:t>元。（详见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日巨潮资讯网相关公告）</w:t>
      </w:r>
    </w:p>
    <w:p>
      <w:pPr>
        <w:pStyle w:val="BodyText"/>
        <w:spacing w:line="451" w:lineRule="auto" w:before="29"/>
        <w:ind w:left="534" w:right="411" w:firstLine="360"/>
        <w:jc w:val="both"/>
      </w:pPr>
      <w:r>
        <w:rPr>
          <w:rFonts w:ascii="Times New Roman" w:hAnsi="Times New Roman" w:cs="Times New Roman" w:eastAsia="Times New Roman" w:hint="default"/>
        </w:rPr>
        <w:t>3</w:t>
      </w:r>
      <w:r>
        <w:rPr/>
        <w:t>、公司全资子公司</w:t>
      </w:r>
      <w:r>
        <w:rPr>
          <w:rFonts w:ascii="Times New Roman" w:hAnsi="Times New Roman" w:cs="Times New Roman" w:eastAsia="Times New Roman" w:hint="default"/>
        </w:rPr>
        <w:t>—</w:t>
      </w:r>
      <w:r>
        <w:rPr/>
        <w:t>北京新媒传信科技有限公司与中国移动通信集团广东有限公司签署了《中国移动个人融合通信系 </w:t>
      </w:r>
      <w:r>
        <w:rPr>
          <w:spacing w:val="-1"/>
        </w:rPr>
        <w:t>统一期工程扩展功能平台及</w:t>
      </w:r>
      <w:r>
        <w:rPr>
          <w:rFonts w:ascii="Times New Roman" w:hAnsi="Times New Roman" w:cs="Times New Roman" w:eastAsia="Times New Roman" w:hint="default"/>
          <w:spacing w:val="-1"/>
        </w:rPr>
        <w:t>APP</w:t>
      </w:r>
      <w:r>
        <w:rPr>
          <w:spacing w:val="-1"/>
        </w:rPr>
        <w:t>客户端定制软件项目</w:t>
      </w:r>
      <w:r>
        <w:rPr>
          <w:rFonts w:ascii="Times New Roman" w:hAnsi="Times New Roman" w:cs="Times New Roman" w:eastAsia="Times New Roman" w:hint="default"/>
          <w:spacing w:val="-1"/>
        </w:rPr>
        <w:t>——</w:t>
      </w:r>
      <w:r>
        <w:rPr>
          <w:spacing w:val="-1"/>
        </w:rPr>
        <w:t>扩展功能平台定制软件开发项目合同》，负责中国移动融合通信扩</w:t>
      </w:r>
      <w:r>
        <w:rPr/>
        <w:t> 展功能平台定制软件，合同金额为</w:t>
      </w:r>
      <w:r>
        <w:rPr>
          <w:rFonts w:ascii="Times New Roman" w:hAnsi="Times New Roman" w:cs="Times New Roman" w:eastAsia="Times New Roman" w:hint="default"/>
        </w:rPr>
        <w:t>32,893,560</w:t>
      </w:r>
      <w:r>
        <w:rPr/>
        <w:t>元。（详见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日巨潮资讯网相关公告）</w:t>
      </w:r>
    </w:p>
    <w:p>
      <w:pPr>
        <w:spacing w:line="240" w:lineRule="auto" w:before="7"/>
        <w:rPr>
          <w:rFonts w:ascii="宋体" w:hAnsi="宋体" w:cs="宋体" w:eastAsia="宋体" w:hint="default"/>
          <w:sz w:val="22"/>
          <w:szCs w:val="22"/>
        </w:rPr>
      </w:pPr>
    </w:p>
    <w:p>
      <w:pPr>
        <w:pStyle w:val="Heading2"/>
        <w:spacing w:line="240" w:lineRule="auto"/>
        <w:ind w:left="533" w:right="7141"/>
        <w:jc w:val="left"/>
        <w:rPr>
          <w:b w:val="0"/>
          <w:bCs w:val="0"/>
        </w:rPr>
      </w:pPr>
      <w:bookmarkStart w:name="八、承诺事项履行情况" w:id="61"/>
      <w:bookmarkEnd w:id="61"/>
      <w:r>
        <w:rPr>
          <w:b w:val="0"/>
          <w:bCs w:val="0"/>
        </w:rPr>
      </w:r>
      <w:r>
        <w:rPr/>
        <w:t>八、承诺事项履行情况</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33" w:right="0"/>
        <w:jc w:val="left"/>
        <w:rPr>
          <w:b w:val="0"/>
          <w:bCs w:val="0"/>
        </w:rPr>
      </w:pPr>
      <w:bookmarkStart w:name="1、公司或持股5%以上股东在报告期内发生或以前期间发生但持续到报告期内的承诺事项" w:id="62"/>
      <w:bookmarkEnd w:id="62"/>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533" w:right="714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105"/>
        <w:gridCol w:w="1429"/>
        <w:gridCol w:w="3545"/>
        <w:gridCol w:w="992"/>
        <w:gridCol w:w="1134"/>
        <w:gridCol w:w="1134"/>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9"/>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29" w:type="dxa"/>
            <w:tcBorders>
              <w:top w:val="single" w:sz="4" w:space="0" w:color="000000"/>
              <w:left w:val="single" w:sz="13" w:space="0" w:color="D2D2D2"/>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429" w:type="dxa"/>
            <w:tcBorders>
              <w:top w:val="single" w:sz="4" w:space="0" w:color="000000"/>
              <w:left w:val="single" w:sz="13" w:space="0" w:color="D2D2D2"/>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李力、王宁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公司发行股份及支付现金购买北京市天元网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9"/>
              <w:jc w:val="right"/>
              <w:rPr>
                <w:rFonts w:ascii="Times New Roman" w:hAnsi="Times New Roman" w:cs="Times New Roman" w:eastAsia="Times New Roman" w:hint="default"/>
                <w:sz w:val="18"/>
                <w:szCs w:val="18"/>
              </w:rPr>
            </w:pPr>
            <w:r>
              <w:rPr>
                <w:rFonts w:ascii="Times New Roman"/>
                <w:sz w:val="18"/>
              </w:rPr>
              <w:t>2015-12-31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851" w:footer="1226" w:top="1380" w:bottom="1420" w:left="600" w:right="720"/>
        </w:sectPr>
      </w:pPr>
    </w:p>
    <w:tbl>
      <w:tblPr>
        <w:tblW w:w="0" w:type="auto"/>
        <w:jc w:val="left"/>
        <w:tblInd w:w="103" w:type="dxa"/>
        <w:tblLayout w:type="fixed"/>
        <w:tblCellMar>
          <w:top w:w="0" w:type="dxa"/>
          <w:left w:w="0" w:type="dxa"/>
          <w:bottom w:w="0" w:type="dxa"/>
          <w:right w:w="0" w:type="dxa"/>
        </w:tblCellMar>
        <w:tblLook w:val="01E0"/>
      </w:tblPr>
      <w:tblGrid>
        <w:gridCol w:w="2127"/>
        <w:gridCol w:w="1418"/>
        <w:gridCol w:w="3545"/>
        <w:gridCol w:w="992"/>
        <w:gridCol w:w="1134"/>
        <w:gridCol w:w="1134"/>
      </w:tblGrid>
      <w:tr>
        <w:trPr>
          <w:trHeight w:val="334" w:hRule="exact"/>
        </w:trPr>
        <w:tc>
          <w:tcPr>
            <w:tcW w:w="2127" w:type="dxa"/>
            <w:vMerge w:val="restart"/>
            <w:tcBorders>
              <w:top w:val="single" w:sz="10" w:space="0" w:color="000000"/>
              <w:left w:val="single" w:sz="4" w:space="0" w:color="000000"/>
              <w:right w:val="single" w:sz="4" w:space="0" w:color="000000"/>
            </w:tcBorders>
            <w:shd w:val="clear" w:color="auto" w:fill="D2D2D2"/>
          </w:tcPr>
          <w:p>
            <w:pPr/>
          </w:p>
        </w:tc>
        <w:tc>
          <w:tcPr>
            <w:tcW w:w="1418" w:type="dxa"/>
            <w:vMerge w:val="restart"/>
            <w:tcBorders>
              <w:top w:val="single" w:sz="10" w:space="0" w:color="000000"/>
              <w:left w:val="single" w:sz="4" w:space="0" w:color="000000"/>
              <w:right w:val="single" w:sz="4" w:space="0" w:color="000000"/>
            </w:tcBorders>
          </w:tcPr>
          <w:p>
            <w:pPr/>
          </w:p>
        </w:tc>
        <w:tc>
          <w:tcPr>
            <w:tcW w:w="354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络技术股份有限公司</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股份、北京神州祥</w:t>
            </w:r>
          </w:p>
        </w:tc>
        <w:tc>
          <w:tcPr>
            <w:tcW w:w="99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10" w:space="0" w:color="000000"/>
              <w:left w:val="single" w:sz="4" w:space="0" w:color="000000"/>
              <w:right w:val="single" w:sz="4" w:space="0" w:color="000000"/>
            </w:tcBorders>
          </w:tcPr>
          <w:p>
            <w:pPr/>
          </w:p>
        </w:tc>
        <w:tc>
          <w:tcPr>
            <w:tcW w:w="1134" w:type="dxa"/>
            <w:vMerge w:val="restart"/>
            <w:tcBorders>
              <w:top w:val="single" w:sz="10" w:space="0" w:color="000000"/>
              <w:left w:val="single" w:sz="4" w:space="0" w:color="000000"/>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升软件有限公司</w:t>
            </w:r>
            <w:r>
              <w:rPr>
                <w:rFonts w:ascii="宋体" w:hAnsi="宋体" w:cs="宋体" w:eastAsia="宋体" w:hint="default"/>
                <w:spacing w:val="13"/>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股权并募集配套资金</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暨关联交易过程中，公司控股股东和实际控</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制人王宁、李力承诺：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、本次认购募集配套</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资金发行的股票的资金计划采取以包括但不</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限于以往年度的分红、薪酬、理财等积累的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自有资金、借款或股权质押融资的方式进行</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筹措。</w:t>
            </w:r>
            <w:r>
              <w:rPr>
                <w:rFonts w:ascii="Times New Roman" w:hAnsi="Times New Roman" w:cs="Times New Roman" w:eastAsia="Times New Roman" w:hint="default"/>
                <w:sz w:val="18"/>
                <w:szCs w:val="18"/>
              </w:rPr>
              <w:t>2</w:t>
            </w:r>
            <w:r>
              <w:rPr>
                <w:rFonts w:ascii="宋体" w:hAnsi="宋体" w:cs="宋体" w:eastAsia="宋体" w:hint="default"/>
                <w:sz w:val="18"/>
                <w:szCs w:val="18"/>
              </w:rPr>
              <w:t>、自说明签署之日起至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51" w:hRule="exact"/>
        </w:trPr>
        <w:tc>
          <w:tcPr>
            <w:tcW w:w="2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日，无任何减持神州泰岳股份的计划。</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358" w:hRule="exact"/>
        </w:trPr>
        <w:tc>
          <w:tcPr>
            <w:tcW w:w="2127"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公司发行股份及支付现金购买天津壳木软件</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有限责任公</w:t>
            </w:r>
            <w:r>
              <w:rPr>
                <w:rFonts w:ascii="宋体" w:hAnsi="宋体" w:cs="宋体" w:eastAsia="宋体" w:hint="default"/>
                <w:spacing w:val="-58"/>
                <w:sz w:val="18"/>
                <w:szCs w:val="18"/>
              </w:rPr>
              <w:t>司</w:t>
            </w:r>
            <w:r>
              <w:rPr>
                <w:rFonts w:ascii="宋体" w:hAnsi="宋体" w:cs="宋体" w:eastAsia="宋体" w:hint="default"/>
                <w:sz w:val="18"/>
                <w:szCs w:val="18"/>
              </w:rPr>
              <w:t>（下</w:t>
            </w:r>
            <w:r>
              <w:rPr>
                <w:rFonts w:ascii="宋体" w:hAnsi="宋体" w:cs="宋体" w:eastAsia="宋体" w:hint="default"/>
                <w:spacing w:val="-58"/>
                <w:sz w:val="18"/>
                <w:szCs w:val="18"/>
              </w:rPr>
              <w:t>称</w:t>
            </w:r>
            <w:r>
              <w:rPr>
                <w:rFonts w:ascii="宋体" w:hAnsi="宋体" w:cs="宋体" w:eastAsia="宋体" w:hint="default"/>
                <w:sz w:val="18"/>
                <w:szCs w:val="18"/>
              </w:rPr>
              <w:t>“壳木软件</w:t>
            </w:r>
            <w:r>
              <w:rPr>
                <w:rFonts w:ascii="宋体" w:hAnsi="宋体" w:cs="宋体" w:eastAsia="宋体" w:hint="default"/>
                <w:spacing w:val="-90"/>
                <w:sz w:val="18"/>
                <w:szCs w:val="18"/>
              </w:rPr>
              <w:t>”</w:t>
            </w:r>
            <w:r>
              <w:rPr>
                <w:rFonts w:ascii="宋体" w:hAnsi="宋体" w:cs="宋体" w:eastAsia="宋体" w:hint="default"/>
                <w:spacing w:val="-58"/>
                <w:sz w:val="18"/>
                <w:szCs w:val="18"/>
              </w:rPr>
              <w:t>）</w:t>
            </w:r>
            <w:r>
              <w:rPr>
                <w:rFonts w:ascii="Times New Roman" w:hAnsi="Times New Roman" w:cs="Times New Roman" w:eastAsia="Times New Roman" w:hint="default"/>
                <w:sz w:val="18"/>
                <w:szCs w:val="18"/>
              </w:rPr>
              <w:t>100%</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发行对象李毅出具了股份锁定及限售安排承</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诺，具体情况如下：</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、本次向李毅发行的股份自发行结束之日起</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个月内不得转让。神州泰岳在指定媒体披</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露标的公司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度《专项审核报告》后，本次向李毅发行的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股份扣减截至该时点李毅已补偿的和应补偿</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的股份数（若有）后可分别解锁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40%</w:t>
            </w:r>
            <w:r>
              <w:rPr>
                <w:rFonts w:ascii="宋体" w:hAnsi="宋体" w:cs="宋体" w:eastAsia="宋体" w:hint="default"/>
                <w:spacing w:val="-82"/>
                <w:w w:val="99"/>
                <w:sz w:val="18"/>
                <w:szCs w:val="18"/>
              </w:rPr>
              <w:t>，</w:t>
            </w:r>
            <w:r>
              <w:rPr>
                <w:rFonts w:ascii="宋体" w:hAnsi="宋体" w:cs="宋体" w:eastAsia="宋体" w:hint="default"/>
                <w:w w:val="99"/>
                <w:sz w:val="18"/>
                <w:szCs w:val="18"/>
              </w:rPr>
              <w:t>自本次发行结束之日起届满</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48</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个月后</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本次向李毅发行的股份的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扣减已补偿的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股份数（若有）后可解锁。</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96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22"/>
              <w:jc w:val="right"/>
              <w:rPr>
                <w:rFonts w:ascii="宋体" w:hAnsi="宋体" w:cs="宋体" w:eastAsia="宋体" w:hint="default"/>
                <w:sz w:val="18"/>
                <w:szCs w:val="18"/>
              </w:rPr>
            </w:pPr>
            <w:r>
              <w:rPr>
                <w:rFonts w:ascii="宋体" w:hAnsi="宋体" w:cs="宋体" w:eastAsia="宋体" w:hint="default"/>
                <w:sz w:val="18"/>
                <w:szCs w:val="18"/>
              </w:rPr>
              <w:t>李毅</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09" w:lineRule="auto" w:before="25"/>
              <w:ind w:left="22" w:right="23"/>
              <w:jc w:val="both"/>
              <w:rPr>
                <w:rFonts w:ascii="宋体" w:hAnsi="宋体" w:cs="宋体" w:eastAsia="宋体" w:hint="default"/>
                <w:sz w:val="18"/>
                <w:szCs w:val="18"/>
              </w:rPr>
            </w:pPr>
            <w:r>
              <w:rPr>
                <w:rFonts w:ascii="宋体" w:hAnsi="宋体" w:cs="宋体" w:eastAsia="宋体" w:hint="default"/>
                <w:spacing w:val="3"/>
                <w:sz w:val="18"/>
                <w:szCs w:val="18"/>
              </w:rPr>
              <w:t>认购人承诺的标的公司在盈利承诺期内各年</w:t>
            </w:r>
            <w:r>
              <w:rPr>
                <w:rFonts w:ascii="宋体" w:hAnsi="宋体" w:cs="宋体" w:eastAsia="宋体" w:hint="default"/>
                <w:sz w:val="18"/>
                <w:szCs w:val="18"/>
              </w:rPr>
              <w:t> 度净利润数如下：</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1.1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2018-05-08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3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、在盈利承诺期届满时，上市公司将聘请经</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上市公司与管理层股东认可的具有证券从业</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资格的会计师事务所对标的资产进行减值测</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试并出</w:t>
            </w:r>
            <w:r>
              <w:rPr>
                <w:rFonts w:ascii="宋体" w:hAnsi="宋体" w:cs="宋体" w:eastAsia="宋体" w:hint="default"/>
                <w:spacing w:val="-11"/>
                <w:sz w:val="18"/>
                <w:szCs w:val="18"/>
              </w:rPr>
              <w:t>具</w:t>
            </w:r>
            <w:r>
              <w:rPr>
                <w:rFonts w:ascii="宋体" w:hAnsi="宋体" w:cs="宋体" w:eastAsia="宋体" w:hint="default"/>
                <w:sz w:val="18"/>
                <w:szCs w:val="18"/>
              </w:rPr>
              <w:t>《减值测试报告</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如果壳木软件资</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产期末减值额</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已补偿金额（包括已补偿股份</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金额和现金金额</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则认购人应另行对上市公</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司进行补偿，应补偿金额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期末减值额—在盈</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利承诺期内因实际净利润数不足承诺净利润</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数已支付的补偿额。</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、在因本次交易获得的神州泰岳股份全部解</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锁前，不主动向标的公司及其子公司提出离</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职。</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、壳木软件的任职期限内，未经神州泰岳书</w:t>
            </w: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2127"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522"/>
              <w:jc w:val="right"/>
              <w:rPr>
                <w:rFonts w:ascii="宋体" w:hAnsi="宋体" w:cs="宋体" w:eastAsia="宋体" w:hint="default"/>
                <w:sz w:val="18"/>
                <w:szCs w:val="18"/>
              </w:rPr>
            </w:pPr>
            <w:r>
              <w:rPr>
                <w:rFonts w:ascii="宋体" w:hAnsi="宋体" w:cs="宋体" w:eastAsia="宋体" w:hint="default"/>
                <w:sz w:val="18"/>
                <w:szCs w:val="18"/>
              </w:rPr>
              <w:t>李毅</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90"/>
              <w:jc w:val="both"/>
              <w:rPr>
                <w:rFonts w:ascii="宋体" w:hAnsi="宋体" w:cs="宋体" w:eastAsia="宋体" w:hint="default"/>
                <w:sz w:val="18"/>
                <w:szCs w:val="18"/>
              </w:rPr>
            </w:pPr>
            <w:r>
              <w:rPr>
                <w:rFonts w:ascii="宋体" w:hAnsi="宋体" w:cs="宋体" w:eastAsia="宋体" w:hint="default"/>
                <w:sz w:val="18"/>
                <w:szCs w:val="18"/>
              </w:rPr>
              <w:t>面同意，不得在神州泰岳及其子公司、壳木 软件以外，从事游戏开发、运营及维护业务 或通过直接或间接控制的其他经营主体从事</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该等业务；不得在其他与神州泰岳及其子公</w:t>
            </w: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rPr>
          <w:sz w:val="2"/>
          <w:szCs w:val="2"/>
        </w:rPr>
      </w:pPr>
      <w:r>
        <w:rPr/>
        <w:pict>
          <v:shape style="position:absolute;margin-left:365.920013pt;margin-top:215.839981pt;width:73.350pt;height:214.6pt;mso-position-horizontal-relative:page;mso-position-vertical-relative:page;z-index:-11113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361" w:right="0"/>
                    <w:jc w:val="left"/>
                  </w:pPr>
                  <w:r>
                    <w:rPr/>
                    <w:t>、</w:t>
                  </w:r>
                </w:p>
                <w:p>
                  <w:pPr>
                    <w:pStyle w:val="BodyText"/>
                    <w:spacing w:line="240" w:lineRule="auto" w:before="76"/>
                    <w:ind w:left="361" w:right="0"/>
                    <w:jc w:val="left"/>
                  </w:pPr>
                  <w:r>
                    <w:rPr/>
                    <w:t>，</w:t>
                  </w:r>
                </w:p>
              </w:txbxContent>
            </v:textbox>
            <w10:wrap type="none"/>
          </v:shape>
        </w:pict>
      </w:r>
      <w:r>
        <w:rPr/>
        <w:pict>
          <v:group style="position:absolute;margin-left:390.160004pt;margin-top:215.839981pt;width:49.1pt;height:214.6pt;mso-position-horizontal-relative:page;mso-position-vertical-relative:page;z-index:-1111288" coordorigin="7803,4317" coordsize="982,4292">
            <v:shape style="position:absolute;left:7803;top:4317;width:982;height:4292" coordorigin="7803,4317" coordsize="982,4292" path="m7803,8608l8785,8608,8785,4317,7803,4317,7803,8608xe" filled="true" fillcolor="#ffffff" stroked="false">
              <v:path arrowok="t"/>
              <v:fill type="solid"/>
            </v:shape>
            <w10:wrap type="none"/>
          </v:group>
        </w:pict>
      </w:r>
    </w:p>
    <w:p>
      <w:pPr>
        <w:spacing w:after="0"/>
        <w:rPr>
          <w:sz w:val="2"/>
          <w:szCs w:val="2"/>
        </w:rPr>
        <w:sectPr>
          <w:pgSz w:w="11910" w:h="16840"/>
          <w:pgMar w:header="851" w:footer="1226" w:top="1420" w:bottom="1420" w:left="600" w:right="720"/>
        </w:sectPr>
      </w:pPr>
    </w:p>
    <w:p>
      <w:pPr>
        <w:spacing w:line="240" w:lineRule="auto" w:before="7"/>
        <w:rPr>
          <w:rFonts w:ascii="宋体" w:hAnsi="宋体" w:cs="宋体" w:eastAsia="宋体" w:hint="default"/>
          <w:sz w:val="2"/>
          <w:szCs w:val="2"/>
        </w:rPr>
      </w:pPr>
      <w:r>
        <w:rPr/>
        <w:pict>
          <v:shape style="position:absolute;margin-left:284.959991pt;margin-top:282.739990pt;width:154.3pt;height:15.6pt;mso-position-horizontal-relative:page;mso-position-vertical-relative:page;z-index:-1111240" type="#_x0000_t202" filled="false" stroked="false">
            <v:textbox inset="0,0,0,0">
              <w:txbxContent>
                <w:p>
                  <w:pPr>
                    <w:pStyle w:val="BodyText"/>
                    <w:spacing w:line="240" w:lineRule="auto" w:before="51"/>
                    <w:ind w:left="0" w:right="0"/>
                    <w:jc w:val="left"/>
                  </w:pPr>
                  <w:r>
                    <w:rPr/>
                    <w:t>监事或高级管理人员期间，</w:t>
                  </w:r>
                </w:p>
              </w:txbxContent>
            </v:textbox>
            <w10:wrap type="none"/>
          </v:shape>
        </w:pict>
      </w:r>
    </w:p>
    <w:tbl>
      <w:tblPr>
        <w:tblW w:w="0" w:type="auto"/>
        <w:jc w:val="left"/>
        <w:tblInd w:w="103" w:type="dxa"/>
        <w:tblLayout w:type="fixed"/>
        <w:tblCellMar>
          <w:top w:w="0" w:type="dxa"/>
          <w:left w:w="0" w:type="dxa"/>
          <w:bottom w:w="0" w:type="dxa"/>
          <w:right w:w="0" w:type="dxa"/>
        </w:tblCellMar>
        <w:tblLook w:val="01E0"/>
      </w:tblPr>
      <w:tblGrid>
        <w:gridCol w:w="2127"/>
        <w:gridCol w:w="1418"/>
        <w:gridCol w:w="3545"/>
        <w:gridCol w:w="992"/>
        <w:gridCol w:w="1134"/>
        <w:gridCol w:w="1134"/>
      </w:tblGrid>
      <w:tr>
        <w:trPr>
          <w:trHeight w:val="1934" w:hRule="exact"/>
        </w:trPr>
        <w:tc>
          <w:tcPr>
            <w:tcW w:w="212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3545"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5"/>
              <w:ind w:left="22" w:right="23"/>
              <w:jc w:val="left"/>
              <w:rPr>
                <w:rFonts w:ascii="宋体" w:hAnsi="宋体" w:cs="宋体" w:eastAsia="宋体" w:hint="default"/>
                <w:sz w:val="18"/>
                <w:szCs w:val="18"/>
              </w:rPr>
            </w:pPr>
            <w:r>
              <w:rPr>
                <w:rFonts w:ascii="宋体" w:hAnsi="宋体" w:cs="宋体" w:eastAsia="宋体" w:hint="default"/>
                <w:sz w:val="18"/>
                <w:szCs w:val="18"/>
              </w:rPr>
              <w:t>司、壳木软件有竞争关系的任何企业或组织 </w:t>
            </w:r>
            <w:r>
              <w:rPr>
                <w:rFonts w:ascii="宋体" w:hAnsi="宋体" w:cs="宋体" w:eastAsia="宋体" w:hint="default"/>
                <w:spacing w:val="-2"/>
                <w:sz w:val="18"/>
                <w:szCs w:val="18"/>
              </w:rPr>
              <w:t>任职。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、自其从壳木软件离职后两年内不得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在神州泰岳及其子公司、壳木软件以外的任 何企业或组织任职或担任任何形式的顾问， 从事游戏开发、运营及维护业务或通过直接 或间接控制的其他经营主体从事该等业务。</w:t>
            </w:r>
          </w:p>
        </w:tc>
        <w:tc>
          <w:tcPr>
            <w:tcW w:w="992"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
        </w:tc>
      </w:tr>
      <w:tr>
        <w:trPr>
          <w:trHeight w:val="2274"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王宁、李力</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、将来不以任何方式从事，包括与他人合作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直接或间接从事与公司及其子公司相同、相</w:t>
            </w:r>
            <w:r>
              <w:rPr>
                <w:rFonts w:ascii="宋体" w:hAnsi="宋体" w:cs="宋体" w:eastAsia="宋体" w:hint="default"/>
                <w:sz w:val="18"/>
                <w:szCs w:val="18"/>
              </w:rPr>
              <w:t> </w:t>
            </w:r>
            <w:r>
              <w:rPr>
                <w:rFonts w:ascii="宋体" w:hAnsi="宋体" w:cs="宋体" w:eastAsia="宋体" w:hint="default"/>
                <w:spacing w:val="-2"/>
                <w:sz w:val="18"/>
                <w:szCs w:val="18"/>
              </w:rPr>
              <w:t>似或在任何方面构成竞争的业务；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尽可能避免和减少与公司之间的关联交易。</w:t>
            </w:r>
            <w:r>
              <w:rPr>
                <w:rFonts w:ascii="宋体" w:hAnsi="宋体" w:cs="宋体" w:eastAsia="宋体" w:hint="default"/>
                <w:sz w:val="18"/>
                <w:szCs w:val="18"/>
              </w:rPr>
              <w:t> </w:t>
            </w:r>
            <w:r>
              <w:rPr>
                <w:rFonts w:ascii="宋体" w:hAnsi="宋体" w:cs="宋体" w:eastAsia="宋体" w:hint="default"/>
                <w:spacing w:val="3"/>
                <w:sz w:val="18"/>
                <w:szCs w:val="18"/>
              </w:rPr>
              <w:t>若有关的关联交易为公司日常经营所必须或</w:t>
            </w:r>
            <w:r>
              <w:rPr>
                <w:rFonts w:ascii="宋体" w:hAnsi="宋体" w:cs="宋体" w:eastAsia="宋体" w:hint="default"/>
                <w:sz w:val="18"/>
                <w:szCs w:val="18"/>
              </w:rPr>
              <w:t> </w:t>
            </w:r>
            <w:r>
              <w:rPr>
                <w:rFonts w:ascii="宋体" w:hAnsi="宋体" w:cs="宋体" w:eastAsia="宋体" w:hint="default"/>
                <w:spacing w:val="3"/>
                <w:sz w:val="18"/>
                <w:szCs w:val="18"/>
              </w:rPr>
              <w:t>者无法避免，承诺方保证该等关联交易所列</w:t>
            </w:r>
            <w:r>
              <w:rPr>
                <w:rFonts w:ascii="宋体" w:hAnsi="宋体" w:cs="宋体" w:eastAsia="宋体" w:hint="default"/>
                <w:sz w:val="18"/>
                <w:szCs w:val="18"/>
              </w:rPr>
              <w:t> 之交易条件公允，不损害公司及股东利益。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3" w:right="72"/>
              <w:jc w:val="left"/>
              <w:rPr>
                <w:rFonts w:ascii="宋体" w:hAnsi="宋体" w:cs="宋体" w:eastAsia="宋体" w:hint="default"/>
                <w:sz w:val="18"/>
                <w:szCs w:val="18"/>
              </w:rPr>
            </w:pPr>
            <w:r>
              <w:rPr>
                <w:rFonts w:ascii="宋体" w:hAnsi="宋体" w:cs="宋体" w:eastAsia="宋体" w:hint="default"/>
                <w:sz w:val="18"/>
                <w:szCs w:val="18"/>
              </w:rPr>
              <w:t>公司首次公开发 行股票前的股东</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在担任公司董事、 每年转让的股份不超过本人所持公司股份总 数的百分之二十五；离职后半年内，不转让 所持有的公司股份。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49.1pt;height:15.6pt;mso-position-horizontal-relative:char;mso-position-vertical-relative:line" coordorigin="0,0" coordsize="982,312">
                  <v:group style="position:absolute;left:0;top:0;width:982;height:312" coordorigin="0,0" coordsize="982,312">
                    <v:shape style="position:absolute;left:0;top:0;width:982;height:312" coordorigin="0,0" coordsize="982,312" path="m0,312l982,312,98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2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下一步计划（如有）</w:t>
            </w:r>
          </w:p>
        </w:tc>
        <w:tc>
          <w:tcPr>
            <w:tcW w:w="82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left="534"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0"/>
        <w:rPr>
          <w:rFonts w:ascii="宋体" w:hAnsi="宋体" w:cs="宋体" w:eastAsia="宋体" w:hint="default"/>
          <w:b/>
          <w:bCs/>
          <w:sz w:val="20"/>
          <w:szCs w:val="20"/>
        </w:rPr>
      </w:pPr>
    </w:p>
    <w:p>
      <w:pPr>
        <w:spacing w:before="163"/>
        <w:ind w:left="534" w:right="714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52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650"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天津壳木软件 有限责任公司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11,208.5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8,985.44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9"/>
              <w:jc w:val="both"/>
              <w:rPr>
                <w:rFonts w:ascii="宋体" w:hAnsi="宋体" w:cs="宋体" w:eastAsia="宋体" w:hint="default"/>
                <w:sz w:val="18"/>
                <w:szCs w:val="18"/>
              </w:rPr>
            </w:pPr>
            <w:r>
              <w:rPr>
                <w:rFonts w:ascii="宋体" w:hAnsi="宋体" w:cs="宋体" w:eastAsia="宋体" w:hint="default"/>
                <w:sz w:val="18"/>
                <w:szCs w:val="18"/>
              </w:rPr>
              <w:t>主要原因为新 游戏上线进度 延缓所致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拟收购天津 壳木软件有 限责任公司 盈利预测审 核报告</w:t>
            </w:r>
          </w:p>
        </w:tc>
      </w:tr>
    </w:tbl>
    <w:p>
      <w:pPr>
        <w:spacing w:line="240" w:lineRule="auto" w:before="2"/>
        <w:rPr>
          <w:rFonts w:ascii="宋体" w:hAnsi="宋体" w:cs="宋体" w:eastAsia="宋体" w:hint="default"/>
          <w:sz w:val="18"/>
          <w:szCs w:val="18"/>
        </w:rPr>
      </w:pPr>
    </w:p>
    <w:p>
      <w:pPr>
        <w:pStyle w:val="Heading2"/>
        <w:spacing w:line="240" w:lineRule="auto" w:before="26"/>
        <w:ind w:left="534" w:right="0"/>
        <w:jc w:val="left"/>
        <w:rPr>
          <w:b w:val="0"/>
          <w:bCs w:val="0"/>
        </w:rPr>
      </w:pPr>
      <w:bookmarkStart w:name="九、聘任、解聘会计师事务所情况" w:id="64"/>
      <w:bookmarkEnd w:id="64"/>
      <w:r>
        <w:rPr>
          <w:b w:val="0"/>
          <w:bCs w:val="0"/>
        </w:rPr>
      </w:r>
      <w:r>
        <w:rPr/>
        <w:t>九、聘任、解聘会计师事务所情况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33" w:right="7141"/>
        <w:jc w:val="left"/>
      </w:pPr>
      <w:r>
        <w:rPr/>
        <w:t>现聘任的会计事务所</w:t>
      </w:r>
    </w:p>
    <w:p>
      <w:pPr>
        <w:spacing w:line="240" w:lineRule="auto" w:before="12"/>
        <w:rPr>
          <w:rFonts w:ascii="宋体" w:hAnsi="宋体" w:cs="宋体" w:eastAsia="宋体" w:hint="default"/>
          <w:sz w:val="13"/>
          <w:szCs w:val="13"/>
        </w:rPr>
      </w:pPr>
    </w:p>
    <w:tbl>
      <w:tblPr>
        <w:tblW w:w="0" w:type="auto"/>
        <w:jc w:val="left"/>
        <w:tblInd w:w="529" w:type="dxa"/>
        <w:tblLayout w:type="fixed"/>
        <w:tblCellMar>
          <w:top w:w="0" w:type="dxa"/>
          <w:left w:w="0" w:type="dxa"/>
          <w:bottom w:w="0" w:type="dxa"/>
          <w:right w:w="0" w:type="dxa"/>
        </w:tblCellMar>
        <w:tblLook w:val="01E0"/>
      </w:tblPr>
      <w:tblGrid>
        <w:gridCol w:w="3886"/>
        <w:gridCol w:w="5682"/>
      </w:tblGrid>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69"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851" w:footer="1226" w:top="1380" w:bottom="1420" w:left="600" w:right="7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570" w:hRule="exact"/>
        </w:trPr>
        <w:tc>
          <w:tcPr>
            <w:tcW w:w="388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王一芳、陈迅骅</w:t>
            </w:r>
          </w:p>
        </w:tc>
      </w:tr>
    </w:tbl>
    <w:p>
      <w:pPr>
        <w:spacing w:line="240" w:lineRule="auto" w:before="6"/>
        <w:rPr>
          <w:rFonts w:ascii="宋体" w:hAnsi="宋体" w:cs="宋体" w:eastAsia="宋体" w:hint="default"/>
          <w:sz w:val="6"/>
          <w:szCs w:val="6"/>
        </w:rPr>
      </w:pPr>
    </w:p>
    <w:p>
      <w:pPr>
        <w:pStyle w:val="Heading4"/>
        <w:spacing w:line="240" w:lineRule="auto" w:before="44"/>
        <w:ind w:left="114" w:right="209"/>
        <w:jc w:val="left"/>
        <w:rPr>
          <w:b w:val="0"/>
          <w:bCs w:val="0"/>
        </w:rPr>
      </w:pPr>
      <w:r>
        <w:rPr/>
        <w:t>是否改聘会计师事务所</w:t>
      </w:r>
      <w:r>
        <w:rPr>
          <w:b w:val="0"/>
          <w:bCs w:val="0"/>
        </w:rPr>
      </w:r>
    </w:p>
    <w:p>
      <w:pPr>
        <w:spacing w:line="240" w:lineRule="auto" w:before="12"/>
        <w:rPr>
          <w:rFonts w:ascii="宋体" w:hAnsi="宋体" w:cs="宋体" w:eastAsia="宋体" w:hint="default"/>
          <w:b/>
          <w:bCs/>
          <w:sz w:val="20"/>
          <w:szCs w:val="20"/>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 w:right="209"/>
        <w:jc w:val="left"/>
        <w:rPr>
          <w:b w:val="0"/>
          <w:bCs w:val="0"/>
        </w:rPr>
      </w:pPr>
      <w:bookmarkStart w:name="十、上市公司及其董事、监事、高级管理人员、公司股东、实际控制人和收购人处罚及整改" w:id="65"/>
      <w:bookmarkEnd w:id="65"/>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32"/>
          <w:szCs w:val="32"/>
        </w:rPr>
      </w:pPr>
    </w:p>
    <w:p>
      <w:pPr>
        <w:pStyle w:val="Heading4"/>
        <w:spacing w:line="489" w:lineRule="auto"/>
        <w:ind w:left="114" w:right="3990"/>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w w:val="95"/>
        </w:rPr>
        <w:t>上市公司及其子公司是否被列入环保部门公布的污染严重企业名单</w:t>
      </w:r>
      <w:r>
        <w:rPr>
          <w:b w:val="0"/>
          <w:bCs w:val="0"/>
        </w:rPr>
      </w:r>
    </w:p>
    <w:p>
      <w:pPr>
        <w:spacing w:line="489" w:lineRule="auto" w:before="85"/>
        <w:ind w:left="114" w:right="55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上市公司及其子公司是否存在其他重大社会安全问题</w:t>
      </w:r>
      <w:r>
        <w:rPr>
          <w:rFonts w:ascii="宋体" w:hAnsi="宋体" w:cs="宋体" w:eastAsia="宋体" w:hint="default"/>
          <w:sz w:val="18"/>
          <w:szCs w:val="18"/>
        </w:rPr>
      </w:r>
    </w:p>
    <w:p>
      <w:pPr>
        <w:spacing w:line="489" w:lineRule="auto" w:before="85"/>
        <w:ind w:left="114" w:right="77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报告期内是否被行政处罚</w:t>
      </w:r>
      <w:r>
        <w:rPr>
          <w:rFonts w:ascii="宋体" w:hAnsi="宋体" w:cs="宋体" w:eastAsia="宋体" w:hint="default"/>
          <w:sz w:val="18"/>
          <w:szCs w:val="18"/>
        </w:rPr>
      </w:r>
    </w:p>
    <w:p>
      <w:pPr>
        <w:spacing w:before="86"/>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4" w:right="209"/>
        <w:jc w:val="left"/>
        <w:rPr>
          <w:b w:val="0"/>
          <w:bCs w:val="0"/>
        </w:rPr>
      </w:pPr>
      <w:bookmarkStart w:name="十一、公司股东及其一致行动人在报告期提出或实施股份增持计划的情况" w:id="66"/>
      <w:bookmarkEnd w:id="66"/>
      <w:r>
        <w:rPr>
          <w:b w:val="0"/>
          <w:bCs w:val="0"/>
        </w:rPr>
      </w:r>
      <w:r>
        <w:rPr/>
        <w:t>十一、公司股东及其一致行动人在报告期提出或实施股份增持计划的情况</w:t>
      </w:r>
      <w:r>
        <w:rPr>
          <w:b w:val="0"/>
          <w:bCs w:val="0"/>
        </w:rPr>
      </w:r>
    </w:p>
    <w:p>
      <w:pPr>
        <w:spacing w:line="240" w:lineRule="auto" w:before="8"/>
        <w:rPr>
          <w:rFonts w:ascii="宋体" w:hAnsi="宋体" w:cs="宋体" w:eastAsia="宋体" w:hint="default"/>
          <w:b/>
          <w:bCs/>
          <w:sz w:val="32"/>
          <w:szCs w:val="32"/>
        </w:rPr>
      </w:pPr>
    </w:p>
    <w:p>
      <w:pPr>
        <w:pStyle w:val="Heading4"/>
        <w:spacing w:line="487" w:lineRule="auto"/>
        <w:ind w:left="475" w:right="3990" w:hanging="362"/>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w w:val="95"/>
        </w:rPr>
        <w:t>公司股东及其一致行动人在报告期内未提出或实施股份增持计划。</w:t>
      </w:r>
      <w:r>
        <w:rPr>
          <w:b w:val="0"/>
          <w:bCs w:val="0"/>
        </w:rPr>
      </w:r>
    </w:p>
    <w:p>
      <w:pPr>
        <w:spacing w:line="240" w:lineRule="auto" w:before="12"/>
        <w:rPr>
          <w:rFonts w:ascii="宋体" w:hAnsi="宋体" w:cs="宋体" w:eastAsia="宋体" w:hint="default"/>
          <w:b/>
          <w:bCs/>
          <w:sz w:val="16"/>
          <w:szCs w:val="16"/>
        </w:rPr>
      </w:pPr>
    </w:p>
    <w:p>
      <w:pPr>
        <w:pStyle w:val="Heading2"/>
        <w:spacing w:line="240" w:lineRule="auto"/>
        <w:ind w:left="113" w:right="209"/>
        <w:jc w:val="left"/>
        <w:rPr>
          <w:b w:val="0"/>
          <w:bCs w:val="0"/>
        </w:rPr>
      </w:pPr>
      <w:bookmarkStart w:name="十二、董事、监事、高级管理人员、持股5%以上的股东违规买卖公司股票情况" w:id="67"/>
      <w:bookmarkEnd w:id="67"/>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60"/>
        <w:gridCol w:w="3402"/>
        <w:gridCol w:w="1559"/>
        <w:gridCol w:w="1418"/>
        <w:gridCol w:w="1631"/>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董事、监事、高级 </w:t>
            </w:r>
            <w:r>
              <w:rPr>
                <w:rFonts w:ascii="宋体" w:hAnsi="宋体" w:cs="宋体" w:eastAsia="宋体" w:hint="default"/>
                <w:spacing w:val="-6"/>
                <w:sz w:val="18"/>
                <w:szCs w:val="18"/>
              </w:rPr>
              <w:t>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以上的股东名称</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5" w:right="0"/>
              <w:jc w:val="left"/>
              <w:rPr>
                <w:rFonts w:ascii="宋体" w:hAnsi="宋体" w:cs="宋体" w:eastAsia="宋体" w:hint="default"/>
                <w:sz w:val="18"/>
                <w:szCs w:val="18"/>
              </w:rPr>
            </w:pPr>
            <w:r>
              <w:rPr>
                <w:rFonts w:ascii="宋体" w:hAnsi="宋体" w:cs="宋体" w:eastAsia="宋体" w:hint="default"/>
                <w:sz w:val="18"/>
                <w:szCs w:val="18"/>
              </w:rPr>
              <w:t>违规买卖公司股票的具体情况</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3" w:right="53" w:hanging="270"/>
              <w:jc w:val="left"/>
              <w:rPr>
                <w:rFonts w:ascii="宋体" w:hAnsi="宋体" w:cs="宋体" w:eastAsia="宋体" w:hint="default"/>
                <w:sz w:val="18"/>
                <w:szCs w:val="18"/>
              </w:rPr>
            </w:pPr>
            <w:r>
              <w:rPr>
                <w:rFonts w:ascii="宋体" w:hAnsi="宋体" w:cs="宋体" w:eastAsia="宋体" w:hint="default"/>
                <w:sz w:val="18"/>
                <w:szCs w:val="18"/>
              </w:rPr>
              <w:t>涉嫌违规所得收益 收回的时间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涉嫌违规所得收 益收回的金额</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9" w:right="89" w:hanging="540"/>
              <w:jc w:val="left"/>
              <w:rPr>
                <w:rFonts w:ascii="宋体" w:hAnsi="宋体" w:cs="宋体" w:eastAsia="宋体" w:hint="default"/>
                <w:sz w:val="18"/>
                <w:szCs w:val="18"/>
              </w:rPr>
            </w:pPr>
            <w:r>
              <w:rPr>
                <w:rFonts w:ascii="宋体" w:hAnsi="宋体" w:cs="宋体" w:eastAsia="宋体" w:hint="default"/>
                <w:sz w:val="18"/>
                <w:szCs w:val="18"/>
              </w:rPr>
              <w:t>董事会采取的问责 措施</w:t>
            </w:r>
          </w:p>
        </w:tc>
      </w:tr>
      <w:tr>
        <w:trPr>
          <w:trHeight w:val="22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公司年度报告披露时间为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4"/>
                <w:sz w:val="18"/>
                <w:szCs w:val="18"/>
              </w:rPr>
              <w:t>日，由于其财务需要，计划出售部分公司股</w:t>
            </w:r>
            <w:r>
              <w:rPr>
                <w:rFonts w:ascii="宋体" w:hAnsi="宋体" w:cs="宋体" w:eastAsia="宋体" w:hint="default"/>
                <w:sz w:val="18"/>
                <w:szCs w:val="18"/>
              </w:rPr>
              <w:t> </w:t>
            </w:r>
            <w:r>
              <w:rPr>
                <w:rFonts w:ascii="宋体" w:hAnsi="宋体" w:cs="宋体" w:eastAsia="宋体" w:hint="default"/>
                <w:spacing w:val="-4"/>
                <w:sz w:val="18"/>
                <w:szCs w:val="18"/>
              </w:rPr>
              <w:t>票，考虑到窗口期因素，春节前向董事会秘</w:t>
            </w:r>
            <w:r>
              <w:rPr>
                <w:rFonts w:ascii="宋体" w:hAnsi="宋体" w:cs="宋体" w:eastAsia="宋体" w:hint="default"/>
                <w:sz w:val="18"/>
                <w:szCs w:val="18"/>
              </w:rPr>
              <w:t> 书进行报备及询问，告知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日之前不</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受窗口期限制。于是本人于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大宗交易的方式出售了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75"/>
                <w:sz w:val="18"/>
                <w:szCs w:val="18"/>
              </w:rPr>
              <w:t>，</w:t>
            </w:r>
            <w:r>
              <w:rPr>
                <w:rFonts w:ascii="宋体" w:hAnsi="宋体" w:cs="宋体" w:eastAsia="宋体" w:hint="default"/>
                <w:sz w:val="18"/>
                <w:szCs w:val="18"/>
              </w:rPr>
              <w:t>成交均价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30.74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股，成交总额为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15370 </w:t>
            </w:r>
            <w:r>
              <w:rPr>
                <w:rFonts w:ascii="宋体" w:hAnsi="宋体" w:cs="宋体" w:eastAsia="宋体" w:hint="default"/>
                <w:spacing w:val="-10"/>
                <w:sz w:val="18"/>
                <w:szCs w:val="18"/>
              </w:rPr>
              <w:t>万元。由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1,537,000.00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公司董事会对齐强 先生做出警告处分， 并对其进行交易金</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的经济处罚。</w:t>
            </w:r>
          </w:p>
        </w:tc>
      </w:tr>
    </w:tbl>
    <w:p>
      <w:pPr>
        <w:spacing w:after="0" w:line="240" w:lineRule="auto"/>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60"/>
        <w:gridCol w:w="3402"/>
        <w:gridCol w:w="1559"/>
        <w:gridCol w:w="1418"/>
        <w:gridCol w:w="1631"/>
      </w:tblGrid>
      <w:tr>
        <w:trPr>
          <w:trHeight w:val="685" w:hRule="exact"/>
        </w:trPr>
        <w:tc>
          <w:tcPr>
            <w:tcW w:w="1560" w:type="dxa"/>
            <w:tcBorders>
              <w:top w:val="single" w:sz="10" w:space="0" w:color="000000"/>
              <w:left w:val="single" w:sz="4" w:space="0" w:color="000000"/>
              <w:bottom w:val="single" w:sz="4" w:space="0" w:color="000000"/>
              <w:right w:val="single" w:sz="4" w:space="0" w:color="000000"/>
            </w:tcBorders>
          </w:tcPr>
          <w:p>
            <w:pPr/>
          </w:p>
        </w:tc>
        <w:tc>
          <w:tcPr>
            <w:tcW w:w="3402" w:type="dxa"/>
            <w:tcBorders>
              <w:top w:val="single" w:sz="10" w:space="0" w:color="000000"/>
              <w:left w:val="single" w:sz="4" w:space="0" w:color="000000"/>
              <w:bottom w:val="single" w:sz="4" w:space="0" w:color="000000"/>
              <w:right w:val="single" w:sz="4" w:space="0" w:color="000000"/>
            </w:tcBorders>
          </w:tcPr>
          <w:p>
            <w:pPr>
              <w:pStyle w:val="TableParagraph"/>
              <w:spacing w:line="302" w:lineRule="auto" w:before="15"/>
              <w:ind w:left="22" w:right="38"/>
              <w:jc w:val="left"/>
              <w:rPr>
                <w:rFonts w:ascii="宋体" w:hAnsi="宋体" w:cs="宋体" w:eastAsia="宋体" w:hint="default"/>
                <w:sz w:val="18"/>
                <w:szCs w:val="18"/>
              </w:rPr>
            </w:pPr>
            <w:r>
              <w:rPr>
                <w:rFonts w:ascii="宋体" w:hAnsi="宋体" w:cs="宋体" w:eastAsia="宋体" w:hint="default"/>
                <w:sz w:val="18"/>
                <w:szCs w:val="18"/>
              </w:rPr>
              <w:t>于忽视了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月份仅有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天的客观情况，本 次减持构成了敏感期买卖公司股票。</w:t>
            </w:r>
          </w:p>
        </w:tc>
        <w:tc>
          <w:tcPr>
            <w:tcW w:w="1559"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631" w:type="dxa"/>
            <w:tcBorders>
              <w:top w:val="single" w:sz="10" w:space="0" w:color="000000"/>
              <w:left w:val="single" w:sz="4" w:space="0" w:color="000000"/>
              <w:bottom w:val="single" w:sz="4" w:space="0" w:color="000000"/>
              <w:right w:val="single" w:sz="4" w:space="0" w:color="000000"/>
            </w:tcBorders>
          </w:tcPr>
          <w:p>
            <w:pPr/>
          </w:p>
        </w:tc>
      </w:tr>
      <w:tr>
        <w:trPr>
          <w:trHeight w:val="29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高峰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公司年度报告披露时间为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4"/>
                <w:sz w:val="18"/>
                <w:szCs w:val="18"/>
              </w:rPr>
              <w:t>日，由于其财务需要，计划出售部分公司股</w:t>
            </w:r>
            <w:r>
              <w:rPr>
                <w:rFonts w:ascii="宋体" w:hAnsi="宋体" w:cs="宋体" w:eastAsia="宋体" w:hint="default"/>
                <w:sz w:val="18"/>
                <w:szCs w:val="18"/>
              </w:rPr>
              <w:t> </w:t>
            </w:r>
            <w:r>
              <w:rPr>
                <w:rFonts w:ascii="宋体" w:hAnsi="宋体" w:cs="宋体" w:eastAsia="宋体" w:hint="default"/>
                <w:spacing w:val="-4"/>
                <w:sz w:val="18"/>
                <w:szCs w:val="18"/>
              </w:rPr>
              <w:t>票，考虑到窗口期因素，春节前向董事会秘</w:t>
            </w:r>
            <w:r>
              <w:rPr>
                <w:rFonts w:ascii="宋体" w:hAnsi="宋体" w:cs="宋体" w:eastAsia="宋体" w:hint="default"/>
                <w:sz w:val="18"/>
                <w:szCs w:val="18"/>
              </w:rPr>
              <w:t> 书进行报备及询问，告知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日之前不</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受窗口期限制。于是本人于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竞价交易方式抛售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万股，成交均价为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32.22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股，成交总额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257.76 </w:t>
            </w:r>
            <w:r>
              <w:rPr>
                <w:rFonts w:ascii="宋体" w:hAnsi="宋体" w:cs="宋体" w:eastAsia="宋体" w:hint="default"/>
                <w:spacing w:val="-7"/>
                <w:sz w:val="18"/>
                <w:szCs w:val="18"/>
              </w:rPr>
              <w:t>万元。由于忽</w:t>
            </w:r>
          </w:p>
          <w:p>
            <w:pPr>
              <w:pStyle w:val="TableParagraph"/>
              <w:spacing w:line="302"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视了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月份仅有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天的客观情况，本次减 持构成了敏感期买卖公司股票。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257,800.00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2"/>
              <w:jc w:val="left"/>
              <w:rPr>
                <w:rFonts w:ascii="宋体" w:hAnsi="宋体" w:cs="宋体" w:eastAsia="宋体" w:hint="default"/>
                <w:sz w:val="18"/>
                <w:szCs w:val="18"/>
              </w:rPr>
            </w:pPr>
            <w:r>
              <w:rPr>
                <w:rFonts w:ascii="宋体" w:hAnsi="宋体" w:cs="宋体" w:eastAsia="宋体" w:hint="default"/>
                <w:sz w:val="18"/>
                <w:szCs w:val="18"/>
              </w:rPr>
              <w:t>公司董事会对高峰 先生做出警告处分， 并对其进行交易金</w:t>
            </w:r>
          </w:p>
          <w:p>
            <w:pPr>
              <w:pStyle w:val="TableParagraph"/>
              <w:spacing w:line="240" w:lineRule="auto" w:before="20"/>
              <w:ind w:left="22" w:right="-37"/>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的经济处罚。</w:t>
            </w:r>
          </w:p>
        </w:tc>
      </w:tr>
    </w:tbl>
    <w:p>
      <w:pPr>
        <w:spacing w:line="240" w:lineRule="auto" w:before="2"/>
        <w:rPr>
          <w:rFonts w:ascii="宋体" w:hAnsi="宋体" w:cs="宋体" w:eastAsia="宋体" w:hint="default"/>
          <w:sz w:val="18"/>
          <w:szCs w:val="18"/>
        </w:rPr>
      </w:pPr>
    </w:p>
    <w:p>
      <w:pPr>
        <w:pStyle w:val="Heading2"/>
        <w:spacing w:line="240" w:lineRule="auto" w:before="26"/>
        <w:ind w:left="114" w:right="209"/>
        <w:jc w:val="left"/>
        <w:rPr>
          <w:b w:val="0"/>
          <w:bCs w:val="0"/>
        </w:rPr>
      </w:pPr>
      <w:bookmarkStart w:name="十三、年度报告披露后面临暂停上市和终止上市情况" w:id="68"/>
      <w:bookmarkEnd w:id="68"/>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32"/>
          <w:szCs w:val="32"/>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4" w:right="209"/>
        <w:jc w:val="left"/>
        <w:rPr>
          <w:b w:val="0"/>
          <w:bCs w:val="0"/>
        </w:rPr>
      </w:pPr>
      <w:bookmarkStart w:name="十四、其他重大事项的说明" w:id="69"/>
      <w:bookmarkEnd w:id="69"/>
      <w:r>
        <w:rPr>
          <w:b w:val="0"/>
          <w:bCs w:val="0"/>
        </w:rPr>
      </w:r>
      <w:r>
        <w:rPr/>
        <w:t>十四、其他重大事项的说明</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left="474" w:right="5772" w:hanging="360"/>
        <w:jc w:val="left"/>
      </w:pPr>
      <w:r>
        <w:rPr>
          <w:rFonts w:ascii="Times New Roman" w:hAnsi="Times New Roman" w:cs="Times New Roman" w:eastAsia="Times New Roman" w:hint="default"/>
        </w:rPr>
        <w:t>□ </w:t>
      </w:r>
      <w:r>
        <w:rPr/>
        <w:t>适用 √ 不适用</w:t>
      </w:r>
      <w:r>
        <w:rPr>
          <w:w w:val="99"/>
        </w:rPr>
        <w:t> </w:t>
      </w:r>
      <w:r>
        <w:rPr/>
        <w:t>公司报告期不存在需要说明的其他重大事项。</w:t>
      </w:r>
    </w:p>
    <w:p>
      <w:pPr>
        <w:spacing w:line="240" w:lineRule="auto" w:before="9"/>
        <w:rPr>
          <w:rFonts w:ascii="宋体" w:hAnsi="宋体" w:cs="宋体" w:eastAsia="宋体" w:hint="default"/>
          <w:sz w:val="16"/>
          <w:szCs w:val="16"/>
        </w:rPr>
      </w:pPr>
    </w:p>
    <w:p>
      <w:pPr>
        <w:pStyle w:val="Heading2"/>
        <w:spacing w:line="240" w:lineRule="auto"/>
        <w:ind w:left="114" w:right="209"/>
        <w:jc w:val="left"/>
        <w:rPr>
          <w:b w:val="0"/>
          <w:bCs w:val="0"/>
        </w:rPr>
      </w:pPr>
      <w:bookmarkStart w:name="十五、控股子公司重要事项" w:id="70"/>
      <w:bookmarkEnd w:id="70"/>
      <w:r>
        <w:rPr>
          <w:b w:val="0"/>
          <w:bCs w:val="0"/>
        </w:rPr>
      </w:r>
      <w:r>
        <w:rPr/>
        <w:t>十五、控股子公司重要事项</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4" w:right="209"/>
        <w:jc w:val="left"/>
      </w:pPr>
      <w:r>
        <w:rPr>
          <w:rFonts w:ascii="Times New Roman" w:hAnsi="Times New Roman" w:cs="Times New Roman" w:eastAsia="Times New Roman" w:hint="default"/>
        </w:rPr>
        <w:t>□  </w:t>
      </w:r>
      <w:r>
        <w:rPr/>
        <w:t>适用 √ 不适用</w:t>
      </w:r>
    </w:p>
    <w:p>
      <w:pPr>
        <w:spacing w:after="0" w:line="240" w:lineRule="auto"/>
        <w:jc w:val="left"/>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2966" w:right="0"/>
        <w:jc w:val="left"/>
        <w:rPr>
          <w:b w:val="0"/>
          <w:bCs w:val="0"/>
        </w:rPr>
      </w:pPr>
      <w:bookmarkStart w:name="第六节 股份变动及股东情况" w:id="71"/>
      <w:bookmarkEnd w:id="71"/>
      <w:r>
        <w:rPr>
          <w:b w:val="0"/>
          <w:bCs w:val="0"/>
        </w:rPr>
      </w:r>
      <w:bookmarkStart w:name="_bookmark5" w:id="72"/>
      <w:bookmarkEnd w:id="7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股份变动情况" w:id="73"/>
      <w:bookmarkEnd w:id="7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74"/>
      <w:bookmarkEnd w:id="7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单位：股</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145"/>
        <w:gridCol w:w="850"/>
        <w:gridCol w:w="1020"/>
        <w:gridCol w:w="682"/>
        <w:gridCol w:w="1004"/>
        <w:gridCol w:w="981"/>
        <w:gridCol w:w="992"/>
        <w:gridCol w:w="991"/>
        <w:gridCol w:w="709"/>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4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995" w:type="dxa"/>
            <w:gridSpan w:val="2"/>
            <w:vMerge/>
            <w:tcBorders>
              <w:left w:val="single" w:sz="4" w:space="0" w:color="000000"/>
              <w:bottom w:val="single" w:sz="4" w:space="0" w:color="000000"/>
              <w:right w:val="single" w:sz="4" w:space="0" w:color="000000"/>
            </w:tcBorders>
            <w:shd w:val="clear" w:color="auto" w:fill="D2D2D2"/>
          </w:tcPr>
          <w:p>
            <w:pPr/>
          </w:p>
        </w:tc>
        <w:tc>
          <w:tcPr>
            <w:tcW w:w="4680" w:type="dxa"/>
            <w:gridSpan w:val="5"/>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261,026,305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92,756,183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253,371,360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-9,526,353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336,601,190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597,627,495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45.02%</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261,026,305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92,756,183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253,371,360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-9,526,353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336,601,190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597,627,495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45.02%</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12,367,491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12,367,491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12,367,491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261,026,305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80,388,692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253,371,360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-9,526,353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324,233,699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585,260,004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44.09%</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353,815,039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361,845,024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14,193,977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376,039,001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729,854,040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54.98%</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353,815,039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361,845,024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14,193,977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376,039,001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729,854,040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54.98%</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、境内上市的外资</w:t>
            </w:r>
            <w:r>
              <w:rPr>
                <w:rFonts w:ascii="宋体" w:hAnsi="宋体" w:cs="宋体" w:eastAsia="宋体" w:hint="default"/>
                <w:sz w:val="18"/>
                <w:szCs w:val="18"/>
              </w:rPr>
              <w:t> 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、境外上市的外资</w:t>
            </w:r>
            <w:r>
              <w:rPr>
                <w:rFonts w:ascii="宋体" w:hAnsi="宋体" w:cs="宋体" w:eastAsia="宋体" w:hint="default"/>
                <w:sz w:val="18"/>
                <w:szCs w:val="18"/>
              </w:rPr>
              <w:t> 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614,841,344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92,756,183</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615,216,384</w:t>
            </w:r>
          </w:p>
        </w:tc>
        <w:tc>
          <w:tcPr>
            <w:tcW w:w="9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4,667,624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712,640,191</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20"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98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r>
      <w:tr>
        <w:trPr>
          <w:trHeight w:val="162"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20"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98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Heading4"/>
        <w:spacing w:line="240" w:lineRule="auto" w:before="44"/>
        <w:ind w:right="0"/>
        <w:jc w:val="left"/>
        <w:rPr>
          <w:b w:val="0"/>
          <w:bCs w:val="0"/>
        </w:rPr>
      </w:pPr>
      <w:r>
        <w:rPr/>
        <w:t>股份变动的原因</w:t>
      </w:r>
      <w:r>
        <w:rPr>
          <w:b w:val="0"/>
          <w:bCs w:val="0"/>
        </w:rPr>
      </w:r>
    </w:p>
    <w:p>
      <w:pPr>
        <w:spacing w:line="240" w:lineRule="auto" w:before="10"/>
        <w:rPr>
          <w:rFonts w:ascii="宋体" w:hAnsi="宋体" w:cs="宋体" w:eastAsia="宋体" w:hint="default"/>
          <w:b/>
          <w:bCs/>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1226" w:top="1380" w:bottom="1420" w:left="980" w:right="720"/>
        </w:sectPr>
      </w:pPr>
    </w:p>
    <w:p>
      <w:pPr>
        <w:pStyle w:val="BodyText"/>
        <w:spacing w:line="240" w:lineRule="auto" w:before="141"/>
        <w:ind w:left="514" w:right="0"/>
        <w:jc w:val="left"/>
      </w:pPr>
      <w:r>
        <w:rPr>
          <w:rFonts w:ascii="Times New Roman" w:hAnsi="Times New Roman" w:cs="Times New Roman" w:eastAsia="Times New Roman" w:hint="default"/>
        </w:rPr>
        <w:t>1</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615,216,384</w:t>
      </w:r>
      <w:r>
        <w:rPr/>
        <w:t>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、报告期内，公司发行股份及支付现金购买资产，新增</w:t>
      </w:r>
      <w:r>
        <w:rPr>
          <w:rFonts w:ascii="Times New Roman" w:hAnsi="Times New Roman" w:cs="Times New Roman" w:eastAsia="Times New Roman" w:hint="default"/>
        </w:rPr>
        <w:t>92,756,183</w:t>
      </w:r>
      <w:r>
        <w:rPr/>
        <w:t>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、报告期内，因自主行权新增股份</w:t>
      </w:r>
      <w:r>
        <w:rPr>
          <w:rFonts w:ascii="Times New Roman" w:hAnsi="Times New Roman" w:cs="Times New Roman" w:eastAsia="Times New Roman" w:hint="default"/>
        </w:rPr>
        <w:t>4,936,680</w:t>
      </w:r>
      <w:r>
        <w:rPr/>
        <w:t>股；</w:t>
      </w:r>
    </w:p>
    <w:p>
      <w:pPr>
        <w:spacing w:line="240" w:lineRule="auto" w:before="10"/>
        <w:rPr>
          <w:rFonts w:ascii="宋体" w:hAnsi="宋体" w:cs="宋体" w:eastAsia="宋体" w:hint="default"/>
          <w:sz w:val="16"/>
          <w:szCs w:val="16"/>
        </w:rPr>
      </w:pPr>
    </w:p>
    <w:p>
      <w:pPr>
        <w:pStyle w:val="BodyText"/>
        <w:spacing w:line="489" w:lineRule="auto"/>
        <w:ind w:right="2978" w:firstLine="360"/>
        <w:jc w:val="left"/>
        <w:rPr>
          <w:rFonts w:ascii="宋体" w:hAnsi="宋体" w:cs="宋体" w:eastAsia="宋体" w:hint="default"/>
        </w:rPr>
      </w:pPr>
      <w:r>
        <w:rPr>
          <w:rFonts w:ascii="Times New Roman" w:hAnsi="Times New Roman" w:cs="Times New Roman" w:eastAsia="Times New Roman" w:hint="default"/>
        </w:rPr>
        <w:t>4</w:t>
      </w:r>
      <w:r>
        <w:rPr/>
        <w:t>、报告期内，公司回购注销已离职股权激励对象所持有的限制性股票</w:t>
      </w:r>
      <w:r>
        <w:rPr>
          <w:rFonts w:ascii="Times New Roman" w:hAnsi="Times New Roman" w:cs="Times New Roman" w:eastAsia="Times New Roman" w:hint="default"/>
        </w:rPr>
        <w:t>269,056</w:t>
      </w:r>
      <w:r>
        <w:rPr/>
        <w:t>股。 </w:t>
      </w:r>
      <w:r>
        <w:rPr>
          <w:rFonts w:ascii="宋体" w:hAnsi="宋体" w:cs="宋体" w:eastAsia="宋体" w:hint="default"/>
          <w:b/>
          <w:bCs/>
        </w:rPr>
        <w:t>股份变动的批准情况</w:t>
      </w:r>
      <w:r>
        <w:rPr>
          <w:rFonts w:ascii="宋体" w:hAnsi="宋体" w:cs="宋体" w:eastAsia="宋体" w:hint="default"/>
        </w:rPr>
      </w:r>
    </w:p>
    <w:p>
      <w:pPr>
        <w:pStyle w:val="BodyText"/>
        <w:spacing w:line="489" w:lineRule="auto" w:before="85"/>
        <w:ind w:left="513" w:right="5093"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上述股份变动已经过公司董事会及股东大会审议通过。</w:t>
      </w:r>
    </w:p>
    <w:p>
      <w:pPr>
        <w:pStyle w:val="Heading4"/>
        <w:spacing w:line="240" w:lineRule="auto" w:before="86"/>
        <w:ind w:right="0"/>
        <w:jc w:val="left"/>
        <w:rPr>
          <w:b w:val="0"/>
          <w:bCs w:val="0"/>
        </w:rPr>
      </w:pPr>
      <w:r>
        <w:rPr/>
        <w:t>股份变动的过户情况</w:t>
      </w:r>
      <w:r>
        <w:rPr>
          <w:b w:val="0"/>
          <w:bCs w:val="0"/>
        </w:rPr>
      </w:r>
    </w:p>
    <w:p>
      <w:pPr>
        <w:spacing w:line="240" w:lineRule="auto" w:before="10"/>
        <w:rPr>
          <w:rFonts w:ascii="宋体" w:hAnsi="宋体" w:cs="宋体" w:eastAsia="宋体" w:hint="default"/>
          <w:b/>
          <w:bCs/>
          <w:sz w:val="20"/>
          <w:szCs w:val="20"/>
        </w:rPr>
      </w:pPr>
    </w:p>
    <w:p>
      <w:pPr>
        <w:pStyle w:val="BodyText"/>
        <w:spacing w:line="489" w:lineRule="auto"/>
        <w:ind w:left="514" w:right="6352"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以上变动情况均已办理完毕相关手续。</w:t>
      </w:r>
    </w:p>
    <w:p>
      <w:pPr>
        <w:pStyle w:val="Heading4"/>
        <w:spacing w:line="240" w:lineRule="auto" w:before="86"/>
        <w:ind w:right="0"/>
        <w:jc w:val="left"/>
        <w:rPr>
          <w:b w:val="0"/>
          <w:bCs w:val="0"/>
        </w:rPr>
      </w:pPr>
      <w:r>
        <w:rPr/>
        <w:t>股份变动对最近一年和最近一期基本每股收益和稀释每股收益、归属于公司普通股股东的每股净资产等财务指标的影响</w:t>
      </w:r>
      <w:r>
        <w:rPr>
          <w:b w:val="0"/>
          <w:bCs w:val="0"/>
        </w:rPr>
      </w:r>
    </w:p>
    <w:p>
      <w:pPr>
        <w:spacing w:line="240" w:lineRule="auto" w:before="10"/>
        <w:rPr>
          <w:rFonts w:ascii="宋体" w:hAnsi="宋体" w:cs="宋体" w:eastAsia="宋体" w:hint="default"/>
          <w:b/>
          <w:bCs/>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pStyle w:val="BodyText"/>
        <w:spacing w:line="477" w:lineRule="auto"/>
        <w:ind w:right="150" w:firstLine="360"/>
        <w:jc w:val="both"/>
      </w:pPr>
      <w:r>
        <w:rPr/>
        <w:t>报告期内，公司股份总数由年初的</w:t>
      </w:r>
      <w:r>
        <w:rPr>
          <w:spacing w:val="-54"/>
        </w:rPr>
        <w:t> </w:t>
      </w:r>
      <w:r>
        <w:rPr>
          <w:rFonts w:ascii="宋体" w:hAnsi="宋体" w:cs="宋体" w:eastAsia="宋体" w:hint="default"/>
        </w:rPr>
        <w:t>614,841,344</w:t>
      </w:r>
      <w:r>
        <w:rPr>
          <w:rFonts w:ascii="宋体" w:hAnsi="宋体" w:cs="宋体" w:eastAsia="宋体" w:hint="default"/>
          <w:spacing w:val="-54"/>
        </w:rPr>
        <w:t> </w:t>
      </w:r>
      <w:r>
        <w:rPr/>
        <w:t>股变更至</w:t>
      </w:r>
      <w:r>
        <w:rPr>
          <w:spacing w:val="-53"/>
        </w:rPr>
        <w:t> </w:t>
      </w:r>
      <w:r>
        <w:rPr>
          <w:rFonts w:ascii="宋体" w:hAnsi="宋体" w:cs="宋体" w:eastAsia="宋体" w:hint="default"/>
        </w:rPr>
        <w:t>1,327,481,535</w:t>
      </w:r>
      <w:r>
        <w:rPr>
          <w:rFonts w:ascii="宋体" w:hAnsi="宋体" w:cs="宋体" w:eastAsia="宋体" w:hint="default"/>
          <w:spacing w:val="-54"/>
        </w:rPr>
        <w:t> </w:t>
      </w:r>
      <w:r>
        <w:rPr/>
        <w:t>股，变动幅度为</w:t>
      </w:r>
      <w:r>
        <w:rPr>
          <w:spacing w:val="-54"/>
        </w:rPr>
        <w:t> </w:t>
      </w:r>
      <w:r>
        <w:rPr>
          <w:rFonts w:ascii="宋体" w:hAnsi="宋体" w:cs="宋体" w:eastAsia="宋体" w:hint="default"/>
        </w:rPr>
        <w:t>115.91%</w:t>
      </w:r>
      <w:r>
        <w:rPr/>
        <w:t>，对公司最近一期基 </w:t>
      </w:r>
      <w:r>
        <w:rPr>
          <w:spacing w:val="-2"/>
        </w:rPr>
        <w:t>本每股收益、稀释每股收益、归属于上市公司普通股股东的每股净资产等财务指标相应产生变动。具体详见第三节“主要会</w:t>
      </w:r>
      <w:r>
        <w:rPr>
          <w:spacing w:val="-67"/>
        </w:rPr>
        <w:t> </w:t>
      </w:r>
      <w:r>
        <w:rPr>
          <w:spacing w:val="-67"/>
        </w:rPr>
      </w:r>
      <w:r>
        <w:rPr/>
        <w:t>计数据和财务指标”。</w:t>
      </w:r>
    </w:p>
    <w:p>
      <w:pPr>
        <w:pStyle w:val="Heading4"/>
        <w:spacing w:line="240" w:lineRule="auto" w:before="95"/>
        <w:ind w:right="0"/>
        <w:jc w:val="left"/>
        <w:rPr>
          <w:b w:val="0"/>
          <w:bCs w:val="0"/>
        </w:rPr>
      </w:pPr>
      <w:r>
        <w:rPr/>
        <w:t>公司认为必要或证券监管机构要求披露的其他内容</w:t>
      </w:r>
      <w:r>
        <w:rPr>
          <w:b w:val="0"/>
          <w:bCs w:val="0"/>
        </w:rPr>
      </w:r>
    </w:p>
    <w:p>
      <w:pPr>
        <w:spacing w:line="240" w:lineRule="auto" w:before="10"/>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right="0"/>
        <w:jc w:val="left"/>
        <w:rPr>
          <w:b w:val="0"/>
          <w:bCs w:val="0"/>
        </w:rPr>
      </w:pPr>
      <w:bookmarkStart w:name="2、限售股份变动情况" w:id="75"/>
      <w:bookmarkEnd w:id="7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103"/>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31,697,381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31,697,381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31,697,381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31,697,380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126,789,524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33,210,467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33,210,467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66,420,934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27,878,731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28,436,491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56,315,222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22,302,979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21,923,704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43,607,408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18,655,488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29,810,976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1226" w:top="1380" w:bottom="1420" w:left="980" w:right="980"/>
        </w:sect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14" w:hRule="exact"/>
        </w:trPr>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14,771,318</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12,821,318</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25,642,636</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5,096,678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1,050,309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4,046,369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8,092,738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2,697,501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2,697,501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5,395,002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3,096,000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2,826,000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5,652,000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1,152,360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408" w:right="47" w:hanging="361"/>
              <w:jc w:val="left"/>
              <w:rPr>
                <w:rFonts w:ascii="宋体" w:hAnsi="宋体" w:cs="宋体" w:eastAsia="宋体" w:hint="default"/>
                <w:sz w:val="18"/>
                <w:szCs w:val="18"/>
              </w:rPr>
            </w:pPr>
            <w:r>
              <w:rPr>
                <w:rFonts w:ascii="宋体" w:hAnsi="宋体" w:cs="宋体" w:eastAsia="宋体" w:hint="default"/>
                <w:sz w:val="18"/>
                <w:szCs w:val="18"/>
              </w:rPr>
              <w:t>高管锁定、限制 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408" w:right="47" w:hanging="361"/>
              <w:jc w:val="left"/>
              <w:rPr>
                <w:rFonts w:ascii="宋体" w:hAnsi="宋体" w:cs="宋体" w:eastAsia="宋体" w:hint="default"/>
                <w:sz w:val="18"/>
                <w:szCs w:val="18"/>
              </w:rPr>
            </w:pPr>
            <w:r>
              <w:rPr>
                <w:rFonts w:ascii="宋体" w:hAnsi="宋体" w:cs="宋体" w:eastAsia="宋体" w:hint="default"/>
                <w:sz w:val="18"/>
                <w:szCs w:val="18"/>
              </w:rPr>
              <w:t>高管锁定、限制 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408" w:right="47" w:hanging="361"/>
              <w:jc w:val="left"/>
              <w:rPr>
                <w:rFonts w:ascii="宋体" w:hAnsi="宋体" w:cs="宋体" w:eastAsia="宋体" w:hint="default"/>
                <w:sz w:val="18"/>
                <w:szCs w:val="18"/>
              </w:rPr>
            </w:pPr>
            <w:r>
              <w:rPr>
                <w:rFonts w:ascii="宋体" w:hAnsi="宋体" w:cs="宋体" w:eastAsia="宋体" w:hint="default"/>
                <w:sz w:val="18"/>
                <w:szCs w:val="18"/>
              </w:rPr>
              <w:t>高管锁定、限制 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丁彦超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108,000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105,600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2"/>
                <w:sz w:val="18"/>
              </w:rPr>
              <w:t>211,200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翟一兵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300,600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300,600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76,266,195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76,266,195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98" w:right="47" w:hanging="451"/>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6"/>
              <w:ind w:left="22" w:right="23"/>
              <w:jc w:val="center"/>
              <w:rPr>
                <w:rFonts w:ascii="宋体" w:hAnsi="宋体" w:cs="宋体" w:eastAsia="宋体" w:hint="default"/>
                <w:sz w:val="18"/>
                <w:szCs w:val="18"/>
              </w:rPr>
            </w:pPr>
            <w:r>
              <w:rPr>
                <w:rFonts w:ascii="宋体" w:hAnsi="宋体" w:cs="宋体" w:eastAsia="宋体" w:hint="default"/>
                <w:sz w:val="18"/>
                <w:szCs w:val="18"/>
              </w:rPr>
              <w:t>自发行结束之日 起每</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个月分别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40%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w:t>
            </w:r>
            <w:r>
              <w:rPr>
                <w:rFonts w:ascii="宋体" w:hAnsi="宋体" w:cs="宋体" w:eastAsia="宋体" w:hint="default"/>
                <w:spacing w:val="-8"/>
                <w:sz w:val="18"/>
                <w:szCs w:val="18"/>
              </w:rPr>
              <w:t>的比例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李章晶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4,122,497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4,122,497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498" w:right="47" w:hanging="451"/>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75"/>
              <w:jc w:val="left"/>
              <w:rPr>
                <w:rFonts w:ascii="宋体" w:hAnsi="宋体" w:cs="宋体" w:eastAsia="宋体" w:hint="default"/>
                <w:sz w:val="18"/>
                <w:szCs w:val="18"/>
              </w:rPr>
            </w:pPr>
            <w:r>
              <w:rPr>
                <w:rFonts w:ascii="宋体" w:hAnsi="宋体" w:cs="宋体" w:eastAsia="宋体" w:hint="default"/>
                <w:sz w:val="18"/>
                <w:szCs w:val="18"/>
              </w:rPr>
              <w:t>天津骆壳科技信 息咨询合伙企业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12,367,491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12,367,491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98" w:right="47" w:hanging="451"/>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股权激励对象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5,020,480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2,442,976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4,751,424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7,328,928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限制性股票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261,026,305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6,862,361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343,463,551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597,627,495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7"/>
          <w:szCs w:val="17"/>
        </w:rPr>
      </w:pPr>
    </w:p>
    <w:p>
      <w:pPr>
        <w:pStyle w:val="Heading2"/>
        <w:spacing w:line="240" w:lineRule="auto" w:before="26"/>
        <w:ind w:left="114" w:right="209"/>
        <w:jc w:val="left"/>
        <w:rPr>
          <w:b w:val="0"/>
          <w:bCs w:val="0"/>
        </w:rPr>
      </w:pPr>
      <w:bookmarkStart w:name="二、证券发行与上市情况" w:id="76"/>
      <w:bookmarkEnd w:id="7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209"/>
        <w:jc w:val="left"/>
        <w:rPr>
          <w:b w:val="0"/>
          <w:bCs w:val="0"/>
        </w:rPr>
      </w:pPr>
      <w:bookmarkStart w:name="1、报告期内证券发行情况" w:id="77"/>
      <w:bookmarkEnd w:id="77"/>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1125"/>
        <w:gridCol w:w="1367"/>
        <w:gridCol w:w="1477"/>
        <w:gridCol w:w="1258"/>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6" w:right="22" w:hanging="264"/>
              <w:jc w:val="left"/>
              <w:rPr>
                <w:rFonts w:ascii="宋体" w:hAnsi="宋体" w:cs="宋体" w:eastAsia="宋体" w:hint="default"/>
                <w:sz w:val="18"/>
                <w:szCs w:val="18"/>
              </w:rPr>
            </w:pPr>
            <w:r>
              <w:rPr>
                <w:rFonts w:ascii="宋体" w:hAnsi="宋体" w:cs="宋体" w:eastAsia="宋体" w:hint="default"/>
                <w:spacing w:val="-3"/>
                <w:sz w:val="18"/>
                <w:szCs w:val="18"/>
              </w:rPr>
              <w:t>发行价格（或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4" w:right="83"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92,756,183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92,756,183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Heading4"/>
        <w:spacing w:line="240" w:lineRule="auto" w:before="52"/>
        <w:ind w:left="114" w:right="209"/>
        <w:jc w:val="left"/>
        <w:rPr>
          <w:b w:val="0"/>
          <w:bCs w:val="0"/>
        </w:rPr>
      </w:pPr>
      <w:r>
        <w:rPr/>
        <w:t>证券发行情况的说明</w:t>
      </w:r>
      <w:r>
        <w:rPr>
          <w:b w:val="0"/>
          <w:bCs w:val="0"/>
        </w:rPr>
      </w:r>
    </w:p>
    <w:p>
      <w:pPr>
        <w:spacing w:after="0" w:line="240" w:lineRule="auto"/>
        <w:jc w:val="left"/>
        <w:sectPr>
          <w:pgSz w:w="11910" w:h="16840"/>
          <w:pgMar w:header="851" w:footer="1226" w:top="1420" w:bottom="1420" w:left="1020" w:right="102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191" w:firstLine="360"/>
        <w:jc w:val="both"/>
      </w:pPr>
      <w:r>
        <w:rPr/>
        <w:t>中国证券监督管理委员会于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日签发了《关于核准北京神州泰岳股份有限公司向李毅等发行股份购买资产</w:t>
      </w:r>
      <w:r>
        <w:rPr/>
        <w:t> </w:t>
      </w:r>
      <w:r>
        <w:rPr>
          <w:spacing w:val="-5"/>
        </w:rPr>
        <w:t>的批复》（证监许可</w:t>
      </w:r>
      <w:r>
        <w:rPr>
          <w:rFonts w:ascii="Times New Roman" w:hAnsi="Times New Roman" w:cs="Times New Roman" w:eastAsia="Times New Roman" w:hint="default"/>
          <w:spacing w:val="-5"/>
        </w:rPr>
        <w:t>[2014]341</w:t>
      </w:r>
      <w:r>
        <w:rPr>
          <w:rFonts w:ascii="Times New Roman" w:hAnsi="Times New Roman" w:cs="Times New Roman" w:eastAsia="Times New Roman" w:hint="default"/>
          <w:spacing w:val="8"/>
        </w:rPr>
        <w:t> </w:t>
      </w:r>
      <w:r>
        <w:rPr>
          <w:spacing w:val="-2"/>
          <w:w w:val="100"/>
        </w:rPr>
        <w:t>号），核准了北京神州泰岳软件股份有限公司（以下简称</w:t>
      </w:r>
      <w:r>
        <w:rPr>
          <w:rFonts w:ascii="Times New Roman" w:hAnsi="Times New Roman" w:cs="Times New Roman" w:eastAsia="Times New Roman" w:hint="default"/>
          <w:spacing w:val="-2"/>
          <w:w w:val="100"/>
        </w:rPr>
        <w:t>“</w:t>
      </w:r>
      <w:r>
        <w:rPr>
          <w:spacing w:val="-2"/>
          <w:w w:val="100"/>
        </w:rPr>
        <w:t>公司</w:t>
      </w:r>
      <w:r>
        <w:rPr>
          <w:rFonts w:ascii="Times New Roman" w:hAnsi="Times New Roman" w:cs="Times New Roman" w:eastAsia="Times New Roman" w:hint="default"/>
          <w:spacing w:val="-2"/>
          <w:w w:val="100"/>
        </w:rPr>
        <w:t>”</w:t>
      </w:r>
      <w:r>
        <w:rPr>
          <w:spacing w:val="-2"/>
          <w:w w:val="100"/>
        </w:rPr>
        <w:t>、</w:t>
      </w:r>
      <w:r>
        <w:rPr>
          <w:rFonts w:ascii="Times New Roman" w:hAnsi="Times New Roman" w:cs="Times New Roman" w:eastAsia="Times New Roman" w:hint="default"/>
          <w:spacing w:val="-2"/>
          <w:w w:val="100"/>
        </w:rPr>
        <w:t>“</w:t>
      </w:r>
      <w:r>
        <w:rPr>
          <w:spacing w:val="-2"/>
          <w:w w:val="100"/>
        </w:rPr>
        <w:t>神州泰岳</w:t>
      </w:r>
      <w:r>
        <w:rPr>
          <w:rFonts w:ascii="Times New Roman" w:hAnsi="Times New Roman" w:cs="Times New Roman" w:eastAsia="Times New Roman" w:hint="default"/>
          <w:spacing w:val="-2"/>
          <w:w w:val="100"/>
        </w:rPr>
        <w:t>”</w:t>
      </w:r>
      <w:r>
        <w:rPr>
          <w:spacing w:val="-2"/>
          <w:w w:val="100"/>
        </w:rPr>
        <w:t>）发行股份及支</w:t>
      </w:r>
      <w:r>
        <w:rPr/>
        <w:t> 付现金购买天津壳木软件有限责任公司（以下简称</w:t>
      </w:r>
      <w:r>
        <w:rPr>
          <w:rFonts w:ascii="Times New Roman" w:hAnsi="Times New Roman" w:cs="Times New Roman" w:eastAsia="Times New Roman" w:hint="default"/>
        </w:rPr>
        <w:t>“</w:t>
      </w:r>
      <w:r>
        <w:rPr/>
        <w:t>天津壳木</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股权（以下简称</w:t>
      </w:r>
      <w:r>
        <w:rPr>
          <w:rFonts w:ascii="Times New Roman" w:hAnsi="Times New Roman" w:cs="Times New Roman" w:eastAsia="Times New Roman" w:hint="default"/>
        </w:rPr>
        <w:t>“</w:t>
      </w:r>
      <w:r>
        <w:rPr/>
        <w:t>本次交易</w:t>
      </w:r>
      <w:r>
        <w:rPr>
          <w:rFonts w:ascii="Times New Roman" w:hAnsi="Times New Roman" w:cs="Times New Roman" w:eastAsia="Times New Roman" w:hint="default"/>
        </w:rPr>
        <w:t>”</w:t>
      </w:r>
      <w:r>
        <w:rPr/>
        <w:t>）的方案。</w:t>
      </w:r>
    </w:p>
    <w:p>
      <w:pPr>
        <w:pStyle w:val="BodyText"/>
        <w:spacing w:line="451" w:lineRule="auto" w:before="44"/>
        <w:ind w:right="91" w:firstLine="360"/>
        <w:jc w:val="left"/>
      </w:pPr>
      <w:r>
        <w:rPr/>
        <w:t>天津壳木依法对本次发行股份及支付现金购买资产过户事宜履行了工商变更登记手续，并于</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3 </w:t>
      </w:r>
      <w:r>
        <w:rPr/>
        <w:t>日领取了天 津市滨海新区工商行政管理局核发的营业执照。天津壳木</w:t>
      </w:r>
      <w:r>
        <w:rPr>
          <w:spacing w:val="32"/>
        </w:rPr>
        <w:t> </w:t>
      </w:r>
      <w:r>
        <w:rPr>
          <w:rFonts w:ascii="Times New Roman" w:hAnsi="Times New Roman" w:cs="Times New Roman" w:eastAsia="Times New Roman" w:hint="default"/>
        </w:rPr>
        <w:t>100%</w:t>
      </w:r>
      <w:r>
        <w:rPr/>
        <w:t>股权的过户手续已全部办理完成，天津壳木的股东由李毅、</w:t>
      </w:r>
      <w:r>
        <w:rPr>
          <w:spacing w:val="-87"/>
        </w:rPr>
        <w:t> </w:t>
      </w:r>
      <w:r>
        <w:rPr>
          <w:spacing w:val="-87"/>
        </w:rPr>
      </w:r>
      <w:r>
        <w:rPr>
          <w:spacing w:val="-5"/>
          <w:w w:val="100"/>
        </w:rPr>
        <w:t>天津骆壳科技信息咨询合伙企业（有限合伙）（以下简称</w:t>
      </w:r>
      <w:r>
        <w:rPr>
          <w:rFonts w:ascii="Times New Roman" w:hAnsi="Times New Roman" w:cs="Times New Roman" w:eastAsia="Times New Roman" w:hint="default"/>
          <w:spacing w:val="-5"/>
          <w:w w:val="100"/>
        </w:rPr>
        <w:t>“</w:t>
      </w:r>
      <w:r>
        <w:rPr>
          <w:spacing w:val="-5"/>
          <w:w w:val="100"/>
        </w:rPr>
        <w:t>天津骆壳</w:t>
      </w:r>
      <w:r>
        <w:rPr>
          <w:rFonts w:ascii="Times New Roman" w:hAnsi="Times New Roman" w:cs="Times New Roman" w:eastAsia="Times New Roman" w:hint="default"/>
          <w:spacing w:val="-5"/>
          <w:w w:val="100"/>
        </w:rPr>
        <w:t>”</w:t>
      </w:r>
      <w:r>
        <w:rPr>
          <w:spacing w:val="-5"/>
          <w:w w:val="100"/>
        </w:rPr>
        <w:t>）、高宇扬、戴志康和李章晶变更为神州泰岳，神州泰岳</w:t>
      </w:r>
      <w:r>
        <w:rPr>
          <w:spacing w:val="-56"/>
          <w:w w:val="100"/>
        </w:rPr>
        <w:t> </w:t>
      </w:r>
      <w:r>
        <w:rPr>
          <w:spacing w:val="-56"/>
          <w:w w:val="100"/>
        </w:rPr>
      </w:r>
      <w:r>
        <w:rPr/>
        <w:t>已持有天津壳木</w:t>
      </w:r>
      <w:r>
        <w:rPr>
          <w:spacing w:val="-46"/>
        </w:rPr>
        <w:t> </w:t>
      </w:r>
      <w:r>
        <w:rPr>
          <w:rFonts w:ascii="Times New Roman" w:hAnsi="Times New Roman" w:cs="Times New Roman" w:eastAsia="Times New Roman" w:hint="default"/>
        </w:rPr>
        <w:t>100%</w:t>
      </w:r>
      <w:r>
        <w:rPr/>
        <w:t>的股权。</w:t>
      </w:r>
    </w:p>
    <w:p>
      <w:pPr>
        <w:pStyle w:val="BodyText"/>
        <w:spacing w:line="240" w:lineRule="auto" w:before="43"/>
        <w:ind w:left="514" w:right="9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日，公司完成向李毅、天津骆壳和李章晶发行的</w:t>
      </w:r>
      <w:r>
        <w:rPr>
          <w:spacing w:val="-52"/>
        </w:rPr>
        <w:t> </w:t>
      </w:r>
      <w:r>
        <w:rPr>
          <w:rFonts w:ascii="Times New Roman" w:hAnsi="Times New Roman" w:cs="Times New Roman" w:eastAsia="Times New Roman" w:hint="default"/>
        </w:rPr>
        <w:t>92,756,183</w:t>
      </w:r>
      <w:r>
        <w:rPr>
          <w:rFonts w:ascii="Times New Roman" w:hAnsi="Times New Roman" w:cs="Times New Roman" w:eastAsia="Times New Roman" w:hint="default"/>
          <w:spacing w:val="-7"/>
        </w:rPr>
        <w:t> </w:t>
      </w:r>
      <w:r>
        <w:rPr/>
        <w:t>股股份登记申请工作，并收到中国证券登记</w:t>
      </w:r>
    </w:p>
    <w:p>
      <w:pPr>
        <w:spacing w:line="240" w:lineRule="auto" w:before="9"/>
        <w:rPr>
          <w:rFonts w:ascii="宋体" w:hAnsi="宋体" w:cs="宋体" w:eastAsia="宋体" w:hint="default"/>
          <w:sz w:val="16"/>
          <w:szCs w:val="16"/>
        </w:rPr>
      </w:pPr>
    </w:p>
    <w:p>
      <w:pPr>
        <w:pStyle w:val="BodyText"/>
        <w:spacing w:line="451" w:lineRule="auto"/>
        <w:ind w:right="176"/>
        <w:jc w:val="left"/>
      </w:pPr>
      <w:r>
        <w:rPr/>
        <w:t>结算有限责任公司深圳分公司出具的《股份登记申请受理确认书</w:t>
      </w:r>
      <w:r>
        <w:rPr>
          <w:spacing w:val="-90"/>
        </w:rPr>
        <w:t>》</w:t>
      </w:r>
      <w:r>
        <w:rPr/>
        <w:t>，确认公司本次非公开发行新股数量为</w:t>
      </w:r>
      <w:r>
        <w:rPr>
          <w:spacing w:val="-40"/>
        </w:rPr>
        <w:t> </w:t>
      </w:r>
      <w:r>
        <w:rPr>
          <w:rFonts w:ascii="Times New Roman" w:hAnsi="Times New Roman" w:cs="Times New Roman" w:eastAsia="Times New Roman" w:hint="default"/>
        </w:rPr>
        <w:t>92,756,</w:t>
      </w:r>
      <w:r>
        <w:rPr>
          <w:rFonts w:ascii="Times New Roman" w:hAnsi="Times New Roman" w:cs="Times New Roman" w:eastAsia="Times New Roman" w:hint="default"/>
          <w:spacing w:val="-2"/>
        </w:rPr>
        <w:t>1</w:t>
      </w:r>
      <w:r>
        <w:rPr>
          <w:rFonts w:ascii="Times New Roman" w:hAnsi="Times New Roman" w:cs="Times New Roman" w:eastAsia="Times New Roman" w:hint="default"/>
        </w:rPr>
        <w:t>83</w:t>
      </w:r>
      <w:r>
        <w:rPr>
          <w:rFonts w:ascii="Times New Roman" w:hAnsi="Times New Roman" w:cs="Times New Roman" w:eastAsia="Times New Roman" w:hint="default"/>
          <w:spacing w:val="4"/>
        </w:rPr>
        <w:t> </w:t>
      </w:r>
      <w:r>
        <w:rPr/>
        <w:t>股（有 限售条件的流通股</w:t>
      </w:r>
      <w:r>
        <w:rPr>
          <w:spacing w:val="-90"/>
        </w:rPr>
        <w:t>）</w:t>
      </w:r>
      <w:r>
        <w:rPr/>
        <w:t>。本次新增股份于该批股份上市日的前一交易日日终登记到账，并正式列入上市公司的股东名册。</w:t>
      </w:r>
    </w:p>
    <w:p>
      <w:pPr>
        <w:pStyle w:val="BodyText"/>
        <w:spacing w:line="240" w:lineRule="auto" w:before="74"/>
        <w:ind w:left="513" w:right="93"/>
        <w:jc w:val="left"/>
        <w:rPr>
          <w:rFonts w:ascii="Times New Roman" w:hAnsi="Times New Roman" w:cs="Times New Roman" w:eastAsia="Times New Roman" w:hint="default"/>
        </w:rPr>
      </w:pPr>
      <w:r>
        <w:rPr>
          <w:spacing w:val="-4"/>
        </w:rPr>
        <w:t>本次交易中，李毅、李章晶和天津骆壳分别取得神州泰岳本次发行的股份数量为 </w:t>
      </w:r>
      <w:r>
        <w:rPr>
          <w:rFonts w:ascii="Times New Roman" w:hAnsi="Times New Roman" w:cs="Times New Roman" w:eastAsia="Times New Roman" w:hint="default"/>
        </w:rPr>
        <w:t>76,266,195 </w:t>
      </w:r>
      <w:r>
        <w:rPr>
          <w:spacing w:val="-6"/>
        </w:rPr>
        <w:t>股、</w:t>
      </w:r>
      <w:r>
        <w:rPr>
          <w:rFonts w:ascii="Times New Roman" w:hAnsi="Times New Roman" w:cs="Times New Roman" w:eastAsia="Times New Roman" w:hint="default"/>
          <w:spacing w:val="-6"/>
        </w:rPr>
        <w:t>4,122,497 </w:t>
      </w:r>
      <w:r>
        <w:rPr/>
        <w:t>股和</w:t>
      </w:r>
      <w:r>
        <w:rPr>
          <w:spacing w:val="-52"/>
        </w:rPr>
        <w:t> </w:t>
      </w:r>
      <w:r>
        <w:rPr>
          <w:rFonts w:ascii="Times New Roman" w:hAnsi="Times New Roman" w:cs="Times New Roman" w:eastAsia="Times New Roman" w:hint="default"/>
        </w:rPr>
        <w:t>6,094,022</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4" w:right="93"/>
        <w:jc w:val="left"/>
      </w:pPr>
      <w:r>
        <w:rPr/>
        <w:t>股，上市日为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93"/>
        <w:jc w:val="left"/>
        <w:rPr>
          <w:b w:val="0"/>
          <w:bCs w:val="0"/>
        </w:rPr>
      </w:pPr>
      <w:bookmarkStart w:name="2、公司股份总数及股东结构的变动、公司资产和负债结构的变动情况说明" w:id="78"/>
      <w:bookmarkEnd w:id="7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BodyText"/>
        <w:spacing w:line="240" w:lineRule="auto"/>
        <w:ind w:left="514" w:right="93"/>
        <w:jc w:val="left"/>
      </w:pPr>
      <w:r>
        <w:rPr>
          <w:rFonts w:ascii="Times New Roman" w:hAnsi="Times New Roman" w:cs="Times New Roman" w:eastAsia="Times New Roman" w:hint="default"/>
        </w:rPr>
        <w:t>1</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615,216,384</w:t>
      </w:r>
      <w:r>
        <w:rPr/>
        <w:t>股；</w:t>
      </w:r>
    </w:p>
    <w:p>
      <w:pPr>
        <w:spacing w:line="240" w:lineRule="auto" w:before="9"/>
        <w:rPr>
          <w:rFonts w:ascii="宋体" w:hAnsi="宋体" w:cs="宋体" w:eastAsia="宋体" w:hint="default"/>
          <w:sz w:val="16"/>
          <w:szCs w:val="16"/>
        </w:rPr>
      </w:pPr>
    </w:p>
    <w:p>
      <w:pPr>
        <w:pStyle w:val="BodyText"/>
        <w:spacing w:line="240" w:lineRule="auto"/>
        <w:ind w:left="513" w:right="93"/>
        <w:jc w:val="left"/>
      </w:pPr>
      <w:r>
        <w:rPr>
          <w:rFonts w:ascii="Times New Roman" w:hAnsi="Times New Roman" w:cs="Times New Roman" w:eastAsia="Times New Roman" w:hint="default"/>
        </w:rPr>
        <w:t>2</w:t>
      </w:r>
      <w:r>
        <w:rPr/>
        <w:t>、报告期内，公司发行股份及支付现金购买资产，新增</w:t>
      </w:r>
      <w:r>
        <w:rPr>
          <w:rFonts w:ascii="Times New Roman" w:hAnsi="Times New Roman" w:cs="Times New Roman" w:eastAsia="Times New Roman" w:hint="default"/>
        </w:rPr>
        <w:t>92,756,183</w:t>
      </w:r>
      <w:r>
        <w:rPr/>
        <w:t>股；</w:t>
      </w:r>
    </w:p>
    <w:p>
      <w:pPr>
        <w:spacing w:line="240" w:lineRule="auto" w:before="9"/>
        <w:rPr>
          <w:rFonts w:ascii="宋体" w:hAnsi="宋体" w:cs="宋体" w:eastAsia="宋体" w:hint="default"/>
          <w:sz w:val="16"/>
          <w:szCs w:val="16"/>
        </w:rPr>
      </w:pPr>
    </w:p>
    <w:p>
      <w:pPr>
        <w:pStyle w:val="BodyText"/>
        <w:spacing w:line="240" w:lineRule="auto"/>
        <w:ind w:left="513" w:right="93"/>
        <w:jc w:val="left"/>
      </w:pPr>
      <w:r>
        <w:rPr>
          <w:rFonts w:ascii="Times New Roman" w:hAnsi="Times New Roman" w:cs="Times New Roman" w:eastAsia="Times New Roman" w:hint="default"/>
        </w:rPr>
        <w:t>3</w:t>
      </w:r>
      <w:r>
        <w:rPr/>
        <w:t>、报告期内，因自主行权新增股份</w:t>
      </w:r>
      <w:r>
        <w:rPr>
          <w:rFonts w:ascii="Times New Roman" w:hAnsi="Times New Roman" w:cs="Times New Roman" w:eastAsia="Times New Roman" w:hint="default"/>
        </w:rPr>
        <w:t>4,936,680</w:t>
      </w:r>
      <w:r>
        <w:rPr/>
        <w:t>股；</w:t>
      </w:r>
    </w:p>
    <w:p>
      <w:pPr>
        <w:spacing w:line="240" w:lineRule="auto" w:before="9"/>
        <w:rPr>
          <w:rFonts w:ascii="宋体" w:hAnsi="宋体" w:cs="宋体" w:eastAsia="宋体" w:hint="default"/>
          <w:sz w:val="16"/>
          <w:szCs w:val="16"/>
        </w:rPr>
      </w:pPr>
    </w:p>
    <w:p>
      <w:pPr>
        <w:pStyle w:val="BodyText"/>
        <w:spacing w:line="451" w:lineRule="auto"/>
        <w:ind w:left="513" w:right="1473"/>
        <w:jc w:val="left"/>
      </w:pPr>
      <w:r>
        <w:rPr>
          <w:rFonts w:ascii="Times New Roman" w:hAnsi="Times New Roman" w:cs="Times New Roman" w:eastAsia="Times New Roman" w:hint="default"/>
        </w:rPr>
        <w:t>4</w:t>
      </w:r>
      <w:r>
        <w:rPr/>
        <w:t>、报告期内，公司回购注销已离职股权激励对象所持有的限制性股票</w:t>
      </w:r>
      <w:r>
        <w:rPr>
          <w:rFonts w:ascii="Times New Roman" w:hAnsi="Times New Roman" w:cs="Times New Roman" w:eastAsia="Times New Roman" w:hint="default"/>
        </w:rPr>
        <w:t>269,056</w:t>
      </w:r>
      <w:r>
        <w:rPr/>
        <w:t>股； 上述股份变动后，公司股份总数由年初的</w:t>
      </w:r>
      <w:r>
        <w:rPr>
          <w:rFonts w:ascii="Times New Roman" w:hAnsi="Times New Roman" w:cs="Times New Roman" w:eastAsia="Times New Roman" w:hint="default"/>
        </w:rPr>
        <w:t>614,841,344</w:t>
      </w:r>
      <w:r>
        <w:rPr/>
        <w:t>股变更至</w:t>
      </w:r>
      <w:r>
        <w:rPr>
          <w:rFonts w:ascii="Times New Roman" w:hAnsi="Times New Roman" w:cs="Times New Roman" w:eastAsia="Times New Roman" w:hint="default"/>
        </w:rPr>
        <w:t>1,327,481,535</w:t>
      </w:r>
      <w:r>
        <w:rPr/>
        <w:t>股，变动幅度为</w:t>
      </w:r>
      <w:r>
        <w:rPr>
          <w:rFonts w:ascii="Times New Roman" w:hAnsi="Times New Roman" w:cs="Times New Roman" w:eastAsia="Times New Roman" w:hint="default"/>
        </w:rPr>
        <w:t>115.91%</w:t>
      </w:r>
      <w:r>
        <w:rPr/>
        <w:t>。</w:t>
      </w:r>
    </w:p>
    <w:p>
      <w:pPr>
        <w:spacing w:line="240" w:lineRule="auto" w:before="9"/>
        <w:rPr>
          <w:rFonts w:ascii="宋体" w:hAnsi="宋体" w:cs="宋体" w:eastAsia="宋体" w:hint="default"/>
          <w:sz w:val="16"/>
          <w:szCs w:val="16"/>
        </w:rPr>
      </w:pPr>
    </w:p>
    <w:p>
      <w:pPr>
        <w:pStyle w:val="Heading2"/>
        <w:spacing w:line="240" w:lineRule="auto"/>
        <w:ind w:left="153" w:right="93"/>
        <w:jc w:val="left"/>
        <w:rPr>
          <w:b w:val="0"/>
          <w:bCs w:val="0"/>
        </w:rPr>
      </w:pPr>
      <w:bookmarkStart w:name="三、股东和实际控制人情况" w:id="79"/>
      <w:bookmarkEnd w:id="7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公司股东数量及持股情况" w:id="80"/>
      <w:bookmarkEnd w:id="8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212"/>
        <w:gridCol w:w="640"/>
        <w:gridCol w:w="1101"/>
        <w:gridCol w:w="1167"/>
        <w:gridCol w:w="1134"/>
        <w:gridCol w:w="992"/>
        <w:gridCol w:w="290"/>
        <w:gridCol w:w="561"/>
        <w:gridCol w:w="1062"/>
      </w:tblGrid>
      <w:tr>
        <w:trPr>
          <w:trHeight w:val="408" w:hRule="exact"/>
        </w:trPr>
        <w:tc>
          <w:tcPr>
            <w:tcW w:w="26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z w:val="18"/>
              </w:rPr>
              <w:t>37,612</w:t>
            </w:r>
          </w:p>
        </w:tc>
        <w:tc>
          <w:tcPr>
            <w:tcW w:w="35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31,615</w:t>
            </w:r>
          </w:p>
        </w:tc>
      </w:tr>
      <w:tr>
        <w:trPr>
          <w:trHeight w:val="39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
        </w:tc>
        <w:tc>
          <w:tcPr>
            <w:tcW w:w="1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1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1" w:right="7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4"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0" w:hRule="exact"/>
        </w:trPr>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10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000000"/>
            </w:tcBorders>
            <w:shd w:val="clear" w:color="auto" w:fill="D2D2D2"/>
          </w:tcPr>
          <w:p>
            <w:pPr/>
          </w:p>
        </w:tc>
        <w:tc>
          <w:tcPr>
            <w:tcW w:w="110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5" w:right="0"/>
              <w:jc w:val="left"/>
              <w:rPr>
                <w:rFonts w:ascii="Times New Roman" w:hAnsi="Times New Roman" w:cs="Times New Roman" w:eastAsia="Times New Roman" w:hint="default"/>
                <w:sz w:val="18"/>
                <w:szCs w:val="18"/>
              </w:rPr>
            </w:pPr>
            <w:r>
              <w:rPr>
                <w:rFonts w:ascii="Times New Roman"/>
                <w:sz w:val="18"/>
              </w:rPr>
              <w:t>12.73%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169,052,698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84,526,349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12,678,952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42,263,174</w:t>
            </w:r>
          </w:p>
        </w:tc>
        <w:tc>
          <w:tcPr>
            <w:tcW w:w="85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219" w:right="0"/>
              <w:jc w:val="left"/>
              <w:rPr>
                <w:rFonts w:ascii="Times New Roman" w:hAnsi="Times New Roman" w:cs="Times New Roman" w:eastAsia="Times New Roman" w:hint="default"/>
                <w:sz w:val="18"/>
                <w:szCs w:val="18"/>
              </w:rPr>
            </w:pPr>
            <w:r>
              <w:rPr>
                <w:rFonts w:ascii="Times New Roman"/>
                <w:sz w:val="18"/>
              </w:rPr>
              <w:t>41,000,000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Times New Roman" w:hAnsi="Times New Roman" w:cs="Times New Roman" w:eastAsia="Times New Roman" w:hint="default"/>
                <w:sz w:val="18"/>
                <w:szCs w:val="18"/>
              </w:rPr>
            </w:pPr>
            <w:r>
              <w:rPr>
                <w:rFonts w:ascii="Times New Roman"/>
                <w:sz w:val="18"/>
              </w:rPr>
              <w:t>6.37%</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84,526,350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42,263,175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63,394,762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21,131,588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980" w:right="940"/>
        </w:sectPr>
      </w:pPr>
    </w:p>
    <w:tbl>
      <w:tblPr>
        <w:tblW w:w="0" w:type="auto"/>
        <w:jc w:val="left"/>
        <w:tblInd w:w="109" w:type="dxa"/>
        <w:tblLayout w:type="fixed"/>
        <w:tblCellMar>
          <w:top w:w="0" w:type="dxa"/>
          <w:left w:w="0" w:type="dxa"/>
          <w:bottom w:w="0" w:type="dxa"/>
          <w:right w:w="0" w:type="dxa"/>
        </w:tblCellMar>
        <w:tblLook w:val="01E0"/>
      </w:tblPr>
      <w:tblGrid>
        <w:gridCol w:w="1134"/>
        <w:gridCol w:w="1276"/>
        <w:gridCol w:w="223"/>
        <w:gridCol w:w="629"/>
        <w:gridCol w:w="1134"/>
        <w:gridCol w:w="1134"/>
        <w:gridCol w:w="1134"/>
        <w:gridCol w:w="132"/>
        <w:gridCol w:w="860"/>
        <w:gridCol w:w="528"/>
        <w:gridCol w:w="323"/>
        <w:gridCol w:w="1062"/>
      </w:tblGrid>
      <w:tr>
        <w:trPr>
          <w:trHeight w:val="414" w:hRule="exact"/>
        </w:trPr>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安梅</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6.37%</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84,526,348</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42,263,174</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63,394,760</w:t>
            </w:r>
          </w:p>
        </w:tc>
        <w:tc>
          <w:tcPr>
            <w:tcW w:w="992"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21,131,588</w:t>
            </w:r>
          </w:p>
        </w:tc>
        <w:tc>
          <w:tcPr>
            <w:tcW w:w="851" w:type="dxa"/>
            <w:gridSpan w:val="2"/>
            <w:tcBorders>
              <w:top w:val="single" w:sz="10" w:space="0" w:color="000000"/>
              <w:left w:val="single" w:sz="4" w:space="0" w:color="000000"/>
              <w:bottom w:val="single" w:sz="4" w:space="0" w:color="000000"/>
              <w:right w:val="single" w:sz="4" w:space="0" w:color="000000"/>
            </w:tcBorders>
          </w:tcPr>
          <w:p>
            <w:pPr/>
          </w:p>
        </w:tc>
        <w:tc>
          <w:tcPr>
            <w:tcW w:w="1062"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78,561,248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34,280,624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66,420,934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Times New Roman" w:hAnsi="Times New Roman" w:cs="Times New Roman" w:eastAsia="Times New Roman" w:hint="default"/>
                <w:sz w:val="18"/>
                <w:szCs w:val="18"/>
              </w:rPr>
            </w:pPr>
            <w:r>
              <w:rPr>
                <w:rFonts w:ascii="Times New Roman"/>
                <w:sz w:val="18"/>
              </w:rPr>
              <w:t>12,140,314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5.75%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76,266,195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76,266,195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76,266,195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5.66%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75,086,962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37,915,321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56,315,222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Times New Roman" w:hAnsi="Times New Roman" w:cs="Times New Roman" w:eastAsia="Times New Roman" w:hint="default"/>
                <w:sz w:val="18"/>
                <w:szCs w:val="18"/>
              </w:rPr>
            </w:pPr>
            <w:r>
              <w:rPr>
                <w:rFonts w:ascii="Times New Roman"/>
                <w:sz w:val="18"/>
              </w:rPr>
              <w:t>18,771,740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49,000,000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4.68%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62,168,718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31,404,359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8" w:right="0"/>
              <w:jc w:val="left"/>
              <w:rPr>
                <w:rFonts w:ascii="Times New Roman" w:hAnsi="Times New Roman" w:cs="Times New Roman" w:eastAsia="Times New Roman" w:hint="default"/>
                <w:sz w:val="18"/>
                <w:szCs w:val="18"/>
              </w:rPr>
            </w:pPr>
            <w:r>
              <w:rPr>
                <w:rFonts w:ascii="Times New Roman"/>
                <w:sz w:val="18"/>
              </w:rPr>
              <w:t>62,168,718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3.83%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50,783,210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21,871,605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43,607,408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8" w:right="0"/>
              <w:jc w:val="left"/>
              <w:rPr>
                <w:rFonts w:ascii="Times New Roman" w:hAnsi="Times New Roman" w:cs="Times New Roman" w:eastAsia="Times New Roman" w:hint="default"/>
                <w:sz w:val="18"/>
                <w:szCs w:val="18"/>
              </w:rPr>
            </w:pPr>
            <w:r>
              <w:rPr>
                <w:rFonts w:ascii="Times New Roman"/>
                <w:sz w:val="18"/>
              </w:rPr>
              <w:t>7,175,802</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39,747,968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19,873,984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29,810,976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8" w:right="0"/>
              <w:jc w:val="left"/>
              <w:rPr>
                <w:rFonts w:ascii="Times New Roman" w:hAnsi="Times New Roman" w:cs="Times New Roman" w:eastAsia="Times New Roman" w:hint="default"/>
                <w:sz w:val="18"/>
                <w:szCs w:val="18"/>
              </w:rPr>
            </w:pPr>
            <w:r>
              <w:rPr>
                <w:rFonts w:ascii="Times New Roman"/>
                <w:sz w:val="18"/>
              </w:rPr>
              <w:t>9,936,992</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6,600,000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0"/>
              <w:jc w:val="left"/>
              <w:rPr>
                <w:rFonts w:ascii="Times New Roman" w:hAnsi="Times New Roman" w:cs="Times New Roman" w:eastAsia="Times New Roman" w:hint="default"/>
                <w:sz w:val="18"/>
                <w:szCs w:val="18"/>
              </w:rPr>
            </w:pPr>
            <w:r>
              <w:rPr>
                <w:rFonts w:ascii="Times New Roman"/>
                <w:sz w:val="18"/>
              </w:rPr>
              <w:t>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28,490,182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11,395,091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25,642,636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8" w:right="0"/>
              <w:jc w:val="left"/>
              <w:rPr>
                <w:rFonts w:ascii="Times New Roman" w:hAnsi="Times New Roman" w:cs="Times New Roman" w:eastAsia="Times New Roman" w:hint="default"/>
                <w:sz w:val="18"/>
                <w:szCs w:val="18"/>
              </w:rPr>
            </w:pPr>
            <w:r>
              <w:rPr>
                <w:rFonts w:ascii="Times New Roman"/>
                <w:sz w:val="18"/>
              </w:rPr>
              <w:t>2,847,546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tc>
        <w:tc>
          <w:tcPr>
            <w:tcW w:w="715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自然人王宁先生、李力先生为一致行动人，系本公司的实际控制人。</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3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3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3"/>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62,168,718</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1" w:right="0"/>
              <w:jc w:val="left"/>
              <w:rPr>
                <w:rFonts w:ascii="Times New Roman" w:hAnsi="Times New Roman" w:cs="Times New Roman" w:eastAsia="Times New Roman" w:hint="default"/>
                <w:sz w:val="18"/>
                <w:szCs w:val="18"/>
              </w:rPr>
            </w:pPr>
            <w:r>
              <w:rPr>
                <w:rFonts w:ascii="Times New Roman"/>
                <w:sz w:val="18"/>
              </w:rPr>
              <w:t>62,168,718</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42,263,174</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1" w:right="0"/>
              <w:jc w:val="left"/>
              <w:rPr>
                <w:rFonts w:ascii="Times New Roman" w:hAnsi="Times New Roman" w:cs="Times New Roman" w:eastAsia="Times New Roman" w:hint="default"/>
                <w:sz w:val="18"/>
                <w:szCs w:val="18"/>
              </w:rPr>
            </w:pPr>
            <w:r>
              <w:rPr>
                <w:rFonts w:ascii="Times New Roman"/>
                <w:sz w:val="18"/>
              </w:rPr>
              <w:t>42,263,174</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62" w:lineRule="auto" w:before="86"/>
              <w:ind w:left="22" w:right="551"/>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17"/>
                <w:sz w:val="18"/>
              </w:rPr>
              <w:t> </w:t>
            </w:r>
            <w:r>
              <w:rPr>
                <w:rFonts w:ascii="Times New Roman"/>
                <w:spacing w:val="-5"/>
                <w:sz w:val="18"/>
              </w:rPr>
              <w:t>GATES</w:t>
            </w:r>
            <w:r>
              <w:rPr>
                <w:rFonts w:ascii="Times New Roman"/>
                <w:w w:val="99"/>
                <w:sz w:val="18"/>
              </w:rPr>
              <w:t> </w:t>
            </w:r>
            <w:r>
              <w:rPr>
                <w:rFonts w:ascii="Times New Roman"/>
                <w:spacing w:val="-3"/>
                <w:sz w:val="18"/>
              </w:rPr>
              <w:t>FOUNDATION</w:t>
            </w:r>
            <w:r>
              <w:rPr>
                <w:rFonts w:ascii="Times New Roman"/>
                <w:spacing w:val="4"/>
                <w:sz w:val="18"/>
              </w:rPr>
              <w:t> </w:t>
            </w:r>
            <w:r>
              <w:rPr>
                <w:rFonts w:ascii="Times New Roman"/>
                <w:sz w:val="18"/>
              </w:rPr>
              <w:t>TRUST</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27,000,125</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27,000,125</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21,131,588</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1" w:right="0"/>
              <w:jc w:val="left"/>
              <w:rPr>
                <w:rFonts w:ascii="Times New Roman" w:hAnsi="Times New Roman" w:cs="Times New Roman" w:eastAsia="Times New Roman" w:hint="default"/>
                <w:sz w:val="18"/>
                <w:szCs w:val="18"/>
              </w:rPr>
            </w:pPr>
            <w:r>
              <w:rPr>
                <w:rFonts w:ascii="Times New Roman"/>
                <w:sz w:val="18"/>
              </w:rPr>
              <w:t>21,131,588</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安梅</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21,131,588</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1" w:right="0"/>
              <w:jc w:val="left"/>
              <w:rPr>
                <w:rFonts w:ascii="Times New Roman" w:hAnsi="Times New Roman" w:cs="Times New Roman" w:eastAsia="Times New Roman" w:hint="default"/>
                <w:sz w:val="18"/>
                <w:szCs w:val="18"/>
              </w:rPr>
            </w:pPr>
            <w:r>
              <w:rPr>
                <w:rFonts w:ascii="Times New Roman"/>
                <w:sz w:val="18"/>
              </w:rPr>
              <w:t>21,131,588</w:t>
            </w:r>
          </w:p>
        </w:tc>
      </w:tr>
      <w:tr>
        <w:trPr>
          <w:trHeight w:val="1026"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78"/>
              <w:jc w:val="both"/>
              <w:rPr>
                <w:rFonts w:ascii="宋体" w:hAnsi="宋体" w:cs="宋体" w:eastAsia="宋体" w:hint="default"/>
                <w:sz w:val="18"/>
                <w:szCs w:val="18"/>
              </w:rPr>
            </w:pPr>
            <w:r>
              <w:rPr>
                <w:rFonts w:ascii="宋体" w:hAnsi="宋体" w:cs="宋体" w:eastAsia="宋体" w:hint="default"/>
                <w:sz w:val="18"/>
                <w:szCs w:val="18"/>
              </w:rPr>
              <w:t>中国农业银行股份有限公司－景 顺长城资源垄断股票型证券投资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20,044,326</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20,044,326</w:t>
            </w:r>
          </w:p>
        </w:tc>
      </w:tr>
      <w:tr>
        <w:trPr>
          <w:trHeight w:val="402"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18,771,740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1" w:right="0"/>
              <w:jc w:val="left"/>
              <w:rPr>
                <w:rFonts w:ascii="Times New Roman" w:hAnsi="Times New Roman" w:cs="Times New Roman" w:eastAsia="Times New Roman" w:hint="default"/>
                <w:sz w:val="18"/>
                <w:szCs w:val="18"/>
              </w:rPr>
            </w:pPr>
            <w:r>
              <w:rPr>
                <w:rFonts w:ascii="Times New Roman"/>
                <w:sz w:val="18"/>
              </w:rPr>
              <w:t>18,771,740</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78"/>
              <w:jc w:val="left"/>
              <w:rPr>
                <w:rFonts w:ascii="宋体" w:hAnsi="宋体" w:cs="宋体" w:eastAsia="宋体" w:hint="default"/>
                <w:sz w:val="18"/>
                <w:szCs w:val="18"/>
              </w:rPr>
            </w:pPr>
            <w:r>
              <w:rPr>
                <w:rFonts w:ascii="宋体" w:hAnsi="宋体" w:cs="宋体" w:eastAsia="宋体" w:hint="default"/>
                <w:sz w:val="18"/>
                <w:szCs w:val="18"/>
              </w:rPr>
              <w:t>交通银行股份有限公司－华安安 顺灵活配置混合型证券投资基金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15,990,088</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15,990,088</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78"/>
              <w:jc w:val="left"/>
              <w:rPr>
                <w:rFonts w:ascii="宋体" w:hAnsi="宋体" w:cs="宋体" w:eastAsia="宋体" w:hint="default"/>
                <w:sz w:val="18"/>
                <w:szCs w:val="18"/>
              </w:rPr>
            </w:pPr>
            <w:r>
              <w:rPr>
                <w:rFonts w:ascii="宋体" w:hAnsi="宋体" w:cs="宋体" w:eastAsia="宋体" w:hint="default"/>
                <w:sz w:val="18"/>
                <w:szCs w:val="18"/>
              </w:rPr>
              <w:t>中国建设银行－华安宏利股票型 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15,180,000</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78"/>
              <w:jc w:val="left"/>
              <w:rPr>
                <w:rFonts w:ascii="宋体" w:hAnsi="宋体" w:cs="宋体" w:eastAsia="宋体" w:hint="default"/>
                <w:sz w:val="18"/>
                <w:szCs w:val="18"/>
              </w:rPr>
            </w:pPr>
            <w:r>
              <w:rPr>
                <w:rFonts w:ascii="宋体" w:hAnsi="宋体" w:cs="宋体" w:eastAsia="宋体" w:hint="default"/>
                <w:sz w:val="18"/>
                <w:szCs w:val="18"/>
              </w:rPr>
              <w:t>中国银行－嘉实主题精选混合型 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12,587,920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12,587,920</w:t>
            </w:r>
          </w:p>
        </w:tc>
      </w:tr>
      <w:tr>
        <w:trPr>
          <w:trHeight w:val="1338"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自然人王宁先生、李力先生为一致行动人，系本公司的实际控制人。</w:t>
            </w:r>
          </w:p>
        </w:tc>
      </w:tr>
      <w:tr>
        <w:trPr>
          <w:trHeight w:val="714" w:hRule="exact"/>
        </w:trPr>
        <w:tc>
          <w:tcPr>
            <w:tcW w:w="26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3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1" w:footer="1226" w:top="142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83"/>
        <w:ind w:right="0"/>
        <w:jc w:val="left"/>
        <w:rPr>
          <w:b w:val="0"/>
          <w:bCs w:val="0"/>
        </w:rPr>
      </w:pPr>
      <w:r>
        <w:rPr/>
        <w:t>公司股东在报告期内是否进行约定购回交易</w:t>
      </w:r>
      <w:r>
        <w:rPr>
          <w:b w:val="0"/>
          <w:bCs w:val="0"/>
        </w:rPr>
      </w:r>
    </w:p>
    <w:p>
      <w:pPr>
        <w:spacing w:line="240" w:lineRule="auto" w:before="12"/>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9"/>
        <w:rPr>
          <w:rFonts w:ascii="宋体" w:hAnsi="宋体" w:cs="宋体" w:eastAsia="宋体" w:hint="default"/>
          <w:b/>
          <w:bCs/>
          <w:sz w:val="19"/>
          <w:szCs w:val="19"/>
        </w:rPr>
      </w:pPr>
    </w:p>
    <w:p>
      <w:pPr>
        <w:pStyle w:val="BodyText"/>
        <w:spacing w:line="240" w:lineRule="auto"/>
        <w:ind w:left="513" w:right="0"/>
        <w:jc w:val="left"/>
      </w:pPr>
      <w:r>
        <w:rPr/>
        <w:t>公司股东在报告期内未进行约定购回交易。</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53" w:right="0"/>
        <w:jc w:val="left"/>
        <w:rPr>
          <w:b w:val="0"/>
          <w:bCs w:val="0"/>
        </w:rPr>
      </w:pPr>
      <w:bookmarkStart w:name="2、公司控股股东情况" w:id="81"/>
      <w:bookmarkEnd w:id="8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2"/>
          <w:szCs w:val="32"/>
        </w:rPr>
      </w:pPr>
    </w:p>
    <w:p>
      <w:pPr>
        <w:spacing w:line="518" w:lineRule="auto" w:before="0"/>
        <w:ind w:left="153" w:right="6893" w:firstLine="360"/>
        <w:jc w:val="left"/>
        <w:rPr>
          <w:rFonts w:ascii="宋体" w:hAnsi="宋体" w:cs="宋体" w:eastAsia="宋体" w:hint="default"/>
          <w:sz w:val="18"/>
          <w:szCs w:val="18"/>
        </w:rPr>
      </w:pPr>
      <w:r>
        <w:rPr>
          <w:rFonts w:ascii="宋体" w:hAnsi="宋体" w:cs="宋体" w:eastAsia="宋体" w:hint="default"/>
          <w:sz w:val="18"/>
          <w:szCs w:val="18"/>
        </w:rPr>
        <w:t>公司不存在控股股东情况的说明 </w:t>
      </w:r>
      <w:r>
        <w:rPr>
          <w:rFonts w:ascii="宋体" w:hAnsi="宋体" w:cs="宋体" w:eastAsia="宋体" w:hint="default"/>
          <w:b/>
          <w:bCs/>
          <w:sz w:val="18"/>
          <w:szCs w:val="18"/>
        </w:rPr>
        <w:t>控股股东报告期内变更</w:t>
      </w:r>
      <w:r>
        <w:rPr>
          <w:rFonts w:ascii="宋体" w:hAnsi="宋体" w:cs="宋体" w:eastAsia="宋体" w:hint="default"/>
          <w:sz w:val="18"/>
          <w:szCs w:val="18"/>
        </w:rPr>
      </w:r>
    </w:p>
    <w:p>
      <w:pPr>
        <w:spacing w:line="487" w:lineRule="auto" w:before="64"/>
        <w:ind w:left="513" w:right="671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公司报告期控股股东未发生变更。</w:t>
      </w:r>
    </w:p>
    <w:p>
      <w:pPr>
        <w:spacing w:line="240" w:lineRule="auto" w:before="9"/>
        <w:rPr>
          <w:rFonts w:ascii="宋体" w:hAnsi="宋体" w:cs="宋体" w:eastAsia="宋体" w:hint="default"/>
          <w:sz w:val="18"/>
          <w:szCs w:val="18"/>
        </w:rPr>
      </w:pPr>
    </w:p>
    <w:p>
      <w:pPr>
        <w:pStyle w:val="Heading3"/>
        <w:spacing w:line="240" w:lineRule="auto"/>
        <w:ind w:left="153" w:right="0"/>
        <w:jc w:val="left"/>
        <w:rPr>
          <w:b w:val="0"/>
          <w:bCs w:val="0"/>
        </w:rPr>
      </w:pPr>
      <w:bookmarkStart w:name="3、公司实际控制人情况" w:id="82"/>
      <w:bookmarkEnd w:id="8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Heading4"/>
        <w:spacing w:line="240" w:lineRule="auto"/>
        <w:ind w:left="153" w:right="0"/>
        <w:jc w:val="left"/>
        <w:rPr>
          <w:b w:val="0"/>
          <w:bCs w:val="0"/>
        </w:rPr>
      </w:pPr>
      <w:r>
        <w:rPr/>
        <w:t>自然人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BodyText"/>
        <w:spacing w:line="240" w:lineRule="auto" w:before="44"/>
        <w:ind w:left="0" w:right="161"/>
        <w:jc w:val="right"/>
      </w:pPr>
      <w:r>
        <w:rPr/>
        <w:pict>
          <v:shape style="position:absolute;margin-left:56.459999pt;margin-top:-297.028290pt;width:479.2pt;height:385.6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9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460" w:lineRule="auto" w:before="89"/>
                          <w:ind w:left="23" w:right="20" w:firstLine="450"/>
                          <w:jc w:val="left"/>
                          <w:rPr>
                            <w:rFonts w:ascii="宋体" w:hAnsi="宋体" w:cs="宋体" w:eastAsia="宋体" w:hint="default"/>
                            <w:sz w:val="18"/>
                            <w:szCs w:val="18"/>
                          </w:rPr>
                        </w:pPr>
                        <w:r>
                          <w:rPr>
                            <w:rFonts w:ascii="宋体" w:hAnsi="宋体" w:cs="宋体" w:eastAsia="宋体" w:hint="default"/>
                            <w:spacing w:val="-5"/>
                            <w:sz w:val="18"/>
                            <w:szCs w:val="18"/>
                          </w:rPr>
                          <w:t>王宁先生，</w:t>
                        </w:r>
                        <w:r>
                          <w:rPr>
                            <w:rFonts w:ascii="Times New Roman" w:hAnsi="Times New Roman" w:cs="Times New Roman" w:eastAsia="Times New Roman" w:hint="default"/>
                            <w:spacing w:val="-5"/>
                            <w:sz w:val="18"/>
                            <w:szCs w:val="18"/>
                          </w:rPr>
                          <w:t>1961 </w:t>
                        </w:r>
                        <w:r>
                          <w:rPr>
                            <w:rFonts w:ascii="宋体" w:hAnsi="宋体" w:cs="宋体" w:eastAsia="宋体" w:hint="default"/>
                            <w:spacing w:val="-8"/>
                            <w:sz w:val="18"/>
                            <w:szCs w:val="18"/>
                          </w:rPr>
                          <w:t>年出生，毕业于河北大学，理学、法学双学士，荣获</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中国软件企业十大领军人物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中国软件产业发展功勋人物</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中 国软件产业杰出企业家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。曾任河北大学校团委书记、河北大学出版社社长、 </w:t>
                        </w:r>
                        <w:r>
                          <w:rPr>
                            <w:rFonts w:ascii="宋体" w:hAnsi="宋体" w:cs="宋体" w:eastAsia="宋体" w:hint="default"/>
                            <w:spacing w:val="-1"/>
                            <w:sz w:val="18"/>
                            <w:szCs w:val="18"/>
                          </w:rPr>
                          <w:t>联想集团工控公司电脑部经理、北京新海拓科技公司总经理，北京神州泰岳科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技有限公司副总经理、总经理。</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月至今担任公司董事长，其中，</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月，曾任公司财务负责人、总经理。兼任北京启天同信科 </w:t>
                        </w:r>
                        <w:r>
                          <w:rPr>
                            <w:rFonts w:ascii="宋体" w:hAnsi="宋体" w:cs="宋体" w:eastAsia="宋体" w:hint="default"/>
                            <w:spacing w:val="-1"/>
                            <w:sz w:val="18"/>
                            <w:szCs w:val="18"/>
                          </w:rPr>
                          <w:t>技有限公司董事、北京互联时代通讯科技有限公司董事长、北京神州泰岳良品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电子商务有限公司执行董事、北京华泰德丰技术有限公司董事长、北京善聚投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资管理有限公司执行董事。</w:t>
                        </w:r>
                      </w:p>
                      <w:p>
                        <w:pPr>
                          <w:pStyle w:val="TableParagraph"/>
                          <w:spacing w:line="451" w:lineRule="auto" w:before="67"/>
                          <w:ind w:left="23" w:right="21" w:firstLine="360"/>
                          <w:jc w:val="left"/>
                          <w:rPr>
                            <w:rFonts w:ascii="宋体" w:hAnsi="宋体" w:cs="宋体" w:eastAsia="宋体" w:hint="default"/>
                            <w:sz w:val="18"/>
                            <w:szCs w:val="18"/>
                          </w:rPr>
                        </w:pPr>
                        <w:r>
                          <w:rPr>
                            <w:rFonts w:ascii="宋体" w:hAnsi="宋体" w:cs="宋体" w:eastAsia="宋体" w:hint="default"/>
                            <w:spacing w:val="-3"/>
                            <w:sz w:val="18"/>
                            <w:szCs w:val="18"/>
                          </w:rPr>
                          <w:t>李力先生，</w:t>
                        </w:r>
                        <w:r>
                          <w:rPr>
                            <w:rFonts w:ascii="Times New Roman" w:hAnsi="Times New Roman" w:cs="Times New Roman" w:eastAsia="Times New Roman" w:hint="default"/>
                            <w:spacing w:val="-3"/>
                            <w:sz w:val="18"/>
                            <w:szCs w:val="18"/>
                          </w:rPr>
                          <w:t>1971</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年出生，毕业于首都经贸大学；曾任北京力霸科技有限公</w:t>
                        </w:r>
                        <w:r>
                          <w:rPr>
                            <w:rFonts w:ascii="宋体" w:hAnsi="宋体" w:cs="宋体" w:eastAsia="宋体" w:hint="default"/>
                            <w:sz w:val="18"/>
                            <w:szCs w:val="18"/>
                          </w:rPr>
                          <w:t> </w:t>
                        </w:r>
                        <w:r>
                          <w:rPr>
                            <w:rFonts w:ascii="宋体" w:hAnsi="宋体" w:cs="宋体" w:eastAsia="宋体" w:hint="default"/>
                            <w:spacing w:val="-3"/>
                            <w:sz w:val="18"/>
                            <w:szCs w:val="18"/>
                          </w:rPr>
                          <w:t>司副总经理。李力先生作为公司主要创始人，</w:t>
                        </w:r>
                        <w:r>
                          <w:rPr>
                            <w:rFonts w:ascii="Times New Roman" w:hAnsi="Times New Roman" w:cs="Times New Roman" w:eastAsia="Times New Roman" w:hint="default"/>
                            <w:spacing w:val="-3"/>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月至今历任公司董事 </w:t>
                        </w:r>
                        <w:r>
                          <w:rPr>
                            <w:rFonts w:ascii="宋体" w:hAnsi="宋体" w:cs="宋体" w:eastAsia="宋体" w:hint="default"/>
                            <w:spacing w:val="-1"/>
                            <w:sz w:val="18"/>
                            <w:szCs w:val="18"/>
                          </w:rPr>
                          <w:t>常务副总经理、总经理。兼任北京启天同信科技有限公司董事、神州泰岳（香</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港）有限公司董事、</w:t>
                        </w:r>
                        <w:r>
                          <w:rPr>
                            <w:rFonts w:ascii="Times New Roman" w:hAnsi="Times New Roman" w:cs="Times New Roman" w:eastAsia="Times New Roman" w:hint="default"/>
                            <w:sz w:val="18"/>
                            <w:szCs w:val="18"/>
                          </w:rPr>
                          <w:t>Ultrapower 360 Pte Ltd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董事。</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r>
        <w:rPr/>
        <w:t>实际控制人报告期内变更</w:t>
      </w:r>
      <w:r>
        <w:rPr>
          <w:b w:val="0"/>
          <w:bCs w:val="0"/>
        </w:rPr>
      </w:r>
    </w:p>
    <w:p>
      <w:pPr>
        <w:spacing w:after="0" w:line="240" w:lineRule="auto"/>
        <w:jc w:val="left"/>
        <w:sectPr>
          <w:pgSz w:w="11910" w:h="16840"/>
          <w:pgMar w:header="851" w:footer="1226" w:top="1380" w:bottom="1420" w:left="980" w:right="980"/>
        </w:sectPr>
      </w:pPr>
    </w:p>
    <w:p>
      <w:pPr>
        <w:spacing w:line="487" w:lineRule="auto" w:before="142"/>
        <w:ind w:left="513" w:right="653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公司报告期实际控制人未发生变更。</w:t>
      </w:r>
    </w:p>
    <w:p>
      <w:pPr>
        <w:pStyle w:val="Heading4"/>
        <w:spacing w:line="240" w:lineRule="auto" w:before="88"/>
        <w:ind w:left="153" w:right="0"/>
        <w:jc w:val="left"/>
        <w:rPr>
          <w:b w:val="0"/>
          <w:bCs w:val="0"/>
        </w:rPr>
      </w:pP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line="4423" w:lineRule="exact"/>
        <w:ind w:left="109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04858" cy="280920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5" cstate="print"/>
                    <a:stretch>
                      <a:fillRect/>
                    </a:stretch>
                  </pic:blipFill>
                  <pic:spPr>
                    <a:xfrm>
                      <a:off x="0" y="0"/>
                      <a:ext cx="4904858" cy="2809208"/>
                    </a:xfrm>
                    <a:prstGeom prst="rect">
                      <a:avLst/>
                    </a:prstGeom>
                  </pic:spPr>
                </pic:pic>
              </a:graphicData>
            </a:graphic>
          </wp:inline>
        </w:drawing>
      </w:r>
      <w:r>
        <w:rPr>
          <w:rFonts w:ascii="宋体" w:hAnsi="宋体" w:cs="宋体" w:eastAsia="宋体" w:hint="default"/>
          <w:position w:val="-87"/>
          <w:sz w:val="20"/>
          <w:szCs w:val="20"/>
        </w:rPr>
      </w:r>
    </w:p>
    <w:p>
      <w:pPr>
        <w:spacing w:line="650" w:lineRule="atLeast" w:before="29"/>
        <w:ind w:left="153" w:right="4538" w:firstLine="0"/>
        <w:jc w:val="left"/>
        <w:rPr>
          <w:rFonts w:ascii="宋体" w:hAnsi="宋体" w:cs="宋体" w:eastAsia="宋体" w:hint="default"/>
          <w:sz w:val="18"/>
          <w:szCs w:val="18"/>
        </w:rPr>
      </w:pPr>
      <w:r>
        <w:rPr>
          <w:rFonts w:ascii="宋体" w:hAnsi="宋体" w:cs="宋体" w:eastAsia="宋体" w:hint="default"/>
          <w:sz w:val="18"/>
          <w:szCs w:val="18"/>
        </w:rPr>
        <w:t>注：王宁</w:t>
      </w:r>
      <w:r>
        <w:rPr>
          <w:rFonts w:ascii="Times New Roman" w:hAnsi="Times New Roman" w:cs="Times New Roman" w:eastAsia="Times New Roman" w:hint="default"/>
          <w:sz w:val="18"/>
          <w:szCs w:val="18"/>
        </w:rPr>
        <w:t>12.73%</w:t>
      </w:r>
      <w:r>
        <w:rPr>
          <w:rFonts w:ascii="宋体" w:hAnsi="宋体" w:cs="宋体" w:eastAsia="宋体" w:hint="default"/>
          <w:sz w:val="18"/>
          <w:szCs w:val="18"/>
        </w:rPr>
        <w:t>的控制权由其直接持有的股权及授权表决权构成。 </w:t>
      </w:r>
      <w:r>
        <w:rPr>
          <w:rFonts w:ascii="宋体" w:hAnsi="宋体" w:cs="宋体" w:eastAsia="宋体" w:hint="default"/>
          <w:b/>
          <w:bCs/>
          <w:sz w:val="18"/>
          <w:szCs w:val="18"/>
        </w:rPr>
        <w:t>实际控制人通过信托或其他资产管理方式控制公司</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Heading3"/>
        <w:spacing w:line="240" w:lineRule="auto"/>
        <w:ind w:left="153" w:right="0"/>
        <w:jc w:val="left"/>
        <w:rPr>
          <w:b w:val="0"/>
          <w:bCs w:val="0"/>
        </w:rPr>
      </w:pPr>
      <w:bookmarkStart w:name="4、其他持股在10%以上的法人股东" w:id="83"/>
      <w:bookmarkEnd w:id="8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9"/>
          <w:szCs w:val="19"/>
        </w:rPr>
      </w:pPr>
    </w:p>
    <w:p>
      <w:pPr>
        <w:pStyle w:val="Heading3"/>
        <w:spacing w:line="240" w:lineRule="auto"/>
        <w:ind w:left="153" w:right="0"/>
        <w:jc w:val="left"/>
        <w:rPr>
          <w:b w:val="0"/>
          <w:bCs w:val="0"/>
        </w:rPr>
      </w:pPr>
      <w:bookmarkStart w:name="5、前10吊限售条件股东持股数量及限售条件" w:id="84"/>
      <w:bookmarkEnd w:id="84"/>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126,789,524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76,266,195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首发后个人类限售股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66,420,934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63,394,762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63,394,760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center"/>
        <w:rPr>
          <w:rFonts w:ascii="宋体" w:hAnsi="宋体" w:cs="宋体" w:eastAsia="宋体" w:hint="default"/>
          <w:sz w:val="18"/>
          <w:szCs w:val="18"/>
        </w:rPr>
        <w:sectPr>
          <w:pgSz w:w="11910" w:h="16840"/>
          <w:pgMar w:header="851" w:footer="1226" w:top="1380" w:bottom="1420" w:left="980" w:right="98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14" w:hRule="exact"/>
        </w:trPr>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56,315,222</w:t>
            </w: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501"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43,607,408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29,810,976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25,642,636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8,092,738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4"/>
        <w:rPr>
          <w:rFonts w:ascii="Times New Roman" w:hAnsi="Times New Roman" w:cs="Times New Roman" w:eastAsia="Times New Roman" w:hint="default"/>
          <w:sz w:val="3"/>
          <w:szCs w:val="3"/>
        </w:rPr>
      </w:pPr>
    </w:p>
    <w:p>
      <w:pPr>
        <w:spacing w:line="20" w:lineRule="exact"/>
        <w:ind w:left="6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81"/>
        <w:ind w:left="2200" w:right="0"/>
        <w:jc w:val="left"/>
        <w:rPr>
          <w:b w:val="0"/>
          <w:bCs w:val="0"/>
        </w:rPr>
      </w:pPr>
      <w:bookmarkStart w:name="第七节 董事、监事、高级管理人员和员工情况" w:id="85"/>
      <w:bookmarkEnd w:id="85"/>
      <w:r>
        <w:rPr>
          <w:b w:val="0"/>
          <w:bCs w:val="0"/>
        </w:rPr>
      </w:r>
      <w:bookmarkStart w:name="_bookmark6" w:id="86"/>
      <w:bookmarkEnd w:id="86"/>
      <w:r>
        <w:rPr>
          <w:b w:val="0"/>
          <w:bCs w:val="0"/>
        </w:rPr>
      </w:r>
      <w:r>
        <w:rPr/>
        <w:t>第七节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673" w:right="0"/>
        <w:jc w:val="left"/>
        <w:rPr>
          <w:b w:val="0"/>
          <w:bCs w:val="0"/>
        </w:rPr>
      </w:pPr>
      <w:bookmarkStart w:name="一、董事、监事和高级管理人员持股变动" w:id="87"/>
      <w:bookmarkEnd w:id="87"/>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3" w:right="0"/>
        <w:jc w:val="left"/>
        <w:rPr>
          <w:b w:val="0"/>
          <w:bCs w:val="0"/>
        </w:rPr>
      </w:pPr>
      <w:bookmarkStart w:name="1、持股情况" w:id="88"/>
      <w:bookmarkEnd w:id="88"/>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50"/>
        <w:jc w:val="right"/>
      </w:pPr>
      <w:r>
        <w:rPr/>
        <w:t>单位：股</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9"/>
        <w:gridCol w:w="755"/>
        <w:gridCol w:w="259"/>
        <w:gridCol w:w="404"/>
        <w:gridCol w:w="425"/>
        <w:gridCol w:w="992"/>
        <w:gridCol w:w="993"/>
        <w:gridCol w:w="851"/>
        <w:gridCol w:w="991"/>
        <w:gridCol w:w="824"/>
        <w:gridCol w:w="626"/>
        <w:gridCol w:w="625"/>
        <w:gridCol w:w="1024"/>
        <w:gridCol w:w="1156"/>
      </w:tblGrid>
      <w:tr>
        <w:trPr>
          <w:trHeight w:val="1961"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性 别</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4"/>
              <w:jc w:val="left"/>
              <w:rPr>
                <w:rFonts w:ascii="宋体" w:hAnsi="宋体" w:cs="宋体" w:eastAsia="宋体" w:hint="default"/>
                <w:sz w:val="18"/>
                <w:szCs w:val="18"/>
              </w:rPr>
            </w:pPr>
            <w:r>
              <w:rPr>
                <w:rFonts w:ascii="宋体" w:hAnsi="宋体" w:cs="宋体" w:eastAsia="宋体" w:hint="default"/>
                <w:sz w:val="18"/>
                <w:szCs w:val="18"/>
              </w:rPr>
              <w:t>年 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4"/>
              <w:jc w:val="both"/>
              <w:rPr>
                <w:rFonts w:ascii="宋体" w:hAnsi="宋体" w:cs="宋体" w:eastAsia="宋体" w:hint="default"/>
                <w:sz w:val="18"/>
                <w:szCs w:val="18"/>
              </w:rPr>
            </w:pPr>
            <w:r>
              <w:rPr>
                <w:rFonts w:ascii="宋体" w:hAnsi="宋体" w:cs="宋体" w:eastAsia="宋体" w:hint="default"/>
                <w:sz w:val="18"/>
                <w:szCs w:val="18"/>
              </w:rPr>
              <w:t>期初持有 的股权激 励获授予 限制性股 票数量</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 w:right="3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 w:right="3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6" w:right="55"/>
              <w:jc w:val="both"/>
              <w:rPr>
                <w:rFonts w:ascii="宋体" w:hAnsi="宋体" w:cs="宋体" w:eastAsia="宋体" w:hint="default"/>
                <w:sz w:val="18"/>
                <w:szCs w:val="18"/>
              </w:rPr>
            </w:pPr>
            <w:r>
              <w:rPr>
                <w:rFonts w:ascii="宋体" w:hAnsi="宋体" w:cs="宋体" w:eastAsia="宋体" w:hint="default"/>
                <w:sz w:val="18"/>
                <w:szCs w:val="18"/>
              </w:rPr>
              <w:t>期末持有的 股权激励获 授予限制性 股票数量</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42,263,175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42,263,175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84,526,350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2"/>
              <w:jc w:val="left"/>
              <w:rPr>
                <w:rFonts w:ascii="宋体" w:hAnsi="宋体" w:cs="宋体" w:eastAsia="宋体" w:hint="default"/>
                <w:sz w:val="18"/>
                <w:szCs w:val="18"/>
              </w:rPr>
            </w:pPr>
            <w:r>
              <w:rPr>
                <w:rFonts w:ascii="宋体" w:hAnsi="宋体" w:cs="宋体" w:eastAsia="宋体" w:hint="default"/>
                <w:spacing w:val="-11"/>
                <w:sz w:val="18"/>
                <w:szCs w:val="18"/>
              </w:rPr>
              <w:t>董事、总</w:t>
            </w:r>
            <w:r>
              <w:rPr>
                <w:rFonts w:ascii="宋体" w:hAnsi="宋体" w:cs="宋体" w:eastAsia="宋体" w:hint="default"/>
                <w:spacing w:val="-22"/>
                <w:sz w:val="18"/>
                <w:szCs w:val="18"/>
              </w:rPr>
              <w:t> </w:t>
            </w:r>
            <w:r>
              <w:rPr>
                <w:rFonts w:ascii="宋体" w:hAnsi="宋体" w:cs="宋体" w:eastAsia="宋体" w:hint="default"/>
                <w:sz w:val="18"/>
                <w:szCs w:val="18"/>
              </w:rPr>
              <w:t>经理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84,526,349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84,526,349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169,052,698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1"/>
              <w:jc w:val="left"/>
              <w:rPr>
                <w:rFonts w:ascii="宋体" w:hAnsi="宋体" w:cs="宋体" w:eastAsia="宋体" w:hint="default"/>
                <w:sz w:val="18"/>
                <w:szCs w:val="18"/>
              </w:rPr>
            </w:pPr>
            <w:r>
              <w:rPr>
                <w:rFonts w:ascii="宋体" w:hAnsi="宋体" w:cs="宋体" w:eastAsia="宋体" w:hint="default"/>
                <w:sz w:val="18"/>
                <w:szCs w:val="18"/>
              </w:rPr>
              <w:t>副董事 </w:t>
            </w:r>
            <w:r>
              <w:rPr>
                <w:rFonts w:ascii="宋体" w:hAnsi="宋体" w:cs="宋体" w:eastAsia="宋体" w:hint="default"/>
                <w:spacing w:val="-6"/>
                <w:sz w:val="18"/>
                <w:szCs w:val="18"/>
              </w:rPr>
              <w:t>长、董事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37,171,641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37,915,321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75,086,962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利润分配，自 主行权</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pacing w:val="-11"/>
                <w:sz w:val="18"/>
                <w:szCs w:val="18"/>
              </w:rPr>
              <w:t>董事、财</w:t>
            </w:r>
            <w:r>
              <w:rPr>
                <w:rFonts w:ascii="宋体" w:hAnsi="宋体" w:cs="宋体" w:eastAsia="宋体" w:hint="default"/>
                <w:spacing w:val="-22"/>
                <w:sz w:val="18"/>
                <w:szCs w:val="18"/>
              </w:rPr>
              <w:t> </w:t>
            </w:r>
            <w:r>
              <w:rPr>
                <w:rFonts w:ascii="宋体" w:hAnsi="宋体" w:cs="宋体" w:eastAsia="宋体" w:hint="default"/>
                <w:sz w:val="18"/>
                <w:szCs w:val="18"/>
              </w:rPr>
              <w:t>务总监</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28,911,605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25,551,605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50,783,210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利润分配，二 级市场交易， 自主行权</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19,873,984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19,873,984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39,747,968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齐强</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44,280,624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39,280,624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78,561,248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利润分配，二 级市场交易</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翟一兵</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1"/>
              <w:jc w:val="left"/>
              <w:rPr>
                <w:rFonts w:ascii="宋体" w:hAnsi="宋体" w:cs="宋体" w:eastAsia="宋体" w:hint="default"/>
                <w:sz w:val="18"/>
                <w:szCs w:val="18"/>
              </w:rPr>
            </w:pPr>
            <w:r>
              <w:rPr>
                <w:rFonts w:ascii="宋体" w:hAnsi="宋体" w:cs="宋体" w:eastAsia="宋体" w:hint="default"/>
                <w:spacing w:val="-6"/>
                <w:sz w:val="18"/>
                <w:szCs w:val="18"/>
              </w:rPr>
              <w:t>董事、首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席运营 官</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400,800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二级市场交易</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汪铖</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2"/>
              <w:jc w:val="left"/>
              <w:rPr>
                <w:rFonts w:ascii="宋体" w:hAnsi="宋体" w:cs="宋体" w:eastAsia="宋体" w:hint="default"/>
                <w:sz w:val="18"/>
                <w:szCs w:val="18"/>
              </w:rPr>
            </w:pPr>
            <w:r>
              <w:rPr>
                <w:rFonts w:ascii="宋体" w:hAnsi="宋体" w:cs="宋体" w:eastAsia="宋体" w:hint="default"/>
                <w:spacing w:val="-11"/>
                <w:sz w:val="18"/>
                <w:szCs w:val="18"/>
              </w:rPr>
              <w:t>董事，副</w:t>
            </w:r>
            <w:r>
              <w:rPr>
                <w:rFonts w:ascii="宋体" w:hAnsi="宋体" w:cs="宋体" w:eastAsia="宋体" w:hint="default"/>
                <w:spacing w:val="-22"/>
                <w:sz w:val="18"/>
                <w:szCs w:val="18"/>
              </w:rPr>
              <w:t> </w:t>
            </w:r>
            <w:r>
              <w:rPr>
                <w:rFonts w:ascii="宋体" w:hAnsi="宋体" w:cs="宋体" w:eastAsia="宋体" w:hint="default"/>
                <w:sz w:val="18"/>
                <w:szCs w:val="18"/>
              </w:rPr>
              <w:t>总经理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17,095,091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16,645,091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28,490,182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利润分配，二 级市场交易</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蓝伯雄</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9"/>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江锡如</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9"/>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刘凯湘</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9"/>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9"/>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460" w:right="580"/>
        </w:sectPr>
      </w:pPr>
    </w:p>
    <w:tbl>
      <w:tblPr>
        <w:tblW w:w="0" w:type="auto"/>
        <w:jc w:val="left"/>
        <w:tblInd w:w="101" w:type="dxa"/>
        <w:tblLayout w:type="fixed"/>
        <w:tblCellMar>
          <w:top w:w="0" w:type="dxa"/>
          <w:left w:w="0" w:type="dxa"/>
          <w:bottom w:w="0" w:type="dxa"/>
          <w:right w:w="0" w:type="dxa"/>
        </w:tblCellMar>
        <w:tblLook w:val="01E0"/>
      </w:tblPr>
      <w:tblGrid>
        <w:gridCol w:w="709"/>
        <w:gridCol w:w="755"/>
        <w:gridCol w:w="259"/>
        <w:gridCol w:w="404"/>
        <w:gridCol w:w="425"/>
        <w:gridCol w:w="992"/>
        <w:gridCol w:w="993"/>
        <w:gridCol w:w="851"/>
        <w:gridCol w:w="991"/>
        <w:gridCol w:w="824"/>
        <w:gridCol w:w="626"/>
        <w:gridCol w:w="625"/>
        <w:gridCol w:w="1024"/>
        <w:gridCol w:w="1156"/>
      </w:tblGrid>
      <w:tr>
        <w:trPr>
          <w:trHeight w:val="726" w:hRule="exact"/>
        </w:trPr>
        <w:tc>
          <w:tcPr>
            <w:tcW w:w="7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75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24" w:right="179"/>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70</w:t>
            </w: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李广刚</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丁彦超</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监事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267,200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41"/>
              <w:jc w:val="left"/>
              <w:rPr>
                <w:rFonts w:ascii="宋体" w:hAnsi="宋体" w:cs="宋体" w:eastAsia="宋体" w:hint="default"/>
                <w:sz w:val="18"/>
                <w:szCs w:val="18"/>
              </w:rPr>
            </w:pPr>
            <w:r>
              <w:rPr>
                <w:rFonts w:ascii="宋体" w:hAnsi="宋体" w:cs="宋体" w:eastAsia="宋体" w:hint="default"/>
                <w:sz w:val="18"/>
                <w:szCs w:val="18"/>
              </w:rPr>
              <w:t>利润分配，二 级市场交易</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郝岩</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773,680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1,152,360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42,240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63,360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41"/>
              <w:jc w:val="both"/>
              <w:rPr>
                <w:rFonts w:ascii="宋体" w:hAnsi="宋体" w:cs="宋体" w:eastAsia="宋体" w:hint="default"/>
                <w:sz w:val="18"/>
                <w:szCs w:val="18"/>
              </w:rPr>
            </w:pPr>
            <w:r>
              <w:rPr>
                <w:rFonts w:ascii="宋体" w:hAnsi="宋体" w:cs="宋体" w:eastAsia="宋体" w:hint="default"/>
                <w:sz w:val="18"/>
                <w:szCs w:val="18"/>
              </w:rPr>
              <w:t>利润分配，二 级市场交易， 自主行权</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590,480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1,170,080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42,240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63,360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41"/>
              <w:jc w:val="left"/>
              <w:rPr>
                <w:rFonts w:ascii="宋体" w:hAnsi="宋体" w:cs="宋体" w:eastAsia="宋体" w:hint="default"/>
                <w:sz w:val="18"/>
                <w:szCs w:val="18"/>
              </w:rPr>
            </w:pPr>
            <w:r>
              <w:rPr>
                <w:rFonts w:ascii="宋体" w:hAnsi="宋体" w:cs="宋体" w:eastAsia="宋体" w:hint="default"/>
                <w:sz w:val="18"/>
                <w:szCs w:val="18"/>
              </w:rPr>
              <w:t>利润分配，自 主行权</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3,768,000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3,688,000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7,276,000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41"/>
              <w:jc w:val="left"/>
              <w:rPr>
                <w:rFonts w:ascii="宋体" w:hAnsi="宋体" w:cs="宋体" w:eastAsia="宋体" w:hint="default"/>
                <w:sz w:val="18"/>
                <w:szCs w:val="18"/>
              </w:rPr>
            </w:pPr>
            <w:r>
              <w:rPr>
                <w:rFonts w:ascii="宋体" w:hAnsi="宋体" w:cs="宋体" w:eastAsia="宋体" w:hint="default"/>
                <w:sz w:val="18"/>
                <w:szCs w:val="18"/>
              </w:rPr>
              <w:t>利润分配，二 级市场交易</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3,596,669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3,596,669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7,193,338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319,920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326,352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646,272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25,536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38,304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41"/>
              <w:jc w:val="left"/>
              <w:rPr>
                <w:rFonts w:ascii="宋体" w:hAnsi="宋体" w:cs="宋体" w:eastAsia="宋体" w:hint="default"/>
                <w:sz w:val="18"/>
                <w:szCs w:val="18"/>
              </w:rPr>
            </w:pPr>
            <w:r>
              <w:rPr>
                <w:rFonts w:ascii="宋体" w:hAnsi="宋体" w:cs="宋体" w:eastAsia="宋体" w:hint="default"/>
                <w:sz w:val="18"/>
                <w:szCs w:val="18"/>
              </w:rPr>
              <w:t>利润分配，自 主行权</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许芃</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5,395,159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5,395,159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10,790,318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孙海粟</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79"/>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z w:val="18"/>
              </w:rPr>
              <w:t>--</w:t>
            </w:r>
          </w:p>
        </w:tc>
        <w:tc>
          <w:tcPr>
            <w:tcW w:w="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288,685,417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280,960,889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14,501,32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555,144,986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110,016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165,024</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8"/>
          <w:szCs w:val="18"/>
        </w:rPr>
      </w:pPr>
    </w:p>
    <w:p>
      <w:pPr>
        <w:pStyle w:val="Heading3"/>
        <w:spacing w:line="240" w:lineRule="auto" w:before="35"/>
        <w:ind w:left="674" w:right="0"/>
        <w:jc w:val="left"/>
        <w:rPr>
          <w:b w:val="0"/>
          <w:bCs w:val="0"/>
        </w:rPr>
      </w:pPr>
      <w:bookmarkStart w:name="2、持有股票期权情况" w:id="89"/>
      <w:bookmarkEnd w:id="89"/>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559"/>
        <w:jc w:val="right"/>
      </w:pPr>
      <w:r>
        <w:rPr/>
        <w:pict>
          <v:shape style="position:absolute;margin-left:56.459999pt;margin-top:-24.27828pt;width:479.2pt;height:183.5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1025"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0"/>
                          <w:jc w:val="right"/>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副董事长、董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929,600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557,760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1,115,520</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陶磊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43,520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43,520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刘豪</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16,080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25,728</w:t>
                        </w:r>
                      </w:p>
                    </w:tc>
                  </w:tr>
                </w:tbl>
                <w:p>
                  <w:pPr/>
                </w:p>
              </w:txbxContent>
            </v:textbox>
            <w10:wrap type="none"/>
          </v:shape>
        </w:pict>
      </w:r>
      <w:r>
        <w:rPr/>
        <w:t>）</w:t>
      </w:r>
    </w:p>
    <w:p>
      <w:pPr>
        <w:spacing w:after="0" w:line="240" w:lineRule="auto"/>
        <w:jc w:val="right"/>
        <w:sectPr>
          <w:pgSz w:w="11910" w:h="16840"/>
          <w:pgMar w:header="851" w:footer="1226" w:top="1420" w:bottom="1420" w:left="460" w:right="5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414" w:hRule="exact"/>
        </w:trPr>
        <w:tc>
          <w:tcPr>
            <w:tcW w:w="119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444" w:right="0"/>
              <w:jc w:val="left"/>
              <w:rPr>
                <w:rFonts w:ascii="Times New Roman" w:hAnsi="Times New Roman" w:cs="Times New Roman" w:eastAsia="Times New Roman" w:hint="default"/>
                <w:sz w:val="18"/>
                <w:szCs w:val="18"/>
              </w:rPr>
            </w:pPr>
            <w:r>
              <w:rPr>
                <w:rFonts w:ascii="Times New Roman"/>
                <w:sz w:val="18"/>
              </w:rPr>
              <w:t>1,800,080</w:t>
            </w:r>
          </w:p>
        </w:tc>
        <w:tc>
          <w:tcPr>
            <w:tcW w:w="1198" w:type="dxa"/>
            <w:tcBorders>
              <w:top w:val="single" w:sz="10" w:space="0" w:color="000000"/>
              <w:left w:val="single" w:sz="4" w:space="0" w:color="000000"/>
              <w:bottom w:val="single" w:sz="4" w:space="0" w:color="000000"/>
              <w:right w:val="single" w:sz="4" w:space="0" w:color="000000"/>
            </w:tcBorders>
          </w:tcPr>
          <w:p>
            <w:pPr/>
          </w:p>
        </w:tc>
        <w:tc>
          <w:tcPr>
            <w:tcW w:w="11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579" w:right="0"/>
              <w:jc w:val="left"/>
              <w:rPr>
                <w:rFonts w:ascii="Times New Roman" w:hAnsi="Times New Roman" w:cs="Times New Roman" w:eastAsia="Times New Roman" w:hint="default"/>
                <w:sz w:val="18"/>
                <w:szCs w:val="18"/>
              </w:rPr>
            </w:pPr>
            <w:r>
              <w:rPr>
                <w:rFonts w:ascii="Times New Roman"/>
                <w:sz w:val="18"/>
              </w:rPr>
              <w:t>905,952</w:t>
            </w:r>
          </w:p>
        </w:tc>
        <w:tc>
          <w:tcPr>
            <w:tcW w:w="11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sz w:val="18"/>
              </w:rPr>
              <w:t>320,000</w:t>
            </w:r>
          </w:p>
        </w:tc>
        <w:tc>
          <w:tcPr>
            <w:tcW w:w="11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443" w:right="0"/>
              <w:jc w:val="left"/>
              <w:rPr>
                <w:rFonts w:ascii="Times New Roman" w:hAnsi="Times New Roman" w:cs="Times New Roman" w:eastAsia="Times New Roman" w:hint="default"/>
                <w:sz w:val="18"/>
                <w:szCs w:val="18"/>
              </w:rPr>
            </w:pPr>
            <w:r>
              <w:rPr>
                <w:rFonts w:ascii="Times New Roman"/>
                <w:sz w:val="18"/>
              </w:rPr>
              <w:t>2,188,288</w:t>
            </w:r>
          </w:p>
        </w:tc>
      </w:tr>
    </w:tbl>
    <w:p>
      <w:pPr>
        <w:spacing w:line="240" w:lineRule="auto" w:before="2"/>
        <w:rPr>
          <w:rFonts w:ascii="宋体" w:hAnsi="宋体" w:cs="宋体" w:eastAsia="宋体" w:hint="default"/>
          <w:sz w:val="18"/>
          <w:szCs w:val="18"/>
        </w:rPr>
      </w:pPr>
    </w:p>
    <w:p>
      <w:pPr>
        <w:pStyle w:val="Heading2"/>
        <w:spacing w:line="240" w:lineRule="auto" w:before="26"/>
        <w:ind w:left="114" w:right="209"/>
        <w:jc w:val="left"/>
        <w:rPr>
          <w:b w:val="0"/>
          <w:bCs w:val="0"/>
        </w:rPr>
      </w:pPr>
      <w:bookmarkStart w:name="二、任职情况" w:id="90"/>
      <w:bookmarkEnd w:id="90"/>
      <w:r>
        <w:rPr>
          <w:b w:val="0"/>
          <w:bCs w:val="0"/>
        </w:rPr>
      </w:r>
      <w:r>
        <w:rPr/>
        <w:t>二、任职情况</w:t>
      </w:r>
      <w:r>
        <w:rPr>
          <w:b w:val="0"/>
          <w:bCs w:val="0"/>
        </w:rPr>
      </w:r>
    </w:p>
    <w:p>
      <w:pPr>
        <w:spacing w:line="240" w:lineRule="auto" w:before="7"/>
        <w:rPr>
          <w:rFonts w:ascii="宋体" w:hAnsi="宋体" w:cs="宋体" w:eastAsia="宋体" w:hint="default"/>
          <w:b/>
          <w:bCs/>
          <w:sz w:val="32"/>
          <w:szCs w:val="32"/>
        </w:rPr>
      </w:pPr>
    </w:p>
    <w:p>
      <w:pPr>
        <w:spacing w:line="465" w:lineRule="auto" w:before="0"/>
        <w:ind w:left="475" w:right="3990" w:hanging="362"/>
        <w:jc w:val="left"/>
        <w:rPr>
          <w:rFonts w:ascii="宋体" w:hAnsi="宋体" w:cs="宋体" w:eastAsia="宋体" w:hint="default"/>
          <w:sz w:val="18"/>
          <w:szCs w:val="18"/>
        </w:rPr>
      </w:pPr>
      <w:r>
        <w:rPr>
          <w:rFonts w:ascii="宋体" w:hAnsi="宋体" w:cs="宋体" w:eastAsia="宋体" w:hint="default"/>
          <w:b/>
          <w:bCs/>
          <w:sz w:val="18"/>
          <w:szCs w:val="18"/>
        </w:rPr>
        <w:t>公司现任董事、监事、高级管理人员最近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年的主要工作经历</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、董事会成员简介</w:t>
      </w:r>
      <w:r>
        <w:rPr>
          <w:rFonts w:ascii="宋体" w:hAnsi="宋体" w:cs="宋体" w:eastAsia="宋体" w:hint="default"/>
          <w:b/>
          <w:bCs/>
          <w:w w:val="99"/>
          <w:sz w:val="18"/>
          <w:szCs w:val="18"/>
        </w:rPr>
        <w:t> </w:t>
      </w:r>
      <w:r>
        <w:rPr>
          <w:rFonts w:ascii="宋体" w:hAnsi="宋体" w:cs="宋体" w:eastAsia="宋体" w:hint="default"/>
          <w:b/>
          <w:bCs/>
          <w:sz w:val="18"/>
          <w:szCs w:val="18"/>
        </w:rPr>
        <w:t>公司董事会由十二名董事组成，其中独立董事四名，具体如下：</w:t>
      </w:r>
      <w:r>
        <w:rPr>
          <w:rFonts w:ascii="宋体" w:hAnsi="宋体" w:cs="宋体" w:eastAsia="宋体" w:hint="default"/>
          <w:b/>
          <w:bCs/>
          <w:w w:val="99"/>
          <w:sz w:val="18"/>
          <w:szCs w:val="18"/>
        </w:rPr>
        <w:t> </w:t>
      </w:r>
      <w:r>
        <w:rPr>
          <w:rFonts w:ascii="宋体" w:hAnsi="宋体" w:cs="宋体" w:eastAsia="宋体" w:hint="default"/>
          <w:b/>
          <w:bCs/>
          <w:sz w:val="18"/>
          <w:szCs w:val="18"/>
        </w:rPr>
        <w:t>王宁</w:t>
      </w:r>
      <w:r>
        <w:rPr>
          <w:rFonts w:ascii="宋体" w:hAnsi="宋体" w:cs="宋体" w:eastAsia="宋体" w:hint="default"/>
          <w:sz w:val="18"/>
          <w:szCs w:val="18"/>
        </w:rPr>
        <w:t>先生，董事长，简历见第六节之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三、股东和实际控制人情况</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李力</w:t>
      </w:r>
      <w:r>
        <w:rPr>
          <w:rFonts w:ascii="宋体" w:hAnsi="宋体" w:cs="宋体" w:eastAsia="宋体" w:hint="default"/>
          <w:sz w:val="18"/>
          <w:szCs w:val="18"/>
        </w:rPr>
        <w:t>先生，总经理，简历见第六节之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三、股东和实际控制人情况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458" w:lineRule="auto" w:before="31"/>
        <w:ind w:left="113" w:right="109" w:firstLine="361"/>
        <w:jc w:val="right"/>
      </w:pPr>
      <w:r>
        <w:rPr>
          <w:rFonts w:ascii="宋体" w:hAnsi="宋体" w:cs="宋体" w:eastAsia="宋体" w:hint="default"/>
          <w:b/>
          <w:bCs/>
        </w:rPr>
        <w:t>黄松浪</w:t>
      </w:r>
      <w:r>
        <w:rPr/>
        <w:t>先生，</w:t>
      </w:r>
      <w:r>
        <w:rPr>
          <w:rFonts w:ascii="Times New Roman" w:hAnsi="Times New Roman" w:cs="Times New Roman" w:eastAsia="Times New Roman" w:hint="default"/>
        </w:rPr>
        <w:t>1968</w:t>
      </w:r>
      <w:r>
        <w:rPr/>
        <w:t>年出生，毕业于清华大学，软件工程硕士学位，</w:t>
      </w:r>
      <w:r>
        <w:rPr>
          <w:rFonts w:ascii="Times New Roman" w:hAnsi="Times New Roman" w:cs="Times New Roman" w:eastAsia="Times New Roman" w:hint="default"/>
        </w:rPr>
        <w:t>2002</w:t>
      </w:r>
      <w:r>
        <w:rPr/>
        <w:t>年获美国新泽西州立大学</w:t>
      </w:r>
      <w:r>
        <w:rPr>
          <w:rFonts w:ascii="Times New Roman" w:hAnsi="Times New Roman" w:cs="Times New Roman" w:eastAsia="Times New Roman" w:hint="default"/>
        </w:rPr>
        <w:t>Rutgers</w:t>
      </w:r>
      <w:r>
        <w:rPr/>
        <w:t>商学院</w:t>
      </w:r>
      <w:r>
        <w:rPr>
          <w:rFonts w:ascii="Times New Roman" w:hAnsi="Times New Roman" w:cs="Times New Roman" w:eastAsia="Times New Roman" w:hint="default"/>
        </w:rPr>
        <w:t>EMBA</w:t>
      </w:r>
      <w:r>
        <w:rPr>
          <w:rFonts w:ascii="Times New Roman" w:hAnsi="Times New Roman" w:cs="Times New Roman" w:eastAsia="Times New Roman" w:hint="default"/>
          <w:w w:val="99"/>
        </w:rPr>
        <w:t> </w:t>
      </w:r>
      <w:r>
        <w:rPr>
          <w:spacing w:val="-2"/>
        </w:rPr>
        <w:t>学位；曾任吉通通信有限公司技术总体部经理、中国惠普有限公司软件业务部总经理、上海联盈数码技术有限公司董事、总</w:t>
      </w:r>
      <w:r>
        <w:rPr>
          <w:spacing w:val="-78"/>
        </w:rPr>
        <w:t> </w:t>
      </w:r>
      <w:r>
        <w:rPr>
          <w:spacing w:val="-78"/>
        </w:rPr>
      </w:r>
      <w:r>
        <w:rPr/>
        <w:t>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月至今任公司副董事长、董事会秘书。现兼任大连华信计算机技术股份有限公司董事、北京神州泰岳顶策科 </w:t>
      </w:r>
      <w:r>
        <w:rPr>
          <w:spacing w:val="-2"/>
        </w:rPr>
        <w:t>技（北京）有限公司董事长、重庆新媒农信科技有限公司执行董事、重庆新媒亿网科技有限公司执行董事、重庆新迈峰科技</w:t>
      </w:r>
      <w:r>
        <w:rPr>
          <w:spacing w:val="-78"/>
        </w:rPr>
        <w:t> </w:t>
      </w:r>
      <w:r>
        <w:rPr>
          <w:spacing w:val="-78"/>
        </w:rPr>
      </w:r>
      <w:r>
        <w:rPr/>
        <w:t>有限公司执行董事、北京启天同信科技有限公司董事、北京中清龙图网络技术有限公司董事、</w:t>
      </w:r>
      <w:r>
        <w:rPr>
          <w:rFonts w:ascii="Times New Roman" w:hAnsi="Times New Roman" w:cs="Times New Roman" w:eastAsia="Times New Roman" w:hint="default"/>
        </w:rPr>
        <w:t>Ultrapower 360 Pte</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t>董事。 </w:t>
      </w:r>
      <w:r>
        <w:rPr>
          <w:rFonts w:ascii="宋体" w:hAnsi="宋体" w:cs="宋体" w:eastAsia="宋体" w:hint="default"/>
          <w:b/>
          <w:bCs/>
          <w:spacing w:val="-2"/>
        </w:rPr>
        <w:t>万能</w:t>
      </w:r>
      <w:r>
        <w:rPr>
          <w:spacing w:val="-2"/>
        </w:rPr>
        <w:t>先生，</w:t>
      </w:r>
      <w:r>
        <w:rPr>
          <w:rFonts w:ascii="Times New Roman" w:hAnsi="Times New Roman" w:cs="Times New Roman" w:eastAsia="Times New Roman" w:hint="default"/>
          <w:spacing w:val="-2"/>
        </w:rPr>
        <w:t>1971</w:t>
      </w:r>
      <w:r>
        <w:rPr>
          <w:spacing w:val="-2"/>
        </w:rPr>
        <w:t>年出生，毕业于北京科技大学；曾任北京科海天地电子技术有限公司技术部经理、北京中自公司技术部</w:t>
      </w:r>
      <w:r>
        <w:rPr/>
        <w:t> </w:t>
      </w:r>
      <w:r>
        <w:rPr>
          <w:spacing w:val="-2"/>
        </w:rPr>
        <w:t>经理、北京神州泰岳科技有限公司副经理；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月至今任公司董事，自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月起担任公司财务总监。兼任北京启天同</w:t>
      </w:r>
    </w:p>
    <w:p>
      <w:pPr>
        <w:pStyle w:val="BodyText"/>
        <w:spacing w:line="477" w:lineRule="auto" w:before="38"/>
        <w:ind w:left="475" w:right="105" w:hanging="362"/>
        <w:jc w:val="left"/>
      </w:pPr>
      <w:r>
        <w:rPr/>
        <w:t>信科技有限公司董事。 </w:t>
      </w:r>
      <w:r>
        <w:rPr>
          <w:rFonts w:ascii="宋体" w:hAnsi="宋体" w:cs="宋体" w:eastAsia="宋体" w:hint="default"/>
          <w:b/>
          <w:bCs/>
          <w:spacing w:val="-5"/>
        </w:rPr>
        <w:t>齐强</w:t>
      </w:r>
      <w:r>
        <w:rPr>
          <w:spacing w:val="-5"/>
        </w:rPr>
        <w:t>先生，</w:t>
      </w:r>
      <w:r>
        <w:rPr>
          <w:rFonts w:ascii="Times New Roman" w:hAnsi="Times New Roman" w:cs="Times New Roman" w:eastAsia="Times New Roman" w:hint="default"/>
          <w:spacing w:val="-5"/>
        </w:rPr>
        <w:t>1970</w:t>
      </w:r>
      <w:r>
        <w:rPr>
          <w:spacing w:val="-5"/>
        </w:rPr>
        <w:t>年出生，毕业于河北大学；曾任北京科海天地电子技术有限公司销售部经理、北京中自公司销售部经理；</w:t>
      </w:r>
    </w:p>
    <w:p>
      <w:pPr>
        <w:pStyle w:val="BodyText"/>
        <w:spacing w:line="451" w:lineRule="auto" w:before="21"/>
        <w:ind w:left="113" w:right="103"/>
        <w:jc w:val="left"/>
      </w:pPr>
      <w:r>
        <w:rPr>
          <w:rFonts w:ascii="Times New Roman" w:hAnsi="Times New Roman" w:cs="Times New Roman" w:eastAsia="Times New Roman" w:hint="default"/>
        </w:rPr>
        <w:t>1997</w:t>
      </w:r>
      <w:r>
        <w:rPr/>
        <w:t>年至今历任北京神州泰岳科技有限公司副经理、北京启天同信科技有限公司总经理；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月至今任公司董事，兼任</w:t>
      </w:r>
      <w:r>
        <w:rPr>
          <w:spacing w:val="-82"/>
        </w:rPr>
        <w:t> </w:t>
      </w:r>
      <w:r>
        <w:rPr>
          <w:spacing w:val="-82"/>
        </w:rPr>
      </w:r>
      <w:r>
        <w:rPr/>
        <w:t>北京启天同信科技有限公司董事长、总经理。</w:t>
      </w:r>
    </w:p>
    <w:p>
      <w:pPr>
        <w:pStyle w:val="BodyText"/>
        <w:spacing w:line="451" w:lineRule="auto" w:before="74"/>
        <w:ind w:left="114" w:right="112" w:firstLine="361"/>
        <w:jc w:val="both"/>
      </w:pPr>
      <w:r>
        <w:rPr>
          <w:rFonts w:ascii="宋体" w:hAnsi="宋体" w:cs="宋体" w:eastAsia="宋体" w:hint="default"/>
          <w:b/>
          <w:bCs/>
          <w:spacing w:val="-2"/>
        </w:rPr>
        <w:t>徐斯平</w:t>
      </w:r>
      <w:r>
        <w:rPr>
          <w:spacing w:val="-2"/>
        </w:rPr>
        <w:t>先生，</w:t>
      </w:r>
      <w:r>
        <w:rPr>
          <w:rFonts w:ascii="Times New Roman" w:hAnsi="Times New Roman" w:cs="Times New Roman" w:eastAsia="Times New Roman" w:hint="default"/>
          <w:spacing w:val="-2"/>
        </w:rPr>
        <w:t>1958</w:t>
      </w:r>
      <w:r>
        <w:rPr>
          <w:spacing w:val="-2"/>
        </w:rPr>
        <w:t>年出生，毕业于大连理工大学；曾先后任职于国家计委、国家经贸委、香港江胜集团、北京思乐信息</w:t>
      </w:r>
      <w:r>
        <w:rPr/>
        <w:t> </w:t>
      </w:r>
      <w:r>
        <w:rPr>
          <w:spacing w:val="-4"/>
        </w:rPr>
        <w:t>技术有限公司；</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6</w:t>
      </w:r>
      <w:r>
        <w:rPr>
          <w:spacing w:val="-4"/>
        </w:rPr>
        <w:t>月至今任公司董事。兼任北京思乐信息技术有限公司董事长、北京互联时代通讯科技有限公司董事、</w:t>
      </w:r>
      <w:r>
        <w:rPr>
          <w:spacing w:val="-36"/>
        </w:rPr>
        <w:t> </w:t>
      </w:r>
      <w:r>
        <w:rPr>
          <w:spacing w:val="-36"/>
        </w:rPr>
      </w:r>
      <w:r>
        <w:rPr/>
        <w:t>北京启天同信科技有限公司董事、上海大渡新物流有限公司执行董事及总经理、北京顺通典当有限责任公司董事。</w:t>
      </w:r>
    </w:p>
    <w:p>
      <w:pPr>
        <w:pStyle w:val="BodyText"/>
        <w:spacing w:line="456" w:lineRule="auto" w:before="74"/>
        <w:ind w:left="113" w:right="110" w:firstLine="361"/>
        <w:jc w:val="both"/>
      </w:pPr>
      <w:r>
        <w:rPr>
          <w:rFonts w:ascii="宋体" w:hAnsi="宋体" w:cs="宋体" w:eastAsia="宋体" w:hint="default"/>
          <w:b/>
          <w:bCs/>
          <w:spacing w:val="-2"/>
        </w:rPr>
        <w:t>翟一兵</w:t>
      </w:r>
      <w:r>
        <w:rPr>
          <w:spacing w:val="-2"/>
        </w:rPr>
        <w:t>先生，</w:t>
      </w:r>
      <w:r>
        <w:rPr>
          <w:rFonts w:ascii="Times New Roman" w:hAnsi="Times New Roman" w:cs="Times New Roman" w:eastAsia="Times New Roman" w:hint="default"/>
          <w:spacing w:val="-2"/>
        </w:rPr>
        <w:t>1963</w:t>
      </w:r>
      <w:r>
        <w:rPr>
          <w:spacing w:val="-2"/>
        </w:rPr>
        <w:t>年出生，教授级高级工程师。</w:t>
      </w:r>
      <w:r>
        <w:rPr>
          <w:rFonts w:ascii="Times New Roman" w:hAnsi="Times New Roman" w:cs="Times New Roman" w:eastAsia="Times New Roman" w:hint="default"/>
          <w:spacing w:val="-2"/>
        </w:rPr>
        <w:t>1986</w:t>
      </w:r>
      <w:r>
        <w:rPr>
          <w:spacing w:val="-2"/>
        </w:rPr>
        <w:t>年毕业于北京邮电学院无线电工程专业，留校后任计算机工程系助</w:t>
      </w:r>
      <w:r>
        <w:rPr/>
        <w:t> </w:t>
      </w:r>
      <w:r>
        <w:rPr>
          <w:spacing w:val="-2"/>
        </w:rPr>
        <w:t>教；先后获得挪威商学院硕士学位和法国雷恩商学院博士学位。</w:t>
      </w:r>
      <w:r>
        <w:rPr>
          <w:rFonts w:ascii="Times New Roman" w:hAnsi="Times New Roman" w:cs="Times New Roman" w:eastAsia="Times New Roman" w:hint="default"/>
          <w:spacing w:val="-2"/>
        </w:rPr>
        <w:t>1990</w:t>
      </w:r>
      <w:r>
        <w:rPr>
          <w:spacing w:val="-2"/>
        </w:rPr>
        <w:t>年进入邮电部电信总局工作，曾任科员、主任、局长助</w:t>
      </w:r>
      <w:r>
        <w:rPr>
          <w:spacing w:val="-62"/>
        </w:rPr>
        <w:t> </w:t>
      </w:r>
      <w:r>
        <w:rPr>
          <w:spacing w:val="-62"/>
        </w:rPr>
      </w:r>
      <w:r>
        <w:rPr>
          <w:spacing w:val="-2"/>
        </w:rPr>
        <w:t>理；在地方挂职锻炼任职副市长；中国移动通信集团公司筹备办公室主任、中国移动通信集团公司网络部副部长；</w:t>
      </w:r>
      <w:r>
        <w:rPr>
          <w:rFonts w:ascii="宋体" w:hAnsi="宋体" w:cs="宋体" w:eastAsia="宋体" w:hint="default"/>
          <w:spacing w:val="-2"/>
        </w:rPr>
        <w:t>2002</w:t>
      </w:r>
      <w:r>
        <w:rPr>
          <w:spacing w:val="-2"/>
        </w:rPr>
        <w:t>年在</w:t>
      </w:r>
      <w:r>
        <w:rPr>
          <w:spacing w:val="-61"/>
        </w:rPr>
        <w:t> </w:t>
      </w:r>
      <w:r>
        <w:rPr>
          <w:spacing w:val="-5"/>
        </w:rPr>
        <w:t>中国联合通信有限公司曾任移动部、增值业务部、营销部副总经理；</w:t>
      </w:r>
      <w:r>
        <w:rPr>
          <w:rFonts w:ascii="Times New Roman" w:hAnsi="Times New Roman" w:cs="Times New Roman" w:eastAsia="Times New Roman" w:hint="default"/>
          <w:spacing w:val="-5"/>
        </w:rPr>
        <w:t>2007</w:t>
      </w:r>
      <w:r>
        <w:rPr>
          <w:spacing w:val="-5"/>
        </w:rPr>
        <w:t>年任联通时科信息技术有限公司董事、首席执行官；</w:t>
      </w:r>
      <w:r>
        <w:rPr>
          <w:spacing w:val="-71"/>
        </w:rPr>
        <w:t> </w:t>
      </w:r>
      <w:r>
        <w:rPr>
          <w:spacing w:val="-71"/>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月，担任公司首席运营官（</w:t>
      </w:r>
      <w:r>
        <w:rPr>
          <w:rFonts w:ascii="Times New Roman" w:hAnsi="Times New Roman" w:cs="Times New Roman" w:eastAsia="Times New Roman" w:hint="default"/>
        </w:rPr>
        <w:t>COO</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月至今担任公司董事兼首席运营官。兼任北京神州泰岳智能数据技术</w:t>
      </w:r>
      <w:r>
        <w:rPr>
          <w:spacing w:val="-24"/>
        </w:rPr>
        <w:t> </w:t>
      </w:r>
      <w:r>
        <w:rPr>
          <w:spacing w:val="-24"/>
        </w:rPr>
      </w:r>
      <w:r>
        <w:rPr/>
        <w:t>有限公司执行董事。</w:t>
      </w:r>
    </w:p>
    <w:p>
      <w:pPr>
        <w:pStyle w:val="BodyText"/>
        <w:spacing w:line="240" w:lineRule="auto" w:before="70"/>
        <w:ind w:left="114" w:right="0" w:firstLine="361"/>
        <w:jc w:val="both"/>
      </w:pPr>
      <w:r>
        <w:rPr>
          <w:rFonts w:ascii="宋体" w:hAnsi="宋体" w:cs="宋体" w:eastAsia="宋体" w:hint="default"/>
          <w:b/>
          <w:bCs/>
        </w:rPr>
        <w:t>汪铖</w:t>
      </w:r>
      <w:r>
        <w:rPr/>
        <w:t>先生，</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w:t>
      </w:r>
      <w:r>
        <w:rPr/>
        <w:t>月出生，毕业于武汉测绘科技大学，学士学位。曾任兆维集团通信工程师、联想集团销售经理，北</w:t>
      </w:r>
    </w:p>
    <w:p>
      <w:pPr>
        <w:spacing w:line="240" w:lineRule="auto" w:before="9"/>
        <w:rPr>
          <w:rFonts w:ascii="宋体" w:hAnsi="宋体" w:cs="宋体" w:eastAsia="宋体" w:hint="default"/>
          <w:sz w:val="16"/>
          <w:szCs w:val="16"/>
        </w:rPr>
      </w:pPr>
    </w:p>
    <w:p>
      <w:pPr>
        <w:pStyle w:val="BodyText"/>
        <w:spacing w:line="240" w:lineRule="auto"/>
        <w:ind w:left="114" w:right="0"/>
        <w:jc w:val="left"/>
      </w:pPr>
      <w:r>
        <w:rPr/>
        <w:t>京互联时代通讯科技有限公司总经理，北京新媒传信科技有限公司总经理；</w:t>
      </w:r>
      <w:r>
        <w:rPr>
          <w:rFonts w:ascii="宋体" w:hAnsi="宋体" w:cs="宋体" w:eastAsia="宋体" w:hint="default"/>
        </w:rPr>
        <w:t>2010</w:t>
      </w:r>
      <w:r>
        <w:rPr/>
        <w:t>年</w:t>
      </w:r>
      <w:r>
        <w:rPr>
          <w:rFonts w:ascii="宋体" w:hAnsi="宋体" w:cs="宋体" w:eastAsia="宋体" w:hint="default"/>
        </w:rPr>
        <w:t>1</w:t>
      </w:r>
      <w:r>
        <w:rPr/>
        <w:t>月，担任公司副总经理，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p>
    <w:p>
      <w:pPr>
        <w:spacing w:after="0" w:line="240" w:lineRule="auto"/>
        <w:jc w:val="left"/>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63" w:lineRule="auto" w:before="83"/>
        <w:ind w:right="189"/>
        <w:jc w:val="both"/>
      </w:pPr>
      <w:r>
        <w:rPr/>
        <w:t>今任公司董事。兼任北京新媒传信科技有限公司执行董事、北京启天同信科技有限公司董事、</w:t>
      </w:r>
      <w:r>
        <w:rPr>
          <w:rFonts w:ascii="Times New Roman" w:hAnsi="Times New Roman" w:cs="Times New Roman" w:eastAsia="Times New Roman" w:hint="default"/>
        </w:rPr>
        <w:t>Ultrapower 360 Pte</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r>
        <w:rPr/>
        <w:t>董事、 </w:t>
      </w:r>
      <w:r>
        <w:rPr>
          <w:spacing w:val="-2"/>
        </w:rPr>
        <w:t>北京神州泰奇互动科技有限公司执行董事、北京泰岳智桥信息技术有限公司执行董事及总经理、宁波泰岳梧桐投资管理有限</w:t>
      </w:r>
      <w:r>
        <w:rPr>
          <w:spacing w:val="-64"/>
        </w:rPr>
        <w:t> </w:t>
      </w:r>
      <w:r>
        <w:rPr>
          <w:spacing w:val="-64"/>
        </w:rPr>
      </w:r>
      <w:r>
        <w:rPr/>
        <w:t>公司董事及总经理、北京光合起源网络科技有限公司董事、北京诚行天下投资咨询有限公司董事。</w:t>
      </w:r>
    </w:p>
    <w:p>
      <w:pPr>
        <w:pStyle w:val="BodyText"/>
        <w:spacing w:line="458" w:lineRule="auto" w:before="65"/>
        <w:ind w:right="189" w:firstLine="361"/>
        <w:jc w:val="both"/>
      </w:pPr>
      <w:r>
        <w:rPr>
          <w:rFonts w:ascii="宋体" w:hAnsi="宋体" w:cs="宋体" w:eastAsia="宋体" w:hint="default"/>
          <w:b/>
          <w:bCs/>
          <w:spacing w:val="-2"/>
        </w:rPr>
        <w:t>江锡如</w:t>
      </w:r>
      <w:r>
        <w:rPr>
          <w:spacing w:val="-2"/>
        </w:rPr>
        <w:t>先生，</w:t>
      </w:r>
      <w:r>
        <w:rPr>
          <w:rFonts w:ascii="Times New Roman" w:hAnsi="Times New Roman" w:cs="Times New Roman" w:eastAsia="Times New Roman" w:hint="default"/>
          <w:spacing w:val="-2"/>
        </w:rPr>
        <w:t>1965</w:t>
      </w:r>
      <w:r>
        <w:rPr>
          <w:spacing w:val="-2"/>
        </w:rPr>
        <w:t>年出生，毕业于中国人民大学，获经济学学士学位，高级会计师，党员。曾任财政部办公厅秘书；财</w:t>
      </w:r>
      <w:r>
        <w:rPr/>
        <w:t> </w:t>
      </w:r>
      <w:r>
        <w:rPr>
          <w:spacing w:val="-2"/>
        </w:rPr>
        <w:t>政部原商贸司副处长；财政部经贸司及企业司副处长；财政部企业司正处级调研员；中投信用担保有限公司财务总监兼财务</w:t>
      </w:r>
      <w:r>
        <w:rPr>
          <w:spacing w:val="-66"/>
        </w:rPr>
        <w:t> </w:t>
      </w:r>
      <w:r>
        <w:rPr>
          <w:spacing w:val="-66"/>
        </w:rPr>
      </w:r>
      <w:r>
        <w:rPr/>
        <w:t>部总经理。现任中国华粮物流集团公司副总经理；北京立思辰科技股份有限公司独立董事。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w:t>
      </w:r>
      <w:r>
        <w:rPr>
          <w:spacing w:val="-82"/>
        </w:rPr>
        <w:t> </w:t>
      </w:r>
      <w:r>
        <w:rPr>
          <w:spacing w:val="-82"/>
        </w:rPr>
      </w:r>
      <w:r>
        <w:rPr/>
        <w:t>事。</w:t>
      </w:r>
    </w:p>
    <w:p>
      <w:pPr>
        <w:pStyle w:val="BodyText"/>
        <w:spacing w:line="463" w:lineRule="auto" w:before="68"/>
        <w:ind w:right="190" w:firstLine="361"/>
        <w:jc w:val="both"/>
      </w:pPr>
      <w:r>
        <w:rPr>
          <w:rFonts w:ascii="宋体" w:hAnsi="宋体" w:cs="宋体" w:eastAsia="宋体" w:hint="default"/>
          <w:b/>
          <w:bCs/>
        </w:rPr>
        <w:t>刘凯湘</w:t>
      </w:r>
      <w:r>
        <w:rPr/>
        <w:t>先生，</w:t>
      </w:r>
      <w:r>
        <w:rPr>
          <w:rFonts w:ascii="Times New Roman" w:hAnsi="Times New Roman" w:cs="Times New Roman" w:eastAsia="Times New Roman" w:hint="default"/>
        </w:rPr>
        <w:t>1964</w:t>
      </w:r>
      <w:r>
        <w:rPr/>
        <w:t>年出生，中国国籍，博士学历，教授，仲裁员。</w:t>
      </w:r>
      <w:r>
        <w:rPr>
          <w:rFonts w:ascii="Times New Roman" w:hAnsi="Times New Roman" w:cs="Times New Roman" w:eastAsia="Times New Roman" w:hint="default"/>
        </w:rPr>
        <w:t>1987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月任北京工商大学教授，</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5</w:t>
      </w:r>
      <w:r>
        <w:rPr/>
        <w:t>月至今任北京大学教授、博士生导师。兼任中国国际经济贸易仲裁委员会仲裁员，新加坡国际仲裁院仲裁员，北京仲裁</w:t>
      </w:r>
      <w:r>
        <w:rPr>
          <w:spacing w:val="-82"/>
        </w:rPr>
        <w:t> </w:t>
      </w:r>
      <w:r>
        <w:rPr>
          <w:spacing w:val="-82"/>
        </w:rPr>
      </w:r>
      <w:r>
        <w:rPr>
          <w:spacing w:val="-5"/>
        </w:rPr>
        <w:t>委员会仲裁员，中国商法学研究会副会长，中国民法学研究会常务理事，北京市民商法研究会副会长，湖南大学、上海大学、</w:t>
      </w:r>
      <w:r>
        <w:rPr>
          <w:spacing w:val="-79"/>
        </w:rPr>
        <w:t> </w:t>
      </w:r>
      <w:r>
        <w:rPr>
          <w:spacing w:val="-79"/>
        </w:rPr>
      </w:r>
      <w:r>
        <w:rPr>
          <w:spacing w:val="-2"/>
        </w:rPr>
        <w:t>北京工商大学、澳门科技大学等兼职教授；国家统计局、河北省人大常委会等专家咨询委员会委员；太极计算机股份有限公</w:t>
      </w:r>
      <w:r>
        <w:rPr>
          <w:spacing w:val="-66"/>
        </w:rPr>
        <w:t> </w:t>
      </w:r>
      <w:r>
        <w:rPr>
          <w:spacing w:val="-66"/>
        </w:rPr>
      </w:r>
      <w:r>
        <w:rPr/>
        <w:t>司独立董事、北京东方园林股份有限公司独立董事。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63" w:lineRule="auto" w:before="33"/>
        <w:ind w:left="154" w:right="191" w:firstLine="361"/>
        <w:jc w:val="both"/>
      </w:pPr>
      <w:r>
        <w:rPr>
          <w:rFonts w:ascii="宋体" w:hAnsi="宋体" w:cs="宋体" w:eastAsia="宋体" w:hint="default"/>
          <w:b/>
          <w:bCs/>
        </w:rPr>
        <w:t>蓝伯雄</w:t>
      </w:r>
      <w:r>
        <w:rPr/>
        <w:t>先生，</w:t>
      </w:r>
      <w:r>
        <w:rPr>
          <w:rFonts w:ascii="Times New Roman" w:hAnsi="Times New Roman" w:cs="Times New Roman" w:eastAsia="Times New Roman" w:hint="default"/>
        </w:rPr>
        <w:t>1950</w:t>
      </w:r>
      <w:r>
        <w:rPr/>
        <w:t>年出生，中国国籍，教授。</w:t>
      </w:r>
      <w:r>
        <w:rPr>
          <w:rFonts w:ascii="Times New Roman" w:hAnsi="Times New Roman" w:cs="Times New Roman" w:eastAsia="Times New Roman" w:hint="default"/>
        </w:rPr>
        <w:t>1993</w:t>
      </w:r>
      <w:r>
        <w:rPr>
          <w:rFonts w:ascii="Times New Roman" w:hAnsi="Times New Roman" w:cs="Times New Roman" w:eastAsia="Times New Roman" w:hint="default"/>
          <w:spacing w:val="42"/>
        </w:rPr>
        <w:t> </w:t>
      </w:r>
      <w:r>
        <w:rPr/>
        <w:t>年毕业于加拿大滑铁卢大学管理科学系，获管理科学博士学位。曾 </w:t>
      </w:r>
      <w:r>
        <w:rPr>
          <w:spacing w:val="-2"/>
        </w:rPr>
        <w:t>任清华大学经济管理学院副院长；现任清华大学经济管理学院教授，兼任中国运筹学会、北京运筹学会理事、美国运筹与管</w:t>
      </w:r>
      <w:r>
        <w:rPr>
          <w:spacing w:val="-66"/>
        </w:rPr>
        <w:t> </w:t>
      </w:r>
      <w:r>
        <w:rPr>
          <w:spacing w:val="-66"/>
        </w:rPr>
      </w:r>
      <w:r>
        <w:rPr/>
        <w:t>理科学学会会员。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77" w:lineRule="auto" w:before="34"/>
        <w:ind w:right="189" w:firstLine="361"/>
        <w:jc w:val="both"/>
      </w:pPr>
      <w:r>
        <w:rPr>
          <w:rFonts w:ascii="宋体" w:hAnsi="宋体" w:cs="宋体" w:eastAsia="宋体" w:hint="default"/>
          <w:b/>
          <w:bCs/>
        </w:rPr>
        <w:t>罗建北</w:t>
      </w:r>
      <w:r>
        <w:rPr/>
        <w:t>女士，</w:t>
      </w:r>
      <w:r>
        <w:rPr>
          <w:rFonts w:ascii="宋体" w:hAnsi="宋体" w:cs="宋体" w:eastAsia="宋体" w:hint="default"/>
        </w:rPr>
        <w:t>1945</w:t>
      </w:r>
      <w:r>
        <w:rPr/>
        <w:t>年</w:t>
      </w:r>
      <w:r>
        <w:rPr>
          <w:rFonts w:ascii="宋体" w:hAnsi="宋体" w:cs="宋体" w:eastAsia="宋体" w:hint="default"/>
        </w:rPr>
        <w:t>11</w:t>
      </w:r>
      <w:r>
        <w:rPr/>
        <w:t>月出生，中国国籍、汉族、本科学历、研究员。</w:t>
      </w:r>
      <w:r>
        <w:rPr>
          <w:rFonts w:ascii="宋体" w:hAnsi="宋体" w:cs="宋体" w:eastAsia="宋体" w:hint="default"/>
        </w:rPr>
        <w:t>1970</w:t>
      </w:r>
      <w:r>
        <w:rPr/>
        <w:t>年至</w:t>
      </w:r>
      <w:r>
        <w:rPr>
          <w:rFonts w:ascii="宋体" w:hAnsi="宋体" w:cs="宋体" w:eastAsia="宋体" w:hint="default"/>
        </w:rPr>
        <w:t>1994</w:t>
      </w:r>
      <w:r>
        <w:rPr/>
        <w:t>年</w:t>
      </w:r>
      <w:r>
        <w:rPr>
          <w:rFonts w:ascii="宋体" w:hAnsi="宋体" w:cs="宋体" w:eastAsia="宋体" w:hint="default"/>
        </w:rPr>
        <w:t>3</w:t>
      </w:r>
      <w:r>
        <w:rPr/>
        <w:t>月任清华大学计算机系党委书 </w:t>
      </w:r>
      <w:r>
        <w:rPr>
          <w:spacing w:val="-3"/>
        </w:rPr>
        <w:t>记、副教授；</w:t>
      </w:r>
      <w:r>
        <w:rPr>
          <w:rFonts w:ascii="宋体" w:hAnsi="宋体" w:cs="宋体" w:eastAsia="宋体" w:hint="default"/>
          <w:spacing w:val="-3"/>
        </w:rPr>
        <w:t>1994</w:t>
      </w:r>
      <w:r>
        <w:rPr>
          <w:spacing w:val="-3"/>
        </w:rPr>
        <w:t>年</w:t>
      </w:r>
      <w:r>
        <w:rPr>
          <w:rFonts w:ascii="宋体" w:hAnsi="宋体" w:cs="宋体" w:eastAsia="宋体" w:hint="default"/>
          <w:spacing w:val="-3"/>
        </w:rPr>
        <w:t>4</w:t>
      </w:r>
      <w:r>
        <w:rPr>
          <w:spacing w:val="-3"/>
        </w:rPr>
        <w:t>月至</w:t>
      </w:r>
      <w:r>
        <w:rPr>
          <w:rFonts w:ascii="宋体" w:hAnsi="宋体" w:cs="宋体" w:eastAsia="宋体" w:hint="default"/>
          <w:spacing w:val="-3"/>
        </w:rPr>
        <w:t>1996</w:t>
      </w:r>
      <w:r>
        <w:rPr>
          <w:spacing w:val="-3"/>
        </w:rPr>
        <w:t>年</w:t>
      </w:r>
      <w:r>
        <w:rPr>
          <w:rFonts w:ascii="宋体" w:hAnsi="宋体" w:cs="宋体" w:eastAsia="宋体" w:hint="default"/>
          <w:spacing w:val="-3"/>
        </w:rPr>
        <w:t>12</w:t>
      </w:r>
      <w:r>
        <w:rPr>
          <w:spacing w:val="-3"/>
        </w:rPr>
        <w:t>月任清华大学软件技术中心主任；</w:t>
      </w:r>
      <w:r>
        <w:rPr>
          <w:rFonts w:ascii="宋体" w:hAnsi="宋体" w:cs="宋体" w:eastAsia="宋体" w:hint="default"/>
          <w:spacing w:val="-3"/>
        </w:rPr>
        <w:t>1997</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1999</w:t>
      </w:r>
      <w:r>
        <w:rPr>
          <w:spacing w:val="-3"/>
        </w:rPr>
        <w:t>年</w:t>
      </w:r>
      <w:r>
        <w:rPr>
          <w:rFonts w:ascii="宋体" w:hAnsi="宋体" w:cs="宋体" w:eastAsia="宋体" w:hint="default"/>
          <w:spacing w:val="-3"/>
        </w:rPr>
        <w:t>2</w:t>
      </w:r>
      <w:r>
        <w:rPr>
          <w:spacing w:val="-3"/>
        </w:rPr>
        <w:t>月任清华同方股份有限公司董事、</w:t>
      </w:r>
      <w:r>
        <w:rPr>
          <w:spacing w:val="-69"/>
        </w:rPr>
        <w:t> </w:t>
      </w:r>
      <w:r>
        <w:rPr/>
        <w:t>常务副总裁；</w:t>
      </w:r>
      <w:r>
        <w:rPr>
          <w:rFonts w:ascii="宋体" w:hAnsi="宋体" w:cs="宋体" w:eastAsia="宋体" w:hint="default"/>
        </w:rPr>
        <w:t>1999</w:t>
      </w:r>
      <w:r>
        <w:rPr/>
        <w:t>年</w:t>
      </w:r>
      <w:r>
        <w:rPr>
          <w:rFonts w:ascii="宋体" w:hAnsi="宋体" w:cs="宋体" w:eastAsia="宋体" w:hint="default"/>
        </w:rPr>
        <w:t>3</w:t>
      </w:r>
      <w:r>
        <w:rPr/>
        <w:t>月至</w:t>
      </w:r>
      <w:r>
        <w:rPr>
          <w:rFonts w:ascii="宋体" w:hAnsi="宋体" w:cs="宋体" w:eastAsia="宋体" w:hint="default"/>
        </w:rPr>
        <w:t>2009</w:t>
      </w:r>
      <w:r>
        <w:rPr/>
        <w:t>年</w:t>
      </w:r>
      <w:r>
        <w:rPr>
          <w:rFonts w:ascii="宋体" w:hAnsi="宋体" w:cs="宋体" w:eastAsia="宋体" w:hint="default"/>
        </w:rPr>
        <w:t>3</w:t>
      </w:r>
      <w:r>
        <w:rPr/>
        <w:t>月任清华科技园副主任、启迪控股股份有限公司副总裁；</w:t>
      </w:r>
      <w:r>
        <w:rPr>
          <w:rFonts w:ascii="宋体" w:hAnsi="宋体" w:cs="宋体" w:eastAsia="宋体" w:hint="default"/>
        </w:rPr>
        <w:t>2009</w:t>
      </w:r>
      <w:r>
        <w:rPr/>
        <w:t>年</w:t>
      </w:r>
      <w:r>
        <w:rPr>
          <w:rFonts w:ascii="宋体" w:hAnsi="宋体" w:cs="宋体" w:eastAsia="宋体" w:hint="default"/>
        </w:rPr>
        <w:t>4</w:t>
      </w:r>
      <w:r>
        <w:rPr/>
        <w:t>月正式退休。</w:t>
      </w:r>
      <w:r>
        <w:rPr>
          <w:rFonts w:ascii="宋体" w:hAnsi="宋体" w:cs="宋体" w:eastAsia="宋体" w:hint="default"/>
        </w:rPr>
        <w:t>2014</w:t>
      </w:r>
      <w:r>
        <w:rPr/>
        <w:t>年</w:t>
      </w:r>
      <w:r>
        <w:rPr>
          <w:rFonts w:ascii="宋体" w:hAnsi="宋体" w:cs="宋体" w:eastAsia="宋体" w:hint="default"/>
        </w:rPr>
        <w:t>6</w:t>
      </w:r>
      <w:r>
        <w:rPr>
          <w:rFonts w:ascii="宋体" w:hAnsi="宋体" w:cs="宋体" w:eastAsia="宋体" w:hint="default"/>
          <w:spacing w:val="-5"/>
        </w:rPr>
        <w:t> </w:t>
      </w:r>
      <w:r>
        <w:rPr>
          <w:spacing w:val="-2"/>
        </w:rPr>
        <w:t>月至今担任公司独立董事。现兼任北京昆仑万维科技股份有限公司独立董事、山东齐星铁塔科技股份有限公司独立董事、双</w:t>
      </w:r>
      <w:r>
        <w:rPr>
          <w:spacing w:val="-66"/>
        </w:rPr>
        <w:t> </w:t>
      </w:r>
      <w:r>
        <w:rPr>
          <w:spacing w:val="-66"/>
        </w:rPr>
      </w:r>
      <w:r>
        <w:rPr/>
        <w:t>清诚德科技（北京）有限公司董事、苏州清桥电子科技有限公司董事。</w:t>
      </w:r>
    </w:p>
    <w:p>
      <w:pPr>
        <w:pStyle w:val="Heading4"/>
        <w:spacing w:line="451" w:lineRule="auto" w:before="54"/>
        <w:ind w:left="515" w:right="4339" w:firstLine="58"/>
        <w:jc w:val="left"/>
        <w:rPr>
          <w:b w:val="0"/>
          <w:bCs w:val="0"/>
        </w:rPr>
      </w:pPr>
      <w:r>
        <w:rPr>
          <w:rFonts w:ascii="Times New Roman" w:hAnsi="Times New Roman" w:cs="Times New Roman" w:eastAsia="Times New Roman" w:hint="default"/>
        </w:rPr>
        <w:t>2</w:t>
      </w:r>
      <w:r>
        <w:rPr/>
        <w:t>、监事</w:t>
      </w:r>
      <w:r>
        <w:rPr>
          <w:spacing w:val="1"/>
          <w:w w:val="99"/>
        </w:rPr>
        <w:t> </w:t>
      </w:r>
      <w:r>
        <w:rPr>
          <w:w w:val="95"/>
        </w:rPr>
        <w:t>公司监事会由三名监事组成，其中职工监事一人，具体如下：</w:t>
      </w:r>
      <w:r>
        <w:rPr>
          <w:b w:val="0"/>
          <w:bCs w:val="0"/>
        </w:rPr>
      </w:r>
    </w:p>
    <w:p>
      <w:pPr>
        <w:pStyle w:val="BodyText"/>
        <w:spacing w:line="477" w:lineRule="auto" w:before="74"/>
        <w:ind w:left="154" w:right="92" w:firstLine="361"/>
        <w:jc w:val="left"/>
      </w:pPr>
      <w:r>
        <w:rPr>
          <w:rFonts w:ascii="宋体" w:hAnsi="宋体" w:cs="宋体" w:eastAsia="宋体" w:hint="default"/>
          <w:b/>
          <w:bCs/>
          <w:spacing w:val="-2"/>
        </w:rPr>
        <w:t>李广刚</w:t>
      </w:r>
      <w:r>
        <w:rPr>
          <w:spacing w:val="-2"/>
        </w:rPr>
        <w:t>先生，公司监事会主席，</w:t>
      </w:r>
      <w:r>
        <w:rPr>
          <w:rFonts w:ascii="宋体" w:hAnsi="宋体" w:cs="宋体" w:eastAsia="宋体" w:hint="default"/>
          <w:spacing w:val="-2"/>
        </w:rPr>
        <w:t>1978</w:t>
      </w:r>
      <w:r>
        <w:rPr>
          <w:spacing w:val="-2"/>
        </w:rPr>
        <w:t>年出生，毕业于济南大学；曾任北京泰立特科技发展有限公司青岛分公司软件工程</w:t>
      </w:r>
      <w:r>
        <w:rPr/>
        <w:t> 师、北京新晨科技股份有限公司客户经理、联盈数码公司客户经理；</w:t>
      </w:r>
      <w:r>
        <w:rPr>
          <w:rFonts w:ascii="宋体" w:hAnsi="宋体" w:cs="宋体" w:eastAsia="宋体" w:hint="default"/>
        </w:rPr>
        <w:t>2005</w:t>
      </w:r>
      <w:r>
        <w:rPr/>
        <w:t>年加入神州泰岳，历任公司销售经理、销售总监、</w:t>
      </w:r>
      <w:r>
        <w:rPr>
          <w:spacing w:val="-82"/>
        </w:rPr>
        <w:t> </w:t>
      </w:r>
      <w:r>
        <w:rPr>
          <w:spacing w:val="-82"/>
        </w:rPr>
      </w:r>
      <w:r>
        <w:rPr/>
        <w:t>政启事业部副总经理；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月至今担任公司监事会主席；现任正启分公司副总经理。</w:t>
      </w:r>
    </w:p>
    <w:p>
      <w:pPr>
        <w:pStyle w:val="BodyText"/>
        <w:spacing w:line="477" w:lineRule="auto" w:before="21"/>
        <w:ind w:right="189" w:firstLine="361"/>
        <w:jc w:val="both"/>
      </w:pPr>
      <w:r>
        <w:rPr>
          <w:rFonts w:ascii="宋体" w:hAnsi="宋体" w:cs="宋体" w:eastAsia="宋体" w:hint="default"/>
          <w:b/>
          <w:bCs/>
          <w:spacing w:val="-2"/>
        </w:rPr>
        <w:t>丁彦超</w:t>
      </w:r>
      <w:r>
        <w:rPr>
          <w:spacing w:val="-2"/>
        </w:rPr>
        <w:t>先生，公司监事，</w:t>
      </w:r>
      <w:r>
        <w:rPr>
          <w:rFonts w:ascii="宋体" w:hAnsi="宋体" w:cs="宋体" w:eastAsia="宋体" w:hint="default"/>
          <w:spacing w:val="-2"/>
        </w:rPr>
        <w:t>1968</w:t>
      </w:r>
      <w:r>
        <w:rPr>
          <w:spacing w:val="-2"/>
        </w:rPr>
        <w:t>年出生，毕业于西北大学计算机系；曾任天津石化公司计算机中心软件工程师，</w:t>
      </w:r>
      <w:r>
        <w:rPr>
          <w:rFonts w:ascii="宋体" w:hAnsi="宋体" w:cs="宋体" w:eastAsia="宋体" w:hint="default"/>
          <w:spacing w:val="-2"/>
        </w:rPr>
        <w:t>2002</w:t>
      </w:r>
      <w:r>
        <w:rPr>
          <w:spacing w:val="-2"/>
        </w:rPr>
        <w:t>年至</w:t>
      </w:r>
      <w:r>
        <w:rPr/>
        <w:t> 今历任公司研发工程师、网管项目管理部技术主管；</w:t>
      </w:r>
      <w:r>
        <w:rPr>
          <w:rFonts w:ascii="宋体" w:hAnsi="宋体" w:cs="宋体" w:eastAsia="宋体" w:hint="default"/>
        </w:rPr>
        <w:t>2008</w:t>
      </w:r>
      <w:r>
        <w:rPr/>
        <w:t>年至今担任公司项目管理部技术主管。</w:t>
      </w:r>
    </w:p>
    <w:p>
      <w:pPr>
        <w:pStyle w:val="BodyText"/>
        <w:spacing w:line="477" w:lineRule="auto" w:before="54"/>
        <w:ind w:right="189" w:firstLine="361"/>
        <w:jc w:val="both"/>
      </w:pPr>
      <w:r>
        <w:rPr>
          <w:rFonts w:ascii="宋体" w:hAnsi="宋体" w:cs="宋体" w:eastAsia="宋体" w:hint="default"/>
          <w:b/>
          <w:bCs/>
        </w:rPr>
        <w:t>郝岩</w:t>
      </w:r>
      <w:r>
        <w:rPr/>
        <w:t>女士，公司职工监事，</w:t>
      </w:r>
      <w:r>
        <w:rPr>
          <w:rFonts w:ascii="宋体" w:hAnsi="宋体" w:cs="宋体" w:eastAsia="宋体" w:hint="default"/>
        </w:rPr>
        <w:t>1980</w:t>
      </w:r>
      <w:r>
        <w:rPr/>
        <w:t>年出生，毕业于北京林业大学；</w:t>
      </w:r>
      <w:r>
        <w:rPr>
          <w:rFonts w:ascii="宋体" w:hAnsi="宋体" w:cs="宋体" w:eastAsia="宋体" w:hint="default"/>
        </w:rPr>
        <w:t>2004</w:t>
      </w:r>
      <w:r>
        <w:rPr/>
        <w:t>年</w:t>
      </w:r>
      <w:r>
        <w:rPr>
          <w:rFonts w:ascii="宋体" w:hAnsi="宋体" w:cs="宋体" w:eastAsia="宋体" w:hint="default"/>
        </w:rPr>
        <w:t>8</w:t>
      </w:r>
      <w:r>
        <w:rPr/>
        <w:t>月至今历任公司行政部经理助理、经理。</w:t>
      </w:r>
      <w:r>
        <w:rPr>
          <w:rFonts w:ascii="宋体" w:hAnsi="宋体" w:cs="宋体" w:eastAsia="宋体" w:hint="default"/>
        </w:rPr>
        <w:t>2008 </w:t>
      </w:r>
      <w:r>
        <w:rPr/>
        <w:t>年</w:t>
      </w:r>
      <w:r>
        <w:rPr>
          <w:rFonts w:ascii="宋体" w:hAnsi="宋体" w:cs="宋体" w:eastAsia="宋体" w:hint="default"/>
        </w:rPr>
        <w:t>11</w:t>
      </w:r>
      <w:r>
        <w:rPr/>
        <w:t>月起任公司职工监事。</w:t>
      </w:r>
    </w:p>
    <w:p>
      <w:pPr>
        <w:spacing w:after="0" w:line="477" w:lineRule="auto"/>
        <w:jc w:val="both"/>
        <w:sectPr>
          <w:pgSz w:w="11910" w:h="16840"/>
          <w:pgMar w:header="851" w:footer="1226" w:top="1380" w:bottom="1420" w:left="980" w:right="940"/>
        </w:sectPr>
      </w:pPr>
    </w:p>
    <w:p>
      <w:pPr>
        <w:spacing w:line="458" w:lineRule="auto" w:before="141"/>
        <w:ind w:left="515" w:right="433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截止</w:t>
      </w:r>
      <w:r>
        <w:rPr>
          <w:rFonts w:ascii="宋体" w:hAnsi="宋体" w:cs="宋体" w:eastAsia="宋体" w:hint="default"/>
          <w:b/>
          <w:bCs/>
          <w:sz w:val="18"/>
          <w:szCs w:val="18"/>
        </w:rPr>
        <w:t>2014</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日，公司高级管理人员具体情况如下：</w:t>
      </w:r>
      <w:r>
        <w:rPr>
          <w:rFonts w:ascii="宋体" w:hAnsi="宋体" w:cs="宋体" w:eastAsia="宋体" w:hint="default"/>
          <w:b/>
          <w:bCs/>
          <w:w w:val="99"/>
          <w:sz w:val="18"/>
          <w:szCs w:val="18"/>
        </w:rPr>
        <w:t> </w:t>
      </w:r>
      <w:r>
        <w:rPr>
          <w:rFonts w:ascii="宋体" w:hAnsi="宋体" w:cs="宋体" w:eastAsia="宋体" w:hint="default"/>
          <w:b/>
          <w:bCs/>
          <w:sz w:val="18"/>
          <w:szCs w:val="18"/>
        </w:rPr>
        <w:t>李力</w:t>
      </w:r>
      <w:r>
        <w:rPr>
          <w:rFonts w:ascii="宋体" w:hAnsi="宋体" w:cs="宋体" w:eastAsia="宋体" w:hint="default"/>
          <w:sz w:val="18"/>
          <w:szCs w:val="18"/>
        </w:rPr>
        <w:t>先生，公司总经理，简历见本节之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、董事会成员简介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黄松浪</w:t>
      </w:r>
      <w:r>
        <w:rPr>
          <w:rFonts w:ascii="宋体" w:hAnsi="宋体" w:cs="宋体" w:eastAsia="宋体" w:hint="default"/>
          <w:sz w:val="18"/>
          <w:szCs w:val="18"/>
        </w:rPr>
        <w:t>先生，董事会秘书，简历见本节之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、董事会成员简介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万能</w:t>
      </w:r>
      <w:r>
        <w:rPr>
          <w:rFonts w:ascii="宋体" w:hAnsi="宋体" w:cs="宋体" w:eastAsia="宋体" w:hint="default"/>
          <w:sz w:val="18"/>
          <w:szCs w:val="18"/>
        </w:rPr>
        <w:t>先生，财务总监，简历见本节之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、董事会成员简介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翟一兵</w:t>
      </w:r>
      <w:r>
        <w:rPr>
          <w:rFonts w:ascii="宋体" w:hAnsi="宋体" w:cs="宋体" w:eastAsia="宋体" w:hint="default"/>
          <w:sz w:val="18"/>
          <w:szCs w:val="18"/>
        </w:rPr>
        <w:t>先生，首席运营官，简历见本节之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、董事会成员简介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汪铖</w:t>
      </w:r>
      <w:r>
        <w:rPr>
          <w:rFonts w:ascii="宋体" w:hAnsi="宋体" w:cs="宋体" w:eastAsia="宋体" w:hint="default"/>
          <w:sz w:val="18"/>
          <w:szCs w:val="18"/>
        </w:rPr>
        <w:t>先生，公司副总经理，简历见本节之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、董事会成员简介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451" w:lineRule="auto" w:before="37"/>
        <w:ind w:right="190" w:firstLine="361"/>
        <w:jc w:val="both"/>
      </w:pPr>
      <w:r>
        <w:rPr>
          <w:rFonts w:ascii="宋体" w:hAnsi="宋体" w:cs="宋体" w:eastAsia="宋体" w:hint="default"/>
          <w:b/>
          <w:bCs/>
        </w:rPr>
        <w:t>许芃</w:t>
      </w:r>
      <w:r>
        <w:rPr/>
        <w:t>先生，</w:t>
      </w:r>
      <w:r>
        <w:rPr>
          <w:rFonts w:ascii="Times New Roman" w:hAnsi="Times New Roman" w:cs="Times New Roman" w:eastAsia="Times New Roman" w:hint="default"/>
        </w:rPr>
        <w:t>1973</w:t>
      </w:r>
      <w:r>
        <w:rPr/>
        <w:t>年出生，毕业于北京邮电大学；曾任秦皇岛电信局职员、中联集团工程师、</w:t>
      </w:r>
      <w:r>
        <w:rPr>
          <w:rFonts w:ascii="Times New Roman" w:hAnsi="Times New Roman" w:cs="Times New Roman" w:eastAsia="Times New Roman" w:hint="default"/>
        </w:rPr>
        <w:t>CA</w:t>
      </w:r>
      <w:r>
        <w:rPr/>
        <w:t>公司工程师；</w:t>
      </w:r>
      <w:r>
        <w:rPr>
          <w:rFonts w:ascii="Times New Roman" w:hAnsi="Times New Roman" w:cs="Times New Roman" w:eastAsia="Times New Roman" w:hint="default"/>
        </w:rPr>
        <w:t>2002</w:t>
      </w:r>
      <w:r>
        <w:rPr/>
        <w:t>年至 今历任公司系统网络事业部总经理、公司副总经理。现兼任天津泰岳小漫科技有限公司执行董事。</w:t>
      </w:r>
    </w:p>
    <w:p>
      <w:pPr>
        <w:pStyle w:val="BodyText"/>
        <w:spacing w:line="451" w:lineRule="auto" w:before="74"/>
        <w:ind w:left="154" w:right="103" w:firstLine="361"/>
        <w:jc w:val="both"/>
      </w:pPr>
      <w:r>
        <w:rPr>
          <w:rFonts w:ascii="宋体" w:hAnsi="宋体" w:cs="宋体" w:eastAsia="宋体" w:hint="default"/>
          <w:b/>
          <w:bCs/>
        </w:rPr>
        <w:t>张振鹏</w:t>
      </w:r>
      <w:r>
        <w:rPr/>
        <w:t>先生，</w:t>
      </w:r>
      <w:r>
        <w:rPr>
          <w:rFonts w:ascii="Times New Roman" w:hAnsi="Times New Roman" w:cs="Times New Roman" w:eastAsia="Times New Roman" w:hint="default"/>
        </w:rPr>
        <w:t>1961</w:t>
      </w:r>
      <w:r>
        <w:rPr/>
        <w:t>年出生，毕业于北京邮电学院，高级工程师；曾任石家庄邮电高等专科学校团委书记、学生处处长、 成教部主任、培训部主任等职；</w:t>
      </w:r>
      <w:r>
        <w:rPr>
          <w:rFonts w:ascii="Times New Roman" w:hAnsi="Times New Roman" w:cs="Times New Roman" w:eastAsia="Times New Roman" w:hint="default"/>
        </w:rPr>
        <w:t>2003</w:t>
      </w:r>
      <w:r>
        <w:rPr/>
        <w:t>年至今担任公司副总经理。</w:t>
      </w:r>
    </w:p>
    <w:p>
      <w:pPr>
        <w:pStyle w:val="BodyText"/>
        <w:spacing w:line="451" w:lineRule="auto" w:before="43"/>
        <w:ind w:right="192" w:firstLine="361"/>
        <w:jc w:val="both"/>
      </w:pPr>
      <w:r>
        <w:rPr>
          <w:rFonts w:ascii="宋体" w:hAnsi="宋体" w:cs="宋体" w:eastAsia="宋体" w:hint="default"/>
          <w:b/>
          <w:bCs/>
          <w:spacing w:val="-2"/>
        </w:rPr>
        <w:t>刘豪</w:t>
      </w:r>
      <w:r>
        <w:rPr>
          <w:spacing w:val="-2"/>
        </w:rPr>
        <w:t>先生，</w:t>
      </w:r>
      <w:r>
        <w:rPr>
          <w:rFonts w:ascii="Times New Roman" w:hAnsi="Times New Roman" w:cs="Times New Roman" w:eastAsia="Times New Roman" w:hint="default"/>
          <w:spacing w:val="-2"/>
        </w:rPr>
        <w:t>1972</w:t>
      </w:r>
      <w:r>
        <w:rPr>
          <w:spacing w:val="-2"/>
        </w:rPr>
        <w:t>年出生，毕业于西安理工大学；曾任金科集团公司金融行业销售经理、中国惠普有限公司软件业务部销</w:t>
      </w:r>
      <w:r>
        <w:rPr/>
        <w:t> 售经理、国际商业机器（中国）有限公司软件部</w:t>
      </w:r>
      <w:r>
        <w:rPr>
          <w:rFonts w:ascii="Times New Roman" w:hAnsi="Times New Roman" w:cs="Times New Roman" w:eastAsia="Times New Roman" w:hint="default"/>
        </w:rPr>
        <w:t>Tivoli</w:t>
      </w:r>
      <w:r>
        <w:rPr>
          <w:rFonts w:ascii="Times New Roman" w:hAnsi="Times New Roman" w:cs="Times New Roman" w:eastAsia="Times New Roman" w:hint="default"/>
          <w:spacing w:val="26"/>
        </w:rPr>
        <w:t> </w:t>
      </w:r>
      <w:r>
        <w:rPr/>
        <w:t>北方区销售经理；</w:t>
      </w:r>
      <w:r>
        <w:rPr>
          <w:rFonts w:ascii="Times New Roman" w:hAnsi="Times New Roman" w:cs="Times New Roman" w:eastAsia="Times New Roman" w:hint="default"/>
        </w:rPr>
        <w:t>2007</w:t>
      </w:r>
      <w:r>
        <w:rPr/>
        <w:t>年至今担任公司副总经理。</w:t>
      </w:r>
    </w:p>
    <w:p>
      <w:pPr>
        <w:pStyle w:val="BodyText"/>
        <w:spacing w:line="451" w:lineRule="auto" w:before="43"/>
        <w:ind w:right="192" w:firstLine="361"/>
        <w:jc w:val="both"/>
      </w:pPr>
      <w:r>
        <w:rPr>
          <w:rFonts w:ascii="宋体" w:hAnsi="宋体" w:cs="宋体" w:eastAsia="宋体" w:hint="default"/>
          <w:b/>
          <w:bCs/>
          <w:spacing w:val="-2"/>
        </w:rPr>
        <w:t>高峰</w:t>
      </w:r>
      <w:r>
        <w:rPr>
          <w:spacing w:val="-2"/>
        </w:rPr>
        <w:t>先生，</w:t>
      </w:r>
      <w:r>
        <w:rPr>
          <w:rFonts w:ascii="Times New Roman" w:hAnsi="Times New Roman" w:cs="Times New Roman" w:eastAsia="Times New Roman" w:hint="default"/>
          <w:spacing w:val="-2"/>
        </w:rPr>
        <w:t>1976</w:t>
      </w:r>
      <w:r>
        <w:rPr>
          <w:spacing w:val="-2"/>
        </w:rPr>
        <w:t>年出生，毕业于沈阳航空工业学院；</w:t>
      </w:r>
      <w:r>
        <w:rPr>
          <w:rFonts w:ascii="Times New Roman" w:hAnsi="Times New Roman" w:cs="Times New Roman" w:eastAsia="Times New Roman" w:hint="default"/>
          <w:spacing w:val="-2"/>
        </w:rPr>
        <w:t>2002</w:t>
      </w:r>
      <w:r>
        <w:rPr>
          <w:spacing w:val="-2"/>
        </w:rPr>
        <w:t>年至今历任公司销售经理、高级销售经理、行业销售总监、副</w:t>
      </w:r>
      <w:r>
        <w:rPr/>
        <w:t> 总经理。现兼任北京神州泰岳信息安全技术有限公司总经理。</w:t>
      </w:r>
    </w:p>
    <w:p>
      <w:pPr>
        <w:pStyle w:val="BodyText"/>
        <w:spacing w:line="458" w:lineRule="auto" w:before="74"/>
        <w:ind w:left="154" w:right="191" w:firstLine="361"/>
        <w:jc w:val="both"/>
      </w:pPr>
      <w:r>
        <w:rPr>
          <w:rFonts w:ascii="宋体" w:hAnsi="宋体" w:cs="宋体" w:eastAsia="宋体" w:hint="default"/>
          <w:b/>
          <w:bCs/>
        </w:rPr>
        <w:t>陶磊</w:t>
      </w:r>
      <w:r>
        <w:rPr/>
        <w:t>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月出生，毕业于南京理工大学，工学学士学位。曾任中国兵器工业总公司干部，北京新宇计算机有 限公司、英国电信</w:t>
      </w:r>
      <w:r>
        <w:rPr>
          <w:rFonts w:ascii="Times New Roman" w:hAnsi="Times New Roman" w:cs="Times New Roman" w:eastAsia="Times New Roman" w:hint="default"/>
        </w:rPr>
        <w:t>Syntegra</w:t>
      </w:r>
      <w:r>
        <w:rPr/>
        <w:t>销售经理，上海联盈数码技术有限公司销售总监。</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月至今先后担任北京神州泰岳软件股 </w:t>
      </w:r>
      <w:r>
        <w:rPr>
          <w:spacing w:val="-2"/>
        </w:rPr>
        <w:t>份有限公司大客户经理、总经理助理、副总经理，目前兼任北京神州泰岳良品电子商务有限公司的总经理、北京华泰德丰技</w:t>
      </w:r>
      <w:r>
        <w:rPr>
          <w:spacing w:val="-66"/>
        </w:rPr>
        <w:t> </w:t>
      </w:r>
      <w:r>
        <w:rPr>
          <w:spacing w:val="-66"/>
        </w:rPr>
      </w:r>
      <w:r>
        <w:rPr/>
        <w:t>术有限公司董事。</w:t>
      </w:r>
    </w:p>
    <w:p>
      <w:pPr>
        <w:pStyle w:val="BodyText"/>
        <w:spacing w:line="458" w:lineRule="auto" w:before="68"/>
        <w:ind w:right="189" w:firstLine="361"/>
        <w:jc w:val="both"/>
      </w:pPr>
      <w:r>
        <w:rPr>
          <w:rFonts w:ascii="宋体" w:hAnsi="宋体" w:cs="宋体" w:eastAsia="宋体" w:hint="default"/>
          <w:b/>
          <w:bCs/>
        </w:rPr>
        <w:t>朱健松</w:t>
      </w:r>
      <w:r>
        <w:rPr/>
        <w:t>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月出生，毕业于北京联合大学电子工程学院，工学学士学位。曾任中国仪器进出口总公司职员、 </w:t>
      </w:r>
      <w:r>
        <w:rPr>
          <w:spacing w:val="-2"/>
        </w:rPr>
        <w:t>副科长；英孚美软件（中国）有限公司高级客户经理、销售经理；北邮电信科技股份有限公司北邮集思公司总经理、北邮电</w:t>
      </w:r>
      <w:r>
        <w:rPr>
          <w:spacing w:val="-68"/>
        </w:rPr>
        <w:t> </w:t>
      </w:r>
      <w:r>
        <w:rPr>
          <w:spacing w:val="-68"/>
        </w:rPr>
      </w:r>
      <w:r>
        <w:rPr>
          <w:spacing w:val="-2"/>
        </w:rPr>
        <w:t>信资源管理事业部总经理；博思软件（中国）有限公司销售经理、销售总监、中国区业务总经理等职务。</w:t>
      </w:r>
      <w:r>
        <w:rPr>
          <w:rFonts w:ascii="Times New Roman" w:hAnsi="Times New Roman" w:cs="Times New Roman" w:eastAsia="Times New Roman" w:hint="default"/>
          <w:spacing w:val="-2"/>
        </w:rPr>
        <w:t>2008</w:t>
      </w:r>
      <w:r>
        <w:rPr>
          <w:spacing w:val="-2"/>
        </w:rPr>
        <w:t>年加入北京神</w:t>
      </w:r>
      <w:r>
        <w:rPr>
          <w:spacing w:val="-63"/>
        </w:rPr>
        <w:t> </w:t>
      </w:r>
      <w:r>
        <w:rPr>
          <w:spacing w:val="-63"/>
        </w:rPr>
      </w:r>
      <w:r>
        <w:rPr/>
        <w:t>州泰岳软件股份有限公司，</w:t>
      </w:r>
      <w:r>
        <w:rPr>
          <w:rFonts w:ascii="宋体" w:hAnsi="宋体" w:cs="宋体" w:eastAsia="宋体" w:hint="default"/>
        </w:rPr>
        <w:t>2010</w:t>
      </w:r>
      <w:r>
        <w:rPr/>
        <w:t>年</w:t>
      </w:r>
      <w:r>
        <w:rPr>
          <w:rFonts w:ascii="宋体" w:hAnsi="宋体" w:cs="宋体" w:eastAsia="宋体" w:hint="default"/>
        </w:rPr>
        <w:t>1</w:t>
      </w:r>
      <w:r>
        <w:rPr/>
        <w:t>月担任公司副总经理。现兼任北京神州泰岳智能数据技术有限公司总经理。</w:t>
      </w:r>
    </w:p>
    <w:p>
      <w:pPr>
        <w:pStyle w:val="BodyText"/>
        <w:spacing w:line="451" w:lineRule="auto" w:before="68"/>
        <w:ind w:right="190" w:firstLine="361"/>
        <w:jc w:val="both"/>
      </w:pPr>
      <w:r>
        <w:rPr>
          <w:rFonts w:ascii="宋体" w:hAnsi="宋体" w:cs="宋体" w:eastAsia="宋体" w:hint="default"/>
          <w:b/>
          <w:bCs/>
        </w:rPr>
        <w:t>孙海粟</w:t>
      </w:r>
      <w:r>
        <w:rPr/>
        <w:t>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月出生，毕业于北京邮电大学无线电工程专业，学士学位。曾任国家计生委北京宣教中心工作干 </w:t>
      </w:r>
      <w:r>
        <w:rPr>
          <w:spacing w:val="-2"/>
        </w:rPr>
        <w:t>部、宁波燕浩微波通信公司开发部经理，宁波江北通信设备实业公司总经理，宁波未来通信技术有限公司总经理，</w:t>
      </w:r>
      <w:r>
        <w:rPr>
          <w:rFonts w:ascii="Times New Roman" w:hAnsi="Times New Roman" w:cs="Times New Roman" w:eastAsia="Times New Roman" w:hint="default"/>
          <w:spacing w:val="-2"/>
        </w:rPr>
        <w:t>2001</w:t>
      </w:r>
      <w:r>
        <w:rPr>
          <w:spacing w:val="-2"/>
        </w:rPr>
        <w:t>年起</w:t>
      </w:r>
      <w:r>
        <w:rPr>
          <w:spacing w:val="-61"/>
        </w:rPr>
        <w:t> </w:t>
      </w:r>
      <w:r>
        <w:rPr/>
        <w:t>至今任宁波普天通信技术有限公司总经理。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月至今任公司副总经理兼任宁波普天通信技术有限公司总经理。</w:t>
      </w:r>
    </w:p>
    <w:p>
      <w:pPr>
        <w:pStyle w:val="Heading4"/>
        <w:spacing w:line="240" w:lineRule="auto" w:before="84"/>
        <w:ind w:left="153" w:right="93"/>
        <w:jc w:val="left"/>
        <w:rPr>
          <w:b w:val="0"/>
          <w:bCs w:val="0"/>
        </w:rPr>
      </w:pPr>
      <w:r>
        <w:rPr/>
        <w:t>在股东单位任职情况</w:t>
      </w:r>
      <w:r>
        <w:rPr>
          <w:b w:val="0"/>
          <w:bCs w:val="0"/>
        </w:rPr>
      </w:r>
    </w:p>
    <w:p>
      <w:pPr>
        <w:spacing w:line="240" w:lineRule="auto" w:before="11"/>
        <w:rPr>
          <w:rFonts w:ascii="宋体" w:hAnsi="宋体" w:cs="宋体" w:eastAsia="宋体" w:hint="default"/>
          <w:b/>
          <w:bCs/>
          <w:sz w:val="20"/>
          <w:szCs w:val="20"/>
        </w:rPr>
      </w:pPr>
    </w:p>
    <w:p>
      <w:pPr>
        <w:spacing w:line="489" w:lineRule="auto" w:before="0"/>
        <w:ind w:left="154" w:right="81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after="0" w:line="489" w:lineRule="auto"/>
        <w:jc w:val="left"/>
        <w:rPr>
          <w:rFonts w:ascii="宋体" w:hAnsi="宋体" w:cs="宋体" w:eastAsia="宋体" w:hint="default"/>
          <w:sz w:val="18"/>
          <w:szCs w:val="18"/>
        </w:rPr>
        <w:sectPr>
          <w:pgSz w:w="11910" w:h="16840"/>
          <w:pgMar w:header="851" w:footer="1226" w:top="1380" w:bottom="1420" w:left="980" w:right="940"/>
        </w:sectPr>
      </w:pPr>
    </w:p>
    <w:p>
      <w:pPr>
        <w:spacing w:before="1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635"/>
        <w:gridCol w:w="1276"/>
        <w:gridCol w:w="120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5"/>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5" w:right="22" w:hanging="413"/>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北京神州泰岳通信技术有限公司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北京泰岳千腾网络信息技术有限公司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北京思乐信息技术有限公司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上海大渡新物流有限公司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5" w:right="22" w:hanging="323"/>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635"/>
        <w:gridCol w:w="1276"/>
        <w:gridCol w:w="1204"/>
      </w:tblGrid>
      <w:tr>
        <w:trPr>
          <w:trHeight w:val="414" w:hRule="exact"/>
        </w:trPr>
        <w:tc>
          <w:tcPr>
            <w:tcW w:w="1202" w:type="dxa"/>
            <w:tcBorders>
              <w:top w:val="single" w:sz="6" w:space="0" w:color="000000"/>
              <w:left w:val="single" w:sz="4" w:space="0" w:color="000000"/>
              <w:bottom w:val="single" w:sz="4" w:space="0" w:color="000000"/>
              <w:right w:val="single" w:sz="4" w:space="0" w:color="000000"/>
            </w:tcBorders>
          </w:tcPr>
          <w:p>
            <w:pP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北京顺通典当有限责任公司</w:t>
            </w: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10" w:space="0" w:color="000000"/>
              <w:left w:val="single" w:sz="4" w:space="0" w:color="000000"/>
              <w:bottom w:val="single" w:sz="4" w:space="0" w:color="000000"/>
              <w:right w:val="single" w:sz="4" w:space="0" w:color="000000"/>
            </w:tcBorders>
          </w:tcPr>
          <w:p>
            <w:pPr/>
          </w:p>
        </w:tc>
        <w:tc>
          <w:tcPr>
            <w:tcW w:w="12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陶磊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孙海粟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宁波金信通讯技术有限公司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500" w:right="58" w:hanging="1440"/>
              <w:jc w:val="left"/>
              <w:rPr>
                <w:rFonts w:ascii="宋体" w:hAnsi="宋体" w:cs="宋体" w:eastAsia="宋体" w:hint="default"/>
                <w:sz w:val="18"/>
                <w:szCs w:val="18"/>
              </w:rPr>
            </w:pPr>
            <w:r>
              <w:rPr>
                <w:rFonts w:ascii="宋体" w:hAnsi="宋体" w:cs="宋体" w:eastAsia="宋体" w:hint="default"/>
                <w:sz w:val="18"/>
                <w:szCs w:val="18"/>
              </w:rPr>
              <w:t>宁波万信移动通信技术研究开发有限公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宁波普天科技创业服务有限公司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汪铖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345" w:right="22" w:hanging="323"/>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22"/>
              <w:jc w:val="center"/>
              <w:rPr>
                <w:rFonts w:ascii="宋体" w:hAnsi="宋体" w:cs="宋体" w:eastAsia="宋体" w:hint="default"/>
                <w:sz w:val="18"/>
                <w:szCs w:val="18"/>
              </w:rPr>
            </w:pPr>
            <w:r>
              <w:rPr>
                <w:rFonts w:ascii="宋体" w:hAnsi="宋体" w:cs="宋体" w:eastAsia="宋体" w:hint="default"/>
                <w:spacing w:val="-13"/>
                <w:sz w:val="18"/>
                <w:szCs w:val="18"/>
              </w:rPr>
              <w:t>法人代表、执</w:t>
            </w:r>
            <w:r>
              <w:rPr>
                <w:rFonts w:ascii="宋体" w:hAnsi="宋体" w:cs="宋体" w:eastAsia="宋体" w:hint="default"/>
                <w:sz w:val="18"/>
                <w:szCs w:val="18"/>
              </w:rPr>
              <w:t> </w:t>
            </w:r>
            <w:r>
              <w:rPr>
                <w:rFonts w:ascii="宋体" w:hAnsi="宋体" w:cs="宋体" w:eastAsia="宋体" w:hint="default"/>
                <w:spacing w:val="-13"/>
                <w:sz w:val="18"/>
                <w:szCs w:val="18"/>
              </w:rPr>
              <w:t>行董事、总经</w:t>
            </w:r>
            <w:r>
              <w:rPr>
                <w:rFonts w:ascii="宋体" w:hAnsi="宋体" w:cs="宋体" w:eastAsia="宋体" w:hint="default"/>
                <w:sz w:val="18"/>
                <w:szCs w:val="18"/>
              </w:rPr>
              <w:t> 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22"/>
              <w:jc w:val="center"/>
              <w:rPr>
                <w:rFonts w:ascii="宋体" w:hAnsi="宋体" w:cs="宋体" w:eastAsia="宋体" w:hint="default"/>
                <w:sz w:val="18"/>
                <w:szCs w:val="18"/>
              </w:rPr>
            </w:pPr>
            <w:r>
              <w:rPr>
                <w:rFonts w:ascii="宋体" w:hAnsi="宋体" w:cs="宋体" w:eastAsia="宋体" w:hint="default"/>
                <w:spacing w:val="-13"/>
                <w:sz w:val="18"/>
                <w:szCs w:val="18"/>
              </w:rPr>
              <w:t>法人代表、执</w:t>
            </w:r>
            <w:r>
              <w:rPr>
                <w:rFonts w:ascii="宋体" w:hAnsi="宋体" w:cs="宋体" w:eastAsia="宋体" w:hint="default"/>
                <w:sz w:val="18"/>
                <w:szCs w:val="18"/>
              </w:rPr>
              <w:t> </w:t>
            </w:r>
            <w:r>
              <w:rPr>
                <w:rFonts w:ascii="宋体" w:hAnsi="宋体" w:cs="宋体" w:eastAsia="宋体" w:hint="default"/>
                <w:spacing w:val="-13"/>
                <w:sz w:val="18"/>
                <w:szCs w:val="18"/>
              </w:rPr>
              <w:t>行董事、总经</w:t>
            </w:r>
            <w:r>
              <w:rPr>
                <w:rFonts w:ascii="宋体" w:hAnsi="宋体" w:cs="宋体" w:eastAsia="宋体" w:hint="default"/>
                <w:sz w:val="18"/>
                <w:szCs w:val="18"/>
              </w:rPr>
              <w:t> 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75" w:right="22" w:hanging="53"/>
              <w:jc w:val="left"/>
              <w:rPr>
                <w:rFonts w:ascii="宋体" w:hAnsi="宋体" w:cs="宋体" w:eastAsia="宋体" w:hint="default"/>
                <w:sz w:val="18"/>
                <w:szCs w:val="18"/>
              </w:rPr>
            </w:pPr>
            <w:r>
              <w:rPr>
                <w:rFonts w:ascii="宋体" w:hAnsi="宋体" w:cs="宋体" w:eastAsia="宋体" w:hint="default"/>
                <w:spacing w:val="-13"/>
                <w:sz w:val="18"/>
                <w:szCs w:val="18"/>
              </w:rPr>
              <w:t>法人代表、董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北京诚行天下投资咨询有限公司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许芃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6"/>
              <w:ind w:left="165" w:right="-61" w:hanging="143"/>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6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朱健松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高峰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北京神州泰岳信息安全技术有限公司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翟一兵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6"/>
              <w:ind w:left="165" w:right="-61" w:hanging="143"/>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63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rPr>
          <w:sz w:val="2"/>
          <w:szCs w:val="2"/>
        </w:rPr>
      </w:pPr>
      <w:r>
        <w:rPr/>
        <w:pict>
          <v:group style="position:absolute;margin-left:329.679993pt;margin-top:595.23999pt;width:81.2pt;height:7.8pt;mso-position-horizontal-relative:page;mso-position-vertical-relative:page;z-index:-1111048" coordorigin="6594,11905" coordsize="1624,156">
            <v:shape style="position:absolute;left:6594;top:11905;width:1624;height:156" coordorigin="6594,11905" coordsize="1624,156" path="m6594,12061l8218,12061,8218,11905,6594,11905,6594,12061xe" filled="true" fillcolor="#ffffff" stroked="false">
              <v:path arrowok="t"/>
              <v:fill type="solid"/>
            </v:shape>
            <w10:wrap type="none"/>
          </v:group>
        </w:pict>
      </w:r>
      <w:r>
        <w:rPr/>
        <w:pict>
          <v:group style="position:absolute;margin-left:329.679993pt;margin-top:671.139954pt;width:81.2pt;height:7.8pt;mso-position-horizontal-relative:page;mso-position-vertical-relative:page;z-index:-1111024" coordorigin="6594,13423" coordsize="1624,156">
            <v:shape style="position:absolute;left:6594;top:13423;width:1624;height:156" coordorigin="6594,13423" coordsize="1624,156" path="m6594,13579l8218,13579,8218,13423,6594,13423,6594,13579xe" filled="true" fillcolor="#ffffff" stroked="false">
              <v:path arrowok="t"/>
              <v:fill type="solid"/>
            </v:shape>
            <w10:wrap type="none"/>
          </v:group>
        </w:pict>
      </w:r>
    </w:p>
    <w:p>
      <w:pPr>
        <w:spacing w:after="0"/>
        <w:rPr>
          <w:sz w:val="2"/>
          <w:szCs w:val="2"/>
        </w:rPr>
        <w:sectPr>
          <w:headerReference w:type="default" r:id="rId16"/>
          <w:pgSz w:w="11910" w:h="16840"/>
          <w:pgMar w:header="851" w:footer="1226" w:top="1420" w:bottom="1420" w:left="1020" w:right="1020"/>
        </w:sectPr>
      </w:pPr>
    </w:p>
    <w:p>
      <w:pPr>
        <w:pStyle w:val="Heading2"/>
        <w:spacing w:line="240" w:lineRule="auto" w:before="15"/>
        <w:ind w:right="0"/>
        <w:jc w:val="left"/>
        <w:rPr>
          <w:b w:val="0"/>
          <w:bCs w:val="0"/>
        </w:rPr>
      </w:pPr>
      <w:r>
        <w:rPr/>
        <w:pict>
          <v:group style="position:absolute;margin-left:55.200001pt;margin-top:2.225632pt;width:485pt;height:.1pt;mso-position-horizontal-relative:page;mso-position-vertical-relative:paragraph;z-index:-111100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三、董事、监事、高级管理人员报酬情况" w:id="91"/>
      <w:bookmarkEnd w:id="91"/>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公司董事、监事报酬由股东大会审议通过，高级管理人员报酬由董 事会审议通过。</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年度经营情况和绩效情况审核调整。</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已根据确定报酬情况按时支付完毕。</w:t>
            </w:r>
          </w:p>
        </w:tc>
      </w:tr>
    </w:tbl>
    <w:p>
      <w:pPr>
        <w:spacing w:line="240" w:lineRule="auto" w:before="6"/>
        <w:rPr>
          <w:rFonts w:ascii="宋体" w:hAnsi="宋体" w:cs="宋体" w:eastAsia="宋体" w:hint="default"/>
          <w:b/>
          <w:bCs/>
          <w:sz w:val="27"/>
          <w:szCs w:val="27"/>
        </w:rPr>
      </w:pPr>
    </w:p>
    <w:p>
      <w:pPr>
        <w:pStyle w:val="Heading4"/>
        <w:spacing w:line="240" w:lineRule="auto" w:before="44"/>
        <w:ind w:right="0"/>
        <w:jc w:val="left"/>
        <w:rPr>
          <w:b w:val="0"/>
          <w:bCs w:val="0"/>
        </w:rPr>
      </w:pPr>
      <w:r>
        <w:rPr/>
        <w:t>公司报告期内董事、监事和高级管理人员报酬情况</w:t>
      </w:r>
      <w:r>
        <w:rPr>
          <w:b w:val="0"/>
          <w:bCs w:val="0"/>
        </w:rPr>
      </w:r>
    </w:p>
    <w:p>
      <w:pPr>
        <w:pStyle w:val="BodyText"/>
        <w:spacing w:line="240" w:lineRule="auto" w:before="116"/>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921"/>
        <w:gridCol w:w="993"/>
        <w:gridCol w:w="851"/>
        <w:gridCol w:w="1018"/>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黄松浪</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副董事长、董事会秘书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徐斯平</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翟一兵</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董事、首席运营官</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蓝伯雄</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江锡如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刘凯湘</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黄涛</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罗建北</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李广刚</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丁彦超</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郝岩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朱健松</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陶磊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张振鹏</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刘豪</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许芃</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宋体" w:hAnsi="宋体" w:cs="宋体" w:eastAsia="宋体" w:hint="default"/>
                <w:sz w:val="18"/>
                <w:szCs w:val="18"/>
              </w:rPr>
              <w:t>孙海粟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83"/>
        <w:ind w:right="0"/>
        <w:jc w:val="left"/>
        <w:rPr>
          <w:b w:val="0"/>
          <w:bCs w:val="0"/>
        </w:rPr>
      </w:pPr>
      <w:r>
        <w:rPr/>
        <w:t>公司董事、监事、高级管理人员报告期内被授予的股权激励情况</w:t>
      </w:r>
      <w:r>
        <w:rPr>
          <w:b w:val="0"/>
          <w:bCs w:val="0"/>
        </w:rPr>
      </w:r>
    </w:p>
    <w:p>
      <w:pPr>
        <w:spacing w:line="240" w:lineRule="auto" w:before="12"/>
        <w:rPr>
          <w:rFonts w:ascii="宋体" w:hAnsi="宋体" w:cs="宋体" w:eastAsia="宋体" w:hint="default"/>
          <w:b/>
          <w:bCs/>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062" w:type="dxa"/>
            <w:vMerge w:val="restart"/>
            <w:tcBorders>
              <w:top w:val="single" w:sz="4" w:space="0" w:color="000000"/>
              <w:left w:val="single" w:sz="4" w:space="0" w:color="000000"/>
              <w:right w:val="single" w:sz="4" w:space="0" w:color="000000"/>
            </w:tcBorders>
          </w:tcPr>
          <w:p>
            <w:pPr>
              <w:pStyle w:val="TableParagraph"/>
              <w:spacing w:line="319" w:lineRule="auto" w:before="97"/>
              <w:ind w:left="22" w:right="20"/>
              <w:jc w:val="left"/>
              <w:rPr>
                <w:rFonts w:ascii="宋体" w:hAnsi="宋体" w:cs="宋体" w:eastAsia="宋体" w:hint="default"/>
                <w:sz w:val="18"/>
                <w:szCs w:val="18"/>
              </w:rPr>
            </w:pPr>
            <w:r>
              <w:rPr>
                <w:rFonts w:ascii="宋体" w:hAnsi="宋体" w:cs="宋体" w:eastAsia="宋体" w:hint="default"/>
                <w:spacing w:val="-13"/>
                <w:sz w:val="18"/>
                <w:szCs w:val="18"/>
              </w:rPr>
              <w:t>副董事长、董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事会秘书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185,920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371,840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董事、财务总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陶磊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刘豪</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1,254,144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905,952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3"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公司董事、监事、高级管理人员变动情况" w:id="92"/>
      <w:bookmarkEnd w:id="92"/>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538"/>
        <w:gridCol w:w="403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离职</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罗建北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原独立董事黄涛离职，补选</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公司发展需要，补选</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报告期核心技术团队或关键技术人员变动情况（非董事、监事、高级管理人员）" w:id="93"/>
      <w:bookmarkEnd w:id="9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53" w:right="0"/>
        <w:jc w:val="left"/>
        <w:rPr>
          <w:b w:val="0"/>
          <w:bCs w:val="0"/>
        </w:rPr>
      </w:pPr>
      <w:bookmarkStart w:name="六、公司员工情况" w:id="94"/>
      <w:bookmarkEnd w:id="94"/>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left="573" w:right="0"/>
        <w:jc w:val="left"/>
        <w:rPr>
          <w:b w:val="0"/>
          <w:bCs w:val="0"/>
        </w:rPr>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日，公司及下属企业共有员工</w:t>
      </w:r>
      <w:r>
        <w:rPr>
          <w:rFonts w:ascii="Times New Roman" w:hAnsi="Times New Roman" w:cs="Times New Roman" w:eastAsia="Times New Roman" w:hint="default"/>
        </w:rPr>
        <w:t>4,294</w:t>
      </w:r>
      <w:r>
        <w:rPr/>
        <w:t>人，具体构成情况如下：</w:t>
      </w:r>
      <w:r>
        <w:rPr>
          <w:b w:val="0"/>
          <w:bCs w:val="0"/>
        </w:rPr>
      </w:r>
    </w:p>
    <w:p>
      <w:pPr>
        <w:spacing w:line="240" w:lineRule="auto" w:before="9"/>
        <w:rPr>
          <w:rFonts w:ascii="宋体" w:hAnsi="宋体" w:cs="宋体" w:eastAsia="宋体" w:hint="default"/>
          <w:b/>
          <w:bCs/>
          <w:sz w:val="16"/>
          <w:szCs w:val="16"/>
        </w:rPr>
      </w:pPr>
    </w:p>
    <w:p>
      <w:pPr>
        <w:pStyle w:val="Heading4"/>
        <w:spacing w:line="240" w:lineRule="auto"/>
        <w:ind w:left="469" w:right="0"/>
        <w:jc w:val="left"/>
        <w:rPr>
          <w:b w:val="0"/>
          <w:bCs w:val="0"/>
        </w:rPr>
      </w:pPr>
      <w:r>
        <w:rPr/>
        <w:t>（一）员工专业结构</w:t>
      </w:r>
      <w:r>
        <w:rPr>
          <w:b w:val="0"/>
          <w:bCs w:val="0"/>
        </w:rPr>
      </w:r>
    </w:p>
    <w:p>
      <w:pPr>
        <w:spacing w:line="240" w:lineRule="auto" w:before="13"/>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2722"/>
        <w:gridCol w:w="2676"/>
        <w:gridCol w:w="3078"/>
      </w:tblGrid>
      <w:tr>
        <w:trPr>
          <w:trHeight w:val="442" w:hRule="exact"/>
        </w:trPr>
        <w:tc>
          <w:tcPr>
            <w:tcW w:w="27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1"/>
              <w:ind w:left="812" w:right="0"/>
              <w:jc w:val="left"/>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3,150</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73.36%</w:t>
            </w:r>
          </w:p>
        </w:tc>
      </w:tr>
      <w:tr>
        <w:trPr>
          <w:trHeight w:val="4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9.34%</w:t>
            </w:r>
          </w:p>
        </w:tc>
      </w:tr>
      <w:tr>
        <w:trPr>
          <w:trHeight w:val="44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后台职能人员</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517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12.04%</w:t>
            </w:r>
          </w:p>
        </w:tc>
      </w:tr>
      <w:tr>
        <w:trPr>
          <w:trHeight w:val="4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226</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722"/>
        <w:gridCol w:w="2676"/>
        <w:gridCol w:w="3078"/>
        <w:gridCol w:w="1193"/>
      </w:tblGrid>
      <w:tr>
        <w:trPr>
          <w:trHeight w:val="454" w:hRule="exact"/>
        </w:trPr>
        <w:tc>
          <w:tcPr>
            <w:tcW w:w="27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4,294</w:t>
            </w:r>
          </w:p>
        </w:tc>
        <w:tc>
          <w:tcPr>
            <w:tcW w:w="30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93" w:type="dxa"/>
            <w:tcBorders>
              <w:top w:val="single" w:sz="6" w:space="0" w:color="000000"/>
              <w:left w:val="single" w:sz="4" w:space="0" w:color="000000"/>
              <w:bottom w:val="nil" w:sz="6" w:space="0" w:color="auto"/>
              <w:right w:val="nil" w:sz="6" w:space="0" w:color="auto"/>
            </w:tcBorders>
          </w:tcPr>
          <w:p>
            <w:pPr/>
          </w:p>
        </w:tc>
      </w:tr>
    </w:tbl>
    <w:p>
      <w:pPr>
        <w:spacing w:line="240" w:lineRule="auto" w:before="4"/>
        <w:rPr>
          <w:rFonts w:ascii="宋体" w:hAnsi="宋体" w:cs="宋体" w:eastAsia="宋体" w:hint="default"/>
          <w:b/>
          <w:bCs/>
          <w:sz w:val="9"/>
          <w:szCs w:val="9"/>
        </w:rPr>
      </w:pPr>
    </w:p>
    <w:p>
      <w:pPr>
        <w:pStyle w:val="Heading4"/>
        <w:spacing w:line="240" w:lineRule="auto" w:before="44"/>
        <w:ind w:left="429" w:right="0"/>
        <w:jc w:val="left"/>
        <w:rPr>
          <w:b w:val="0"/>
          <w:bCs w:val="0"/>
        </w:rPr>
      </w:pPr>
      <w:r>
        <w:rPr/>
        <w:t>（二）学历结构</w:t>
      </w:r>
      <w:r>
        <w:rPr>
          <w:b w:val="0"/>
          <w:bCs w:val="0"/>
        </w:rPr>
      </w:r>
    </w:p>
    <w:p>
      <w:pPr>
        <w:spacing w:line="240" w:lineRule="auto" w:before="13"/>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2724"/>
        <w:gridCol w:w="2680"/>
        <w:gridCol w:w="3081"/>
      </w:tblGrid>
      <w:tr>
        <w:trPr>
          <w:trHeight w:val="438" w:hRule="exact"/>
        </w:trPr>
        <w:tc>
          <w:tcPr>
            <w:tcW w:w="27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b/>
                <w:bCs/>
                <w:sz w:val="18"/>
                <w:szCs w:val="18"/>
              </w:rPr>
              <w:t>学历结构</w:t>
            </w:r>
            <w:r>
              <w:rPr>
                <w:rFonts w:ascii="宋体" w:hAnsi="宋体" w:cs="宋体" w:eastAsia="宋体" w:hint="default"/>
                <w:sz w:val="18"/>
                <w:szCs w:val="18"/>
              </w:rPr>
            </w:r>
          </w:p>
        </w:tc>
        <w:tc>
          <w:tcPr>
            <w:tcW w:w="26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2"/>
              <w:ind w:left="812" w:right="0"/>
              <w:jc w:val="left"/>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47" w:hRule="exact"/>
        </w:trPr>
        <w:tc>
          <w:tcPr>
            <w:tcW w:w="272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6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247</w:t>
            </w:r>
          </w:p>
        </w:tc>
        <w:tc>
          <w:tcPr>
            <w:tcW w:w="30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5.75%</w:t>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2,833</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65.98%</w:t>
            </w:r>
          </w:p>
        </w:tc>
      </w:tr>
      <w:tr>
        <w:trPr>
          <w:trHeight w:val="44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1,035</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24.10%</w:t>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179</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4.17%</w:t>
            </w:r>
          </w:p>
        </w:tc>
      </w:tr>
      <w:tr>
        <w:trPr>
          <w:trHeight w:val="44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4,294</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4"/>
        <w:rPr>
          <w:rFonts w:ascii="宋体" w:hAnsi="宋体" w:cs="宋体" w:eastAsia="宋体" w:hint="default"/>
          <w:b/>
          <w:bCs/>
          <w:sz w:val="9"/>
          <w:szCs w:val="9"/>
        </w:rPr>
      </w:pPr>
    </w:p>
    <w:p>
      <w:pPr>
        <w:pStyle w:val="Heading4"/>
        <w:spacing w:line="240" w:lineRule="auto" w:before="44"/>
        <w:ind w:left="429" w:right="0"/>
        <w:jc w:val="left"/>
        <w:rPr>
          <w:b w:val="0"/>
          <w:bCs w:val="0"/>
        </w:rPr>
      </w:pPr>
      <w:r>
        <w:rPr/>
        <w:t>（三）年龄结构</w:t>
      </w:r>
      <w:r>
        <w:rPr>
          <w:b w:val="0"/>
          <w:bCs w:val="0"/>
        </w:rPr>
      </w:r>
    </w:p>
    <w:p>
      <w:pPr>
        <w:spacing w:line="240" w:lineRule="auto" w:before="13"/>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2724"/>
        <w:gridCol w:w="2680"/>
        <w:gridCol w:w="3081"/>
      </w:tblGrid>
      <w:tr>
        <w:trPr>
          <w:trHeight w:val="442" w:hRule="exact"/>
        </w:trPr>
        <w:tc>
          <w:tcPr>
            <w:tcW w:w="27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0"/>
              <w:ind w:left="995" w:right="0"/>
              <w:jc w:val="left"/>
              <w:rPr>
                <w:rFonts w:ascii="宋体" w:hAnsi="宋体" w:cs="宋体" w:eastAsia="宋体" w:hint="default"/>
                <w:sz w:val="18"/>
                <w:szCs w:val="18"/>
              </w:rPr>
            </w:pPr>
            <w:r>
              <w:rPr>
                <w:rFonts w:ascii="宋体" w:hAnsi="宋体" w:cs="宋体" w:eastAsia="宋体" w:hint="default"/>
                <w:b/>
                <w:bCs/>
                <w:sz w:val="18"/>
                <w:szCs w:val="18"/>
              </w:rPr>
              <w:t>年龄结构</w:t>
            </w:r>
            <w:r>
              <w:rPr>
                <w:rFonts w:ascii="宋体" w:hAnsi="宋体" w:cs="宋体" w:eastAsia="宋体" w:hint="default"/>
                <w:sz w:val="18"/>
                <w:szCs w:val="18"/>
              </w:rPr>
            </w:r>
          </w:p>
        </w:tc>
        <w:tc>
          <w:tcPr>
            <w:tcW w:w="26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0"/>
              <w:ind w:left="812" w:right="0"/>
              <w:jc w:val="left"/>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岁以上</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71</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1.65%</w:t>
            </w:r>
          </w:p>
        </w:tc>
      </w:tr>
      <w:tr>
        <w:trPr>
          <w:trHeight w:val="44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36-45</w:t>
            </w:r>
            <w:r>
              <w:rPr>
                <w:rFonts w:ascii="宋体" w:hAnsi="宋体" w:cs="宋体" w:eastAsia="宋体" w:hint="default"/>
                <w:sz w:val="18"/>
                <w:szCs w:val="18"/>
              </w:rPr>
              <w:t>岁</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471</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10.97%</w:t>
            </w:r>
          </w:p>
        </w:tc>
      </w:tr>
      <w:tr>
        <w:trPr>
          <w:trHeight w:val="4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3,752</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87.38%</w:t>
            </w:r>
          </w:p>
        </w:tc>
      </w:tr>
      <w:tr>
        <w:trPr>
          <w:trHeight w:val="44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4,294</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headerReference w:type="default" r:id="rId17"/>
          <w:pgSz w:w="11910" w:h="16840"/>
          <w:pgMar w:header="851" w:footer="1226" w:top="1380" w:bottom="1420" w:left="1020" w:right="100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1"/>
        <w:spacing w:line="240" w:lineRule="auto"/>
        <w:ind w:left="1128" w:right="1166"/>
        <w:jc w:val="center"/>
        <w:rPr>
          <w:b w:val="0"/>
          <w:bCs w:val="0"/>
        </w:rPr>
      </w:pPr>
      <w:bookmarkStart w:name="第八节 公司治理" w:id="95"/>
      <w:bookmarkEnd w:id="95"/>
      <w:r>
        <w:rPr>
          <w:b w:val="0"/>
          <w:bCs w:val="0"/>
        </w:rPr>
      </w:r>
      <w:bookmarkStart w:name="_bookmark7" w:id="96"/>
      <w:bookmarkEnd w:id="96"/>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3" w:right="0"/>
        <w:jc w:val="both"/>
        <w:rPr>
          <w:b w:val="0"/>
          <w:bCs w:val="0"/>
        </w:rPr>
      </w:pPr>
      <w:bookmarkStart w:name="一、公司治理的基本状况" w:id="97"/>
      <w:bookmarkEnd w:id="97"/>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公司严格按照《公司法》、《证券法》、《上市公司治理准则》、《深圳证券交易所创业板股票上市规则》、《深圳证</w:t>
      </w:r>
      <w:r>
        <w:rPr/>
        <w:t> </w:t>
      </w:r>
      <w:r>
        <w:rPr>
          <w:spacing w:val="-2"/>
        </w:rPr>
        <w:t>券交易所创业板上市公司规范运作指引》及中国证监会有关法律法规等的要求，确立了股东大会、董事会、监事会及经营管</w:t>
      </w:r>
      <w:r>
        <w:rPr>
          <w:spacing w:val="-66"/>
        </w:rPr>
        <w:t> </w:t>
      </w:r>
      <w:r>
        <w:rPr>
          <w:spacing w:val="-66"/>
        </w:rPr>
      </w:r>
      <w:r>
        <w:rPr>
          <w:spacing w:val="-2"/>
        </w:rPr>
        <w:t>理层的分层治理结构，并在公司董事会下设立了战略、审计、提名、薪酬与考核等专门委员会。报告期内，公司不断完善法</w:t>
      </w:r>
      <w:r>
        <w:rPr>
          <w:spacing w:val="-67"/>
        </w:rPr>
        <w:t> </w:t>
      </w:r>
      <w:r>
        <w:rPr>
          <w:spacing w:val="-67"/>
        </w:rPr>
      </w:r>
      <w:r>
        <w:rPr>
          <w:spacing w:val="-2"/>
        </w:rPr>
        <w:t>人治理结构，提高公司治理水平，建立健全各项内部管控制度，规范公司日常经营和整体运作，严格按照相关规定对公司重</w:t>
      </w:r>
      <w:r>
        <w:rPr>
          <w:spacing w:val="-66"/>
        </w:rPr>
        <w:t> </w:t>
      </w:r>
      <w:r>
        <w:rPr>
          <w:spacing w:val="-66"/>
        </w:rPr>
      </w:r>
      <w:r>
        <w:rPr/>
        <w:t>大事项进行信息披露，确保真实、准确、完整、及时、公平披露原则，有效保护广大投资者利益。</w:t>
      </w:r>
    </w:p>
    <w:p>
      <w:pPr>
        <w:pStyle w:val="BodyText"/>
        <w:spacing w:line="477" w:lineRule="auto" w:before="54"/>
        <w:ind w:right="93" w:firstLine="360"/>
        <w:jc w:val="left"/>
      </w:pPr>
      <w:r>
        <w:rPr>
          <w:spacing w:val="-2"/>
        </w:rPr>
        <w:t>截至</w:t>
      </w:r>
      <w:r>
        <w:rPr>
          <w:rFonts w:ascii="宋体" w:hAnsi="宋体" w:cs="宋体" w:eastAsia="宋体" w:hint="default"/>
          <w:spacing w:val="-2"/>
        </w:rPr>
        <w:t>2014</w:t>
      </w:r>
      <w:r>
        <w:rPr>
          <w:spacing w:val="-2"/>
        </w:rPr>
        <w:t>年末，公司实际治理状况符合《上市公司治理准则》和《深圳证券交易所创业板上市公司规范运作指引》的要</w:t>
      </w:r>
      <w:r>
        <w:rPr/>
        <w:t> 求，重大生产经营决策、投资决策及财务决策均按照《公司章程》及有关内控制度的规定执行，相关机构和人员依法运作、</w:t>
      </w:r>
      <w:r>
        <w:rPr>
          <w:spacing w:val="-85"/>
        </w:rPr>
        <w:t> </w:t>
      </w:r>
      <w:r>
        <w:rPr>
          <w:spacing w:val="-85"/>
        </w:rPr>
      </w:r>
      <w:r>
        <w:rPr/>
        <w:t>尽职尽责，未出现违法、违规现象。</w:t>
      </w:r>
    </w:p>
    <w:p>
      <w:pPr>
        <w:pStyle w:val="BodyText"/>
        <w:spacing w:line="477" w:lineRule="auto" w:before="54"/>
        <w:ind w:left="514" w:right="93" w:firstLine="1"/>
        <w:jc w:val="left"/>
      </w:pPr>
      <w:r>
        <w:rPr>
          <w:rFonts w:ascii="宋体" w:hAnsi="宋体" w:cs="宋体" w:eastAsia="宋体"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6"/>
        </w:rPr>
        <w:t>公司严格按照《上市公司股东大会规则》、《公司章程》、《股东大会议事规则》等规定的要求，召集、召开股东大会，</w:t>
      </w:r>
    </w:p>
    <w:p>
      <w:pPr>
        <w:pStyle w:val="BodyText"/>
        <w:spacing w:line="477" w:lineRule="auto" w:before="54"/>
        <w:ind w:left="154" w:right="191"/>
        <w:jc w:val="both"/>
      </w:pPr>
      <w:r>
        <w:rPr>
          <w:spacing w:val="-2"/>
        </w:rPr>
        <w:t>并为股东参加会议提供便利，使其充分行使股东权利。公司股东大会在审议每项议案过程中设有议事程序，能够平等对待所</w:t>
      </w:r>
      <w:r>
        <w:rPr>
          <w:spacing w:val="-66"/>
        </w:rPr>
        <w:t> </w:t>
      </w:r>
      <w:r>
        <w:rPr>
          <w:spacing w:val="-66"/>
        </w:rPr>
      </w:r>
      <w:r>
        <w:rPr>
          <w:spacing w:val="-2"/>
        </w:rPr>
        <w:t>有股东，就股东的质询作出解释和说明，听取股东的建议与意见，保证了中小股东的话语权，并通过聘请律师出席见证保证</w:t>
      </w:r>
      <w:r>
        <w:rPr>
          <w:spacing w:val="-66"/>
        </w:rPr>
        <w:t> </w:t>
      </w:r>
      <w:r>
        <w:rPr>
          <w:spacing w:val="-66"/>
        </w:rPr>
      </w:r>
      <w:r>
        <w:rPr/>
        <w:t>了会议的召集、召开和表决程序的合法性。</w:t>
      </w:r>
    </w:p>
    <w:p>
      <w:pPr>
        <w:pStyle w:val="BodyText"/>
        <w:spacing w:line="477" w:lineRule="auto" w:before="54"/>
        <w:ind w:left="514" w:right="93" w:firstLine="1"/>
        <w:jc w:val="left"/>
      </w:pPr>
      <w:r>
        <w:rPr>
          <w:rFonts w:ascii="宋体" w:hAnsi="宋体" w:cs="宋体" w:eastAsia="宋体" w:hint="default"/>
          <w:b/>
          <w:bCs/>
        </w:rPr>
        <w:t>2</w:t>
      </w:r>
      <w:r>
        <w:rPr>
          <w:rFonts w:ascii="宋体" w:hAnsi="宋体" w:cs="宋体" w:eastAsia="宋体" w:hint="default"/>
          <w:b/>
          <w:bCs/>
        </w:rPr>
        <w:t>、控股股东与上市公司</w:t>
      </w:r>
      <w:r>
        <w:rPr>
          <w:rFonts w:ascii="宋体" w:hAnsi="宋体" w:cs="宋体" w:eastAsia="宋体" w:hint="default"/>
          <w:b/>
          <w:bCs/>
          <w:w w:val="99"/>
        </w:rPr>
        <w:t> </w:t>
      </w:r>
      <w:r>
        <w:rPr>
          <w:spacing w:val="-2"/>
        </w:rPr>
        <w:t>公司严格按照《公司法》、《证券法》、《公司章程》及证券监管部门的有关规定正确处理与控股股东的关系。公司控</w:t>
      </w:r>
    </w:p>
    <w:p>
      <w:pPr>
        <w:pStyle w:val="BodyText"/>
        <w:spacing w:line="477" w:lineRule="auto" w:before="54"/>
        <w:ind w:left="154" w:right="191"/>
        <w:jc w:val="both"/>
      </w:pPr>
      <w:r>
        <w:rPr>
          <w:spacing w:val="-2"/>
        </w:rPr>
        <w:t>股股东严格规范自身行为，依法行使其权利并承担相应义务，没有超越股东大会直接或间接干预本公司的决策和生产经营活</w:t>
      </w:r>
      <w:r>
        <w:rPr>
          <w:spacing w:val="-64"/>
        </w:rPr>
        <w:t> </w:t>
      </w:r>
      <w:r>
        <w:rPr>
          <w:spacing w:val="-64"/>
        </w:rPr>
      </w:r>
      <w:r>
        <w:rPr>
          <w:spacing w:val="-2"/>
        </w:rPr>
        <w:t>动。公司拥有独立完整的业务和自主经营能力，董事会、监事会和其他内部机构独立运作。报告期内，未发生超越股东大会</w:t>
      </w:r>
      <w:r>
        <w:rPr>
          <w:spacing w:val="-66"/>
        </w:rPr>
        <w:t> </w:t>
      </w:r>
      <w:r>
        <w:rPr>
          <w:spacing w:val="-66"/>
        </w:rPr>
      </w:r>
      <w:r>
        <w:rPr/>
        <w:t>和董事会的授权权限，直接或间接干预公司决策和经营活动及利用其控制地位侵害其他股东利益的行为出现。</w:t>
      </w:r>
    </w:p>
    <w:p>
      <w:pPr>
        <w:pStyle w:val="BodyText"/>
        <w:spacing w:line="477" w:lineRule="auto" w:before="54"/>
        <w:ind w:left="513" w:right="183" w:firstLine="1"/>
        <w:jc w:val="left"/>
      </w:pPr>
      <w:r>
        <w:rPr>
          <w:rFonts w:ascii="宋体" w:hAnsi="宋体" w:cs="宋体" w:eastAsia="宋体" w:hint="default"/>
          <w:b/>
          <w:bCs/>
        </w:rPr>
        <w:t>3</w:t>
      </w:r>
      <w:r>
        <w:rPr>
          <w:rFonts w:ascii="宋体" w:hAnsi="宋体" w:cs="宋体" w:eastAsia="宋体" w:hint="default"/>
          <w:b/>
          <w:bCs/>
        </w:rPr>
        <w:t>、董事和董事会</w:t>
      </w:r>
      <w:r>
        <w:rPr>
          <w:rFonts w:ascii="宋体" w:hAnsi="宋体" w:cs="宋体" w:eastAsia="宋体" w:hint="default"/>
          <w:b/>
          <w:bCs/>
          <w:w w:val="99"/>
        </w:rPr>
        <w:t> </w:t>
      </w:r>
      <w:r>
        <w:rPr/>
        <w:t>公司董事会设董事</w:t>
      </w:r>
      <w:r>
        <w:rPr>
          <w:rFonts w:ascii="宋体" w:hAnsi="宋体" w:cs="宋体" w:eastAsia="宋体" w:hint="default"/>
        </w:rPr>
        <w:t>12</w:t>
      </w:r>
      <w:r>
        <w:rPr/>
        <w:t>名，其中独立董事</w:t>
      </w:r>
      <w:r>
        <w:rPr>
          <w:rFonts w:ascii="宋体" w:hAnsi="宋体" w:cs="宋体" w:eastAsia="宋体" w:hint="default"/>
        </w:rPr>
        <w:t>4</w:t>
      </w:r>
      <w:r>
        <w:rPr/>
        <w:t>名，董事会的人数及人员构成符合法律、法规和《公司章程》的要求。任职期</w:t>
      </w:r>
    </w:p>
    <w:p>
      <w:pPr>
        <w:pStyle w:val="BodyText"/>
        <w:spacing w:line="477" w:lineRule="auto" w:before="54"/>
        <w:ind w:left="154" w:right="190"/>
        <w:jc w:val="both"/>
      </w:pPr>
      <w:r>
        <w:rPr>
          <w:spacing w:val="-2"/>
        </w:rPr>
        <w:t>间，公司全体董事勤勉尽责开展工作，持续关注公司经营状况，主动参加相关培训，提高规范运作水平；积极参加董事会会</w:t>
      </w:r>
      <w:r>
        <w:rPr>
          <w:spacing w:val="-66"/>
        </w:rPr>
        <w:t> </w:t>
      </w:r>
      <w:r>
        <w:rPr>
          <w:spacing w:val="-66"/>
        </w:rPr>
      </w:r>
      <w:r>
        <w:rPr>
          <w:spacing w:val="-2"/>
        </w:rPr>
        <w:t>议，充分发挥各自的专业特长，审慎决策，维护公司和广大股东的利益。公司董事会会议的召集、召开等程序均符合相关规</w:t>
      </w:r>
      <w:r>
        <w:rPr>
          <w:spacing w:val="-66"/>
        </w:rPr>
        <w:t> </w:t>
      </w:r>
      <w:r>
        <w:rPr>
          <w:spacing w:val="-66"/>
        </w:rPr>
      </w:r>
      <w:r>
        <w:rPr>
          <w:spacing w:val="-2"/>
        </w:rPr>
        <w:t>定的要求；历次董事会会议记录内容真实、准确、完整，保存安全；会议决议做到充分准确且及时披露。董事会下设战略委</w:t>
      </w:r>
      <w:r>
        <w:rPr>
          <w:spacing w:val="-67"/>
        </w:rPr>
        <w:t> </w:t>
      </w:r>
      <w:r>
        <w:rPr>
          <w:spacing w:val="-67"/>
        </w:rPr>
      </w:r>
      <w:r>
        <w:rPr/>
        <w:t>员会、审计委员会、薪酬与考核委员会、提名委员会。</w:t>
      </w:r>
    </w:p>
    <w:p>
      <w:pPr>
        <w:pStyle w:val="Heading4"/>
        <w:spacing w:line="240" w:lineRule="auto" w:before="54"/>
        <w:ind w:left="515" w:right="93"/>
        <w:jc w:val="left"/>
        <w:rPr>
          <w:b w:val="0"/>
          <w:bCs w:val="0"/>
        </w:rPr>
      </w:pPr>
      <w:r>
        <w:rPr>
          <w:rFonts w:ascii="宋体" w:hAnsi="宋体" w:cs="宋体" w:eastAsia="宋体" w:hint="default"/>
        </w:rPr>
        <w:t>4</w:t>
      </w:r>
      <w:r>
        <w:rPr/>
        <w:t>、监事和监事会</w:t>
      </w:r>
      <w:r>
        <w:rPr>
          <w:b w:val="0"/>
          <w:bCs w:val="0"/>
        </w:rPr>
      </w:r>
    </w:p>
    <w:p>
      <w:pPr>
        <w:spacing w:after="0" w:line="240" w:lineRule="auto"/>
        <w:jc w:val="left"/>
        <w:sectPr>
          <w:pgSz w:w="11910" w:h="16840"/>
          <w:pgMar w:header="851" w:footer="1226" w:top="1380" w:bottom="1420" w:left="980" w:right="940"/>
        </w:sectPr>
      </w:pPr>
    </w:p>
    <w:p>
      <w:pPr>
        <w:pStyle w:val="BodyText"/>
        <w:spacing w:line="477" w:lineRule="auto" w:before="141"/>
        <w:ind w:left="154" w:right="150" w:firstLine="360"/>
        <w:jc w:val="both"/>
      </w:pPr>
      <w:r>
        <w:rPr/>
        <w:t>公司监事会设监事</w:t>
      </w:r>
      <w:r>
        <w:rPr>
          <w:rFonts w:ascii="宋体" w:hAnsi="宋体" w:cs="宋体" w:eastAsia="宋体" w:hint="default"/>
        </w:rPr>
        <w:t>3</w:t>
      </w:r>
      <w:r>
        <w:rPr/>
        <w:t>名，其中职工监事</w:t>
      </w:r>
      <w:r>
        <w:rPr>
          <w:rFonts w:ascii="宋体" w:hAnsi="宋体" w:cs="宋体" w:eastAsia="宋体" w:hint="default"/>
        </w:rPr>
        <w:t>1</w:t>
      </w:r>
      <w:r>
        <w:rPr>
          <w:rFonts w:ascii="宋体" w:hAnsi="宋体" w:cs="宋体" w:eastAsia="宋体" w:hint="default"/>
          <w:spacing w:val="7"/>
        </w:rPr>
        <w:t> </w:t>
      </w:r>
      <w:r>
        <w:rPr/>
        <w:t>名，监事会的人数和构成符合法律、法规的要求。公司监事能够按照《监事会 </w:t>
      </w:r>
      <w:r>
        <w:rPr>
          <w:spacing w:val="-2"/>
        </w:rPr>
        <w:t>议事规则》的要求，认真履行自己的职责，对公司重大事项、关联交易、财务状况以及董事、高管人员履行职责的合法合规</w:t>
      </w:r>
      <w:r>
        <w:rPr>
          <w:spacing w:val="-68"/>
        </w:rPr>
        <w:t> </w:t>
      </w:r>
      <w:r>
        <w:rPr>
          <w:spacing w:val="-68"/>
        </w:rPr>
      </w:r>
      <w:r>
        <w:rPr/>
        <w:t>性进行监督。</w:t>
      </w:r>
    </w:p>
    <w:p>
      <w:pPr>
        <w:spacing w:line="477" w:lineRule="auto" w:before="54"/>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公司已建立企业绩效评价激励体系，并在报告期内不断完善。董事、监事和高级管理人员的绩效评价标准和激励约束机</w:t>
      </w:r>
    </w:p>
    <w:p>
      <w:pPr>
        <w:spacing w:line="477" w:lineRule="auto" w:before="54"/>
        <w:ind w:left="515" w:right="6533" w:hanging="362"/>
        <w:jc w:val="left"/>
        <w:rPr>
          <w:rFonts w:ascii="宋体" w:hAnsi="宋体" w:cs="宋体" w:eastAsia="宋体" w:hint="default"/>
          <w:sz w:val="18"/>
          <w:szCs w:val="18"/>
        </w:rPr>
      </w:pPr>
      <w:r>
        <w:rPr>
          <w:rFonts w:ascii="宋体" w:hAnsi="宋体" w:cs="宋体" w:eastAsia="宋体" w:hint="default"/>
          <w:sz w:val="18"/>
          <w:szCs w:val="18"/>
        </w:rPr>
        <w:t>制公开、透明，符合法律、法规的规定。 </w:t>
      </w:r>
      <w:r>
        <w:rPr>
          <w:rFonts w:ascii="宋体" w:hAnsi="宋体" w:cs="宋体" w:eastAsia="宋体" w:hint="default"/>
          <w:b/>
          <w:bCs/>
          <w:sz w:val="18"/>
          <w:szCs w:val="18"/>
        </w:rPr>
        <w:t>6</w:t>
      </w:r>
      <w:r>
        <w:rPr>
          <w:rFonts w:ascii="宋体" w:hAnsi="宋体" w:cs="宋体" w:eastAsia="宋体" w:hint="default"/>
          <w:b/>
          <w:bCs/>
          <w:sz w:val="18"/>
          <w:szCs w:val="18"/>
        </w:rPr>
        <w:t>、关于信息披露与透明度</w:t>
      </w:r>
      <w:r>
        <w:rPr>
          <w:rFonts w:ascii="宋体" w:hAnsi="宋体" w:cs="宋体" w:eastAsia="宋体" w:hint="default"/>
          <w:sz w:val="18"/>
          <w:szCs w:val="18"/>
        </w:rPr>
      </w:r>
    </w:p>
    <w:p>
      <w:pPr>
        <w:pStyle w:val="BodyText"/>
        <w:spacing w:line="477" w:lineRule="auto" w:before="54"/>
        <w:ind w:right="149" w:firstLine="360"/>
        <w:jc w:val="both"/>
      </w:pPr>
      <w:r>
        <w:rPr>
          <w:spacing w:val="-2"/>
        </w:rPr>
        <w:t>公司严格按照有关法律法规以及《信息披露制度》、《投资者关系管理制度》等的要求，真实、准确、完整、及时、公</w:t>
      </w:r>
      <w:r>
        <w:rPr/>
        <w:t> 平地披露有关信息；并指定公司董事会秘书负责信息披露工作，协调公司与投资者的关系</w:t>
      </w:r>
      <w:r>
        <w:rPr>
          <w:rFonts w:ascii="宋体" w:hAnsi="宋体" w:cs="宋体" w:eastAsia="宋体" w:hint="default"/>
        </w:rPr>
        <w:t>,</w:t>
      </w:r>
      <w:r>
        <w:rPr/>
        <w:t>接待投资者来访调研，回答投资</w:t>
      </w:r>
      <w:r>
        <w:rPr>
          <w:spacing w:val="-82"/>
        </w:rPr>
        <w:t> </w:t>
      </w:r>
      <w:r>
        <w:rPr>
          <w:spacing w:val="-82"/>
        </w:rPr>
      </w:r>
      <w:r>
        <w:rPr>
          <w:spacing w:val="-2"/>
        </w:rPr>
        <w:t>者咨询；并指定《证券时报》、《中国证券报》、《上海证券报》、《证券日报》以及巨潮资讯网为公司信息披露的指定报</w:t>
      </w:r>
      <w:r>
        <w:rPr>
          <w:spacing w:val="-70"/>
        </w:rPr>
        <w:t> </w:t>
      </w:r>
      <w:r>
        <w:rPr>
          <w:spacing w:val="-70"/>
        </w:rPr>
      </w:r>
      <w:r>
        <w:rPr/>
        <w:t>纸和网站，确保公司所有投资者能够以平等的机会获得信息。</w:t>
      </w:r>
    </w:p>
    <w:p>
      <w:pPr>
        <w:pStyle w:val="BodyText"/>
        <w:spacing w:line="477" w:lineRule="auto" w:before="54"/>
        <w:ind w:left="514" w:right="0" w:firstLine="1"/>
        <w:jc w:val="left"/>
      </w:pPr>
      <w:r>
        <w:rPr>
          <w:rFonts w:ascii="宋体" w:hAnsi="宋体" w:cs="宋体" w:eastAsia="宋体"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spacing w:line="477" w:lineRule="auto" w:before="54"/>
        <w:ind w:left="515" w:right="3653" w:hanging="362"/>
        <w:jc w:val="left"/>
        <w:rPr>
          <w:rFonts w:ascii="宋体" w:hAnsi="宋体" w:cs="宋体" w:eastAsia="宋体" w:hint="default"/>
          <w:sz w:val="18"/>
          <w:szCs w:val="18"/>
        </w:rPr>
      </w:pPr>
      <w:r>
        <w:rPr>
          <w:rFonts w:ascii="宋体" w:hAnsi="宋体" w:cs="宋体" w:eastAsia="宋体" w:hint="default"/>
          <w:sz w:val="18"/>
          <w:szCs w:val="18"/>
        </w:rPr>
        <w:t>和客户，坚持与相关利益者互利共赢的原则，共同推动公司持续、稳健发展。 </w:t>
      </w:r>
      <w:r>
        <w:rPr>
          <w:rFonts w:ascii="宋体" w:hAnsi="宋体" w:cs="宋体" w:eastAsia="宋体" w:hint="default"/>
          <w:b/>
          <w:bCs/>
          <w:sz w:val="18"/>
          <w:szCs w:val="18"/>
        </w:rPr>
        <w:t>8</w:t>
      </w:r>
      <w:r>
        <w:rPr>
          <w:rFonts w:ascii="宋体" w:hAnsi="宋体" w:cs="宋体" w:eastAsia="宋体" w:hint="default"/>
          <w:b/>
          <w:bCs/>
          <w:sz w:val="18"/>
          <w:szCs w:val="18"/>
        </w:rPr>
        <w:t>、关于内部审计体系</w:t>
      </w:r>
      <w:r>
        <w:rPr>
          <w:rFonts w:ascii="宋体" w:hAnsi="宋体" w:cs="宋体" w:eastAsia="宋体" w:hint="default"/>
          <w:sz w:val="18"/>
          <w:szCs w:val="18"/>
        </w:rPr>
      </w:r>
    </w:p>
    <w:p>
      <w:pPr>
        <w:pStyle w:val="BodyText"/>
        <w:spacing w:line="477" w:lineRule="auto" w:before="54"/>
        <w:ind w:left="154" w:right="152" w:firstLine="360"/>
        <w:jc w:val="both"/>
      </w:pPr>
      <w:r>
        <w:rPr>
          <w:spacing w:val="-2"/>
        </w:rPr>
        <w:t>公司董事会下设审计委员会，主要负责公司内部审计与外部审计之间进行沟通，并监督公司内部审计制度的实施，审查</w:t>
      </w:r>
      <w:r>
        <w:rPr/>
        <w:t> </w:t>
      </w:r>
      <w:r>
        <w:rPr>
          <w:spacing w:val="-2"/>
        </w:rPr>
        <w:t>公司内部控制制度的执行情况，审查公司的财务信息及披露正常等。审计委员会下设独立的内审部，内审部直接对审计委员</w:t>
      </w:r>
      <w:r>
        <w:rPr>
          <w:spacing w:val="-66"/>
        </w:rPr>
        <w:t> </w:t>
      </w:r>
      <w:r>
        <w:rPr>
          <w:spacing w:val="-66"/>
        </w:rPr>
      </w:r>
      <w:r>
        <w:rPr>
          <w:spacing w:val="-2"/>
        </w:rPr>
        <w:t>会负责及报告工作。公司严格根据《公司法》、《证券法》、《企业内部控制基本规范》等有关法律、法规和规章制度，结</w:t>
      </w:r>
      <w:r>
        <w:rPr>
          <w:spacing w:val="-72"/>
        </w:rPr>
        <w:t> </w:t>
      </w:r>
      <w:r>
        <w:rPr>
          <w:spacing w:val="-72"/>
        </w:rPr>
      </w:r>
      <w:r>
        <w:rPr>
          <w:spacing w:val="-2"/>
        </w:rPr>
        <w:t>合公司的实际情况、自身特点和管理需要，制定了贯穿于公司生产经营各层面、各环节的内部控制体系，规范经营，控制风</w:t>
      </w:r>
      <w:r>
        <w:rPr>
          <w:spacing w:val="-66"/>
        </w:rPr>
        <w:t> </w:t>
      </w:r>
      <w:r>
        <w:rPr>
          <w:spacing w:val="-66"/>
        </w:rPr>
      </w:r>
      <w:r>
        <w:rPr/>
        <w:t>险。</w:t>
      </w:r>
    </w:p>
    <w:p>
      <w:pPr>
        <w:pStyle w:val="Heading4"/>
        <w:spacing w:line="240" w:lineRule="auto" w:before="17"/>
        <w:ind w:right="0"/>
        <w:jc w:val="left"/>
        <w:rPr>
          <w:b w:val="0"/>
          <w:bCs w:val="0"/>
        </w:rPr>
      </w:pPr>
      <w:r>
        <w:rPr/>
        <w:t>公司治理与《公司法》和中国证监会相关规定的要求是否存在差异</w:t>
      </w:r>
      <w:r>
        <w:rPr>
          <w:b w:val="0"/>
          <w:bCs w:val="0"/>
        </w:rPr>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
        <w:rPr>
          <w:rFonts w:ascii="宋体" w:hAnsi="宋体" w:cs="宋体" w:eastAsia="宋体" w:hint="default"/>
          <w:b/>
          <w:bCs/>
          <w:sz w:val="25"/>
          <w:szCs w:val="25"/>
        </w:rPr>
      </w:pPr>
    </w:p>
    <w:p>
      <w:pPr>
        <w:pStyle w:val="Heading2"/>
        <w:spacing w:line="240" w:lineRule="auto"/>
        <w:ind w:right="0"/>
        <w:jc w:val="left"/>
        <w:rPr>
          <w:b w:val="0"/>
          <w:bCs w:val="0"/>
        </w:rPr>
      </w:pPr>
      <w:bookmarkStart w:name="二、报告期内召开的年度股东大会和临时股东大会的有关情况" w:id="98"/>
      <w:bookmarkEnd w:id="98"/>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99"/>
      <w:bookmarkEnd w:id="9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本报告期临时股东大会情况" w:id="100"/>
      <w:bookmarkEnd w:id="10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报告期董事会召开情况" w:id="101"/>
      <w:bookmarkEnd w:id="101"/>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第五届十八次董事会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第五届十九次董事会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第五届二十一次董事会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第五届二十二次董事会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第五届二十三次董事会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第五届二十四次董事会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第五届二十五次董事会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第五届二十六次董事会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第五届二十七次董事会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第五届二十八次董事会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1" w:footer="1226" w:top="1380" w:bottom="1420" w:left="980" w:right="980"/>
        </w:sect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26" w:hRule="exact"/>
        </w:trPr>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第五届二十九次董事会</w:t>
            </w:r>
          </w:p>
        </w:tc>
        <w:tc>
          <w:tcPr>
            <w:tcW w:w="2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第五届三十一次董事会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第五届三十二次董事会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第五届三十三次董事会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第五届三十四次董事会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第五届三十五次董事会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第五届三十六次董事会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第五届三十七次董事会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第五届三十八次董事会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第五届三十九次董事会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100" w:right="21" w:hanging="1078"/>
              <w:jc w:val="left"/>
              <w:rPr>
                <w:rFonts w:ascii="宋体" w:hAnsi="宋体" w:cs="宋体" w:eastAsia="宋体" w:hint="default"/>
                <w:sz w:val="18"/>
                <w:szCs w:val="18"/>
              </w:rPr>
            </w:pPr>
            <w:r>
              <w:rPr>
                <w:rFonts w:ascii="宋体" w:hAnsi="宋体" w:cs="宋体" w:eastAsia="宋体" w:hint="default"/>
                <w:sz w:val="18"/>
                <w:szCs w:val="18"/>
              </w:rPr>
              <w:t>未达到信息披露标准，免于披 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第五届四十次董事会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0"/>
        <w:rPr>
          <w:rFonts w:ascii="宋体" w:hAnsi="宋体" w:cs="宋体" w:eastAsia="宋体" w:hint="default"/>
          <w:b/>
          <w:bCs/>
          <w:sz w:val="17"/>
          <w:szCs w:val="17"/>
        </w:rPr>
      </w:pPr>
    </w:p>
    <w:p>
      <w:pPr>
        <w:pStyle w:val="Heading2"/>
        <w:spacing w:line="240" w:lineRule="auto" w:before="26"/>
        <w:ind w:left="114" w:right="209"/>
        <w:jc w:val="left"/>
        <w:rPr>
          <w:b w:val="0"/>
          <w:bCs w:val="0"/>
        </w:rPr>
      </w:pPr>
      <w:bookmarkStart w:name="四、年度报告重大差错责任追究制度的建立与执行情况" w:id="102"/>
      <w:bookmarkEnd w:id="102"/>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 w:right="105" w:firstLine="360"/>
        <w:jc w:val="left"/>
      </w:pPr>
      <w:r>
        <w:rPr>
          <w:spacing w:val="-2"/>
        </w:rPr>
        <w:t>公司已制定了《年报信息披露重大差错责任追究制度》等制度，该等制度得到有效贯彻执行，报告期内公司无年报信息</w:t>
      </w:r>
      <w:r>
        <w:rPr/>
        <w:t> 披露重大差错。</w:t>
      </w:r>
    </w:p>
    <w:p>
      <w:pPr>
        <w:pStyle w:val="Heading2"/>
        <w:spacing w:line="240" w:lineRule="auto" w:before="5"/>
        <w:ind w:left="113" w:right="209"/>
        <w:jc w:val="left"/>
        <w:rPr>
          <w:b w:val="0"/>
          <w:bCs w:val="0"/>
        </w:rPr>
      </w:pPr>
      <w:bookmarkStart w:name="五、监事会工作情况" w:id="103"/>
      <w:bookmarkEnd w:id="103"/>
      <w:r>
        <w:rPr>
          <w:b w:val="0"/>
          <w:bCs w:val="0"/>
        </w:rPr>
      </w:r>
      <w:r>
        <w:rPr/>
        <w:t>五、监事会工作情况</w:t>
      </w:r>
      <w:r>
        <w:rPr>
          <w:b w:val="0"/>
          <w:bCs w:val="0"/>
        </w:rPr>
      </w:r>
    </w:p>
    <w:p>
      <w:pPr>
        <w:pStyle w:val="Heading4"/>
        <w:spacing w:line="240" w:lineRule="auto" w:before="202"/>
        <w:ind w:left="113" w:right="209"/>
        <w:jc w:val="left"/>
        <w:rPr>
          <w:b w:val="0"/>
          <w:bCs w:val="0"/>
        </w:rPr>
      </w:pPr>
      <w:r>
        <w:rPr/>
        <w:t>监事会在报告期内的监督活动是否发现公司存在风险</w:t>
      </w:r>
      <w:r>
        <w:rPr>
          <w:b w:val="0"/>
          <w:bCs w:val="0"/>
        </w:rPr>
      </w:r>
    </w:p>
    <w:p>
      <w:pPr>
        <w:spacing w:line="240" w:lineRule="auto" w:before="10"/>
        <w:rPr>
          <w:rFonts w:ascii="宋体" w:hAnsi="宋体" w:cs="宋体" w:eastAsia="宋体" w:hint="default"/>
          <w:b/>
          <w:bCs/>
          <w:sz w:val="17"/>
          <w:szCs w:val="17"/>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pStyle w:val="BodyText"/>
        <w:spacing w:line="240" w:lineRule="auto"/>
        <w:ind w:left="473" w:right="209"/>
        <w:jc w:val="left"/>
      </w:pPr>
      <w:r>
        <w:rPr/>
        <w:t>公司监事会对报告期内的监督事项无异议。</w:t>
      </w:r>
    </w:p>
    <w:p>
      <w:pPr>
        <w:spacing w:after="0" w:line="240" w:lineRule="auto"/>
        <w:jc w:val="left"/>
        <w:sectPr>
          <w:pgSz w:w="11910" w:h="16840"/>
          <w:pgMar w:header="851" w:footer="1226" w:top="142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8"/>
          <w:szCs w:val="8"/>
        </w:rPr>
      </w:pPr>
    </w:p>
    <w:p>
      <w:pPr>
        <w:pStyle w:val="Heading1"/>
        <w:spacing w:line="240" w:lineRule="auto"/>
        <w:ind w:right="495"/>
        <w:jc w:val="center"/>
        <w:rPr>
          <w:b w:val="0"/>
          <w:bCs w:val="0"/>
        </w:rPr>
      </w:pPr>
      <w:bookmarkStart w:name="第九节 财务报告" w:id="104"/>
      <w:bookmarkEnd w:id="104"/>
      <w:r>
        <w:rPr>
          <w:b w:val="0"/>
          <w:bCs w:val="0"/>
        </w:rPr>
      </w:r>
      <w:bookmarkStart w:name="_bookmark8" w:id="105"/>
      <w:bookmarkEnd w:id="105"/>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153" w:right="0"/>
        <w:jc w:val="left"/>
        <w:rPr>
          <w:b w:val="0"/>
          <w:bCs w:val="0"/>
        </w:rPr>
      </w:pPr>
      <w:bookmarkStart w:name="一、审计报告" w:id="106"/>
      <w:bookmarkEnd w:id="10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112901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王一芳、陈迅骅</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4"/>
        <w:spacing w:line="240" w:lineRule="auto" w:before="44"/>
        <w:ind w:left="495" w:right="494"/>
        <w:jc w:val="center"/>
        <w:rPr>
          <w:b w:val="0"/>
          <w:bCs w:val="0"/>
        </w:rPr>
      </w:pPr>
      <w:r>
        <w:rPr/>
        <w:t>审 计 报</w:t>
      </w:r>
      <w:r>
        <w:rPr>
          <w:spacing w:val="-43"/>
        </w:rPr>
        <w:t> </w:t>
      </w:r>
      <w:r>
        <w:rPr/>
        <w:t>告</w:t>
      </w:r>
      <w:r>
        <w:rPr>
          <w:b w:val="0"/>
          <w:bCs w:val="0"/>
        </w:rPr>
      </w:r>
    </w:p>
    <w:p>
      <w:pPr>
        <w:spacing w:after="0" w:line="240" w:lineRule="auto"/>
        <w:jc w:val="center"/>
        <w:sectPr>
          <w:pgSz w:w="11910" w:h="16840"/>
          <w:pgMar w:header="851" w:footer="1226" w:top="1380" w:bottom="1420" w:left="980" w:right="980"/>
        </w:sectPr>
      </w:pPr>
    </w:p>
    <w:p>
      <w:pPr>
        <w:pStyle w:val="BodyText"/>
        <w:spacing w:line="240" w:lineRule="auto" w:before="141"/>
        <w:ind w:left="0" w:right="192"/>
        <w:jc w:val="right"/>
      </w:pPr>
      <w:r>
        <w:rPr>
          <w:spacing w:val="-1"/>
        </w:rPr>
        <w:t>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112901</w:t>
      </w:r>
      <w:r>
        <w:rPr>
          <w:spacing w:val="-1"/>
        </w:rPr>
        <w:t>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4"/>
        <w:spacing w:line="240" w:lineRule="auto" w:before="44"/>
        <w:ind w:left="153" w:right="93"/>
        <w:jc w:val="left"/>
        <w:rPr>
          <w:b w:val="0"/>
          <w:bCs w:val="0"/>
        </w:rPr>
      </w:pPr>
      <w:r>
        <w:rPr/>
        <w:t>北京神州泰岳软件股份有限公司全体股东：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BodyText"/>
        <w:spacing w:line="451" w:lineRule="auto"/>
        <w:ind w:right="103" w:firstLine="560"/>
        <w:jc w:val="both"/>
      </w:pPr>
      <w:r>
        <w:rPr/>
        <w:t>我们审计了后附的北京神州泰岳软件股份有限公司（以下简称贵公司）财务报表，包括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 司资产负债表、</w:t>
      </w:r>
      <w:r>
        <w:rPr>
          <w:rFonts w:ascii="Times New Roman" w:hAnsi="Times New Roman" w:cs="Times New Roman" w:eastAsia="Times New Roman" w:hint="default"/>
        </w:rPr>
        <w:t>2014</w:t>
      </w:r>
      <w:r>
        <w:rPr/>
        <w:t>年度的合并及公司利润表、合并及公司现金流量表、合并及公司所有者权益变动表以及财务报表附注。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4"/>
        <w:spacing w:line="240" w:lineRule="auto"/>
        <w:ind w:left="874" w:right="93"/>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BodyText"/>
        <w:spacing w:line="451" w:lineRule="auto"/>
        <w:ind w:right="191" w:firstLine="560"/>
        <w:jc w:val="both"/>
      </w:pPr>
      <w:r>
        <w:rPr>
          <w:spacing w:val="-1"/>
        </w:rPr>
        <w:t>编制和公允列报财务报表是贵公司管理层的责任。这种责任包括：（</w:t>
      </w:r>
      <w:r>
        <w:rPr>
          <w:rFonts w:ascii="Times New Roman" w:hAnsi="Times New Roman" w:cs="Times New Roman" w:eastAsia="Times New Roman" w:hint="default"/>
          <w:spacing w:val="-1"/>
        </w:rPr>
        <w:t>1</w:t>
      </w:r>
      <w:r>
        <w:rPr>
          <w:spacing w:val="-1"/>
        </w:rPr>
        <w:t>）按照企业会计准则的规定编制财务报表，并</w:t>
      </w:r>
      <w:r>
        <w:rPr/>
        <w:t> 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77" w:lineRule="auto" w:before="43"/>
        <w:ind w:left="714" w:right="93" w:firstLine="159"/>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477" w:lineRule="auto" w:before="54"/>
        <w:ind w:right="93"/>
        <w:jc w:val="left"/>
      </w:pPr>
      <w:r>
        <w:rPr>
          <w:spacing w:val="-2"/>
        </w:rPr>
        <w:t>审计工作。中国注册会计师审计准则要求我们遵守中国注册会计师职业道德守则，计划和执行审计工作以对财务报表是否不</w:t>
      </w:r>
      <w:r>
        <w:rPr>
          <w:spacing w:val="-64"/>
        </w:rPr>
        <w:t> </w:t>
      </w:r>
      <w:r>
        <w:rPr>
          <w:spacing w:val="-64"/>
        </w:rPr>
      </w:r>
      <w:r>
        <w:rPr/>
        <w:t>存在重大错报获取合理保证。</w:t>
      </w:r>
    </w:p>
    <w:p>
      <w:pPr>
        <w:pStyle w:val="BodyText"/>
        <w:spacing w:line="477" w:lineRule="auto" w:before="54"/>
        <w:ind w:right="192" w:firstLine="560"/>
        <w:jc w:val="both"/>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6"/>
        </w:rPr>
        <w:t> </w:t>
      </w:r>
      <w:r>
        <w:rPr>
          <w:spacing w:val="-66"/>
        </w:rPr>
      </w:r>
      <w:r>
        <w:rPr/>
        <w:t>用会计政策的恰当性和作出会计估计的合理性，以及评价财务报表的总体列报。</w:t>
      </w:r>
    </w:p>
    <w:p>
      <w:pPr>
        <w:pStyle w:val="BodyText"/>
        <w:spacing w:line="477" w:lineRule="auto" w:before="54"/>
        <w:ind w:left="873" w:right="295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51" w:lineRule="auto" w:before="54"/>
        <w:ind w:right="192" w:firstLine="560"/>
        <w:jc w:val="both"/>
      </w:pPr>
      <w:r>
        <w:rPr/>
        <w:t>我们认为，贵公司财务报表在所有重大方面按照企业会计准则的规定编制，公允反映了贵公司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并及公司财务状况以及</w:t>
      </w:r>
      <w:r>
        <w:rPr>
          <w:rFonts w:ascii="Times New Roman" w:hAnsi="Times New Roman" w:cs="Times New Roman" w:eastAsia="Times New Roman" w:hint="default"/>
        </w:rPr>
        <w:t>2014</w:t>
      </w:r>
      <w:r>
        <w:rPr/>
        <w:t>年度的合并及公司经营成果和现金流量。</w:t>
      </w:r>
    </w:p>
    <w:p>
      <w:pPr>
        <w:pStyle w:val="Heading4"/>
        <w:tabs>
          <w:tab w:pos="6825" w:val="left" w:leader="none"/>
        </w:tabs>
        <w:spacing w:line="240" w:lineRule="auto" w:before="43"/>
        <w:ind w:left="857" w:right="93"/>
        <w:jc w:val="left"/>
        <w:rPr>
          <w:b w:val="0"/>
          <w:bCs w:val="0"/>
        </w:rPr>
      </w:pPr>
      <w:r>
        <w:rPr>
          <w:w w:val="95"/>
        </w:rPr>
        <w:t>立信会计师事务所</w:t>
        <w:tab/>
      </w:r>
      <w:r>
        <w:rPr/>
        <w:t>中国注册会计师：王一芳</w:t>
      </w:r>
      <w:r>
        <w:rPr>
          <w:b w:val="0"/>
          <w:bCs w:val="0"/>
        </w:rPr>
      </w:r>
    </w:p>
    <w:p>
      <w:pPr>
        <w:spacing w:line="240" w:lineRule="auto" w:before="10"/>
        <w:rPr>
          <w:rFonts w:ascii="宋体" w:hAnsi="宋体" w:cs="宋体" w:eastAsia="宋体" w:hint="default"/>
          <w:b/>
          <w:bCs/>
          <w:sz w:val="17"/>
          <w:szCs w:val="17"/>
        </w:rPr>
      </w:pPr>
    </w:p>
    <w:p>
      <w:pPr>
        <w:pStyle w:val="Heading4"/>
        <w:spacing w:line="240" w:lineRule="auto"/>
        <w:ind w:left="857" w:right="93"/>
        <w:jc w:val="left"/>
        <w:rPr>
          <w:b w:val="0"/>
          <w:bCs w:val="0"/>
        </w:rPr>
      </w:pPr>
      <w:r>
        <w:rPr/>
        <w:t>（特殊普通合伙）</w:t>
      </w:r>
      <w:r>
        <w:rPr>
          <w:b w:val="0"/>
          <w:bCs w:val="0"/>
        </w:rPr>
      </w:r>
    </w:p>
    <w:p>
      <w:pPr>
        <w:spacing w:line="240" w:lineRule="auto" w:before="10"/>
        <w:rPr>
          <w:rFonts w:ascii="宋体" w:hAnsi="宋体" w:cs="宋体" w:eastAsia="宋体" w:hint="default"/>
          <w:b/>
          <w:bCs/>
          <w:sz w:val="17"/>
          <w:szCs w:val="17"/>
        </w:rPr>
      </w:pPr>
    </w:p>
    <w:p>
      <w:pPr>
        <w:pStyle w:val="Heading4"/>
        <w:spacing w:line="240" w:lineRule="auto"/>
        <w:ind w:left="0" w:right="1123"/>
        <w:jc w:val="right"/>
        <w:rPr>
          <w:b w:val="0"/>
          <w:bCs w:val="0"/>
        </w:rPr>
      </w:pPr>
      <w:r>
        <w:rPr>
          <w:w w:val="95"/>
        </w:rPr>
        <w:t>中国注册会计师：陈迅骅</w:t>
      </w:r>
      <w:r>
        <w:rPr>
          <w:b w:val="0"/>
          <w:bCs w:val="0"/>
        </w:rPr>
      </w:r>
    </w:p>
    <w:p>
      <w:pPr>
        <w:spacing w:line="240" w:lineRule="auto" w:before="10"/>
        <w:rPr>
          <w:rFonts w:ascii="宋体" w:hAnsi="宋体" w:cs="宋体" w:eastAsia="宋体" w:hint="default"/>
          <w:b/>
          <w:bCs/>
          <w:sz w:val="17"/>
          <w:szCs w:val="17"/>
        </w:rPr>
      </w:pPr>
    </w:p>
    <w:p>
      <w:pPr>
        <w:pStyle w:val="Heading4"/>
        <w:spacing w:line="240" w:lineRule="auto"/>
        <w:ind w:left="1128" w:right="8034"/>
        <w:jc w:val="center"/>
        <w:rPr>
          <w:b w:val="0"/>
          <w:bCs w:val="0"/>
        </w:rPr>
      </w:pPr>
      <w:r>
        <w:rPr/>
        <w:t>中国</w:t>
      </w:r>
      <w:r>
        <w:rPr>
          <w:rFonts w:ascii="Times New Roman" w:hAnsi="Times New Roman" w:cs="Times New Roman" w:eastAsia="Times New Roman" w:hint="default"/>
        </w:rPr>
        <w:t>·</w:t>
      </w:r>
      <w:r>
        <w:rPr/>
        <w:t>上海</w:t>
      </w:r>
      <w:r>
        <w:rPr>
          <w:b w:val="0"/>
          <w:bCs w:val="0"/>
        </w:rPr>
      </w:r>
    </w:p>
    <w:p>
      <w:pPr>
        <w:spacing w:line="240" w:lineRule="auto" w:before="10"/>
        <w:rPr>
          <w:rFonts w:ascii="宋体" w:hAnsi="宋体" w:cs="宋体" w:eastAsia="宋体" w:hint="default"/>
          <w:b/>
          <w:bCs/>
          <w:sz w:val="16"/>
          <w:szCs w:val="16"/>
        </w:rPr>
      </w:pPr>
    </w:p>
    <w:p>
      <w:pPr>
        <w:pStyle w:val="Heading4"/>
        <w:spacing w:line="240" w:lineRule="auto"/>
        <w:ind w:left="0" w:right="1079"/>
        <w:jc w:val="right"/>
        <w:rPr>
          <w:b w:val="0"/>
          <w:bCs w:val="0"/>
        </w:rPr>
      </w:pPr>
      <w:r>
        <w:rPr>
          <w:w w:val="95"/>
        </w:rPr>
        <w:t>二</w:t>
      </w:r>
      <w:r>
        <w:rPr>
          <w:rFonts w:ascii="Times New Roman" w:hAnsi="Times New Roman" w:cs="Times New Roman" w:eastAsia="Times New Roman" w:hint="default"/>
          <w:w w:val="95"/>
        </w:rPr>
        <w:t>O</w:t>
      </w:r>
      <w:r>
        <w:rPr>
          <w:w w:val="95"/>
        </w:rPr>
        <w:t>一五年四月二十三日</w:t>
      </w:r>
      <w:r>
        <w:rPr>
          <w:b w:val="0"/>
          <w:bCs w:val="0"/>
        </w:rPr>
      </w:r>
    </w:p>
    <w:p>
      <w:pPr>
        <w:spacing w:after="0" w:line="240" w:lineRule="auto"/>
        <w:jc w:val="right"/>
        <w:sectPr>
          <w:pgSz w:w="11910" w:h="16840"/>
          <w:pgMar w:header="851" w:footer="1226" w:top="1380" w:bottom="1420" w:left="980" w:right="940"/>
        </w:sectPr>
      </w:pPr>
    </w:p>
    <w:p>
      <w:pPr>
        <w:pStyle w:val="Heading2"/>
        <w:spacing w:line="240" w:lineRule="auto" w:before="15"/>
        <w:ind w:right="0"/>
        <w:jc w:val="left"/>
        <w:rPr>
          <w:b w:val="0"/>
          <w:bCs w:val="0"/>
        </w:rPr>
      </w:pPr>
      <w:r>
        <w:rPr/>
        <w:pict>
          <v:group style="position:absolute;margin-left:55.200001pt;margin-top:2.225632pt;width:485pt;height:.1pt;mso-position-horizontal-relative:page;mso-position-vertical-relative:paragraph;z-index:-111088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二、财务报表" w:id="107"/>
      <w:bookmarkEnd w:id="10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08"/>
      <w:bookmarkEnd w:id="10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编制单位：北京神州泰岳软件股份有限公司</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1,234,637,722.26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1,483,831,768.20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128,617,963.00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119,872,954.49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914,606,410.60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751,270,747.88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56,438,611.67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94,932,638.97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16,243,435.49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9,363,991.68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215,795,462.07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119,461,280.92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33,458,730.73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32,240,492.10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2,599,798,335.82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2,610,973,874.24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266,004,205.37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0.4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418,004,622.91</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323,419,915.64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172,224,954.32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176,306,416.52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354,145,848.14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325,845,421.72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27,523,320.41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29,784,002.93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147,942,494.41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81,915,984.32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49,218,576.74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8,970,061.05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1,463,897,670.45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345,251,320.56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1,845,068.29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861,025.55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28,894,592.94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18,183,882.71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7,473,708.15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5,689,596.37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2,937,175,062.13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1,581,227,627.37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5,536,973,397.95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4,192,201,501.61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66,072,061.00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143,691,761.00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91,374,647.19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77,706,789.83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43,663,348.61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59,029,097.43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92,150,901.66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92,260,655.42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78,246,266.72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35,537,928.53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171,473,235.53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143,596,990.37</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4.9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11,356,687.33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569,429,312.91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594,422,889.11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15,746,807.01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12,430,727.10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17,050,505.91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7,559,805.43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640,262.48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35,774,631.51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20,630,795.01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605,203,944.42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615,053,684.12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1,327,481,535.00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614,841,344.00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1,467,864,957.80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1,361,234,043.22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-6,804,935.64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-1,385,347.96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175,904,798.57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141,422,357.47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1,905,520,275.08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1,469,333,950.91</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4,843,517,778.61</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3,554,654,268.44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88,251,674.92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22,493,549.05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4,931,769,453.53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3,577,147,817.49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5,536,973,397.95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4,192,201,501.61</w:t>
            </w:r>
          </w:p>
        </w:tc>
      </w:tr>
    </w:tbl>
    <w:p>
      <w:pPr>
        <w:spacing w:line="240" w:lineRule="auto" w:before="3"/>
        <w:rPr>
          <w:rFonts w:ascii="Times New Roman" w:hAnsi="Times New Roman" w:cs="Times New Roman" w:eastAsia="Times New Roman" w:hint="default"/>
          <w:sz w:val="23"/>
          <w:szCs w:val="23"/>
        </w:rPr>
      </w:pPr>
    </w:p>
    <w:p>
      <w:pPr>
        <w:pStyle w:val="BodyText"/>
        <w:tabs>
          <w:tab w:pos="3150" w:val="left" w:leader="none"/>
          <w:tab w:pos="7381" w:val="left" w:leader="none"/>
        </w:tabs>
        <w:spacing w:line="240" w:lineRule="auto" w:before="44"/>
        <w:ind w:left="0" w:right="209"/>
        <w:jc w:val="right"/>
      </w:pPr>
      <w:r>
        <w:rPr/>
        <w:t>法定代表人：王宁先生</w:t>
        <w:tab/>
        <w:t>主管会计工作负责人：万能先生</w:t>
        <w:tab/>
        <w:t>会计机构负责人：林红女士</w:t>
      </w:r>
    </w:p>
    <w:p>
      <w:pPr>
        <w:spacing w:line="240" w:lineRule="auto" w:before="10"/>
        <w:rPr>
          <w:rFonts w:ascii="宋体" w:hAnsi="宋体" w:cs="宋体" w:eastAsia="宋体" w:hint="default"/>
          <w:sz w:val="26"/>
          <w:szCs w:val="26"/>
        </w:rPr>
      </w:pPr>
    </w:p>
    <w:p>
      <w:pPr>
        <w:pStyle w:val="Heading3"/>
        <w:spacing w:line="240" w:lineRule="auto"/>
        <w:ind w:left="113" w:right="209"/>
        <w:jc w:val="left"/>
        <w:rPr>
          <w:b w:val="0"/>
          <w:bCs w:val="0"/>
        </w:rPr>
      </w:pPr>
      <w:bookmarkStart w:name="2、母公司资产负债表" w:id="109"/>
      <w:bookmarkEnd w:id="10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645,356,006.39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824,796,622.83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6,390,444.00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516,448,206.99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349,252,517.18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2,170,428.32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18,449,330.04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346,097,548.02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73,332,419.41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70,126,607.96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95,742,303.14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16,001,301.83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1,580,198,797.68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1,383,964,938.43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2,466,058,865.92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1,051,224,158.65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172,224,954.32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176,306,416.52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227,754,222.85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234,145,411.12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0.4pt;mso-position-horizontal-relative:page;mso-position-vertical-relative:page;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59,654,970.23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37,373,655.12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19,184,854.45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8,311,091.43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3,209,877,867.77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1,772,360,732.84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4,790,076,665.45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3,156,325,671.27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83,729,048.52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65,769,473.61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24,310,394.06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46,654,755.89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27,951,317.28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25,790,456.00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39,291,316.84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12,391,852.62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766,746,440.76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134,883,013.73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11,356,687.33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968,477,369.66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360,718,151.71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before="35"/>
        <w:ind w:left="114" w:right="209"/>
        <w:jc w:val="left"/>
        <w:rPr>
          <w:b w:val="0"/>
          <w:bCs w:val="0"/>
        </w:rPr>
      </w:pPr>
      <w:r>
        <w:rPr/>
        <w:pict>
          <v:shape style="position:absolute;margin-left:57.029999pt;margin-top:-436.146332pt;width:478.6pt;height:423.6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11,318,533.09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9,417,370.12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9,475,708.77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20,794,241.86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9,417,370.12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989,271,611.52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370,135,521.83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1,327,481,535.00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614,841,344.00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1,461,847,899.81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1,355,216,985.23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-1,099,449.71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-1,012,442.66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175,904,798.57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141,422,357.47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863,119,122.46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706,513,984.60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3,800,805,053.93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2,786,190,149.44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4,790,076,665.45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3,156,325,671.27</w:t>
                        </w:r>
                      </w:p>
                    </w:tc>
                  </w:tr>
                </w:tbl>
                <w:p>
                  <w:pPr/>
                </w:p>
              </w:txbxContent>
            </v:textbox>
            <w10:wrap type="none"/>
          </v:shape>
        </w:pict>
      </w:r>
      <w:bookmarkStart w:name="3、合并利润表" w:id="110"/>
      <w:bookmarkEnd w:id="11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2,548,844,392.48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1,906,466,509.04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2,548,844,392.48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1,906,466,509.04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2,010,851,195.88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1,383,110,950.40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1,350,813,295.16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801,251,293.04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44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3082"/>
        <w:gridCol w:w="1060"/>
        <w:gridCol w:w="2150"/>
        <w:gridCol w:w="3276"/>
      </w:tblGrid>
      <w:tr>
        <w:trPr>
          <w:trHeight w:val="414" w:hRule="exact"/>
        </w:trPr>
        <w:tc>
          <w:tcPr>
            <w:tcW w:w="308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10" w:space="0" w:color="000000"/>
              <w:left w:val="single" w:sz="4" w:space="0" w:color="000000"/>
              <w:bottom w:val="single" w:sz="4" w:space="0" w:color="000000"/>
              <w:right w:val="single" w:sz="4" w:space="0" w:color="000000"/>
            </w:tcBorders>
          </w:tcPr>
          <w:p>
            <w:pPr/>
          </w:p>
        </w:tc>
        <w:tc>
          <w:tcPr>
            <w:tcW w:w="3276"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8,618,493.85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9,283,441.28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85,666,954.43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89,125,160.62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9" w:right="0"/>
              <w:jc w:val="left"/>
              <w:rPr>
                <w:rFonts w:ascii="Times New Roman" w:hAnsi="Times New Roman" w:cs="Times New Roman" w:eastAsia="Times New Roman" w:hint="default"/>
                <w:sz w:val="18"/>
                <w:szCs w:val="18"/>
              </w:rPr>
            </w:pPr>
            <w:r>
              <w:rPr>
                <w:rFonts w:ascii="Times New Roman"/>
                <w:sz w:val="18"/>
              </w:rPr>
              <w:t>566,550,113.20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505,369,275.66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3" w:right="0"/>
              <w:jc w:val="left"/>
              <w:rPr>
                <w:rFonts w:ascii="Times New Roman" w:hAnsi="Times New Roman" w:cs="Times New Roman" w:eastAsia="Times New Roman" w:hint="default"/>
                <w:sz w:val="18"/>
                <w:szCs w:val="18"/>
              </w:rPr>
            </w:pPr>
            <w:r>
              <w:rPr>
                <w:rFonts w:ascii="Times New Roman"/>
                <w:sz w:val="18"/>
              </w:rPr>
              <w:t>-17,915,825.84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-35,830,386.17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17,118,165.08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13,912,165.97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80,321,936.51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5,496,867.36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77,051,714.31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950,527.96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6"/>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46"/>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9" w:right="0"/>
              <w:jc w:val="left"/>
              <w:rPr>
                <w:rFonts w:ascii="Times New Roman" w:hAnsi="Times New Roman" w:cs="Times New Roman" w:eastAsia="Times New Roman" w:hint="default"/>
                <w:sz w:val="18"/>
                <w:szCs w:val="18"/>
              </w:rPr>
            </w:pPr>
            <w:r>
              <w:rPr>
                <w:rFonts w:ascii="Times New Roman"/>
                <w:sz w:val="18"/>
              </w:rPr>
              <w:t>618,315,133.11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528,852,426.00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34,017,671.32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35,152,187.22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363,635.35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37,498.46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917,034.36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552,243.32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448,265.14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114,024.80</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46"/>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997" w:right="0"/>
              <w:jc w:val="left"/>
              <w:rPr>
                <w:rFonts w:ascii="Times New Roman" w:hAnsi="Times New Roman" w:cs="Times New Roman" w:eastAsia="Times New Roman" w:hint="default"/>
                <w:sz w:val="18"/>
                <w:szCs w:val="18"/>
              </w:rPr>
            </w:pPr>
            <w:r>
              <w:rPr>
                <w:rFonts w:ascii="Times New Roman"/>
                <w:sz w:val="18"/>
              </w:rPr>
              <w:t>651,415,770.07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563,452,369.90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47,294,408.70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48,989,335.63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3" w:right="0"/>
              <w:jc w:val="left"/>
              <w:rPr>
                <w:rFonts w:ascii="Times New Roman" w:hAnsi="Times New Roman" w:cs="Times New Roman" w:eastAsia="Times New Roman" w:hint="default"/>
                <w:sz w:val="18"/>
                <w:szCs w:val="18"/>
              </w:rPr>
            </w:pPr>
            <w:r>
              <w:rPr>
                <w:rFonts w:ascii="Times New Roman"/>
                <w:sz w:val="18"/>
              </w:rPr>
              <w:t>604,121,361.37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514,463,034.27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3" w:right="0"/>
              <w:jc w:val="left"/>
              <w:rPr>
                <w:rFonts w:ascii="Times New Roman" w:hAnsi="Times New Roman" w:cs="Times New Roman" w:eastAsia="Times New Roman" w:hint="default"/>
                <w:sz w:val="18"/>
                <w:szCs w:val="18"/>
              </w:rPr>
            </w:pPr>
            <w:r>
              <w:rPr>
                <w:rFonts w:ascii="Times New Roman"/>
                <w:sz w:val="18"/>
              </w:rPr>
              <w:t>624,405,597.27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517,544,171.71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3" w:right="0"/>
              <w:jc w:val="left"/>
              <w:rPr>
                <w:rFonts w:ascii="Times New Roman" w:hAnsi="Times New Roman" w:cs="Times New Roman" w:eastAsia="Times New Roman" w:hint="default"/>
                <w:sz w:val="18"/>
                <w:szCs w:val="18"/>
              </w:rPr>
            </w:pPr>
            <w:r>
              <w:rPr>
                <w:rFonts w:ascii="Times New Roman"/>
                <w:sz w:val="18"/>
              </w:rPr>
              <w:t>-20,284,235.90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-3,081,137.44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-9,741,799.60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-1,079,579.81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-5,419,587.68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-1,021,300.51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212.240005pt;margin-top:501.639984pt;width:157.7pt;height:19.650pt;mso-position-horizontal-relative:page;mso-position-vertical-relative:page;z-index:-1110760" coordorigin="4245,10033" coordsize="3154,393">
            <v:shape style="position:absolute;left:4245;top:10033;width:3154;height:393" coordorigin="4245,10033" coordsize="3154,393" path="m4245,10425l7399,10425,7399,10033,4245,10033,4245,10425xe" filled="true" fillcolor="#ffffff" stroked="false">
              <v:path arrowok="t"/>
              <v:fill type="solid"/>
            </v:shape>
            <w10:wrap type="none"/>
          </v:group>
        </w:pict>
      </w:r>
    </w:p>
    <w:p>
      <w:pPr>
        <w:spacing w:after="0"/>
        <w:rPr>
          <w:sz w:val="2"/>
          <w:szCs w:val="2"/>
        </w:rPr>
        <w:sectPr>
          <w:pgSz w:w="11910" w:h="16840"/>
          <w:pgMar w:header="851" w:footer="1226" w:top="142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3264" w:val="left" w:leader="none"/>
          <w:tab w:pos="7495" w:val="left" w:leader="none"/>
        </w:tabs>
        <w:spacing w:line="662" w:lineRule="auto" w:before="44"/>
        <w:ind w:left="113" w:right="209"/>
        <w:jc w:val="left"/>
      </w:pPr>
      <w:r>
        <w:rPr/>
        <w:pict>
          <v:shape style="position:absolute;margin-left:57.029999pt;margin-top:-430.068298pt;width:478.6pt;height:425.8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3222"/>
                    <w:gridCol w:w="3276"/>
                  </w:tblGrid>
                  <w:tr>
                    <w:trPr>
                      <w:trHeight w:val="373" w:hRule="exact"/>
                    </w:trPr>
                    <w:tc>
                      <w:tcPr>
                        <w:tcW w:w="305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10" w:space="0" w:color="000000"/>
                          <w:left w:val="single" w:sz="13" w:space="0" w:color="D2D2D2"/>
                          <w:bottom w:val="single" w:sz="4" w:space="0" w:color="000000"/>
                          <w:right w:val="single" w:sz="4" w:space="0" w:color="000000"/>
                        </w:tcBorders>
                      </w:tcPr>
                      <w:p>
                        <w:pPr/>
                      </w:p>
                    </w:tc>
                    <w:tc>
                      <w:tcPr>
                        <w:tcW w:w="3276"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-5,419,587.68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-1,021,300.51</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-5,419,587.68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-1,021,300.51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-4,322,211.92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-58,279.30</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594,379,561.77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513,383,454.46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618,986,009.59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516,522,871.20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-24,606,447.82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-3,139,416.74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0.4217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0.4188</w:t>
                        </w:r>
                      </w:p>
                    </w:tc>
                  </w:tr>
                </w:tbl>
                <w:p>
                  <w:pPr/>
                </w:p>
              </w:txbxContent>
            </v:textbox>
            <w10:wrap type="none"/>
          </v:shape>
        </w:pict>
      </w: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法定代表人：王宁先生</w:t>
        <w:tab/>
        <w:t>主管会计工作负责人：万能先生</w:t>
        <w:tab/>
        <w:t>会计机构负责人：林红女士</w:t>
      </w:r>
    </w:p>
    <w:p>
      <w:pPr>
        <w:pStyle w:val="Heading3"/>
        <w:spacing w:line="240" w:lineRule="auto" w:before="34"/>
        <w:ind w:left="113" w:right="209"/>
        <w:jc w:val="left"/>
        <w:rPr>
          <w:b w:val="0"/>
          <w:bCs w:val="0"/>
        </w:rPr>
      </w:pPr>
      <w:bookmarkStart w:name="4、母公司利润表" w:id="111"/>
      <w:bookmarkEnd w:id="11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791,603,339.86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835,423,928.08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255,796,895.03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304,527,957.43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5,927,691.41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7,045,204.02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44,026,564.79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44,626,964.38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186,127,438.79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160,149,712.33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-5,579,576.44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-28,012,523.63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44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37,503,189.42</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17,225,500.54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80,321,936.52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70,496,867.36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77,051,714.32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950,527.96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348,123,073.38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400,357,980.37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17,781,916.34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19,660,583.56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14,790.46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37,498.46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41,608.16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80,713.00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78,240.00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365,863,381.56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419,937,850.93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21,038,970.60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27,964,662.35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344,824,410.96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391,973,188.58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-684,343.47</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6"/>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-684,343.47</w:t>
            </w:r>
            <w:r>
              <w:rPr>
                <w:rFonts w:ascii="Times New Roman"/>
                <w:sz w:val="18"/>
              </w:rPr>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6"/>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-684,343.47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420" w:bottom="1420" w:left="1020" w:right="102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left="2142" w:right="0"/>
              <w:jc w:val="left"/>
              <w:rPr>
                <w:rFonts w:ascii="Times New Roman" w:hAnsi="Times New Roman" w:cs="Times New Roman" w:eastAsia="Times New Roman" w:hint="default"/>
                <w:sz w:val="18"/>
                <w:szCs w:val="18"/>
              </w:rPr>
            </w:pPr>
            <w:r>
              <w:rPr>
                <w:rFonts w:ascii="Times New Roman"/>
                <w:sz w:val="18"/>
              </w:rPr>
              <w:t>344,737,403.91</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149" w:right="0"/>
              <w:jc w:val="left"/>
              <w:rPr>
                <w:rFonts w:ascii="Times New Roman" w:hAnsi="Times New Roman" w:cs="Times New Roman" w:eastAsia="Times New Roman" w:hint="default"/>
                <w:sz w:val="18"/>
                <w:szCs w:val="18"/>
              </w:rPr>
            </w:pPr>
            <w:r>
              <w:rPr>
                <w:rFonts w:ascii="Times New Roman"/>
                <w:sz w:val="18"/>
              </w:rPr>
              <w:t>391,288,845.11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5、合并现金流量表" w:id="112"/>
      <w:bookmarkEnd w:id="11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2,646,405,786.93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1,880,078,130.37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22,836,391.71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45,017,265.35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98,217,440.99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83,693,836.69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2,767,459,619.63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2,008,789,232.41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1,555,470,020.73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852,058,158.37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547,611,073.64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524,829,192.39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93.6pt;mso-position-horizontal-relative:page;mso-position-vertical-relative:page;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414"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90,324,559.52</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119,686,310.23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224,530,856.30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149,020,988.64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2,417,936,510.19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1,645,594,649.63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349,523,109.44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363,194,582.78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5,670,222.20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7,546,339.40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606,359.56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255,547.80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6,276,581.76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7,801,887.20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130,983,168.09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49,367,055.00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92,813,367.37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216,847,092.36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73,883,101.86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11,952,499.15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4,277,603.93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452,596,126.97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273,577,760.79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-446,319,545.21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-265,775,873.59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122,477,306.70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22,392,062.37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95,623,650.00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3,830,381.31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101,072,061.00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228,691,761.00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14,953,790.72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6,285,432.54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238,503,158.42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257,369,255.91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190,048,448.33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157,087,798.74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153,937,041.22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45,076,464.51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8,954,469.17</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392,212,711.58</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247,891,510.39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-153,709,553.16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9,477,745.52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-1,080,587.11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-332,190.85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-251,586,576.04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106,564,263.86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1,478,366,412.00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1,371,802,148.14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1,226,779,835.96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1,478,366,412.00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4" w:right="209"/>
        <w:jc w:val="left"/>
        <w:rPr>
          <w:b w:val="0"/>
          <w:bCs w:val="0"/>
        </w:rPr>
      </w:pPr>
      <w:bookmarkStart w:name="6、母公司现金流量表" w:id="113"/>
      <w:bookmarkEnd w:id="11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659,913,827.64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760,776,673.37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14,864,099.59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11,914,701.78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1,287,795,989.42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463,383,434.62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1,962,573,916.65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1,236,074,809.77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231,240,231.61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313,474,387.34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140,896,006.63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119,915,965.52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43,811,050.55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76,913,180.11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982,770,647.95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403,197,548.69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1,398,717,936.74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913,501,081.66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563,855,979.91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322,573,728.11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5,670,222.20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72,546,339.40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128,755.53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60,038.46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5,798,977.73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72,606,377.86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32,939,413.76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1,475,163.18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247,324,186.94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5"/>
        <w:ind w:left="114" w:right="209"/>
        <w:jc w:val="left"/>
        <w:rPr>
          <w:b w:val="0"/>
          <w:bCs w:val="0"/>
        </w:rPr>
      </w:pPr>
      <w:r>
        <w:rPr/>
        <w:pict>
          <v:shape style="position:absolute;margin-left:57.029999pt;margin-top:-442.746307pt;width:478.6pt;height:430.2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726"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318,450,000.00</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8,459,833.33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4,277,603.93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549,049,247.09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290,576,954.05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-543,250,269.36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-217,970,576.19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26,853,656.70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18,561,681.06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17,910,807.99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5,846,202.78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79,764,464.69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86,407,883.84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79,356,687.33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154,813,152.67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153,507,913.33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47,033,433.17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8,954,469.17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281,203,273.17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191,462,382.50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-201,438,808.48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-105,054,498.66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-180,833,097.93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-451,346.74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819,657,066.63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820,108,413.37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638,823,968.70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819,657,066.63</w:t>
                        </w:r>
                      </w:p>
                    </w:tc>
                  </w:tr>
                </w:tbl>
                <w:p>
                  <w:pPr/>
                </w:p>
              </w:txbxContent>
            </v:textbox>
            <w10:wrap type="none"/>
          </v:shape>
        </w:pict>
      </w:r>
      <w:bookmarkStart w:name="7、合并所有者权益变动表" w:id="114"/>
      <w:bookmarkEnd w:id="11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left="114" w:right="209"/>
        <w:jc w:val="left"/>
        <w:rPr>
          <w:b w:val="0"/>
          <w:bCs w:val="0"/>
        </w:rPr>
      </w:pPr>
      <w:r>
        <w:rPr/>
        <w:t>本期金额</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44"/>
        <w:ind w:left="0" w:right="11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229"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176" w:right="26" w:hanging="150"/>
              <w:jc w:val="left"/>
              <w:rPr>
                <w:rFonts w:ascii="宋体" w:hAnsi="宋体" w:cs="宋体" w:eastAsia="宋体" w:hint="default"/>
                <w:sz w:val="15"/>
                <w:szCs w:val="15"/>
              </w:rPr>
            </w:pPr>
            <w:r>
              <w:rPr>
                <w:rFonts w:ascii="宋体" w:hAnsi="宋体" w:cs="宋体" w:eastAsia="宋体" w:hint="default"/>
                <w:sz w:val="15"/>
                <w:szCs w:val="15"/>
              </w:rPr>
              <w:t>少数股东 权益</w:t>
            </w: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98" w:right="23" w:hanging="75"/>
              <w:jc w:val="left"/>
              <w:rPr>
                <w:rFonts w:ascii="宋体" w:hAnsi="宋体" w:cs="宋体" w:eastAsia="宋体" w:hint="default"/>
                <w:sz w:val="15"/>
                <w:szCs w:val="15"/>
              </w:rPr>
            </w:pPr>
            <w:r>
              <w:rPr>
                <w:rFonts w:ascii="宋体" w:hAnsi="宋体" w:cs="宋体" w:eastAsia="宋体" w:hint="default"/>
                <w:sz w:val="15"/>
                <w:szCs w:val="15"/>
              </w:rPr>
              <w:t>所有者权 益合计</w:t>
            </w:r>
          </w:p>
        </w:tc>
      </w:tr>
      <w:tr>
        <w:trPr>
          <w:trHeight w:val="206"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4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1" w:right="26" w:hanging="226"/>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76" w:right="26"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78" w:right="27" w:hanging="151"/>
              <w:jc w:val="left"/>
              <w:rPr>
                <w:rFonts w:ascii="宋体" w:hAnsi="宋体" w:cs="宋体" w:eastAsia="宋体" w:hint="default"/>
                <w:sz w:val="15"/>
                <w:szCs w:val="15"/>
              </w:rPr>
            </w:pPr>
            <w:r>
              <w:rPr>
                <w:rFonts w:ascii="宋体" w:hAnsi="宋体" w:cs="宋体" w:eastAsia="宋体" w:hint="default"/>
                <w:sz w:val="15"/>
                <w:szCs w:val="15"/>
              </w:rPr>
              <w:t>一般风险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1" w:right="26" w:hanging="226"/>
              <w:jc w:val="left"/>
              <w:rPr>
                <w:rFonts w:ascii="宋体" w:hAnsi="宋体" w:cs="宋体" w:eastAsia="宋体" w:hint="default"/>
                <w:sz w:val="15"/>
                <w:szCs w:val="15"/>
              </w:rPr>
            </w:pPr>
            <w:r>
              <w:rPr>
                <w:rFonts w:ascii="宋体" w:hAnsi="宋体" w:cs="宋体" w:eastAsia="宋体" w:hint="default"/>
                <w:sz w:val="15"/>
                <w:szCs w:val="15"/>
              </w:rPr>
              <w:t>未分配利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9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0"/>
              <w:ind w:left="127"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8"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08"/>
              <w:ind w:left="36" w:right="0"/>
              <w:jc w:val="left"/>
              <w:rPr>
                <w:rFonts w:ascii="Times New Roman" w:hAnsi="Times New Roman" w:cs="Times New Roman" w:eastAsia="Times New Roman" w:hint="default"/>
                <w:sz w:val="15"/>
                <w:szCs w:val="15"/>
              </w:rPr>
            </w:pPr>
            <w:r>
              <w:rPr>
                <w:rFonts w:ascii="Times New Roman"/>
                <w:sz w:val="15"/>
              </w:rPr>
              <w:t>614,841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3" w:right="0"/>
              <w:jc w:val="left"/>
              <w:rPr>
                <w:rFonts w:ascii="Times New Roman" w:hAnsi="Times New Roman" w:cs="Times New Roman" w:eastAsia="Times New Roman" w:hint="default"/>
                <w:sz w:val="15"/>
                <w:szCs w:val="15"/>
              </w:rPr>
            </w:pPr>
            <w:r>
              <w:rPr>
                <w:rFonts w:ascii="Times New Roman"/>
                <w:sz w:val="15"/>
              </w:rPr>
              <w:t>,344.00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z w:val="15"/>
              </w:rPr>
              <w:t>1,361,234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,043.22</w:t>
            </w:r>
          </w:p>
        </w:tc>
        <w:tc>
          <w:tcPr>
            <w:tcW w:w="665" w:type="dxa"/>
            <w:vMerge w:val="restart"/>
            <w:tcBorders>
              <w:top w:val="single" w:sz="22" w:space="0" w:color="D2D2D2"/>
              <w:left w:val="single" w:sz="4" w:space="0" w:color="000000"/>
              <w:right w:val="single" w:sz="4" w:space="0" w:color="000000"/>
            </w:tcBorders>
          </w:tcPr>
          <w:p>
            <w:pPr>
              <w:pStyle w:val="TableParagraph"/>
              <w:spacing w:line="240" w:lineRule="auto" w:before="85"/>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vMerge w:val="restart"/>
            <w:tcBorders>
              <w:top w:val="single" w:sz="22" w:space="0" w:color="D2D2D2"/>
              <w:left w:val="single" w:sz="4" w:space="0" w:color="000000"/>
              <w:right w:val="single" w:sz="4" w:space="0" w:color="000000"/>
            </w:tcBorders>
          </w:tcPr>
          <w:p>
            <w:pPr>
              <w:pStyle w:val="TableParagraph"/>
              <w:spacing w:line="240" w:lineRule="auto" w:before="85"/>
              <w:ind w:left="56" w:right="0"/>
              <w:jc w:val="left"/>
              <w:rPr>
                <w:rFonts w:ascii="Times New Roman" w:hAnsi="Times New Roman" w:cs="Times New Roman" w:eastAsia="Times New Roman" w:hint="default"/>
                <w:sz w:val="15"/>
                <w:szCs w:val="15"/>
              </w:rPr>
            </w:pPr>
            <w:r>
              <w:rPr>
                <w:rFonts w:ascii="Times New Roman"/>
                <w:sz w:val="15"/>
              </w:rPr>
              <w:t>-1,385,34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7.96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141,422,3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57.47</w:t>
            </w:r>
          </w:p>
        </w:tc>
        <w:tc>
          <w:tcPr>
            <w:tcW w:w="666" w:type="dxa"/>
            <w:vMerge w:val="restart"/>
            <w:tcBorders>
              <w:top w:val="single" w:sz="22" w:space="0" w:color="D2D2D2"/>
              <w:left w:val="single" w:sz="4" w:space="0" w:color="000000"/>
              <w:right w:val="single" w:sz="4" w:space="0" w:color="000000"/>
            </w:tcBorders>
          </w:tcPr>
          <w:p>
            <w:pPr/>
          </w:p>
        </w:tc>
        <w:tc>
          <w:tcPr>
            <w:tcW w:w="665" w:type="dxa"/>
            <w:vMerge w:val="restart"/>
            <w:tcBorders>
              <w:top w:val="single" w:sz="22" w:space="0" w:color="D2D2D2"/>
              <w:left w:val="single" w:sz="4" w:space="0" w:color="000000"/>
              <w:right w:val="single" w:sz="4" w:space="0" w:color="000000"/>
            </w:tcBorders>
          </w:tcPr>
          <w:p>
            <w:pPr>
              <w:pStyle w:val="TableParagraph"/>
              <w:spacing w:line="240" w:lineRule="auto" w:before="85"/>
              <w:ind w:left="7" w:right="0"/>
              <w:jc w:val="center"/>
              <w:rPr>
                <w:rFonts w:ascii="Times New Roman" w:hAnsi="Times New Roman" w:cs="Times New Roman" w:eastAsia="Times New Roman" w:hint="default"/>
                <w:sz w:val="15"/>
                <w:szCs w:val="15"/>
              </w:rPr>
            </w:pPr>
            <w:r>
              <w:rPr>
                <w:rFonts w:ascii="Times New Roman"/>
                <w:sz w:val="15"/>
              </w:rPr>
              <w:t>1,469,333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,950.91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22,493,54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3,577,147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,817.49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22"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z w:val="15"/>
                <w:szCs w:val="15"/>
              </w:rPr>
              <w:t>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23" w:right="0"/>
              <w:jc w:val="left"/>
              <w:rPr>
                <w:rFonts w:ascii="宋体" w:hAnsi="宋体" w:cs="宋体" w:eastAsia="宋体" w:hint="default"/>
                <w:sz w:val="15"/>
                <w:szCs w:val="15"/>
              </w:rPr>
            </w:pPr>
            <w:r>
              <w:rPr>
                <w:rFonts w:ascii="宋体" w:hAnsi="宋体" w:cs="宋体" w:eastAsia="宋体" w:hint="default"/>
                <w:sz w:val="15"/>
                <w:szCs w:val="15"/>
              </w:rPr>
              <w:t>前期差错更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44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73"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正</w:t>
            </w:r>
          </w:p>
        </w:tc>
        <w:tc>
          <w:tcPr>
            <w:tcW w:w="563"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4" w:type="dxa"/>
            <w:tcBorders>
              <w:top w:val="single" w:sz="10" w:space="0" w:color="000000"/>
              <w:left w:val="single" w:sz="4" w:space="0" w:color="000000"/>
              <w:bottom w:val="single" w:sz="4" w:space="0" w:color="000000"/>
              <w:right w:val="single" w:sz="4" w:space="0" w:color="000000"/>
            </w:tcBorders>
          </w:tcPr>
          <w:p>
            <w:pPr/>
          </w:p>
        </w:tc>
        <w:tc>
          <w:tcPr>
            <w:tcW w:w="666"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59"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3" w:right="0"/>
              <w:jc w:val="left"/>
              <w:rPr>
                <w:rFonts w:ascii="宋体" w:hAnsi="宋体" w:cs="宋体" w:eastAsia="宋体" w:hint="default"/>
                <w:sz w:val="15"/>
                <w:szCs w:val="15"/>
              </w:rPr>
            </w:pPr>
            <w:r>
              <w:rPr>
                <w:rFonts w:ascii="宋体" w:hAnsi="宋体" w:cs="宋体" w:eastAsia="宋体" w:hint="default"/>
                <w:sz w:val="15"/>
                <w:szCs w:val="15"/>
              </w:rPr>
              <w:t>同一控制下</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z w:val="15"/>
                <w:szCs w:val="15"/>
              </w:rPr>
              <w:t>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8"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 w:right="0"/>
              <w:jc w:val="left"/>
              <w:rPr>
                <w:rFonts w:ascii="Times New Roman" w:hAnsi="Times New Roman" w:cs="Times New Roman" w:eastAsia="Times New Roman" w:hint="default"/>
                <w:sz w:val="15"/>
                <w:szCs w:val="15"/>
              </w:rPr>
            </w:pPr>
            <w:r>
              <w:rPr>
                <w:rFonts w:ascii="Times New Roman"/>
                <w:sz w:val="15"/>
              </w:rPr>
              <w:t>614,841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,344.00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 w:right="0"/>
              <w:jc w:val="center"/>
              <w:rPr>
                <w:rFonts w:ascii="Times New Roman" w:hAnsi="Times New Roman" w:cs="Times New Roman" w:eastAsia="Times New Roman" w:hint="default"/>
                <w:sz w:val="15"/>
                <w:szCs w:val="15"/>
              </w:rPr>
            </w:pPr>
            <w:r>
              <w:rPr>
                <w:rFonts w:ascii="Times New Roman"/>
                <w:sz w:val="15"/>
              </w:rPr>
              <w:t>1,361,234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,043.22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-1,385,34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141,422,3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57.47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 w:right="0"/>
              <w:jc w:val="center"/>
              <w:rPr>
                <w:rFonts w:ascii="Times New Roman" w:hAnsi="Times New Roman" w:cs="Times New Roman" w:eastAsia="Times New Roman" w:hint="default"/>
                <w:sz w:val="15"/>
                <w:szCs w:val="15"/>
              </w:rPr>
            </w:pPr>
            <w:r>
              <w:rPr>
                <w:rFonts w:ascii="Times New Roman"/>
                <w:sz w:val="15"/>
              </w:rPr>
              <w:t>1,469,333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,950.91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22,493,54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5"/>
                <w:szCs w:val="15"/>
              </w:rPr>
            </w:pPr>
            <w:r>
              <w:rPr>
                <w:rFonts w:ascii="Times New Roman"/>
                <w:sz w:val="15"/>
              </w:rPr>
              <w:t>3,577,147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,817.49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2" w:lineRule="auto" w:before="71"/>
              <w:ind w:left="22" w:right="53"/>
              <w:jc w:val="both"/>
              <w:rPr>
                <w:rFonts w:ascii="宋体" w:hAnsi="宋体" w:cs="宋体" w:eastAsia="宋体" w:hint="default"/>
                <w:sz w:val="15"/>
                <w:szCs w:val="15"/>
              </w:rPr>
            </w:pPr>
            <w:r>
              <w:rPr>
                <w:rFonts w:ascii="宋体" w:hAnsi="宋体" w:cs="宋体" w:eastAsia="宋体" w:hint="default"/>
                <w:sz w:val="15"/>
                <w:szCs w:val="15"/>
              </w:rPr>
              <w:t>三、本期增减变动金 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712,640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,191.00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106,630,9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4" w:right="0"/>
              <w:jc w:val="left"/>
              <w:rPr>
                <w:rFonts w:ascii="Times New Roman" w:hAnsi="Times New Roman" w:cs="Times New Roman" w:eastAsia="Times New Roman" w:hint="default"/>
                <w:sz w:val="15"/>
                <w:szCs w:val="15"/>
              </w:rPr>
            </w:pPr>
            <w:r>
              <w:rPr>
                <w:rFonts w:ascii="Times New Roman"/>
                <w:sz w:val="15"/>
              </w:rPr>
              <w:t>14.58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6" w:right="0"/>
              <w:jc w:val="left"/>
              <w:rPr>
                <w:rFonts w:ascii="Times New Roman" w:hAnsi="Times New Roman" w:cs="Times New Roman" w:eastAsia="Times New Roman" w:hint="default"/>
                <w:sz w:val="15"/>
                <w:szCs w:val="15"/>
              </w:rPr>
            </w:pPr>
            <w:r>
              <w:rPr>
                <w:rFonts w:ascii="Times New Roman"/>
                <w:sz w:val="15"/>
              </w:rPr>
              <w:t>-4,343,22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6" w:right="0"/>
              <w:jc w:val="left"/>
              <w:rPr>
                <w:rFonts w:ascii="Times New Roman" w:hAnsi="Times New Roman" w:cs="Times New Roman" w:eastAsia="Times New Roman" w:hint="default"/>
                <w:sz w:val="15"/>
                <w:szCs w:val="15"/>
              </w:rPr>
            </w:pPr>
            <w:r>
              <w:rPr>
                <w:rFonts w:ascii="Times New Roman"/>
                <w:sz w:val="15"/>
              </w:rPr>
              <w:t>-5,419,58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34,482,44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1.10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436,186,3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24.17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65,758,12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5.87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1,354,621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,636.04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-5,419,58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624,405,5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97.27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-24,606,4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47.82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 w:right="0"/>
              <w:jc w:val="left"/>
              <w:rPr>
                <w:rFonts w:ascii="Times New Roman" w:hAnsi="Times New Roman" w:cs="Times New Roman" w:eastAsia="Times New Roman" w:hint="default"/>
                <w:sz w:val="15"/>
                <w:szCs w:val="15"/>
              </w:rPr>
            </w:pPr>
            <w:r>
              <w:rPr>
                <w:rFonts w:ascii="Times New Roman"/>
                <w:sz w:val="15"/>
              </w:rPr>
              <w:t>594,379,5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88" w:right="0"/>
              <w:jc w:val="left"/>
              <w:rPr>
                <w:rFonts w:ascii="Times New Roman" w:hAnsi="Times New Roman" w:cs="Times New Roman" w:eastAsia="Times New Roman" w:hint="default"/>
                <w:sz w:val="15"/>
                <w:szCs w:val="15"/>
              </w:rPr>
            </w:pPr>
            <w:r>
              <w:rPr>
                <w:rFonts w:ascii="Times New Roman"/>
                <w:sz w:val="15"/>
              </w:rPr>
              <w:t>61.77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1"/>
              <w:ind w:left="22" w:right="53"/>
              <w:jc w:val="left"/>
              <w:rPr>
                <w:rFonts w:ascii="宋体" w:hAnsi="宋体" w:cs="宋体" w:eastAsia="宋体" w:hint="default"/>
                <w:sz w:val="15"/>
                <w:szCs w:val="15"/>
              </w:rPr>
            </w:pPr>
            <w:r>
              <w:rPr>
                <w:rFonts w:ascii="宋体" w:hAnsi="宋体" w:cs="宋体" w:eastAsia="宋体" w:hint="default"/>
                <w:sz w:val="15"/>
                <w:szCs w:val="15"/>
              </w:rPr>
              <w:t>（二）所有者投入和 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0" w:right="0"/>
              <w:jc w:val="left"/>
              <w:rPr>
                <w:rFonts w:ascii="Times New Roman" w:hAnsi="Times New Roman" w:cs="Times New Roman" w:eastAsia="Times New Roman" w:hint="default"/>
                <w:sz w:val="15"/>
                <w:szCs w:val="15"/>
              </w:rPr>
            </w:pPr>
            <w:r>
              <w:rPr>
                <w:rFonts w:ascii="Times New Roman"/>
                <w:sz w:val="15"/>
              </w:rPr>
              <w:t>97,423,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7" w:right="0"/>
              <w:jc w:val="left"/>
              <w:rPr>
                <w:rFonts w:ascii="Times New Roman" w:hAnsi="Times New Roman" w:cs="Times New Roman" w:eastAsia="Times New Roman" w:hint="default"/>
                <w:sz w:val="15"/>
                <w:szCs w:val="15"/>
              </w:rPr>
            </w:pPr>
            <w:r>
              <w:rPr>
                <w:rFonts w:ascii="Times New Roman"/>
                <w:sz w:val="15"/>
              </w:rPr>
              <w:t>807.00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713,627,2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4" w:right="0"/>
              <w:jc w:val="left"/>
              <w:rPr>
                <w:rFonts w:ascii="Times New Roman" w:hAnsi="Times New Roman" w:cs="Times New Roman" w:eastAsia="Times New Roman" w:hint="default"/>
                <w:sz w:val="15"/>
                <w:szCs w:val="15"/>
              </w:rPr>
            </w:pPr>
            <w:r>
              <w:rPr>
                <w:rFonts w:ascii="Times New Roman"/>
                <w:sz w:val="15"/>
              </w:rPr>
              <w:t>98.58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-4,343,22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90,364,57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3.69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 w:right="0"/>
              <w:jc w:val="left"/>
              <w:rPr>
                <w:rFonts w:ascii="Times New Roman" w:hAnsi="Times New Roman" w:cs="Times New Roman" w:eastAsia="Times New Roman" w:hint="default"/>
                <w:sz w:val="15"/>
                <w:szCs w:val="15"/>
              </w:rPr>
            </w:pPr>
            <w:r>
              <w:rPr>
                <w:rFonts w:ascii="Times New Roman"/>
                <w:sz w:val="15"/>
              </w:rPr>
              <w:t>905,758,9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88" w:right="0"/>
              <w:jc w:val="left"/>
              <w:rPr>
                <w:rFonts w:ascii="Times New Roman" w:hAnsi="Times New Roman" w:cs="Times New Roman" w:eastAsia="Times New Roman" w:hint="default"/>
                <w:sz w:val="15"/>
                <w:szCs w:val="15"/>
              </w:rPr>
            </w:pPr>
            <w:r>
              <w:rPr>
                <w:rFonts w:ascii="Times New Roman"/>
                <w:sz w:val="15"/>
              </w:rPr>
              <w:t>06.27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．股东投入的普通股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0" w:right="0"/>
              <w:jc w:val="left"/>
              <w:rPr>
                <w:rFonts w:ascii="Times New Roman" w:hAnsi="Times New Roman" w:cs="Times New Roman" w:eastAsia="Times New Roman" w:hint="default"/>
                <w:sz w:val="15"/>
                <w:szCs w:val="15"/>
              </w:rPr>
            </w:pPr>
            <w:r>
              <w:rPr>
                <w:rFonts w:ascii="Times New Roman"/>
                <w:sz w:val="15"/>
              </w:rPr>
              <w:t>97,423,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17" w:right="0"/>
              <w:jc w:val="left"/>
              <w:rPr>
                <w:rFonts w:ascii="Times New Roman" w:hAnsi="Times New Roman" w:cs="Times New Roman" w:eastAsia="Times New Roman" w:hint="default"/>
                <w:sz w:val="15"/>
                <w:szCs w:val="15"/>
              </w:rPr>
            </w:pPr>
            <w:r>
              <w:rPr>
                <w:rFonts w:ascii="Times New Roman"/>
                <w:sz w:val="15"/>
              </w:rPr>
              <w:t>807.00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705,460,9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4" w:right="0"/>
              <w:jc w:val="left"/>
              <w:rPr>
                <w:rFonts w:ascii="Times New Roman" w:hAnsi="Times New Roman" w:cs="Times New Roman" w:eastAsia="Times New Roman" w:hint="default"/>
                <w:sz w:val="15"/>
                <w:szCs w:val="15"/>
              </w:rPr>
            </w:pPr>
            <w:r>
              <w:rPr>
                <w:rFonts w:ascii="Times New Roman"/>
                <w:sz w:val="15"/>
              </w:rPr>
              <w:t>89.08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95,623,65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 w:right="0"/>
              <w:jc w:val="left"/>
              <w:rPr>
                <w:rFonts w:ascii="Times New Roman" w:hAnsi="Times New Roman" w:cs="Times New Roman" w:eastAsia="Times New Roman" w:hint="default"/>
                <w:sz w:val="15"/>
                <w:szCs w:val="15"/>
              </w:rPr>
            </w:pPr>
            <w:r>
              <w:rPr>
                <w:rFonts w:ascii="Times New Roman"/>
                <w:sz w:val="15"/>
              </w:rPr>
              <w:t>898,508,4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88" w:right="0"/>
              <w:jc w:val="left"/>
              <w:rPr>
                <w:rFonts w:ascii="Times New Roman" w:hAnsi="Times New Roman" w:cs="Times New Roman" w:eastAsia="Times New Roman" w:hint="default"/>
                <w:sz w:val="15"/>
                <w:szCs w:val="15"/>
              </w:rPr>
            </w:pPr>
            <w:r>
              <w:rPr>
                <w:rFonts w:ascii="Times New Roman"/>
                <w:sz w:val="15"/>
              </w:rPr>
              <w:t>46.08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1"/>
              <w:ind w:left="22" w:right="21"/>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1"/>
              <w:ind w:left="22" w:right="21"/>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者权益的金额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5"/>
                <w:szCs w:val="15"/>
              </w:rPr>
            </w:pPr>
            <w:r>
              <w:rPr>
                <w:rFonts w:ascii="Times New Roman"/>
                <w:spacing w:val="-1"/>
                <w:sz w:val="15"/>
              </w:rPr>
              <w:t>8,166,309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-4,343,22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 w:right="0"/>
              <w:jc w:val="left"/>
              <w:rPr>
                <w:rFonts w:ascii="Times New Roman" w:hAnsi="Times New Roman" w:cs="Times New Roman" w:eastAsia="Times New Roman" w:hint="default"/>
                <w:sz w:val="15"/>
                <w:szCs w:val="15"/>
              </w:rPr>
            </w:pPr>
            <w:r>
              <w:rPr>
                <w:rFonts w:ascii="Times New Roman"/>
                <w:sz w:val="15"/>
              </w:rPr>
              <w:t>12,509,53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6.50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 w:right="0"/>
              <w:jc w:val="left"/>
              <w:rPr>
                <w:rFonts w:ascii="Times New Roman" w:hAnsi="Times New Roman" w:cs="Times New Roman" w:eastAsia="Times New Roman" w:hint="default"/>
                <w:sz w:val="15"/>
                <w:szCs w:val="15"/>
              </w:rPr>
            </w:pPr>
            <w:r>
              <w:rPr>
                <w:rFonts w:ascii="Times New Roman"/>
                <w:sz w:val="15"/>
              </w:rPr>
              <w:t>-5,259,07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6.31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0" w:right="0"/>
              <w:jc w:val="left"/>
              <w:rPr>
                <w:rFonts w:ascii="Times New Roman" w:hAnsi="Times New Roman" w:cs="Times New Roman" w:eastAsia="Times New Roman" w:hint="default"/>
                <w:sz w:val="15"/>
                <w:szCs w:val="15"/>
              </w:rPr>
            </w:pPr>
            <w:r>
              <w:rPr>
                <w:rFonts w:ascii="Times New Roman"/>
                <w:sz w:val="15"/>
              </w:rPr>
              <w:t>-5,259,07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6.31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34,482,44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1.10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3" w:right="0"/>
              <w:jc w:val="center"/>
              <w:rPr>
                <w:rFonts w:ascii="Times New Roman" w:hAnsi="Times New Roman" w:cs="Times New Roman" w:eastAsia="Times New Roman" w:hint="default"/>
                <w:sz w:val="15"/>
                <w:szCs w:val="15"/>
              </w:rPr>
            </w:pPr>
            <w:r>
              <w:rPr>
                <w:rFonts w:ascii="Times New Roman"/>
                <w:sz w:val="15"/>
              </w:rPr>
              <w:t>-188,219,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center"/>
              <w:rPr>
                <w:rFonts w:ascii="Times New Roman" w:hAnsi="Times New Roman" w:cs="Times New Roman" w:eastAsia="Times New Roman" w:hint="default"/>
                <w:sz w:val="15"/>
                <w:szCs w:val="15"/>
              </w:rPr>
            </w:pPr>
            <w:r>
              <w:rPr>
                <w:rFonts w:ascii="Times New Roman"/>
                <w:sz w:val="15"/>
              </w:rPr>
              <w:t>273.10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7" w:right="0"/>
              <w:jc w:val="center"/>
              <w:rPr>
                <w:rFonts w:ascii="Times New Roman" w:hAnsi="Times New Roman" w:cs="Times New Roman" w:eastAsia="Times New Roman" w:hint="default"/>
                <w:sz w:val="15"/>
                <w:szCs w:val="15"/>
              </w:rPr>
            </w:pPr>
            <w:r>
              <w:rPr>
                <w:rFonts w:ascii="Times New Roman"/>
                <w:sz w:val="15"/>
              </w:rPr>
              <w:t>-153,736,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8" w:right="0"/>
              <w:jc w:val="center"/>
              <w:rPr>
                <w:rFonts w:ascii="Times New Roman" w:hAnsi="Times New Roman" w:cs="Times New Roman" w:eastAsia="Times New Roman" w:hint="default"/>
                <w:sz w:val="15"/>
                <w:szCs w:val="15"/>
              </w:rPr>
            </w:pPr>
            <w:r>
              <w:rPr>
                <w:rFonts w:ascii="Times New Roman"/>
                <w:sz w:val="15"/>
              </w:rPr>
              <w:t>832.00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 w:right="0"/>
              <w:jc w:val="left"/>
              <w:rPr>
                <w:rFonts w:ascii="Times New Roman" w:hAnsi="Times New Roman" w:cs="Times New Roman" w:eastAsia="Times New Roman" w:hint="default"/>
                <w:sz w:val="15"/>
                <w:szCs w:val="15"/>
              </w:rPr>
            </w:pPr>
            <w:r>
              <w:rPr>
                <w:rFonts w:ascii="Times New Roman"/>
                <w:sz w:val="15"/>
              </w:rPr>
              <w:t>34,482,44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1.10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5"/>
                <w:szCs w:val="15"/>
              </w:rPr>
            </w:pPr>
            <w:r>
              <w:rPr>
                <w:rFonts w:ascii="Times New Roman"/>
                <w:sz w:val="15"/>
              </w:rPr>
              <w:t>-34,482,4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41.10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．提取一般风险准备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60" w:lineRule="auto" w:before="71"/>
              <w:ind w:left="22" w:right="89"/>
              <w:jc w:val="left"/>
              <w:rPr>
                <w:rFonts w:ascii="宋体" w:hAnsi="宋体" w:cs="宋体" w:eastAsia="宋体" w:hint="default"/>
                <w:sz w:val="15"/>
                <w:szCs w:val="15"/>
              </w:rPr>
            </w:pPr>
            <w:r>
              <w:rPr>
                <w:rFonts w:ascii="Times New Roman" w:hAnsi="Times New Roman" w:cs="Times New Roman" w:eastAsia="Times New Roman" w:hint="default"/>
                <w:spacing w:val="-12"/>
                <w:sz w:val="15"/>
                <w:szCs w:val="15"/>
              </w:rPr>
              <w:t>3</w:t>
            </w:r>
            <w:r>
              <w:rPr>
                <w:rFonts w:ascii="宋体" w:hAnsi="宋体" w:cs="宋体" w:eastAsia="宋体" w:hint="default"/>
                <w:spacing w:val="-12"/>
                <w:sz w:val="15"/>
                <w:szCs w:val="15"/>
              </w:rPr>
              <w:t>．对所有者（或股东</w:t>
            </w:r>
            <w:r>
              <w:rPr>
                <w:rFonts w:ascii="宋体" w:hAnsi="宋体" w:cs="宋体" w:eastAsia="宋体" w:hint="default"/>
                <w:sz w:val="15"/>
                <w:szCs w:val="15"/>
              </w:rPr>
              <w:t> 的分配</w:t>
            </w:r>
          </w:p>
        </w:tc>
        <w:tc>
          <w:tcPr>
            <w:tcW w:w="5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71"/>
              <w:ind w:left="-116" w:right="0"/>
              <w:jc w:val="left"/>
              <w:rPr>
                <w:rFonts w:ascii="宋体" w:hAnsi="宋体" w:cs="宋体" w:eastAsia="宋体" w:hint="default"/>
                <w:sz w:val="15"/>
                <w:szCs w:val="15"/>
              </w:rPr>
            </w:pPr>
            <w:r>
              <w:rPr>
                <w:rFonts w:ascii="宋体" w:hAnsi="宋体" w:cs="宋体" w:eastAsia="宋体" w:hint="default"/>
                <w:sz w:val="15"/>
                <w:szCs w:val="15"/>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3" w:right="0"/>
              <w:jc w:val="center"/>
              <w:rPr>
                <w:rFonts w:ascii="Times New Roman" w:hAnsi="Times New Roman" w:cs="Times New Roman" w:eastAsia="Times New Roman" w:hint="default"/>
                <w:sz w:val="15"/>
                <w:szCs w:val="15"/>
              </w:rPr>
            </w:pPr>
            <w:r>
              <w:rPr>
                <w:rFonts w:ascii="Times New Roman"/>
                <w:sz w:val="15"/>
              </w:rPr>
              <w:t>-153,736,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center"/>
              <w:rPr>
                <w:rFonts w:ascii="Times New Roman" w:hAnsi="Times New Roman" w:cs="Times New Roman" w:eastAsia="Times New Roman" w:hint="default"/>
                <w:sz w:val="15"/>
                <w:szCs w:val="15"/>
              </w:rPr>
            </w:pPr>
            <w:r>
              <w:rPr>
                <w:rFonts w:ascii="Times New Roman"/>
                <w:sz w:val="15"/>
              </w:rPr>
              <w:t>832.00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7" w:right="0"/>
              <w:jc w:val="center"/>
              <w:rPr>
                <w:rFonts w:ascii="Times New Roman" w:hAnsi="Times New Roman" w:cs="Times New Roman" w:eastAsia="Times New Roman" w:hint="default"/>
                <w:sz w:val="15"/>
                <w:szCs w:val="15"/>
              </w:rPr>
            </w:pPr>
            <w:r>
              <w:rPr>
                <w:rFonts w:ascii="Times New Roman"/>
                <w:sz w:val="15"/>
              </w:rPr>
              <w:t>-153,736,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8" w:right="0"/>
              <w:jc w:val="center"/>
              <w:rPr>
                <w:rFonts w:ascii="Times New Roman" w:hAnsi="Times New Roman" w:cs="Times New Roman" w:eastAsia="Times New Roman" w:hint="default"/>
                <w:sz w:val="15"/>
                <w:szCs w:val="15"/>
              </w:rPr>
            </w:pPr>
            <w:r>
              <w:rPr>
                <w:rFonts w:ascii="Times New Roman"/>
                <w:sz w:val="15"/>
              </w:rPr>
              <w:t>832.00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1"/>
              <w:ind w:left="22" w:right="53"/>
              <w:jc w:val="left"/>
              <w:rPr>
                <w:rFonts w:ascii="宋体" w:hAnsi="宋体" w:cs="宋体" w:eastAsia="宋体" w:hint="default"/>
                <w:sz w:val="15"/>
                <w:szCs w:val="15"/>
              </w:rPr>
            </w:pPr>
            <w:r>
              <w:rPr>
                <w:rFonts w:ascii="宋体" w:hAnsi="宋体" w:cs="宋体" w:eastAsia="宋体" w:hint="default"/>
                <w:sz w:val="15"/>
                <w:szCs w:val="15"/>
              </w:rPr>
              <w:t>（四）所有者权益内 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 w:right="0"/>
              <w:jc w:val="left"/>
              <w:rPr>
                <w:rFonts w:ascii="Times New Roman" w:hAnsi="Times New Roman" w:cs="Times New Roman" w:eastAsia="Times New Roman" w:hint="default"/>
                <w:sz w:val="15"/>
                <w:szCs w:val="15"/>
              </w:rPr>
            </w:pPr>
            <w:r>
              <w:rPr>
                <w:rFonts w:ascii="Times New Roman"/>
                <w:sz w:val="15"/>
              </w:rPr>
              <w:t>615,216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,384.00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Times New Roman" w:hAnsi="Times New Roman" w:cs="Times New Roman" w:eastAsia="Times New Roman" w:hint="default"/>
                <w:sz w:val="15"/>
                <w:szCs w:val="15"/>
              </w:rPr>
            </w:pPr>
            <w:r>
              <w:rPr>
                <w:rFonts w:ascii="Times New Roman"/>
                <w:sz w:val="15"/>
              </w:rPr>
              <w:t>-615,216,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center"/>
              <w:rPr>
                <w:rFonts w:ascii="Times New Roman" w:hAnsi="Times New Roman" w:cs="Times New Roman" w:eastAsia="Times New Roman" w:hint="default"/>
                <w:sz w:val="15"/>
                <w:szCs w:val="15"/>
              </w:rPr>
            </w:pPr>
            <w:r>
              <w:rPr>
                <w:rFonts w:ascii="Times New Roman"/>
                <w:sz w:val="15"/>
              </w:rPr>
              <w:t>384.00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 w:right="0"/>
              <w:jc w:val="left"/>
              <w:rPr>
                <w:rFonts w:ascii="Times New Roman" w:hAnsi="Times New Roman" w:cs="Times New Roman" w:eastAsia="Times New Roman" w:hint="default"/>
                <w:sz w:val="15"/>
                <w:szCs w:val="15"/>
              </w:rPr>
            </w:pPr>
            <w:r>
              <w:rPr>
                <w:rFonts w:ascii="Times New Roman"/>
                <w:sz w:val="15"/>
              </w:rPr>
              <w:t>615,216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,384.00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Times New Roman" w:hAnsi="Times New Roman" w:cs="Times New Roman" w:eastAsia="Times New Roman" w:hint="default"/>
                <w:sz w:val="15"/>
                <w:szCs w:val="15"/>
              </w:rPr>
            </w:pPr>
            <w:r>
              <w:rPr>
                <w:rFonts w:ascii="Times New Roman"/>
                <w:sz w:val="15"/>
              </w:rPr>
              <w:t>-615,216,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4" w:right="0"/>
              <w:jc w:val="center"/>
              <w:rPr>
                <w:rFonts w:ascii="Times New Roman" w:hAnsi="Times New Roman" w:cs="Times New Roman" w:eastAsia="Times New Roman" w:hint="default"/>
                <w:sz w:val="15"/>
                <w:szCs w:val="15"/>
              </w:rPr>
            </w:pPr>
            <w:r>
              <w:rPr>
                <w:rFonts w:ascii="Times New Roman"/>
                <w:sz w:val="15"/>
              </w:rPr>
              <w:t>384.00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．盈余公积弥补亏损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128.839996pt;margin-top:539.559998pt;width:27.6pt;height:7.8pt;mso-position-horizontal-relative:page;mso-position-vertical-relative:page;z-index:-1110664" coordorigin="2577,10791" coordsize="552,156">
            <v:shape style="position:absolute;left:2577;top:10791;width:552;height:156" coordorigin="2577,10791" coordsize="552,156" path="m2577,10947l3129,10947,3129,10791,2577,10791,2577,10947xe" filled="true" fillcolor="#ffffff" stroked="false">
              <v:path arrowok="t"/>
              <v:fill type="solid"/>
            </v:shape>
            <w10:wrap type="none"/>
          </v:group>
        </w:pict>
      </w:r>
    </w:p>
    <w:p>
      <w:pPr>
        <w:spacing w:after="0"/>
        <w:rPr>
          <w:sz w:val="2"/>
          <w:szCs w:val="2"/>
        </w:rPr>
        <w:sectPr>
          <w:pgSz w:w="11910" w:h="16840"/>
          <w:pgMar w:header="851" w:footer="1226" w:top="142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14"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563"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4" w:type="dxa"/>
            <w:tcBorders>
              <w:top w:val="single" w:sz="10" w:space="0" w:color="000000"/>
              <w:left w:val="single" w:sz="4" w:space="0" w:color="000000"/>
              <w:bottom w:val="single" w:sz="4" w:space="0" w:color="000000"/>
              <w:right w:val="single" w:sz="4" w:space="0" w:color="000000"/>
            </w:tcBorders>
          </w:tcPr>
          <w:p>
            <w:pPr/>
          </w:p>
        </w:tc>
        <w:tc>
          <w:tcPr>
            <w:tcW w:w="666"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59"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8,220,000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8,220,000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1,327,4</w:t>
            </w: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81,535.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1,467,864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,957.80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26,448,85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2.20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6" w:right="0"/>
              <w:jc w:val="left"/>
              <w:rPr>
                <w:rFonts w:ascii="Times New Roman" w:hAnsi="Times New Roman" w:cs="Times New Roman" w:eastAsia="Times New Roman" w:hint="default"/>
                <w:sz w:val="15"/>
                <w:szCs w:val="15"/>
              </w:rPr>
            </w:pPr>
            <w:r>
              <w:rPr>
                <w:rFonts w:ascii="Times New Roman"/>
                <w:sz w:val="15"/>
              </w:rPr>
              <w:t>-6,804,93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175,904,7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98.57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1,905,520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7" w:right="0"/>
              <w:jc w:val="center"/>
              <w:rPr>
                <w:rFonts w:ascii="Times New Roman" w:hAnsi="Times New Roman" w:cs="Times New Roman" w:eastAsia="Times New Roman" w:hint="default"/>
                <w:sz w:val="15"/>
                <w:szCs w:val="15"/>
              </w:rPr>
            </w:pPr>
            <w:r>
              <w:rPr>
                <w:rFonts w:ascii="Times New Roman"/>
                <w:sz w:val="15"/>
              </w:rPr>
              <w:t>,275.08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88,251,67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4,931,769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,453.53</w:t>
            </w:r>
          </w:p>
        </w:tc>
      </w:tr>
    </w:tbl>
    <w:p>
      <w:pPr>
        <w:spacing w:line="240" w:lineRule="auto" w:before="6"/>
        <w:rPr>
          <w:rFonts w:ascii="宋体" w:hAnsi="宋体" w:cs="宋体" w:eastAsia="宋体" w:hint="default"/>
          <w:sz w:val="6"/>
          <w:szCs w:val="6"/>
        </w:rPr>
      </w:pPr>
    </w:p>
    <w:p>
      <w:pPr>
        <w:pStyle w:val="Heading4"/>
        <w:spacing w:line="240" w:lineRule="auto" w:before="44"/>
        <w:ind w:left="114" w:right="209"/>
        <w:jc w:val="left"/>
        <w:rPr>
          <w:b w:val="0"/>
          <w:bCs w:val="0"/>
        </w:rPr>
      </w:pPr>
      <w:r>
        <w:rPr/>
        <w:t>上期金额</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22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10"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96"/>
              <w:ind w:left="96" w:right="95"/>
              <w:jc w:val="left"/>
              <w:rPr>
                <w:rFonts w:ascii="宋体" w:hAnsi="宋体" w:cs="宋体" w:eastAsia="宋体" w:hint="default"/>
                <w:sz w:val="15"/>
                <w:szCs w:val="15"/>
              </w:rPr>
            </w:pPr>
            <w:r>
              <w:rPr>
                <w:rFonts w:ascii="宋体" w:hAnsi="宋体" w:cs="宋体" w:eastAsia="宋体" w:hint="default"/>
                <w:sz w:val="15"/>
                <w:szCs w:val="15"/>
              </w:rPr>
              <w:t>少数股 东权益</w:t>
            </w: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96"/>
              <w:ind w:left="98" w:right="23" w:hanging="75"/>
              <w:jc w:val="left"/>
              <w:rPr>
                <w:rFonts w:ascii="宋体" w:hAnsi="宋体" w:cs="宋体" w:eastAsia="宋体" w:hint="default"/>
                <w:sz w:val="15"/>
                <w:szCs w:val="15"/>
              </w:rPr>
            </w:pPr>
            <w:r>
              <w:rPr>
                <w:rFonts w:ascii="宋体" w:hAnsi="宋体" w:cs="宋体" w:eastAsia="宋体" w:hint="default"/>
                <w:sz w:val="15"/>
                <w:szCs w:val="15"/>
              </w:rPr>
              <w:t>所有者权 益合计</w:t>
            </w:r>
          </w:p>
        </w:tc>
      </w:tr>
      <w:tr>
        <w:trPr>
          <w:trHeight w:val="206"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4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1" w:right="26" w:hanging="226"/>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76" w:right="26"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76" w:right="27" w:hanging="151"/>
              <w:jc w:val="left"/>
              <w:rPr>
                <w:rFonts w:ascii="宋体" w:hAnsi="宋体" w:cs="宋体" w:eastAsia="宋体" w:hint="default"/>
                <w:sz w:val="15"/>
                <w:szCs w:val="15"/>
              </w:rPr>
            </w:pPr>
            <w:r>
              <w:rPr>
                <w:rFonts w:ascii="宋体" w:hAnsi="宋体" w:cs="宋体" w:eastAsia="宋体" w:hint="default"/>
                <w:sz w:val="15"/>
                <w:szCs w:val="15"/>
              </w:rPr>
              <w:t>一般风险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7" w:right="32" w:hanging="225"/>
              <w:jc w:val="left"/>
              <w:rPr>
                <w:rFonts w:ascii="宋体" w:hAnsi="宋体" w:cs="宋体" w:eastAsia="宋体" w:hint="default"/>
                <w:sz w:val="15"/>
                <w:szCs w:val="15"/>
              </w:rPr>
            </w:pPr>
            <w:r>
              <w:rPr>
                <w:rFonts w:ascii="宋体" w:hAnsi="宋体" w:cs="宋体" w:eastAsia="宋体" w:hint="default"/>
                <w:sz w:val="15"/>
                <w:szCs w:val="15"/>
              </w:rPr>
              <w:t>未分配利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9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0"/>
              <w:ind w:left="137"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6"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08"/>
              <w:ind w:left="47" w:right="0"/>
              <w:jc w:val="left"/>
              <w:rPr>
                <w:rFonts w:ascii="Times New Roman" w:hAnsi="Times New Roman" w:cs="Times New Roman" w:eastAsia="Times New Roman" w:hint="default"/>
                <w:sz w:val="15"/>
                <w:szCs w:val="15"/>
              </w:rPr>
            </w:pPr>
            <w:r>
              <w:rPr>
                <w:rFonts w:ascii="Times New Roman"/>
                <w:sz w:val="15"/>
              </w:rPr>
              <w:t>383,383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,700.00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9" w:right="0"/>
              <w:jc w:val="center"/>
              <w:rPr>
                <w:rFonts w:ascii="Times New Roman" w:hAnsi="Times New Roman" w:cs="Times New Roman" w:eastAsia="Times New Roman" w:hint="default"/>
                <w:sz w:val="15"/>
                <w:szCs w:val="15"/>
              </w:rPr>
            </w:pPr>
            <w:r>
              <w:rPr>
                <w:rFonts w:ascii="Times New Roman"/>
                <w:sz w:val="15"/>
              </w:rPr>
              <w:t>1,562,858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60" w:right="0"/>
              <w:jc w:val="center"/>
              <w:rPr>
                <w:rFonts w:ascii="Times New Roman" w:hAnsi="Times New Roman" w:cs="Times New Roman" w:eastAsia="Times New Roman" w:hint="default"/>
                <w:sz w:val="15"/>
                <w:szCs w:val="15"/>
              </w:rPr>
            </w:pPr>
            <w:r>
              <w:rPr>
                <w:rFonts w:ascii="Times New Roman"/>
                <w:sz w:val="15"/>
              </w:rPr>
              <w:t>,589.75</w:t>
            </w:r>
          </w:p>
        </w:tc>
        <w:tc>
          <w:tcPr>
            <w:tcW w:w="665" w:type="dxa"/>
            <w:vMerge w:val="restart"/>
            <w:tcBorders>
              <w:top w:val="single" w:sz="22" w:space="0" w:color="D2D2D2"/>
              <w:left w:val="single" w:sz="4" w:space="0" w:color="000000"/>
              <w:right w:val="single" w:sz="4" w:space="0" w:color="000000"/>
            </w:tcBorders>
          </w:tcPr>
          <w:p>
            <w:pPr/>
          </w:p>
        </w:tc>
        <w:tc>
          <w:tcPr>
            <w:tcW w:w="665" w:type="dxa"/>
            <w:vMerge w:val="restart"/>
            <w:tcBorders>
              <w:top w:val="single" w:sz="22" w:space="0" w:color="D2D2D2"/>
              <w:left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5"/>
                <w:szCs w:val="15"/>
              </w:rPr>
            </w:pPr>
            <w:r>
              <w:rPr>
                <w:rFonts w:ascii="Times New Roman"/>
                <w:spacing w:val="-1"/>
                <w:sz w:val="15"/>
              </w:rPr>
              <w:t>-364,047.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102,225,0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38.61</w:t>
            </w:r>
          </w:p>
        </w:tc>
        <w:tc>
          <w:tcPr>
            <w:tcW w:w="665" w:type="dxa"/>
            <w:vMerge w:val="restart"/>
            <w:tcBorders>
              <w:top w:val="single" w:sz="22" w:space="0" w:color="D2D2D2"/>
              <w:left w:val="single" w:sz="4" w:space="0" w:color="000000"/>
              <w:right w:val="single" w:sz="4" w:space="0" w:color="000000"/>
            </w:tcBorders>
          </w:tcPr>
          <w:p>
            <w:pPr/>
          </w:p>
        </w:tc>
        <w:tc>
          <w:tcPr>
            <w:tcW w:w="678" w:type="dxa"/>
            <w:vMerge w:val="restart"/>
            <w:tcBorders>
              <w:top w:val="single" w:sz="22" w:space="0" w:color="D2D2D2"/>
              <w:left w:val="single" w:sz="4" w:space="0" w:color="000000"/>
              <w:right w:val="single" w:sz="4" w:space="0" w:color="000000"/>
            </w:tcBorders>
          </w:tcPr>
          <w:p>
            <w:pPr>
              <w:pStyle w:val="TableParagraph"/>
              <w:spacing w:line="240" w:lineRule="auto" w:before="85"/>
              <w:ind w:left="20" w:right="0"/>
              <w:jc w:val="center"/>
              <w:rPr>
                <w:rFonts w:ascii="Times New Roman" w:hAnsi="Times New Roman" w:cs="Times New Roman" w:eastAsia="Times New Roman" w:hint="default"/>
                <w:sz w:val="15"/>
                <w:szCs w:val="15"/>
              </w:rPr>
            </w:pPr>
            <w:r>
              <w:rPr>
                <w:rFonts w:ascii="Times New Roman"/>
                <w:sz w:val="15"/>
              </w:rPr>
              <w:t>1,144,270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70" w:right="0"/>
              <w:jc w:val="center"/>
              <w:rPr>
                <w:rFonts w:ascii="Times New Roman" w:hAnsi="Times New Roman" w:cs="Times New Roman" w:eastAsia="Times New Roman" w:hint="default"/>
                <w:sz w:val="15"/>
                <w:szCs w:val="15"/>
              </w:rPr>
            </w:pPr>
            <w:r>
              <w:rPr>
                <w:rFonts w:ascii="Times New Roman"/>
                <w:sz w:val="15"/>
              </w:rPr>
              <w:t>,378.06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20,595,6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54.18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3,212,969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,313.15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11"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117"/>
              <w:ind w:left="11" w:right="0"/>
              <w:jc w:val="left"/>
              <w:rPr>
                <w:rFonts w:ascii="宋体" w:hAnsi="宋体" w:cs="宋体" w:eastAsia="宋体" w:hint="default"/>
                <w:sz w:val="15"/>
                <w:szCs w:val="15"/>
              </w:rPr>
            </w:pPr>
            <w:r>
              <w:rPr>
                <w:rFonts w:ascii="宋体" w:hAnsi="宋体" w:cs="宋体" w:eastAsia="宋体" w:hint="default"/>
                <w:sz w:val="15"/>
                <w:szCs w:val="15"/>
              </w:rPr>
              <w:t>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611" w:right="0"/>
              <w:jc w:val="left"/>
              <w:rPr>
                <w:rFonts w:ascii="宋体" w:hAnsi="宋体" w:cs="宋体" w:eastAsia="宋体" w:hint="default"/>
                <w:sz w:val="15"/>
                <w:szCs w:val="15"/>
              </w:rPr>
            </w:pPr>
            <w:r>
              <w:rPr>
                <w:rFonts w:ascii="宋体" w:hAnsi="宋体" w:cs="宋体" w:eastAsia="宋体" w:hint="default"/>
                <w:sz w:val="15"/>
                <w:szCs w:val="15"/>
              </w:rPr>
              <w:t>前期差错更</w:t>
            </w:r>
          </w:p>
          <w:p>
            <w:pPr>
              <w:pStyle w:val="TableParagraph"/>
              <w:spacing w:line="240" w:lineRule="auto" w:before="117"/>
              <w:ind w:left="11" w:right="0"/>
              <w:jc w:val="left"/>
              <w:rPr>
                <w:rFonts w:ascii="宋体" w:hAnsi="宋体" w:cs="宋体" w:eastAsia="宋体" w:hint="default"/>
                <w:sz w:val="15"/>
                <w:szCs w:val="15"/>
              </w:rPr>
            </w:pPr>
            <w:r>
              <w:rPr>
                <w:rFonts w:ascii="宋体" w:hAnsi="宋体" w:cs="宋体" w:eastAsia="宋体" w:hint="default"/>
                <w:sz w:val="15"/>
                <w:szCs w:val="15"/>
              </w:rPr>
              <w:t>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611" w:right="0"/>
              <w:jc w:val="left"/>
              <w:rPr>
                <w:rFonts w:ascii="宋体" w:hAnsi="宋体" w:cs="宋体" w:eastAsia="宋体" w:hint="default"/>
                <w:sz w:val="15"/>
                <w:szCs w:val="15"/>
              </w:rPr>
            </w:pPr>
            <w:r>
              <w:rPr>
                <w:rFonts w:ascii="宋体" w:hAnsi="宋体" w:cs="宋体" w:eastAsia="宋体" w:hint="default"/>
                <w:sz w:val="15"/>
                <w:szCs w:val="15"/>
              </w:rPr>
              <w:t>同一控制下</w:t>
            </w:r>
          </w:p>
          <w:p>
            <w:pPr>
              <w:pStyle w:val="TableParagraph"/>
              <w:spacing w:line="240" w:lineRule="auto" w:before="117"/>
              <w:ind w:left="11" w:right="0"/>
              <w:jc w:val="left"/>
              <w:rPr>
                <w:rFonts w:ascii="宋体" w:hAnsi="宋体" w:cs="宋体" w:eastAsia="宋体" w:hint="default"/>
                <w:sz w:val="15"/>
                <w:szCs w:val="15"/>
              </w:rPr>
            </w:pPr>
            <w:r>
              <w:rPr>
                <w:rFonts w:ascii="宋体" w:hAnsi="宋体" w:cs="宋体" w:eastAsia="宋体" w:hint="default"/>
                <w:sz w:val="15"/>
                <w:szCs w:val="15"/>
              </w:rPr>
              <w:t>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8"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08"/>
              <w:ind w:left="47" w:right="0"/>
              <w:jc w:val="left"/>
              <w:rPr>
                <w:rFonts w:ascii="Times New Roman" w:hAnsi="Times New Roman" w:cs="Times New Roman" w:eastAsia="Times New Roman" w:hint="default"/>
                <w:sz w:val="15"/>
                <w:szCs w:val="15"/>
              </w:rPr>
            </w:pPr>
            <w:r>
              <w:rPr>
                <w:rFonts w:ascii="Times New Roman"/>
                <w:sz w:val="15"/>
              </w:rPr>
              <w:t>383,383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,700.00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9" w:right="0"/>
              <w:jc w:val="center"/>
              <w:rPr>
                <w:rFonts w:ascii="Times New Roman" w:hAnsi="Times New Roman" w:cs="Times New Roman" w:eastAsia="Times New Roman" w:hint="default"/>
                <w:sz w:val="15"/>
                <w:szCs w:val="15"/>
              </w:rPr>
            </w:pPr>
            <w:r>
              <w:rPr>
                <w:rFonts w:ascii="Times New Roman"/>
                <w:sz w:val="15"/>
              </w:rPr>
              <w:t>1,562,858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60" w:right="0"/>
              <w:jc w:val="center"/>
              <w:rPr>
                <w:rFonts w:ascii="Times New Roman" w:hAnsi="Times New Roman" w:cs="Times New Roman" w:eastAsia="Times New Roman" w:hint="default"/>
                <w:sz w:val="15"/>
                <w:szCs w:val="15"/>
              </w:rPr>
            </w:pPr>
            <w:r>
              <w:rPr>
                <w:rFonts w:ascii="Times New Roman"/>
                <w:sz w:val="15"/>
              </w:rPr>
              <w:t>,589.75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-364,047.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102,225,0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38.61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08"/>
              <w:ind w:left="20" w:right="0"/>
              <w:jc w:val="center"/>
              <w:rPr>
                <w:rFonts w:ascii="Times New Roman" w:hAnsi="Times New Roman" w:cs="Times New Roman" w:eastAsia="Times New Roman" w:hint="default"/>
                <w:sz w:val="15"/>
                <w:szCs w:val="15"/>
              </w:rPr>
            </w:pPr>
            <w:r>
              <w:rPr>
                <w:rFonts w:ascii="Times New Roman"/>
                <w:sz w:val="15"/>
              </w:rPr>
              <w:t>1,144,270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70" w:right="0"/>
              <w:jc w:val="center"/>
              <w:rPr>
                <w:rFonts w:ascii="Times New Roman" w:hAnsi="Times New Roman" w:cs="Times New Roman" w:eastAsia="Times New Roman" w:hint="default"/>
                <w:sz w:val="15"/>
                <w:szCs w:val="15"/>
              </w:rPr>
            </w:pPr>
            <w:r>
              <w:rPr>
                <w:rFonts w:ascii="Times New Roman"/>
                <w:sz w:val="15"/>
              </w:rPr>
              <w:t>,378.06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20,595,6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54.18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3,212,969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,313.15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2" w:lineRule="auto" w:before="74"/>
              <w:ind w:left="11" w:right="41"/>
              <w:jc w:val="both"/>
              <w:rPr>
                <w:rFonts w:ascii="宋体" w:hAnsi="宋体" w:cs="宋体" w:eastAsia="宋体" w:hint="default"/>
                <w:sz w:val="15"/>
                <w:szCs w:val="15"/>
              </w:rPr>
            </w:pPr>
            <w:r>
              <w:rPr>
                <w:rFonts w:ascii="宋体" w:hAnsi="宋体" w:cs="宋体" w:eastAsia="宋体" w:hint="default"/>
                <w:sz w:val="15"/>
                <w:szCs w:val="15"/>
              </w:rPr>
              <w:t>三、本期增减变动金 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 w:right="0"/>
              <w:jc w:val="left"/>
              <w:rPr>
                <w:rFonts w:ascii="Times New Roman" w:hAnsi="Times New Roman" w:cs="Times New Roman" w:eastAsia="Times New Roman" w:hint="default"/>
                <w:sz w:val="15"/>
                <w:szCs w:val="15"/>
              </w:rPr>
            </w:pPr>
            <w:r>
              <w:rPr>
                <w:rFonts w:ascii="Times New Roman"/>
                <w:sz w:val="15"/>
              </w:rPr>
              <w:t>231,457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,644.00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-201,624,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546.53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6" w:right="0"/>
              <w:jc w:val="left"/>
              <w:rPr>
                <w:rFonts w:ascii="Times New Roman" w:hAnsi="Times New Roman" w:cs="Times New Roman" w:eastAsia="Times New Roman" w:hint="default"/>
                <w:sz w:val="15"/>
                <w:szCs w:val="15"/>
              </w:rPr>
            </w:pPr>
            <w:r>
              <w:rPr>
                <w:rFonts w:ascii="Times New Roman"/>
                <w:sz w:val="15"/>
              </w:rPr>
              <w:t>-1,021,30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39,197,31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8.86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5"/>
                <w:szCs w:val="15"/>
              </w:rPr>
            </w:pPr>
            <w:r>
              <w:rPr>
                <w:rFonts w:ascii="Times New Roman"/>
                <w:sz w:val="15"/>
              </w:rPr>
              <w:t>325,063,5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72.85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1,897,89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56" w:right="0"/>
              <w:jc w:val="left"/>
              <w:rPr>
                <w:rFonts w:ascii="Times New Roman" w:hAnsi="Times New Roman" w:cs="Times New Roman" w:eastAsia="Times New Roman" w:hint="default"/>
                <w:sz w:val="15"/>
                <w:szCs w:val="15"/>
              </w:rPr>
            </w:pPr>
            <w:r>
              <w:rPr>
                <w:rFonts w:ascii="Times New Roman"/>
                <w:sz w:val="15"/>
              </w:rPr>
              <w:t>4.87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364,178,5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87" w:right="0"/>
              <w:jc w:val="left"/>
              <w:rPr>
                <w:rFonts w:ascii="Times New Roman" w:hAnsi="Times New Roman" w:cs="Times New Roman" w:eastAsia="Times New Roman" w:hint="default"/>
                <w:sz w:val="15"/>
                <w:szCs w:val="15"/>
              </w:rPr>
            </w:pPr>
            <w:r>
              <w:rPr>
                <w:rFonts w:ascii="Times New Roman"/>
                <w:sz w:val="15"/>
              </w:rPr>
              <w:t>04.34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56" w:right="0"/>
              <w:jc w:val="left"/>
              <w:rPr>
                <w:rFonts w:ascii="Times New Roman" w:hAnsi="Times New Roman" w:cs="Times New Roman" w:eastAsia="Times New Roman" w:hint="default"/>
                <w:sz w:val="15"/>
                <w:szCs w:val="15"/>
              </w:rPr>
            </w:pPr>
            <w:r>
              <w:rPr>
                <w:rFonts w:ascii="Times New Roman"/>
                <w:sz w:val="15"/>
              </w:rPr>
              <w:t>-1,021,30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0.51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08"/>
              <w:ind w:left="44" w:right="0"/>
              <w:jc w:val="left"/>
              <w:rPr>
                <w:rFonts w:ascii="Times New Roman" w:hAnsi="Times New Roman" w:cs="Times New Roman" w:eastAsia="Times New Roman" w:hint="default"/>
                <w:sz w:val="15"/>
                <w:szCs w:val="15"/>
              </w:rPr>
            </w:pPr>
            <w:r>
              <w:rPr>
                <w:rFonts w:ascii="Times New Roman"/>
                <w:sz w:val="15"/>
              </w:rPr>
              <w:t>517,544,1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71.71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08"/>
              <w:ind w:left="44" w:right="0"/>
              <w:jc w:val="left"/>
              <w:rPr>
                <w:rFonts w:ascii="Times New Roman" w:hAnsi="Times New Roman" w:cs="Times New Roman" w:eastAsia="Times New Roman" w:hint="default"/>
                <w:sz w:val="15"/>
                <w:szCs w:val="15"/>
              </w:rPr>
            </w:pPr>
            <w:r>
              <w:rPr>
                <w:rFonts w:ascii="Times New Roman"/>
                <w:sz w:val="15"/>
              </w:rPr>
              <w:t>-3,139,41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56" w:right="0"/>
              <w:jc w:val="left"/>
              <w:rPr>
                <w:rFonts w:ascii="Times New Roman" w:hAnsi="Times New Roman" w:cs="Times New Roman" w:eastAsia="Times New Roman" w:hint="default"/>
                <w:sz w:val="15"/>
                <w:szCs w:val="15"/>
              </w:rPr>
            </w:pPr>
            <w:r>
              <w:rPr>
                <w:rFonts w:ascii="Times New Roman"/>
                <w:sz w:val="15"/>
              </w:rPr>
              <w:t>6.74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8"/>
              <w:ind w:left="25" w:right="0"/>
              <w:jc w:val="left"/>
              <w:rPr>
                <w:rFonts w:ascii="Times New Roman" w:hAnsi="Times New Roman" w:cs="Times New Roman" w:eastAsia="Times New Roman" w:hint="default"/>
                <w:sz w:val="15"/>
                <w:szCs w:val="15"/>
              </w:rPr>
            </w:pPr>
            <w:r>
              <w:rPr>
                <w:rFonts w:ascii="Times New Roman"/>
                <w:sz w:val="15"/>
              </w:rPr>
              <w:t>513,383,4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87" w:right="0"/>
              <w:jc w:val="left"/>
              <w:rPr>
                <w:rFonts w:ascii="Times New Roman" w:hAnsi="Times New Roman" w:cs="Times New Roman" w:eastAsia="Times New Roman" w:hint="default"/>
                <w:sz w:val="15"/>
                <w:szCs w:val="15"/>
              </w:rPr>
            </w:pPr>
            <w:r>
              <w:rPr>
                <w:rFonts w:ascii="Times New Roman"/>
                <w:sz w:val="15"/>
              </w:rPr>
              <w:t>54.46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4" w:lineRule="auto" w:before="74"/>
              <w:ind w:left="11" w:right="41"/>
              <w:jc w:val="left"/>
              <w:rPr>
                <w:rFonts w:ascii="宋体" w:hAnsi="宋体" w:cs="宋体" w:eastAsia="宋体" w:hint="default"/>
                <w:sz w:val="15"/>
                <w:szCs w:val="15"/>
              </w:rPr>
            </w:pPr>
            <w:r>
              <w:rPr>
                <w:rFonts w:ascii="宋体" w:hAnsi="宋体" w:cs="宋体" w:eastAsia="宋体" w:hint="default"/>
                <w:sz w:val="15"/>
                <w:szCs w:val="15"/>
              </w:rPr>
              <w:t>（二）所有者投入和 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56" w:right="0"/>
              <w:jc w:val="center"/>
              <w:rPr>
                <w:rFonts w:ascii="Times New Roman" w:hAnsi="Times New Roman" w:cs="Times New Roman" w:eastAsia="Times New Roman" w:hint="default"/>
                <w:sz w:val="15"/>
                <w:szCs w:val="15"/>
              </w:rPr>
            </w:pPr>
            <w:r>
              <w:rPr>
                <w:rFonts w:ascii="Times New Roman"/>
                <w:sz w:val="15"/>
              </w:rPr>
              <w:t>1,427,4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69" w:right="0"/>
              <w:jc w:val="center"/>
              <w:rPr>
                <w:rFonts w:ascii="Times New Roman" w:hAnsi="Times New Roman" w:cs="Times New Roman" w:eastAsia="Times New Roman" w:hint="default"/>
                <w:sz w:val="15"/>
                <w:szCs w:val="15"/>
              </w:rPr>
            </w:pPr>
            <w:r>
              <w:rPr>
                <w:rFonts w:ascii="Times New Roman"/>
                <w:sz w:val="15"/>
              </w:rPr>
              <w:t>24.00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 w:right="0"/>
              <w:jc w:val="left"/>
              <w:rPr>
                <w:rFonts w:ascii="Times New Roman" w:hAnsi="Times New Roman" w:cs="Times New Roman" w:eastAsia="Times New Roman" w:hint="default"/>
                <w:sz w:val="15"/>
                <w:szCs w:val="15"/>
              </w:rPr>
            </w:pPr>
            <w:r>
              <w:rPr>
                <w:rFonts w:ascii="Times New Roman"/>
                <w:sz w:val="15"/>
              </w:rPr>
              <w:t>28,405,67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9" w:right="0"/>
              <w:jc w:val="left"/>
              <w:rPr>
                <w:rFonts w:ascii="Times New Roman" w:hAnsi="Times New Roman" w:cs="Times New Roman" w:eastAsia="Times New Roman" w:hint="default"/>
                <w:sz w:val="15"/>
                <w:szCs w:val="15"/>
              </w:rPr>
            </w:pPr>
            <w:r>
              <w:rPr>
                <w:rFonts w:ascii="Times New Roman"/>
                <w:sz w:val="15"/>
              </w:rPr>
              <w:t>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5,037,311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4,078,329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08"/>
              <w:ind w:left="62" w:right="0"/>
              <w:jc w:val="center"/>
              <w:rPr>
                <w:rFonts w:ascii="Times New Roman" w:hAnsi="Times New Roman" w:cs="Times New Roman" w:eastAsia="Times New Roman" w:hint="default"/>
                <w:sz w:val="15"/>
                <w:szCs w:val="15"/>
              </w:rPr>
            </w:pPr>
            <w:r>
              <w:rPr>
                <w:rFonts w:ascii="Times New Roman"/>
                <w:sz w:val="15"/>
              </w:rPr>
              <w:t>1,427,4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74" w:right="0"/>
              <w:jc w:val="center"/>
              <w:rPr>
                <w:rFonts w:ascii="Times New Roman" w:hAnsi="Times New Roman" w:cs="Times New Roman" w:eastAsia="Times New Roman" w:hint="default"/>
                <w:sz w:val="15"/>
                <w:szCs w:val="15"/>
              </w:rPr>
            </w:pPr>
            <w:r>
              <w:rPr>
                <w:rFonts w:ascii="Times New Roman"/>
                <w:sz w:val="15"/>
              </w:rPr>
              <w:t>24.00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8"/>
              <w:ind w:left="38" w:right="0"/>
              <w:jc w:val="left"/>
              <w:rPr>
                <w:rFonts w:ascii="Times New Roman" w:hAnsi="Times New Roman" w:cs="Times New Roman" w:eastAsia="Times New Roman" w:hint="default"/>
                <w:sz w:val="15"/>
                <w:szCs w:val="15"/>
              </w:rPr>
            </w:pPr>
            <w:r>
              <w:rPr>
                <w:rFonts w:ascii="Times New Roman"/>
                <w:sz w:val="15"/>
              </w:rPr>
              <w:t>16,113,36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9" w:right="0"/>
              <w:jc w:val="left"/>
              <w:rPr>
                <w:rFonts w:ascii="Times New Roman" w:hAnsi="Times New Roman" w:cs="Times New Roman" w:eastAsia="Times New Roman" w:hint="default"/>
                <w:sz w:val="15"/>
                <w:szCs w:val="15"/>
              </w:rPr>
            </w:pPr>
            <w:r>
              <w:rPr>
                <w:rFonts w:ascii="Times New Roman"/>
                <w:sz w:val="15"/>
              </w:rPr>
              <w:t>7.56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08"/>
              <w:ind w:left="94" w:right="0"/>
              <w:jc w:val="left"/>
              <w:rPr>
                <w:rFonts w:ascii="Times New Roman" w:hAnsi="Times New Roman" w:cs="Times New Roman" w:eastAsia="Times New Roman" w:hint="default"/>
                <w:sz w:val="15"/>
                <w:szCs w:val="15"/>
              </w:rPr>
            </w:pPr>
            <w:r>
              <w:rPr>
                <w:rFonts w:ascii="Times New Roman"/>
                <w:sz w:val="15"/>
              </w:rPr>
              <w:t>3,830,38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56" w:right="0"/>
              <w:jc w:val="left"/>
              <w:rPr>
                <w:rFonts w:ascii="Times New Roman" w:hAnsi="Times New Roman" w:cs="Times New Roman" w:eastAsia="Times New Roman" w:hint="default"/>
                <w:sz w:val="15"/>
                <w:szCs w:val="15"/>
              </w:rPr>
            </w:pPr>
            <w:r>
              <w:rPr>
                <w:rFonts w:ascii="Times New Roman"/>
                <w:sz w:val="15"/>
              </w:rPr>
              <w:t>1.31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8"/>
              <w:ind w:left="25" w:right="0"/>
              <w:jc w:val="left"/>
              <w:rPr>
                <w:rFonts w:ascii="Times New Roman" w:hAnsi="Times New Roman" w:cs="Times New Roman" w:eastAsia="Times New Roman" w:hint="default"/>
                <w:sz w:val="15"/>
                <w:szCs w:val="15"/>
              </w:rPr>
            </w:pPr>
            <w:r>
              <w:rPr>
                <w:rFonts w:ascii="Times New Roman"/>
                <w:sz w:val="15"/>
              </w:rPr>
              <w:t>21,371,17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2" w:right="0"/>
              <w:jc w:val="left"/>
              <w:rPr>
                <w:rFonts w:ascii="Times New Roman" w:hAnsi="Times New Roman" w:cs="Times New Roman" w:eastAsia="Times New Roman" w:hint="default"/>
                <w:sz w:val="15"/>
                <w:szCs w:val="15"/>
              </w:rPr>
            </w:pPr>
            <w:r>
              <w:rPr>
                <w:rFonts w:ascii="Times New Roman"/>
                <w:sz w:val="15"/>
              </w:rPr>
              <w:t>2.87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．股东投入的普通股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4"/>
              <w:ind w:left="11" w:right="1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4"/>
              <w:ind w:left="11" w:right="1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者权益的金额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2" w:right="0"/>
              <w:jc w:val="left"/>
              <w:rPr>
                <w:rFonts w:ascii="Times New Roman" w:hAnsi="Times New Roman" w:cs="Times New Roman" w:eastAsia="Times New Roman" w:hint="default"/>
                <w:sz w:val="15"/>
                <w:szCs w:val="15"/>
              </w:rPr>
            </w:pPr>
            <w:r>
              <w:rPr>
                <w:rFonts w:ascii="Times New Roman"/>
                <w:sz w:val="15"/>
              </w:rPr>
              <w:t>12,292,30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9" w:right="0"/>
              <w:jc w:val="left"/>
              <w:rPr>
                <w:rFonts w:ascii="Times New Roman" w:hAnsi="Times New Roman" w:cs="Times New Roman" w:eastAsia="Times New Roman" w:hint="default"/>
                <w:sz w:val="15"/>
                <w:szCs w:val="15"/>
              </w:rPr>
            </w:pPr>
            <w:r>
              <w:rPr>
                <w:rFonts w:ascii="Times New Roman"/>
                <w:sz w:val="15"/>
              </w:rPr>
              <w:t>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 w:right="0"/>
              <w:jc w:val="left"/>
              <w:rPr>
                <w:rFonts w:ascii="Times New Roman" w:hAnsi="Times New Roman" w:cs="Times New Roman" w:eastAsia="Times New Roman" w:hint="default"/>
                <w:sz w:val="15"/>
                <w:szCs w:val="15"/>
              </w:rPr>
            </w:pPr>
            <w:r>
              <w:rPr>
                <w:rFonts w:ascii="Times New Roman"/>
                <w:sz w:val="15"/>
              </w:rPr>
              <w:t>-18,499,7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87" w:right="0"/>
              <w:jc w:val="left"/>
              <w:rPr>
                <w:rFonts w:ascii="Times New Roman" w:hAnsi="Times New Roman" w:cs="Times New Roman" w:eastAsia="Times New Roman" w:hint="default"/>
                <w:sz w:val="15"/>
                <w:szCs w:val="15"/>
              </w:rPr>
            </w:pPr>
            <w:r>
              <w:rPr>
                <w:rFonts w:ascii="Times New Roman"/>
                <w:sz w:val="15"/>
              </w:rPr>
              <w:t>73.29</w:t>
            </w:r>
          </w:p>
        </w:tc>
      </w:tr>
    </w:tbl>
    <w:p>
      <w:pPr>
        <w:spacing w:after="0" w:line="240" w:lineRule="auto"/>
        <w:jc w:val="left"/>
        <w:rPr>
          <w:rFonts w:ascii="Times New Roman" w:hAnsi="Times New Roman" w:cs="Times New Roman" w:eastAsia="Times New Roman" w:hint="default"/>
          <w:sz w:val="15"/>
          <w:szCs w:val="15"/>
        </w:rPr>
        <w:sectPr>
          <w:pgSz w:w="11910" w:h="16840"/>
          <w:pgMar w:header="851" w:footer="1226" w:top="138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26"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78" w:type="dxa"/>
            <w:tcBorders>
              <w:top w:val="single" w:sz="10" w:space="0" w:color="000000"/>
              <w:left w:val="single" w:sz="4" w:space="0" w:color="000000"/>
              <w:bottom w:val="single" w:sz="4" w:space="0" w:color="000000"/>
              <w:right w:val="single" w:sz="4" w:space="0" w:color="000000"/>
            </w:tcBorders>
          </w:tcPr>
          <w:p>
            <w:pPr/>
          </w:p>
        </w:tc>
        <w:tc>
          <w:tcPr>
            <w:tcW w:w="6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8"/>
              <w:ind w:left="94" w:right="0"/>
              <w:jc w:val="left"/>
              <w:rPr>
                <w:rFonts w:ascii="Times New Roman" w:hAnsi="Times New Roman" w:cs="Times New Roman" w:eastAsia="Times New Roman" w:hint="default"/>
                <w:sz w:val="15"/>
                <w:szCs w:val="15"/>
              </w:rPr>
            </w:pPr>
            <w:r>
              <w:rPr>
                <w:rFonts w:ascii="Times New Roman"/>
                <w:sz w:val="15"/>
              </w:rPr>
              <w:t>1,206,93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56" w:right="0"/>
              <w:jc w:val="left"/>
              <w:rPr>
                <w:rFonts w:ascii="Times New Roman" w:hAnsi="Times New Roman" w:cs="Times New Roman" w:eastAsia="Times New Roman" w:hint="default"/>
                <w:sz w:val="15"/>
                <w:szCs w:val="15"/>
              </w:rPr>
            </w:pPr>
            <w:r>
              <w:rPr>
                <w:rFonts w:ascii="Times New Roman"/>
                <w:sz w:val="15"/>
              </w:rPr>
              <w:t>0.30</w:t>
            </w:r>
          </w:p>
        </w:tc>
        <w:tc>
          <w:tcPr>
            <w:tcW w:w="6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1,206,930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left"/>
              <w:rPr>
                <w:rFonts w:ascii="Times New Roman" w:hAnsi="Times New Roman" w:cs="Times New Roman" w:eastAsia="Times New Roman" w:hint="default"/>
                <w:sz w:val="15"/>
                <w:szCs w:val="15"/>
              </w:rPr>
            </w:pPr>
            <w:r>
              <w:rPr>
                <w:rFonts w:ascii="Times New Roman"/>
                <w:sz w:val="15"/>
              </w:rPr>
              <w:t>39,197,31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8.86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 w:right="0"/>
              <w:jc w:val="center"/>
              <w:rPr>
                <w:rFonts w:ascii="Times New Roman" w:hAnsi="Times New Roman" w:cs="Times New Roman" w:eastAsia="Times New Roman" w:hint="default"/>
                <w:sz w:val="15"/>
                <w:szCs w:val="15"/>
              </w:rPr>
            </w:pPr>
            <w:r>
              <w:rPr>
                <w:rFonts w:ascii="Times New Roman"/>
                <w:sz w:val="15"/>
              </w:rPr>
              <w:t>-192,480,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598.86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center"/>
              <w:rPr>
                <w:rFonts w:ascii="Times New Roman" w:hAnsi="Times New Roman" w:cs="Times New Roman" w:eastAsia="Times New Roman" w:hint="default"/>
                <w:sz w:val="15"/>
                <w:szCs w:val="15"/>
              </w:rPr>
            </w:pPr>
            <w:r>
              <w:rPr>
                <w:rFonts w:ascii="Times New Roman"/>
                <w:sz w:val="15"/>
              </w:rPr>
              <w:t>-153,283,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8" w:right="0"/>
              <w:jc w:val="center"/>
              <w:rPr>
                <w:rFonts w:ascii="Times New Roman" w:hAnsi="Times New Roman" w:cs="Times New Roman" w:eastAsia="Times New Roman" w:hint="default"/>
                <w:sz w:val="15"/>
                <w:szCs w:val="15"/>
              </w:rPr>
            </w:pPr>
            <w:r>
              <w:rPr>
                <w:rFonts w:ascii="Times New Roman"/>
                <w:sz w:val="15"/>
              </w:rPr>
              <w:t>280.00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left"/>
              <w:rPr>
                <w:rFonts w:ascii="Times New Roman" w:hAnsi="Times New Roman" w:cs="Times New Roman" w:eastAsia="Times New Roman" w:hint="default"/>
                <w:sz w:val="15"/>
                <w:szCs w:val="15"/>
              </w:rPr>
            </w:pPr>
            <w:r>
              <w:rPr>
                <w:rFonts w:ascii="Times New Roman"/>
                <w:sz w:val="15"/>
              </w:rPr>
              <w:t>39,197,31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8.86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9" w:right="0"/>
              <w:jc w:val="left"/>
              <w:rPr>
                <w:rFonts w:ascii="Times New Roman" w:hAnsi="Times New Roman" w:cs="Times New Roman" w:eastAsia="Times New Roman" w:hint="default"/>
                <w:sz w:val="15"/>
                <w:szCs w:val="15"/>
              </w:rPr>
            </w:pPr>
            <w:r>
              <w:rPr>
                <w:rFonts w:ascii="Times New Roman"/>
                <w:sz w:val="15"/>
              </w:rPr>
              <w:t>-39,197,3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18.86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．提取一般风险准备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60" w:lineRule="auto" w:before="69"/>
              <w:ind w:left="22" w:right="90"/>
              <w:jc w:val="left"/>
              <w:rPr>
                <w:rFonts w:ascii="宋体" w:hAnsi="宋体" w:cs="宋体" w:eastAsia="宋体" w:hint="default"/>
                <w:sz w:val="15"/>
                <w:szCs w:val="15"/>
              </w:rPr>
            </w:pPr>
            <w:r>
              <w:rPr>
                <w:rFonts w:ascii="Times New Roman" w:hAnsi="Times New Roman" w:cs="Times New Roman" w:eastAsia="Times New Roman" w:hint="default"/>
                <w:spacing w:val="-12"/>
                <w:sz w:val="15"/>
                <w:szCs w:val="15"/>
              </w:rPr>
              <w:t>3</w:t>
            </w:r>
            <w:r>
              <w:rPr>
                <w:rFonts w:ascii="宋体" w:hAnsi="宋体" w:cs="宋体" w:eastAsia="宋体" w:hint="default"/>
                <w:spacing w:val="-12"/>
                <w:sz w:val="15"/>
                <w:szCs w:val="15"/>
              </w:rPr>
              <w:t>．对所有者（或股东</w:t>
            </w:r>
            <w:r>
              <w:rPr>
                <w:rFonts w:ascii="宋体" w:hAnsi="宋体" w:cs="宋体" w:eastAsia="宋体" w:hint="default"/>
                <w:sz w:val="15"/>
                <w:szCs w:val="15"/>
              </w:rPr>
              <w:t> 的分配</w:t>
            </w:r>
          </w:p>
        </w:tc>
        <w:tc>
          <w:tcPr>
            <w:tcW w:w="5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69"/>
              <w:ind w:left="-116" w:right="0"/>
              <w:jc w:val="left"/>
              <w:rPr>
                <w:rFonts w:ascii="宋体" w:hAnsi="宋体" w:cs="宋体" w:eastAsia="宋体" w:hint="default"/>
                <w:sz w:val="15"/>
                <w:szCs w:val="15"/>
              </w:rPr>
            </w:pPr>
            <w:r>
              <w:rPr>
                <w:rFonts w:ascii="宋体" w:hAnsi="宋体" w:cs="宋体" w:eastAsia="宋体" w:hint="default"/>
                <w:sz w:val="15"/>
                <w:szCs w:val="15"/>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 w:right="0"/>
              <w:jc w:val="center"/>
              <w:rPr>
                <w:rFonts w:ascii="Times New Roman" w:hAnsi="Times New Roman" w:cs="Times New Roman" w:eastAsia="Times New Roman" w:hint="default"/>
                <w:sz w:val="15"/>
                <w:szCs w:val="15"/>
              </w:rPr>
            </w:pPr>
            <w:r>
              <w:rPr>
                <w:rFonts w:ascii="Times New Roman"/>
                <w:sz w:val="15"/>
              </w:rPr>
              <w:t>-153,283,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280.00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center"/>
              <w:rPr>
                <w:rFonts w:ascii="Times New Roman" w:hAnsi="Times New Roman" w:cs="Times New Roman" w:eastAsia="Times New Roman" w:hint="default"/>
                <w:sz w:val="15"/>
                <w:szCs w:val="15"/>
              </w:rPr>
            </w:pPr>
            <w:r>
              <w:rPr>
                <w:rFonts w:ascii="Times New Roman"/>
                <w:sz w:val="15"/>
              </w:rPr>
              <w:t>-153,283,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8" w:right="0"/>
              <w:jc w:val="center"/>
              <w:rPr>
                <w:rFonts w:ascii="Times New Roman" w:hAnsi="Times New Roman" w:cs="Times New Roman" w:eastAsia="Times New Roman" w:hint="default"/>
                <w:sz w:val="15"/>
                <w:szCs w:val="15"/>
              </w:rPr>
            </w:pPr>
            <w:r>
              <w:rPr>
                <w:rFonts w:ascii="Times New Roman"/>
                <w:sz w:val="15"/>
              </w:rPr>
              <w:t>280.00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69"/>
              <w:ind w:left="22" w:right="54"/>
              <w:jc w:val="left"/>
              <w:rPr>
                <w:rFonts w:ascii="宋体" w:hAnsi="宋体" w:cs="宋体" w:eastAsia="宋体" w:hint="default"/>
                <w:sz w:val="15"/>
                <w:szCs w:val="15"/>
              </w:rPr>
            </w:pPr>
            <w:r>
              <w:rPr>
                <w:rFonts w:ascii="宋体" w:hAnsi="宋体" w:cs="宋体" w:eastAsia="宋体" w:hint="default"/>
                <w:sz w:val="15"/>
                <w:szCs w:val="15"/>
              </w:rPr>
              <w:t>（四）所有者权益内 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 w:right="0"/>
              <w:jc w:val="left"/>
              <w:rPr>
                <w:rFonts w:ascii="Times New Roman" w:hAnsi="Times New Roman" w:cs="Times New Roman" w:eastAsia="Times New Roman" w:hint="default"/>
                <w:sz w:val="15"/>
                <w:szCs w:val="15"/>
              </w:rPr>
            </w:pPr>
            <w:r>
              <w:rPr>
                <w:rFonts w:ascii="Times New Roman"/>
                <w:sz w:val="15"/>
              </w:rPr>
              <w:t>230,030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,220.00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 w:right="0"/>
              <w:jc w:val="center"/>
              <w:rPr>
                <w:rFonts w:ascii="Times New Roman" w:hAnsi="Times New Roman" w:cs="Times New Roman" w:eastAsia="Times New Roman" w:hint="default"/>
                <w:sz w:val="15"/>
                <w:szCs w:val="15"/>
              </w:rPr>
            </w:pPr>
            <w:r>
              <w:rPr>
                <w:rFonts w:ascii="Times New Roman"/>
                <w:sz w:val="15"/>
              </w:rPr>
              <w:t>-230,030,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220.00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 w:right="0"/>
              <w:jc w:val="left"/>
              <w:rPr>
                <w:rFonts w:ascii="Times New Roman" w:hAnsi="Times New Roman" w:cs="Times New Roman" w:eastAsia="Times New Roman" w:hint="default"/>
                <w:sz w:val="15"/>
                <w:szCs w:val="15"/>
              </w:rPr>
            </w:pPr>
            <w:r>
              <w:rPr>
                <w:rFonts w:ascii="Times New Roman"/>
                <w:sz w:val="15"/>
              </w:rPr>
              <w:t>230,030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,220.00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 w:right="0"/>
              <w:jc w:val="center"/>
              <w:rPr>
                <w:rFonts w:ascii="Times New Roman" w:hAnsi="Times New Roman" w:cs="Times New Roman" w:eastAsia="Times New Roman" w:hint="default"/>
                <w:sz w:val="15"/>
                <w:szCs w:val="15"/>
              </w:rPr>
            </w:pPr>
            <w:r>
              <w:rPr>
                <w:rFonts w:ascii="Times New Roman"/>
                <w:sz w:val="15"/>
              </w:rPr>
              <w:t>-230,030,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7" w:right="0"/>
              <w:jc w:val="center"/>
              <w:rPr>
                <w:rFonts w:ascii="Times New Roman" w:hAnsi="Times New Roman" w:cs="Times New Roman" w:eastAsia="Times New Roman" w:hint="default"/>
                <w:sz w:val="15"/>
                <w:szCs w:val="15"/>
              </w:rPr>
            </w:pPr>
            <w:r>
              <w:rPr>
                <w:rFonts w:ascii="Times New Roman"/>
                <w:sz w:val="15"/>
              </w:rPr>
              <w:t>220.00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．盈余公积弥补亏损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 w:right="0"/>
              <w:jc w:val="left"/>
              <w:rPr>
                <w:rFonts w:ascii="Times New Roman" w:hAnsi="Times New Roman" w:cs="Times New Roman" w:eastAsia="Times New Roman" w:hint="default"/>
                <w:sz w:val="15"/>
                <w:szCs w:val="15"/>
              </w:rPr>
            </w:pPr>
            <w:r>
              <w:rPr>
                <w:rFonts w:ascii="Times New Roman"/>
                <w:sz w:val="15"/>
              </w:rPr>
              <w:t>614,841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,344.00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 w:right="0"/>
              <w:jc w:val="center"/>
              <w:rPr>
                <w:rFonts w:ascii="Times New Roman" w:hAnsi="Times New Roman" w:cs="Times New Roman" w:eastAsia="Times New Roman" w:hint="default"/>
                <w:sz w:val="15"/>
                <w:szCs w:val="15"/>
              </w:rPr>
            </w:pPr>
            <w:r>
              <w:rPr>
                <w:rFonts w:ascii="Times New Roman"/>
                <w:sz w:val="15"/>
              </w:rPr>
              <w:t>1,361,234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0" w:right="0"/>
              <w:jc w:val="center"/>
              <w:rPr>
                <w:rFonts w:ascii="Times New Roman" w:hAnsi="Times New Roman" w:cs="Times New Roman" w:eastAsia="Times New Roman" w:hint="default"/>
                <w:sz w:val="15"/>
                <w:szCs w:val="15"/>
              </w:rPr>
            </w:pPr>
            <w:r>
              <w:rPr>
                <w:rFonts w:ascii="Times New Roman"/>
                <w:sz w:val="15"/>
              </w:rPr>
              <w:t>,043.22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left"/>
              <w:rPr>
                <w:rFonts w:ascii="Times New Roman" w:hAnsi="Times New Roman" w:cs="Times New Roman" w:eastAsia="Times New Roman" w:hint="default"/>
                <w:sz w:val="15"/>
                <w:szCs w:val="15"/>
              </w:rPr>
            </w:pPr>
            <w:r>
              <w:rPr>
                <w:rFonts w:ascii="Times New Roman"/>
                <w:sz w:val="15"/>
              </w:rPr>
              <w:t>30,792,07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 w:right="0"/>
              <w:jc w:val="left"/>
              <w:rPr>
                <w:rFonts w:ascii="Times New Roman" w:hAnsi="Times New Roman" w:cs="Times New Roman" w:eastAsia="Times New Roman" w:hint="default"/>
                <w:sz w:val="15"/>
                <w:szCs w:val="15"/>
              </w:rPr>
            </w:pPr>
            <w:r>
              <w:rPr>
                <w:rFonts w:ascii="Times New Roman"/>
                <w:sz w:val="15"/>
              </w:rPr>
              <w:t>-1,385,34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8" w:right="0"/>
              <w:jc w:val="left"/>
              <w:rPr>
                <w:rFonts w:ascii="Times New Roman" w:hAnsi="Times New Roman" w:cs="Times New Roman" w:eastAsia="Times New Roman" w:hint="default"/>
                <w:sz w:val="15"/>
                <w:szCs w:val="15"/>
              </w:rPr>
            </w:pPr>
            <w:r>
              <w:rPr>
                <w:rFonts w:ascii="Times New Roman"/>
                <w:sz w:val="15"/>
              </w:rPr>
              <w:t>7.96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left"/>
              <w:rPr>
                <w:rFonts w:ascii="Times New Roman" w:hAnsi="Times New Roman" w:cs="Times New Roman" w:eastAsia="Times New Roman" w:hint="default"/>
                <w:sz w:val="15"/>
                <w:szCs w:val="15"/>
              </w:rPr>
            </w:pPr>
            <w:r>
              <w:rPr>
                <w:rFonts w:ascii="Times New Roman"/>
                <w:sz w:val="15"/>
              </w:rPr>
              <w:t>141,422,3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3" w:right="0"/>
              <w:jc w:val="left"/>
              <w:rPr>
                <w:rFonts w:ascii="Times New Roman" w:hAnsi="Times New Roman" w:cs="Times New Roman" w:eastAsia="Times New Roman" w:hint="default"/>
                <w:sz w:val="15"/>
                <w:szCs w:val="15"/>
              </w:rPr>
            </w:pPr>
            <w:r>
              <w:rPr>
                <w:rFonts w:ascii="Times New Roman"/>
                <w:sz w:val="15"/>
              </w:rPr>
              <w:t>57.47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 w:right="0"/>
              <w:jc w:val="center"/>
              <w:rPr>
                <w:rFonts w:ascii="Times New Roman" w:hAnsi="Times New Roman" w:cs="Times New Roman" w:eastAsia="Times New Roman" w:hint="default"/>
                <w:sz w:val="15"/>
                <w:szCs w:val="15"/>
              </w:rPr>
            </w:pPr>
            <w:r>
              <w:rPr>
                <w:rFonts w:ascii="Times New Roman"/>
                <w:sz w:val="15"/>
              </w:rPr>
              <w:t>1,469,333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0" w:right="0"/>
              <w:jc w:val="center"/>
              <w:rPr>
                <w:rFonts w:ascii="Times New Roman" w:hAnsi="Times New Roman" w:cs="Times New Roman" w:eastAsia="Times New Roman" w:hint="default"/>
                <w:sz w:val="15"/>
                <w:szCs w:val="15"/>
              </w:rPr>
            </w:pPr>
            <w:r>
              <w:rPr>
                <w:rFonts w:ascii="Times New Roman"/>
                <w:sz w:val="15"/>
              </w:rPr>
              <w:t>,950.91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2" w:right="0"/>
              <w:jc w:val="center"/>
              <w:rPr>
                <w:rFonts w:ascii="Times New Roman" w:hAnsi="Times New Roman" w:cs="Times New Roman" w:eastAsia="Times New Roman" w:hint="default"/>
                <w:sz w:val="15"/>
                <w:szCs w:val="15"/>
              </w:rPr>
            </w:pPr>
            <w:r>
              <w:rPr>
                <w:rFonts w:ascii="Times New Roman"/>
                <w:sz w:val="15"/>
              </w:rPr>
              <w:t>22,493,5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49.05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5"/>
                <w:szCs w:val="15"/>
              </w:rPr>
            </w:pPr>
            <w:r>
              <w:rPr>
                <w:rFonts w:ascii="Times New Roman"/>
                <w:sz w:val="15"/>
              </w:rPr>
              <w:t>3,577,147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Times New Roman" w:hAnsi="Times New Roman" w:cs="Times New Roman" w:eastAsia="Times New Roman" w:hint="default"/>
                <w:sz w:val="15"/>
                <w:szCs w:val="15"/>
              </w:rPr>
            </w:pPr>
            <w:r>
              <w:rPr>
                <w:rFonts w:ascii="Times New Roman"/>
                <w:sz w:val="15"/>
              </w:rPr>
              <w:t>,817.49</w:t>
            </w:r>
          </w:p>
        </w:tc>
      </w:tr>
    </w:tbl>
    <w:p>
      <w:pPr>
        <w:spacing w:line="240" w:lineRule="auto" w:before="11"/>
        <w:rPr>
          <w:rFonts w:ascii="宋体" w:hAnsi="宋体" w:cs="宋体" w:eastAsia="宋体" w:hint="default"/>
          <w:sz w:val="18"/>
          <w:szCs w:val="18"/>
        </w:rPr>
      </w:pPr>
      <w:r>
        <w:rPr/>
        <w:pict>
          <v:group style="position:absolute;margin-left:128.839996pt;margin-top:200.11998pt;width:27.6pt;height:7.8pt;mso-position-horizontal-relative:page;mso-position-vertical-relative:page;z-index:-1110640" coordorigin="2577,4002" coordsize="552,156">
            <v:shape style="position:absolute;left:2577;top:4002;width:552;height:156" coordorigin="2577,4002" coordsize="552,156" path="m2577,4158l3129,4158,3129,4002,2577,4002,2577,4158xe" filled="true" fillcolor="#ffffff" stroked="false">
              <v:path arrowok="t"/>
              <v:fill type="solid"/>
            </v:shape>
            <w10:wrap type="none"/>
          </v:group>
        </w:pict>
      </w:r>
    </w:p>
    <w:p>
      <w:pPr>
        <w:pStyle w:val="Heading3"/>
        <w:spacing w:line="240" w:lineRule="auto" w:before="35"/>
        <w:ind w:left="114" w:right="209"/>
        <w:jc w:val="left"/>
        <w:rPr>
          <w:b w:val="0"/>
          <w:bCs w:val="0"/>
        </w:rPr>
      </w:pPr>
      <w:bookmarkStart w:name="8、母公司所有者权益变动表" w:id="115"/>
      <w:bookmarkEnd w:id="11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left="114" w:right="209"/>
        <w:jc w:val="left"/>
        <w:rPr>
          <w:b w:val="0"/>
          <w:bCs w:val="0"/>
        </w:rPr>
      </w:pPr>
      <w:r>
        <w:rPr/>
        <w:t>本期金额</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44"/>
        <w:ind w:left="0" w:right="11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54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44" w:right="91"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7" w:right="31" w:hanging="226"/>
              <w:jc w:val="left"/>
              <w:rPr>
                <w:rFonts w:ascii="宋体" w:hAnsi="宋体" w:cs="宋体" w:eastAsia="宋体" w:hint="default"/>
                <w:sz w:val="15"/>
                <w:szCs w:val="15"/>
              </w:rPr>
            </w:pPr>
            <w:r>
              <w:rPr>
                <w:rFonts w:ascii="宋体" w:hAnsi="宋体" w:cs="宋体" w:eastAsia="宋体" w:hint="default"/>
                <w:sz w:val="15"/>
                <w:szCs w:val="15"/>
              </w:rPr>
              <w:t>未分配利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59" w:right="84" w:hanging="75"/>
              <w:jc w:val="left"/>
              <w:rPr>
                <w:rFonts w:ascii="宋体" w:hAnsi="宋体" w:cs="宋体" w:eastAsia="宋体" w:hint="default"/>
                <w:sz w:val="15"/>
                <w:szCs w:val="15"/>
              </w:rPr>
            </w:pPr>
            <w:r>
              <w:rPr>
                <w:rFonts w:ascii="宋体" w:hAnsi="宋体" w:cs="宋体" w:eastAsia="宋体" w:hint="default"/>
                <w:sz w:val="15"/>
                <w:szCs w:val="15"/>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0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01"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7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8"/>
              <w:ind w:left="50" w:right="0"/>
              <w:jc w:val="left"/>
              <w:rPr>
                <w:rFonts w:ascii="Times New Roman" w:hAnsi="Times New Roman" w:cs="Times New Roman" w:eastAsia="Times New Roman" w:hint="default"/>
                <w:sz w:val="15"/>
                <w:szCs w:val="15"/>
              </w:rPr>
            </w:pPr>
            <w:r>
              <w:rPr>
                <w:rFonts w:ascii="Times New Roman"/>
                <w:sz w:val="15"/>
              </w:rPr>
              <w:t>614,841,3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t>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51" w:right="0"/>
              <w:jc w:val="left"/>
              <w:rPr>
                <w:rFonts w:ascii="Times New Roman" w:hAnsi="Times New Roman" w:cs="Times New Roman" w:eastAsia="Times New Roman" w:hint="default"/>
                <w:sz w:val="15"/>
                <w:szCs w:val="15"/>
              </w:rPr>
            </w:pPr>
            <w:r>
              <w:rPr>
                <w:rFonts w:ascii="Times New Roman"/>
                <w:sz w:val="15"/>
              </w:rPr>
              <w:t>1,355,216,9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85.23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5"/>
                <w:szCs w:val="15"/>
              </w:rPr>
            </w:pPr>
            <w:r>
              <w:rPr>
                <w:rFonts w:ascii="Times New Roman"/>
                <w:spacing w:val="-1"/>
                <w:sz w:val="15"/>
              </w:rPr>
              <w:t>-1,012,442.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90" w:right="0"/>
              <w:jc w:val="left"/>
              <w:rPr>
                <w:rFonts w:ascii="Times New Roman" w:hAnsi="Times New Roman" w:cs="Times New Roman" w:eastAsia="Times New Roman" w:hint="default"/>
                <w:sz w:val="15"/>
                <w:szCs w:val="15"/>
              </w:rPr>
            </w:pPr>
            <w:r>
              <w:rPr>
                <w:rFonts w:ascii="Times New Roman"/>
                <w:sz w:val="15"/>
              </w:rPr>
              <w:t>141,422,35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7.47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85"/>
              <w:ind w:left="43" w:right="0"/>
              <w:jc w:val="left"/>
              <w:rPr>
                <w:rFonts w:ascii="Times New Roman" w:hAnsi="Times New Roman" w:cs="Times New Roman" w:eastAsia="Times New Roman" w:hint="default"/>
                <w:sz w:val="15"/>
                <w:szCs w:val="15"/>
              </w:rPr>
            </w:pPr>
            <w:r>
              <w:rPr>
                <w:rFonts w:ascii="Times New Roman"/>
                <w:sz w:val="15"/>
              </w:rPr>
              <w:t>706,513,9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84.60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85"/>
              <w:ind w:left="34" w:right="0"/>
              <w:jc w:val="left"/>
              <w:rPr>
                <w:rFonts w:ascii="Times New Roman" w:hAnsi="Times New Roman" w:cs="Times New Roman" w:eastAsia="Times New Roman" w:hint="default"/>
                <w:sz w:val="15"/>
                <w:szCs w:val="15"/>
              </w:rPr>
            </w:pPr>
            <w:r>
              <w:rPr>
                <w:rFonts w:ascii="Times New Roman"/>
                <w:sz w:val="15"/>
              </w:rPr>
              <w:t>2,786,190,1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49.44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22"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z w:val="15"/>
                <w:szCs w:val="15"/>
              </w:rPr>
              <w:t>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23" w:right="0"/>
              <w:jc w:val="left"/>
              <w:rPr>
                <w:rFonts w:ascii="宋体" w:hAnsi="宋体" w:cs="宋体" w:eastAsia="宋体" w:hint="default"/>
                <w:sz w:val="15"/>
                <w:szCs w:val="15"/>
              </w:rPr>
            </w:pPr>
            <w:r>
              <w:rPr>
                <w:rFonts w:ascii="宋体" w:hAnsi="宋体" w:cs="宋体" w:eastAsia="宋体" w:hint="default"/>
                <w:sz w:val="15"/>
                <w:szCs w:val="15"/>
              </w:rPr>
              <w:t>前期差错更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42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73"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正</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6" w:type="dxa"/>
            <w:tcBorders>
              <w:top w:val="single" w:sz="10" w:space="0" w:color="000000"/>
              <w:left w:val="single" w:sz="4" w:space="0" w:color="000000"/>
              <w:bottom w:val="single" w:sz="4" w:space="0" w:color="000000"/>
              <w:right w:val="single" w:sz="4" w:space="0" w:color="000000"/>
            </w:tcBorders>
          </w:tcPr>
          <w:p>
            <w:pPr/>
          </w:p>
        </w:tc>
        <w:tc>
          <w:tcPr>
            <w:tcW w:w="781"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 w:right="0"/>
              <w:jc w:val="left"/>
              <w:rPr>
                <w:rFonts w:ascii="Times New Roman" w:hAnsi="Times New Roman" w:cs="Times New Roman" w:eastAsia="Times New Roman" w:hint="default"/>
                <w:sz w:val="15"/>
                <w:szCs w:val="15"/>
              </w:rPr>
            </w:pPr>
            <w:r>
              <w:rPr>
                <w:rFonts w:ascii="Times New Roman"/>
                <w:sz w:val="15"/>
              </w:rPr>
              <w:t>614,841,3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1" w:right="0"/>
              <w:jc w:val="left"/>
              <w:rPr>
                <w:rFonts w:ascii="Times New Roman" w:hAnsi="Times New Roman" w:cs="Times New Roman" w:eastAsia="Times New Roman" w:hint="default"/>
                <w:sz w:val="15"/>
                <w:szCs w:val="15"/>
              </w:rPr>
            </w:pPr>
            <w:r>
              <w:rPr>
                <w:rFonts w:ascii="Times New Roman"/>
                <w:sz w:val="15"/>
              </w:rPr>
              <w:t>1,355,216,9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85.23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-1,012,442.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left"/>
              <w:rPr>
                <w:rFonts w:ascii="Times New Roman" w:hAnsi="Times New Roman" w:cs="Times New Roman" w:eastAsia="Times New Roman" w:hint="default"/>
                <w:sz w:val="15"/>
                <w:szCs w:val="15"/>
              </w:rPr>
            </w:pPr>
            <w:r>
              <w:rPr>
                <w:rFonts w:ascii="Times New Roman"/>
                <w:sz w:val="15"/>
              </w:rPr>
              <w:t>141,422,35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7.47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 w:right="0"/>
              <w:jc w:val="left"/>
              <w:rPr>
                <w:rFonts w:ascii="Times New Roman" w:hAnsi="Times New Roman" w:cs="Times New Roman" w:eastAsia="Times New Roman" w:hint="default"/>
                <w:sz w:val="15"/>
                <w:szCs w:val="15"/>
              </w:rPr>
            </w:pPr>
            <w:r>
              <w:rPr>
                <w:rFonts w:ascii="Times New Roman"/>
                <w:sz w:val="15"/>
              </w:rPr>
              <w:t>706,513,9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84.60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4" w:right="0"/>
              <w:jc w:val="left"/>
              <w:rPr>
                <w:rFonts w:ascii="Times New Roman" w:hAnsi="Times New Roman" w:cs="Times New Roman" w:eastAsia="Times New Roman" w:hint="default"/>
                <w:sz w:val="15"/>
                <w:szCs w:val="15"/>
              </w:rPr>
            </w:pPr>
            <w:r>
              <w:rPr>
                <w:rFonts w:ascii="Times New Roman"/>
                <w:sz w:val="15"/>
              </w:rPr>
              <w:t>2,786,190,1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49.44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2" w:lineRule="auto" w:before="71"/>
              <w:ind w:left="22" w:right="57"/>
              <w:jc w:val="both"/>
              <w:rPr>
                <w:rFonts w:ascii="宋体" w:hAnsi="宋体" w:cs="宋体" w:eastAsia="宋体" w:hint="default"/>
                <w:sz w:val="15"/>
                <w:szCs w:val="15"/>
              </w:rPr>
            </w:pPr>
            <w:r>
              <w:rPr>
                <w:rFonts w:ascii="宋体" w:hAnsi="宋体" w:cs="宋体" w:eastAsia="宋体" w:hint="default"/>
                <w:sz w:val="15"/>
                <w:szCs w:val="15"/>
              </w:rPr>
              <w:t>三、本期增减变动金 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5"/>
                <w:szCs w:val="15"/>
              </w:rPr>
            </w:pPr>
            <w:r>
              <w:rPr>
                <w:rFonts w:ascii="Times New Roman"/>
                <w:sz w:val="15"/>
              </w:rPr>
              <w:t>712,640,1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106,630,91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4.58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-4,343,227.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-87,007.05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34,482,441.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156,605,1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37.86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 w:right="0"/>
              <w:jc w:val="left"/>
              <w:rPr>
                <w:rFonts w:ascii="Times New Roman" w:hAnsi="Times New Roman" w:cs="Times New Roman" w:eastAsia="Times New Roman" w:hint="default"/>
                <w:sz w:val="15"/>
                <w:szCs w:val="15"/>
              </w:rPr>
            </w:pPr>
            <w:r>
              <w:rPr>
                <w:rFonts w:ascii="Times New Roman"/>
                <w:sz w:val="15"/>
              </w:rPr>
              <w:t>1,014,614,9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04.49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-87,007.05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3" w:right="0"/>
              <w:jc w:val="left"/>
              <w:rPr>
                <w:rFonts w:ascii="Times New Roman" w:hAnsi="Times New Roman" w:cs="Times New Roman" w:eastAsia="Times New Roman" w:hint="default"/>
                <w:sz w:val="15"/>
                <w:szCs w:val="15"/>
              </w:rPr>
            </w:pPr>
            <w:r>
              <w:rPr>
                <w:rFonts w:ascii="Times New Roman"/>
                <w:sz w:val="15"/>
              </w:rPr>
              <w:t>344,824,4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10.96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left"/>
              <w:rPr>
                <w:rFonts w:ascii="Times New Roman" w:hAnsi="Times New Roman" w:cs="Times New Roman" w:eastAsia="Times New Roman" w:hint="default"/>
                <w:sz w:val="15"/>
                <w:szCs w:val="15"/>
              </w:rPr>
            </w:pPr>
            <w:r>
              <w:rPr>
                <w:rFonts w:ascii="Times New Roman"/>
                <w:sz w:val="15"/>
              </w:rPr>
              <w:t>344,737,40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3.91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1"/>
              <w:ind w:left="22" w:right="57"/>
              <w:jc w:val="left"/>
              <w:rPr>
                <w:rFonts w:ascii="宋体" w:hAnsi="宋体" w:cs="宋体" w:eastAsia="宋体" w:hint="default"/>
                <w:sz w:val="15"/>
                <w:szCs w:val="15"/>
              </w:rPr>
            </w:pPr>
            <w:r>
              <w:rPr>
                <w:rFonts w:ascii="宋体" w:hAnsi="宋体" w:cs="宋体" w:eastAsia="宋体" w:hint="default"/>
                <w:sz w:val="15"/>
                <w:szCs w:val="15"/>
              </w:rPr>
              <w:t>（二）所有者投入和 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 w:right="0"/>
              <w:jc w:val="left"/>
              <w:rPr>
                <w:rFonts w:ascii="Times New Roman" w:hAnsi="Times New Roman" w:cs="Times New Roman" w:eastAsia="Times New Roman" w:hint="default"/>
                <w:sz w:val="15"/>
                <w:szCs w:val="15"/>
              </w:rPr>
            </w:pPr>
            <w:r>
              <w:rPr>
                <w:rFonts w:ascii="Times New Roman"/>
                <w:sz w:val="15"/>
              </w:rPr>
              <w:t>97,423,80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94" w:right="0"/>
              <w:jc w:val="left"/>
              <w:rPr>
                <w:rFonts w:ascii="Times New Roman" w:hAnsi="Times New Roman" w:cs="Times New Roman" w:eastAsia="Times New Roman" w:hint="default"/>
                <w:sz w:val="15"/>
                <w:szCs w:val="15"/>
              </w:rPr>
            </w:pPr>
            <w:r>
              <w:rPr>
                <w:rFonts w:ascii="Times New Roman"/>
                <w:sz w:val="15"/>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left"/>
              <w:rPr>
                <w:rFonts w:ascii="Times New Roman" w:hAnsi="Times New Roman" w:cs="Times New Roman" w:eastAsia="Times New Roman" w:hint="default"/>
                <w:sz w:val="15"/>
                <w:szCs w:val="15"/>
              </w:rPr>
            </w:pPr>
            <w:r>
              <w:rPr>
                <w:rFonts w:ascii="Times New Roman"/>
                <w:sz w:val="15"/>
              </w:rPr>
              <w:t>713,627,29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8.58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-4,343,227.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left"/>
              <w:rPr>
                <w:rFonts w:ascii="Times New Roman" w:hAnsi="Times New Roman" w:cs="Times New Roman" w:eastAsia="Times New Roman" w:hint="default"/>
                <w:sz w:val="15"/>
                <w:szCs w:val="15"/>
              </w:rPr>
            </w:pPr>
            <w:r>
              <w:rPr>
                <w:rFonts w:ascii="Times New Roman"/>
                <w:sz w:val="15"/>
              </w:rPr>
              <w:t>815,394,33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2.58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．股东投入的普通股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 w:right="0"/>
              <w:jc w:val="left"/>
              <w:rPr>
                <w:rFonts w:ascii="Times New Roman" w:hAnsi="Times New Roman" w:cs="Times New Roman" w:eastAsia="Times New Roman" w:hint="default"/>
                <w:sz w:val="15"/>
                <w:szCs w:val="15"/>
              </w:rPr>
            </w:pPr>
            <w:r>
              <w:rPr>
                <w:rFonts w:ascii="Times New Roman"/>
                <w:sz w:val="15"/>
              </w:rPr>
              <w:t>97,423,80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94" w:right="0"/>
              <w:jc w:val="left"/>
              <w:rPr>
                <w:rFonts w:ascii="Times New Roman" w:hAnsi="Times New Roman" w:cs="Times New Roman" w:eastAsia="Times New Roman" w:hint="default"/>
                <w:sz w:val="15"/>
                <w:szCs w:val="15"/>
              </w:rPr>
            </w:pPr>
            <w:r>
              <w:rPr>
                <w:rFonts w:ascii="Times New Roman"/>
                <w:sz w:val="15"/>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left"/>
              <w:rPr>
                <w:rFonts w:ascii="Times New Roman" w:hAnsi="Times New Roman" w:cs="Times New Roman" w:eastAsia="Times New Roman" w:hint="default"/>
                <w:sz w:val="15"/>
                <w:szCs w:val="15"/>
              </w:rPr>
            </w:pPr>
            <w:r>
              <w:rPr>
                <w:rFonts w:ascii="Times New Roman"/>
                <w:sz w:val="15"/>
              </w:rPr>
              <w:t>705,460,98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3" w:right="0"/>
              <w:jc w:val="left"/>
              <w:rPr>
                <w:rFonts w:ascii="Times New Roman" w:hAnsi="Times New Roman" w:cs="Times New Roman" w:eastAsia="Times New Roman" w:hint="default"/>
                <w:sz w:val="15"/>
                <w:szCs w:val="15"/>
              </w:rPr>
            </w:pPr>
            <w:r>
              <w:rPr>
                <w:rFonts w:ascii="Times New Roman"/>
                <w:sz w:val="15"/>
              </w:rPr>
              <w:t>802,884,79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6.08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1"/>
              <w:ind w:left="22" w:right="22"/>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1"/>
              <w:ind w:left="22" w:right="22"/>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者权益的金额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8,166,309.5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-4,343,227.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5"/>
                <w:szCs w:val="15"/>
              </w:rPr>
            </w:pPr>
            <w:r>
              <w:rPr>
                <w:rFonts w:ascii="Times New Roman"/>
                <w:spacing w:val="-1"/>
                <w:sz w:val="15"/>
              </w:rPr>
              <w:t>12,509,536.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34,482,441.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-188,219,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273.10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sz w:val="15"/>
              </w:rPr>
              <w:t>-153,736,83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34,482,441.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8" w:right="0"/>
              <w:jc w:val="left"/>
              <w:rPr>
                <w:rFonts w:ascii="Times New Roman" w:hAnsi="Times New Roman" w:cs="Times New Roman" w:eastAsia="Times New Roman" w:hint="default"/>
                <w:sz w:val="15"/>
                <w:szCs w:val="15"/>
              </w:rPr>
            </w:pPr>
            <w:r>
              <w:rPr>
                <w:rFonts w:ascii="Times New Roman"/>
                <w:sz w:val="15"/>
              </w:rPr>
              <w:t>-34,482,4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41.10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1"/>
              <w:ind w:left="22" w:right="96"/>
              <w:jc w:val="left"/>
              <w:rPr>
                <w:rFonts w:ascii="宋体" w:hAnsi="宋体" w:cs="宋体" w:eastAsia="宋体" w:hint="default"/>
                <w:sz w:val="15"/>
                <w:szCs w:val="15"/>
              </w:rPr>
            </w:pPr>
            <w:r>
              <w:rPr>
                <w:rFonts w:ascii="Times New Roman" w:hAnsi="Times New Roman" w:cs="Times New Roman" w:eastAsia="Times New Roman" w:hint="default"/>
                <w:spacing w:val="-12"/>
                <w:sz w:val="15"/>
                <w:szCs w:val="15"/>
              </w:rPr>
              <w:t>2</w:t>
            </w:r>
            <w:r>
              <w:rPr>
                <w:rFonts w:ascii="宋体" w:hAnsi="宋体" w:cs="宋体" w:eastAsia="宋体" w:hint="default"/>
                <w:spacing w:val="-12"/>
                <w:sz w:val="15"/>
                <w:szCs w:val="15"/>
              </w:rPr>
              <w:t>．对所有者（或股东</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9" w:right="0"/>
              <w:jc w:val="left"/>
              <w:rPr>
                <w:rFonts w:ascii="宋体" w:hAnsi="宋体" w:cs="宋体" w:eastAsia="宋体" w:hint="default"/>
                <w:sz w:val="15"/>
                <w:szCs w:val="15"/>
              </w:rPr>
            </w:pPr>
            <w:r>
              <w:rPr>
                <w:rFonts w:ascii="宋体" w:hAnsi="宋体" w:cs="宋体" w:eastAsia="宋体" w:hint="default"/>
                <w:sz w:val="15"/>
                <w:szCs w:val="15"/>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-153,736,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832.00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sz w:val="15"/>
              </w:rPr>
              <w:t>-153,736,83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2.00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1"/>
              <w:ind w:left="22" w:right="57"/>
              <w:jc w:val="left"/>
              <w:rPr>
                <w:rFonts w:ascii="宋体" w:hAnsi="宋体" w:cs="宋体" w:eastAsia="宋体" w:hint="default"/>
                <w:sz w:val="15"/>
                <w:szCs w:val="15"/>
              </w:rPr>
            </w:pPr>
            <w:r>
              <w:rPr>
                <w:rFonts w:ascii="宋体" w:hAnsi="宋体" w:cs="宋体" w:eastAsia="宋体" w:hint="default"/>
                <w:sz w:val="15"/>
                <w:szCs w:val="15"/>
              </w:rPr>
              <w:t>（四）所有者权益内 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 w:right="0"/>
              <w:jc w:val="left"/>
              <w:rPr>
                <w:rFonts w:ascii="Times New Roman" w:hAnsi="Times New Roman" w:cs="Times New Roman" w:eastAsia="Times New Roman" w:hint="default"/>
                <w:sz w:val="15"/>
                <w:szCs w:val="15"/>
              </w:rPr>
            </w:pPr>
            <w:r>
              <w:rPr>
                <w:rFonts w:ascii="Times New Roman"/>
                <w:sz w:val="15"/>
              </w:rPr>
              <w:t>615,216,3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9" w:right="0"/>
              <w:jc w:val="left"/>
              <w:rPr>
                <w:rFonts w:ascii="Times New Roman" w:hAnsi="Times New Roman" w:cs="Times New Roman" w:eastAsia="Times New Roman" w:hint="default"/>
                <w:sz w:val="15"/>
                <w:szCs w:val="15"/>
              </w:rPr>
            </w:pPr>
            <w:r>
              <w:rPr>
                <w:rFonts w:ascii="Times New Roman"/>
                <w:sz w:val="15"/>
              </w:rPr>
              <w:t>-615,216,38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 w:right="0"/>
              <w:jc w:val="left"/>
              <w:rPr>
                <w:rFonts w:ascii="Times New Roman" w:hAnsi="Times New Roman" w:cs="Times New Roman" w:eastAsia="Times New Roman" w:hint="default"/>
                <w:sz w:val="15"/>
                <w:szCs w:val="15"/>
              </w:rPr>
            </w:pPr>
            <w:r>
              <w:rPr>
                <w:rFonts w:ascii="Times New Roman"/>
                <w:sz w:val="15"/>
              </w:rPr>
              <w:t>615,216,3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9" w:right="0"/>
              <w:jc w:val="left"/>
              <w:rPr>
                <w:rFonts w:ascii="Times New Roman" w:hAnsi="Times New Roman" w:cs="Times New Roman" w:eastAsia="Times New Roman" w:hint="default"/>
                <w:sz w:val="15"/>
                <w:szCs w:val="15"/>
              </w:rPr>
            </w:pPr>
            <w:r>
              <w:rPr>
                <w:rFonts w:ascii="Times New Roman"/>
                <w:sz w:val="15"/>
              </w:rPr>
              <w:t>-615,216,38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．盈余公积弥补亏损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8,220,000.0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8,220,000.0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r>
    </w:tbl>
    <w:p>
      <w:pPr>
        <w:rPr>
          <w:sz w:val="2"/>
          <w:szCs w:val="2"/>
        </w:rPr>
      </w:pPr>
      <w:r>
        <w:rPr/>
        <w:pict>
          <v:group style="position:absolute;margin-left:129.020004pt;margin-top:468.159973pt;width:34.1pt;height:27.95pt;mso-position-horizontal-relative:page;mso-position-vertical-relative:page;z-index:-1110616" coordorigin="2580,9363" coordsize="682,559">
            <v:group style="position:absolute;left:2580;top:9363;width:682;height:156" coordorigin="2580,9363" coordsize="682,156">
              <v:shape style="position:absolute;left:2580;top:9363;width:682;height:156" coordorigin="2580,9363" coordsize="682,156" path="m2580,9519l3262,9519,3262,9363,2580,9363,2580,9519xe" filled="true" fillcolor="#ffffff" stroked="false">
                <v:path arrowok="t"/>
                <v:fill type="solid"/>
              </v:shape>
            </v:group>
            <v:group style="position:absolute;left:2592;top:9519;width:2;height:392" coordorigin="2592,9519" coordsize="2,392">
              <v:shape style="position:absolute;left:2592;top:9519;width:2;height:392" coordorigin="2592,9519" coordsize="0,392" path="m2592,9519l2592,9910e" filled="false" stroked="true" strokeweight="1.140pt" strokecolor="#ffffff">
                <v:path arrowok="t"/>
              </v:shape>
            </v:group>
            <v:group style="position:absolute;left:2603;top:9519;width:635;height:392" coordorigin="2603,9519" coordsize="635,392">
              <v:shape style="position:absolute;left:2603;top:9519;width:635;height:392" coordorigin="2603,9519" coordsize="635,392" path="m2603,9910l3238,9910,3238,9519,2603,9519,2603,9910xe" filled="true" fillcolor="#ffffff" stroked="false">
                <v:path arrowok="t"/>
                <v:fill type="solid"/>
              </v:shape>
            </v:group>
            <w10:wrap type="none"/>
          </v:group>
        </w:pict>
      </w:r>
    </w:p>
    <w:p>
      <w:pPr>
        <w:spacing w:after="0"/>
        <w:rPr>
          <w:sz w:val="2"/>
          <w:szCs w:val="2"/>
        </w:rPr>
        <w:sectPr>
          <w:pgSz w:w="11910" w:h="16840"/>
          <w:pgMar w:header="851" w:footer="1226" w:top="1420" w:bottom="1420" w:left="1020" w:right="1020"/>
        </w:sectPr>
      </w:pPr>
    </w:p>
    <w:p>
      <w:pPr>
        <w:spacing w:line="240" w:lineRule="auto" w:before="7"/>
        <w:rPr>
          <w:rFonts w:ascii="宋体" w:hAnsi="宋体" w:cs="宋体" w:eastAsia="宋体" w:hint="default"/>
          <w:sz w:val="2"/>
          <w:szCs w:val="2"/>
        </w:rPr>
      </w:pPr>
      <w:r>
        <w:rPr/>
        <w:pict>
          <v:group style="position:absolute;margin-left:129.020004pt;margin-top:698.619995pt;width:34.1pt;height:28.05pt;mso-position-horizontal-relative:page;mso-position-vertical-relative:page;z-index:-1110592" coordorigin="2580,13972" coordsize="682,561">
            <v:group style="position:absolute;left:2580;top:13972;width:682;height:157" coordorigin="2580,13972" coordsize="682,157">
              <v:shape style="position:absolute;left:2580;top:13972;width:682;height:157" coordorigin="2580,13972" coordsize="682,157" path="m2580,14129l3262,14129,3262,13972,2580,13972,2580,14129xe" filled="true" fillcolor="#ffffff" stroked="false">
                <v:path arrowok="t"/>
                <v:fill type="solid"/>
              </v:shape>
            </v:group>
            <v:group style="position:absolute;left:2592;top:14129;width:2;height:393" coordorigin="2592,14129" coordsize="2,393">
              <v:shape style="position:absolute;left:2592;top:14129;width:2;height:393" coordorigin="2592,14129" coordsize="0,393" path="m2592,14129l2592,14521e" filled="false" stroked="true" strokeweight="1.140pt" strokecolor="#ffffff">
                <v:path arrowok="t"/>
              </v:shape>
            </v:group>
            <v:group style="position:absolute;left:2603;top:14129;width:635;height:393" coordorigin="2603,14129" coordsize="635,393">
              <v:shape style="position:absolute;left:2603;top:14129;width:635;height:393" coordorigin="2603,14129" coordsize="635,393" path="m2603,14521l3238,14521,3238,14129,2603,14129,2603,14521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26"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6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33" w:right="0"/>
              <w:jc w:val="center"/>
              <w:rPr>
                <w:rFonts w:ascii="Times New Roman" w:hAnsi="Times New Roman" w:cs="Times New Roman" w:eastAsia="Times New Roman" w:hint="default"/>
                <w:sz w:val="15"/>
                <w:szCs w:val="15"/>
              </w:rPr>
            </w:pPr>
            <w:r>
              <w:rPr>
                <w:rFonts w:ascii="Times New Roman"/>
                <w:sz w:val="15"/>
              </w:rPr>
              <w:t>1,327,481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,535.00</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51" w:right="0"/>
              <w:jc w:val="left"/>
              <w:rPr>
                <w:rFonts w:ascii="Times New Roman" w:hAnsi="Times New Roman" w:cs="Times New Roman" w:eastAsia="Times New Roman" w:hint="default"/>
                <w:sz w:val="15"/>
                <w:szCs w:val="15"/>
              </w:rPr>
            </w:pPr>
            <w:r>
              <w:rPr>
                <w:rFonts w:ascii="Times New Roman"/>
                <w:sz w:val="15"/>
              </w:rPr>
              <w:t>1,461,847,8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99.81</w:t>
            </w:r>
          </w:p>
        </w:tc>
        <w:tc>
          <w:tcPr>
            <w:tcW w:w="7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5"/>
                <w:szCs w:val="15"/>
              </w:rPr>
            </w:pPr>
            <w:r>
              <w:rPr>
                <w:rFonts w:ascii="Times New Roman"/>
                <w:spacing w:val="-1"/>
                <w:sz w:val="15"/>
              </w:rPr>
              <w:t>26,448,852.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5"/>
                <w:szCs w:val="15"/>
              </w:rPr>
            </w:pPr>
            <w:r>
              <w:rPr>
                <w:rFonts w:ascii="Times New Roman"/>
                <w:spacing w:val="-1"/>
                <w:sz w:val="15"/>
              </w:rPr>
              <w:t>-1,099,449.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71</w:t>
            </w: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90" w:right="0"/>
              <w:jc w:val="left"/>
              <w:rPr>
                <w:rFonts w:ascii="Times New Roman" w:hAnsi="Times New Roman" w:cs="Times New Roman" w:eastAsia="Times New Roman" w:hint="default"/>
                <w:sz w:val="15"/>
                <w:szCs w:val="15"/>
              </w:rPr>
            </w:pPr>
            <w:r>
              <w:rPr>
                <w:rFonts w:ascii="Times New Roman"/>
                <w:sz w:val="15"/>
              </w:rPr>
              <w:t>175,904,79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8.57</w:t>
            </w:r>
          </w:p>
        </w:tc>
        <w:tc>
          <w:tcPr>
            <w:tcW w:w="6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49" w:right="0"/>
              <w:jc w:val="left"/>
              <w:rPr>
                <w:rFonts w:ascii="Times New Roman" w:hAnsi="Times New Roman" w:cs="Times New Roman" w:eastAsia="Times New Roman" w:hint="default"/>
                <w:sz w:val="15"/>
                <w:szCs w:val="15"/>
              </w:rPr>
            </w:pPr>
            <w:r>
              <w:rPr>
                <w:rFonts w:ascii="Times New Roman"/>
                <w:sz w:val="15"/>
              </w:rPr>
              <w:t>863,119,1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22.46</w:t>
            </w:r>
          </w:p>
        </w:tc>
        <w:tc>
          <w:tcPr>
            <w:tcW w:w="7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34" w:right="0"/>
              <w:jc w:val="left"/>
              <w:rPr>
                <w:rFonts w:ascii="Times New Roman" w:hAnsi="Times New Roman" w:cs="Times New Roman" w:eastAsia="Times New Roman" w:hint="default"/>
                <w:sz w:val="15"/>
                <w:szCs w:val="15"/>
              </w:rPr>
            </w:pPr>
            <w:r>
              <w:rPr>
                <w:rFonts w:ascii="Times New Roman"/>
                <w:sz w:val="15"/>
              </w:rPr>
              <w:t>3,800,805,0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53.93</w:t>
            </w:r>
          </w:p>
        </w:tc>
      </w:tr>
    </w:tbl>
    <w:p>
      <w:pPr>
        <w:spacing w:line="240" w:lineRule="auto" w:before="6"/>
        <w:rPr>
          <w:rFonts w:ascii="宋体" w:hAnsi="宋体" w:cs="宋体" w:eastAsia="宋体" w:hint="default"/>
          <w:sz w:val="6"/>
          <w:szCs w:val="6"/>
        </w:rPr>
      </w:pPr>
    </w:p>
    <w:p>
      <w:pPr>
        <w:pStyle w:val="Heading4"/>
        <w:spacing w:line="240" w:lineRule="auto" w:before="44"/>
        <w:ind w:left="114" w:right="209"/>
        <w:jc w:val="left"/>
        <w:rPr>
          <w:b w:val="0"/>
          <w:bCs w:val="0"/>
        </w:rPr>
      </w:pPr>
      <w:r>
        <w:rPr/>
        <w:t>上期金额</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44"/>
        <w:ind w:left="0" w:right="11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right="10"/>
              <w:jc w:val="center"/>
              <w:rPr>
                <w:rFonts w:ascii="宋体" w:hAnsi="宋体" w:cs="宋体" w:eastAsia="宋体" w:hint="default"/>
                <w:sz w:val="15"/>
                <w:szCs w:val="15"/>
              </w:rPr>
            </w:pPr>
            <w:r>
              <w:rPr>
                <w:rFonts w:ascii="宋体" w:hAnsi="宋体" w:cs="宋体" w:eastAsia="宋体" w:hint="default"/>
                <w:sz w:val="15"/>
                <w:szCs w:val="15"/>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54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44" w:right="91"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57" w:right="31" w:hanging="226"/>
              <w:jc w:val="left"/>
              <w:rPr>
                <w:rFonts w:ascii="宋体" w:hAnsi="宋体" w:cs="宋体" w:eastAsia="宋体" w:hint="default"/>
                <w:sz w:val="15"/>
                <w:szCs w:val="15"/>
              </w:rPr>
            </w:pPr>
            <w:r>
              <w:rPr>
                <w:rFonts w:ascii="宋体" w:hAnsi="宋体" w:cs="宋体" w:eastAsia="宋体" w:hint="default"/>
                <w:sz w:val="15"/>
                <w:szCs w:val="15"/>
              </w:rPr>
              <w:t>未分配利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59" w:right="84" w:hanging="75"/>
              <w:jc w:val="left"/>
              <w:rPr>
                <w:rFonts w:ascii="宋体" w:hAnsi="宋体" w:cs="宋体" w:eastAsia="宋体" w:hint="default"/>
                <w:sz w:val="15"/>
                <w:szCs w:val="15"/>
              </w:rPr>
            </w:pPr>
            <w:r>
              <w:rPr>
                <w:rFonts w:ascii="宋体" w:hAnsi="宋体" w:cs="宋体" w:eastAsia="宋体" w:hint="default"/>
                <w:sz w:val="15"/>
                <w:szCs w:val="15"/>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0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01"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7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8"/>
              <w:ind w:left="50" w:right="0"/>
              <w:jc w:val="left"/>
              <w:rPr>
                <w:rFonts w:ascii="Times New Roman" w:hAnsi="Times New Roman" w:cs="Times New Roman" w:eastAsia="Times New Roman" w:hint="default"/>
                <w:sz w:val="15"/>
                <w:szCs w:val="15"/>
              </w:rPr>
            </w:pPr>
            <w:r>
              <w:rPr>
                <w:rFonts w:ascii="Times New Roman"/>
                <w:sz w:val="15"/>
              </w:rPr>
              <w:t>383,383,7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51" w:right="0"/>
              <w:jc w:val="left"/>
              <w:rPr>
                <w:rFonts w:ascii="Times New Roman" w:hAnsi="Times New Roman" w:cs="Times New Roman" w:eastAsia="Times New Roman" w:hint="default"/>
                <w:sz w:val="15"/>
                <w:szCs w:val="15"/>
              </w:rPr>
            </w:pPr>
            <w:r>
              <w:rPr>
                <w:rFonts w:ascii="Times New Roman"/>
                <w:sz w:val="15"/>
              </w:rPr>
              <w:t>1,556,841,5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31.76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-328,099.19</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90" w:right="0"/>
              <w:jc w:val="left"/>
              <w:rPr>
                <w:rFonts w:ascii="Times New Roman" w:hAnsi="Times New Roman" w:cs="Times New Roman" w:eastAsia="Times New Roman" w:hint="default"/>
                <w:sz w:val="15"/>
                <w:szCs w:val="15"/>
              </w:rPr>
            </w:pPr>
            <w:r>
              <w:rPr>
                <w:rFonts w:ascii="Times New Roman"/>
                <w:sz w:val="15"/>
              </w:rPr>
              <w:t>102,225,03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8.61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86"/>
              <w:ind w:left="43" w:right="0"/>
              <w:jc w:val="left"/>
              <w:rPr>
                <w:rFonts w:ascii="Times New Roman" w:hAnsi="Times New Roman" w:cs="Times New Roman" w:eastAsia="Times New Roman" w:hint="default"/>
                <w:sz w:val="15"/>
                <w:szCs w:val="15"/>
              </w:rPr>
            </w:pPr>
            <w:r>
              <w:rPr>
                <w:rFonts w:ascii="Times New Roman"/>
                <w:sz w:val="15"/>
              </w:rPr>
              <w:t>507,021,3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94.88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86"/>
              <w:ind w:left="34" w:right="0"/>
              <w:jc w:val="left"/>
              <w:rPr>
                <w:rFonts w:ascii="Times New Roman" w:hAnsi="Times New Roman" w:cs="Times New Roman" w:eastAsia="Times New Roman" w:hint="default"/>
                <w:sz w:val="15"/>
                <w:szCs w:val="15"/>
              </w:rPr>
            </w:pPr>
            <w:r>
              <w:rPr>
                <w:rFonts w:ascii="Times New Roman"/>
                <w:sz w:val="15"/>
              </w:rPr>
              <w:t>2,549,143,5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66.06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11"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117"/>
              <w:ind w:left="11" w:right="0"/>
              <w:jc w:val="left"/>
              <w:rPr>
                <w:rFonts w:ascii="宋体" w:hAnsi="宋体" w:cs="宋体" w:eastAsia="宋体" w:hint="default"/>
                <w:sz w:val="15"/>
                <w:szCs w:val="15"/>
              </w:rPr>
            </w:pPr>
            <w:r>
              <w:rPr>
                <w:rFonts w:ascii="宋体" w:hAnsi="宋体" w:cs="宋体" w:eastAsia="宋体" w:hint="default"/>
                <w:sz w:val="15"/>
                <w:szCs w:val="15"/>
              </w:rPr>
              <w:t>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611" w:right="0"/>
              <w:jc w:val="left"/>
              <w:rPr>
                <w:rFonts w:ascii="宋体" w:hAnsi="宋体" w:cs="宋体" w:eastAsia="宋体" w:hint="default"/>
                <w:sz w:val="15"/>
                <w:szCs w:val="15"/>
              </w:rPr>
            </w:pPr>
            <w:r>
              <w:rPr>
                <w:rFonts w:ascii="宋体" w:hAnsi="宋体" w:cs="宋体" w:eastAsia="宋体" w:hint="default"/>
                <w:sz w:val="15"/>
                <w:szCs w:val="15"/>
              </w:rPr>
              <w:t>前期差错更</w:t>
            </w:r>
          </w:p>
          <w:p>
            <w:pPr>
              <w:pStyle w:val="TableParagraph"/>
              <w:spacing w:line="240" w:lineRule="auto" w:before="117"/>
              <w:ind w:left="11" w:right="0"/>
              <w:jc w:val="left"/>
              <w:rPr>
                <w:rFonts w:ascii="宋体" w:hAnsi="宋体" w:cs="宋体" w:eastAsia="宋体" w:hint="default"/>
                <w:sz w:val="15"/>
                <w:szCs w:val="15"/>
              </w:rPr>
            </w:pPr>
            <w:r>
              <w:rPr>
                <w:rFonts w:ascii="宋体" w:hAnsi="宋体" w:cs="宋体" w:eastAsia="宋体" w:hint="default"/>
                <w:sz w:val="15"/>
                <w:szCs w:val="15"/>
              </w:rPr>
              <w:t>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8"/>
              <w:ind w:left="50" w:right="0"/>
              <w:jc w:val="left"/>
              <w:rPr>
                <w:rFonts w:ascii="Times New Roman" w:hAnsi="Times New Roman" w:cs="Times New Roman" w:eastAsia="Times New Roman" w:hint="default"/>
                <w:sz w:val="15"/>
                <w:szCs w:val="15"/>
              </w:rPr>
            </w:pPr>
            <w:r>
              <w:rPr>
                <w:rFonts w:ascii="Times New Roman"/>
                <w:sz w:val="15"/>
              </w:rPr>
              <w:t>383,383,7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51" w:right="0"/>
              <w:jc w:val="left"/>
              <w:rPr>
                <w:rFonts w:ascii="Times New Roman" w:hAnsi="Times New Roman" w:cs="Times New Roman" w:eastAsia="Times New Roman" w:hint="default"/>
                <w:sz w:val="15"/>
                <w:szCs w:val="15"/>
              </w:rPr>
            </w:pPr>
            <w:r>
              <w:rPr>
                <w:rFonts w:ascii="Times New Roman"/>
                <w:sz w:val="15"/>
              </w:rPr>
              <w:t>1,556,841,5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31.76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-328,099.19</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left="90" w:right="0"/>
              <w:jc w:val="left"/>
              <w:rPr>
                <w:rFonts w:ascii="Times New Roman" w:hAnsi="Times New Roman" w:cs="Times New Roman" w:eastAsia="Times New Roman" w:hint="default"/>
                <w:sz w:val="15"/>
                <w:szCs w:val="15"/>
              </w:rPr>
            </w:pPr>
            <w:r>
              <w:rPr>
                <w:rFonts w:ascii="Times New Roman"/>
                <w:sz w:val="15"/>
              </w:rPr>
              <w:t>102,225,03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8.61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8"/>
              <w:ind w:left="43" w:right="0"/>
              <w:jc w:val="left"/>
              <w:rPr>
                <w:rFonts w:ascii="Times New Roman" w:hAnsi="Times New Roman" w:cs="Times New Roman" w:eastAsia="Times New Roman" w:hint="default"/>
                <w:sz w:val="15"/>
                <w:szCs w:val="15"/>
              </w:rPr>
            </w:pPr>
            <w:r>
              <w:rPr>
                <w:rFonts w:ascii="Times New Roman"/>
                <w:sz w:val="15"/>
              </w:rPr>
              <w:t>507,021,3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94.88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8"/>
              <w:ind w:left="34" w:right="0"/>
              <w:jc w:val="left"/>
              <w:rPr>
                <w:rFonts w:ascii="Times New Roman" w:hAnsi="Times New Roman" w:cs="Times New Roman" w:eastAsia="Times New Roman" w:hint="default"/>
                <w:sz w:val="15"/>
                <w:szCs w:val="15"/>
              </w:rPr>
            </w:pPr>
            <w:r>
              <w:rPr>
                <w:rFonts w:ascii="Times New Roman"/>
                <w:sz w:val="15"/>
              </w:rPr>
              <w:t>2,549,143,5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66.06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2" w:lineRule="auto" w:before="74"/>
              <w:ind w:left="11" w:right="57"/>
              <w:jc w:val="both"/>
              <w:rPr>
                <w:rFonts w:ascii="宋体" w:hAnsi="宋体" w:cs="宋体" w:eastAsia="宋体" w:hint="default"/>
                <w:sz w:val="15"/>
                <w:szCs w:val="15"/>
              </w:rPr>
            </w:pPr>
            <w:r>
              <w:rPr>
                <w:rFonts w:ascii="宋体" w:hAnsi="宋体" w:cs="宋体" w:eastAsia="宋体" w:hint="default"/>
                <w:sz w:val="15"/>
                <w:szCs w:val="15"/>
              </w:rPr>
              <w:t>三、本期增减变动金 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231,457,6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-201,624,54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6.53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-684,343.47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39,197,318.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199,492,5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89.72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3" w:right="0"/>
              <w:jc w:val="left"/>
              <w:rPr>
                <w:rFonts w:ascii="Times New Roman" w:hAnsi="Times New Roman" w:cs="Times New Roman" w:eastAsia="Times New Roman" w:hint="default"/>
                <w:sz w:val="15"/>
                <w:szCs w:val="15"/>
              </w:rPr>
            </w:pPr>
            <w:r>
              <w:rPr>
                <w:rFonts w:ascii="Times New Roman"/>
                <w:sz w:val="15"/>
              </w:rPr>
              <w:t>237,046,58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3.38</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-684,343.47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8"/>
              <w:ind w:left="43" w:right="0"/>
              <w:jc w:val="left"/>
              <w:rPr>
                <w:rFonts w:ascii="Times New Roman" w:hAnsi="Times New Roman" w:cs="Times New Roman" w:eastAsia="Times New Roman" w:hint="default"/>
                <w:sz w:val="15"/>
                <w:szCs w:val="15"/>
              </w:rPr>
            </w:pPr>
            <w:r>
              <w:rPr>
                <w:rFonts w:ascii="Times New Roman"/>
                <w:sz w:val="15"/>
              </w:rPr>
              <w:t>391,973,1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88.58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8"/>
              <w:ind w:left="73" w:right="0"/>
              <w:jc w:val="left"/>
              <w:rPr>
                <w:rFonts w:ascii="Times New Roman" w:hAnsi="Times New Roman" w:cs="Times New Roman" w:eastAsia="Times New Roman" w:hint="default"/>
                <w:sz w:val="15"/>
                <w:szCs w:val="15"/>
              </w:rPr>
            </w:pPr>
            <w:r>
              <w:rPr>
                <w:rFonts w:ascii="Times New Roman"/>
                <w:sz w:val="15"/>
              </w:rPr>
              <w:t>391,288,84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90" w:right="0"/>
              <w:jc w:val="left"/>
              <w:rPr>
                <w:rFonts w:ascii="Times New Roman" w:hAnsi="Times New Roman" w:cs="Times New Roman" w:eastAsia="Times New Roman" w:hint="default"/>
                <w:sz w:val="15"/>
                <w:szCs w:val="15"/>
              </w:rPr>
            </w:pPr>
            <w:r>
              <w:rPr>
                <w:rFonts w:ascii="Times New Roman"/>
                <w:sz w:val="15"/>
              </w:rPr>
              <w:t>5.11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4" w:lineRule="auto" w:before="74"/>
              <w:ind w:left="11" w:right="57"/>
              <w:jc w:val="left"/>
              <w:rPr>
                <w:rFonts w:ascii="宋体" w:hAnsi="宋体" w:cs="宋体" w:eastAsia="宋体" w:hint="default"/>
                <w:sz w:val="15"/>
                <w:szCs w:val="15"/>
              </w:rPr>
            </w:pPr>
            <w:r>
              <w:rPr>
                <w:rFonts w:ascii="宋体" w:hAnsi="宋体" w:cs="宋体" w:eastAsia="宋体" w:hint="default"/>
                <w:sz w:val="15"/>
                <w:szCs w:val="15"/>
              </w:rPr>
              <w:t>（二）所有者投入和 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1,427,424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28,405,673.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-958,981.73</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1,427,424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16,113,367.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56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17,540,791.</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．股东投入的普通股</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4"/>
              <w:ind w:left="11" w:right="22"/>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．其他权益工具持有</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4"/>
              <w:ind w:left="11" w:right="22"/>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．股份支付计入所有</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者权益的金额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12,292,305.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-18,499,773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.29</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39,197,318.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8"/>
              <w:ind w:left="46" w:right="0"/>
              <w:jc w:val="center"/>
              <w:rPr>
                <w:rFonts w:ascii="Times New Roman" w:hAnsi="Times New Roman" w:cs="Times New Roman" w:eastAsia="Times New Roman" w:hint="default"/>
                <w:sz w:val="15"/>
                <w:szCs w:val="15"/>
              </w:rPr>
            </w:pPr>
            <w:r>
              <w:rPr>
                <w:rFonts w:ascii="Times New Roman"/>
                <w:sz w:val="15"/>
              </w:rPr>
              <w:t>-192,480,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598.86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-153,283,28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39,197,318.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08"/>
              <w:ind w:left="68" w:right="0"/>
              <w:jc w:val="left"/>
              <w:rPr>
                <w:rFonts w:ascii="Times New Roman" w:hAnsi="Times New Roman" w:cs="Times New Roman" w:eastAsia="Times New Roman" w:hint="default"/>
                <w:sz w:val="15"/>
                <w:szCs w:val="15"/>
              </w:rPr>
            </w:pPr>
            <w:r>
              <w:rPr>
                <w:rFonts w:ascii="Times New Roman"/>
                <w:sz w:val="15"/>
              </w:rPr>
              <w:t>-39,197,3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18.86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5"/>
              <w:ind w:left="11" w:right="96"/>
              <w:jc w:val="left"/>
              <w:rPr>
                <w:rFonts w:ascii="宋体" w:hAnsi="宋体" w:cs="宋体" w:eastAsia="宋体" w:hint="default"/>
                <w:sz w:val="15"/>
                <w:szCs w:val="15"/>
              </w:rPr>
            </w:pPr>
            <w:r>
              <w:rPr>
                <w:rFonts w:ascii="Times New Roman" w:hAnsi="Times New Roman" w:cs="Times New Roman" w:eastAsia="Times New Roman" w:hint="default"/>
                <w:spacing w:val="-12"/>
                <w:sz w:val="15"/>
                <w:szCs w:val="15"/>
              </w:rPr>
              <w:t>2</w:t>
            </w:r>
            <w:r>
              <w:rPr>
                <w:rFonts w:ascii="宋体" w:hAnsi="宋体" w:cs="宋体" w:eastAsia="宋体" w:hint="default"/>
                <w:spacing w:val="-12"/>
                <w:sz w:val="15"/>
                <w:szCs w:val="15"/>
              </w:rPr>
              <w:t>．对所有者（或股东</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的分配</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16" w:right="0"/>
              <w:jc w:val="left"/>
              <w:rPr>
                <w:rFonts w:ascii="宋体" w:hAnsi="宋体" w:cs="宋体" w:eastAsia="宋体" w:hint="default"/>
                <w:sz w:val="15"/>
                <w:szCs w:val="15"/>
              </w:rPr>
            </w:pPr>
            <w:r>
              <w:rPr>
                <w:rFonts w:ascii="宋体" w:hAnsi="宋体" w:cs="宋体" w:eastAsia="宋体" w:hint="default"/>
                <w:sz w:val="15"/>
                <w:szCs w:val="15"/>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6" w:right="0"/>
              <w:jc w:val="center"/>
              <w:rPr>
                <w:rFonts w:ascii="Times New Roman" w:hAnsi="Times New Roman" w:cs="Times New Roman" w:eastAsia="Times New Roman" w:hint="default"/>
                <w:sz w:val="15"/>
                <w:szCs w:val="15"/>
              </w:rPr>
            </w:pPr>
            <w:r>
              <w:rPr>
                <w:rFonts w:ascii="Times New Roman"/>
                <w:sz w:val="15"/>
              </w:rPr>
              <w:t>-153,283,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280.00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-153,283,28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84" w:right="0"/>
              <w:jc w:val="lef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26"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9"/>
              <w:ind w:left="22" w:right="57"/>
              <w:jc w:val="left"/>
              <w:rPr>
                <w:rFonts w:ascii="宋体" w:hAnsi="宋体" w:cs="宋体" w:eastAsia="宋体" w:hint="default"/>
                <w:sz w:val="15"/>
                <w:szCs w:val="15"/>
              </w:rPr>
            </w:pPr>
            <w:r>
              <w:rPr>
                <w:rFonts w:ascii="宋体" w:hAnsi="宋体" w:cs="宋体" w:eastAsia="宋体" w:hint="default"/>
                <w:sz w:val="15"/>
                <w:szCs w:val="15"/>
              </w:rPr>
              <w:t>（四）所有者权益内 部结转</w:t>
            </w:r>
          </w:p>
        </w:tc>
        <w:tc>
          <w:tcPr>
            <w:tcW w:w="6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57" w:right="0"/>
              <w:jc w:val="left"/>
              <w:rPr>
                <w:rFonts w:ascii="Times New Roman" w:hAnsi="Times New Roman" w:cs="Times New Roman" w:eastAsia="Times New Roman" w:hint="default"/>
                <w:sz w:val="15"/>
                <w:szCs w:val="15"/>
              </w:rPr>
            </w:pPr>
            <w:r>
              <w:rPr>
                <w:rFonts w:ascii="Times New Roman"/>
                <w:sz w:val="15"/>
              </w:rPr>
              <w:t>230,030,2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20.00</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left="39" w:right="0"/>
              <w:jc w:val="left"/>
              <w:rPr>
                <w:rFonts w:ascii="Times New Roman" w:hAnsi="Times New Roman" w:cs="Times New Roman" w:eastAsia="Times New Roman" w:hint="default"/>
                <w:sz w:val="15"/>
                <w:szCs w:val="15"/>
              </w:rPr>
            </w:pPr>
            <w:r>
              <w:rPr>
                <w:rFonts w:ascii="Times New Roman"/>
                <w:sz w:val="15"/>
              </w:rPr>
              <w:t>-230,030,22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6" w:type="dxa"/>
            <w:tcBorders>
              <w:top w:val="single" w:sz="10" w:space="0" w:color="000000"/>
              <w:left w:val="single" w:sz="4" w:space="0" w:color="000000"/>
              <w:bottom w:val="single" w:sz="4" w:space="0" w:color="000000"/>
              <w:right w:val="single" w:sz="4" w:space="0" w:color="000000"/>
            </w:tcBorders>
          </w:tcPr>
          <w:p>
            <w:pPr/>
          </w:p>
        </w:tc>
        <w:tc>
          <w:tcPr>
            <w:tcW w:w="78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．资本公积转增资本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7" w:right="0"/>
              <w:jc w:val="left"/>
              <w:rPr>
                <w:rFonts w:ascii="Times New Roman" w:hAnsi="Times New Roman" w:cs="Times New Roman" w:eastAsia="Times New Roman" w:hint="default"/>
                <w:sz w:val="15"/>
                <w:szCs w:val="15"/>
              </w:rPr>
            </w:pPr>
            <w:r>
              <w:rPr>
                <w:rFonts w:ascii="Times New Roman"/>
                <w:sz w:val="15"/>
              </w:rPr>
              <w:t>230,030,2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9" w:right="0"/>
              <w:jc w:val="left"/>
              <w:rPr>
                <w:rFonts w:ascii="Times New Roman" w:hAnsi="Times New Roman" w:cs="Times New Roman" w:eastAsia="Times New Roman" w:hint="default"/>
                <w:sz w:val="15"/>
                <w:szCs w:val="15"/>
              </w:rPr>
            </w:pPr>
            <w:r>
              <w:rPr>
                <w:rFonts w:ascii="Times New Roman"/>
                <w:sz w:val="15"/>
              </w:rPr>
              <w:t>-230,030,22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．盈余公积转增资本</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．盈余公积弥补亏损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7" w:right="0"/>
              <w:jc w:val="left"/>
              <w:rPr>
                <w:rFonts w:ascii="Times New Roman" w:hAnsi="Times New Roman" w:cs="Times New Roman" w:eastAsia="Times New Roman" w:hint="default"/>
                <w:sz w:val="15"/>
                <w:szCs w:val="15"/>
              </w:rPr>
            </w:pPr>
            <w:r>
              <w:rPr>
                <w:rFonts w:ascii="Times New Roman"/>
                <w:sz w:val="15"/>
              </w:rPr>
              <w:t>614,841,3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1" w:right="0"/>
              <w:jc w:val="left"/>
              <w:rPr>
                <w:rFonts w:ascii="Times New Roman" w:hAnsi="Times New Roman" w:cs="Times New Roman" w:eastAsia="Times New Roman" w:hint="default"/>
                <w:sz w:val="15"/>
                <w:szCs w:val="15"/>
              </w:rPr>
            </w:pPr>
            <w:r>
              <w:rPr>
                <w:rFonts w:ascii="Times New Roman"/>
                <w:sz w:val="15"/>
              </w:rPr>
              <w:t>1,355,216,9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85.23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30,792,079.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-1,012,442.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0" w:right="0"/>
              <w:jc w:val="left"/>
              <w:rPr>
                <w:rFonts w:ascii="Times New Roman" w:hAnsi="Times New Roman" w:cs="Times New Roman" w:eastAsia="Times New Roman" w:hint="default"/>
                <w:sz w:val="15"/>
                <w:szCs w:val="15"/>
              </w:rPr>
            </w:pPr>
            <w:r>
              <w:rPr>
                <w:rFonts w:ascii="Times New Roman"/>
                <w:sz w:val="15"/>
              </w:rPr>
              <w:t>141,422,35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7.47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3" w:right="0"/>
              <w:jc w:val="left"/>
              <w:rPr>
                <w:rFonts w:ascii="Times New Roman" w:hAnsi="Times New Roman" w:cs="Times New Roman" w:eastAsia="Times New Roman" w:hint="default"/>
                <w:sz w:val="15"/>
                <w:szCs w:val="15"/>
              </w:rPr>
            </w:pPr>
            <w:r>
              <w:rPr>
                <w:rFonts w:ascii="Times New Roman"/>
                <w:sz w:val="15"/>
              </w:rPr>
              <w:t>706,513,9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Times New Roman" w:hAnsi="Times New Roman" w:cs="Times New Roman" w:eastAsia="Times New Roman" w:hint="default"/>
                <w:sz w:val="15"/>
                <w:szCs w:val="15"/>
              </w:rPr>
            </w:pPr>
            <w:r>
              <w:rPr>
                <w:rFonts w:ascii="Times New Roman"/>
                <w:sz w:val="15"/>
              </w:rPr>
              <w:t>84.60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4" w:right="0"/>
              <w:jc w:val="left"/>
              <w:rPr>
                <w:rFonts w:ascii="Times New Roman" w:hAnsi="Times New Roman" w:cs="Times New Roman" w:eastAsia="Times New Roman" w:hint="default"/>
                <w:sz w:val="15"/>
                <w:szCs w:val="15"/>
              </w:rPr>
            </w:pPr>
            <w:r>
              <w:rPr>
                <w:rFonts w:ascii="Times New Roman"/>
                <w:sz w:val="15"/>
              </w:rPr>
              <w:t>2,786,190,1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49.44</w:t>
            </w:r>
          </w:p>
        </w:tc>
      </w:tr>
    </w:tbl>
    <w:p>
      <w:pPr>
        <w:spacing w:line="240" w:lineRule="auto" w:before="2"/>
        <w:rPr>
          <w:rFonts w:ascii="宋体" w:hAnsi="宋体" w:cs="宋体" w:eastAsia="宋体" w:hint="default"/>
          <w:sz w:val="18"/>
          <w:szCs w:val="18"/>
        </w:rPr>
      </w:pPr>
    </w:p>
    <w:p>
      <w:pPr>
        <w:pStyle w:val="Heading2"/>
        <w:spacing w:line="240" w:lineRule="auto" w:before="26"/>
        <w:ind w:left="114" w:right="209"/>
        <w:jc w:val="left"/>
        <w:rPr>
          <w:b w:val="0"/>
          <w:bCs w:val="0"/>
        </w:rPr>
      </w:pPr>
      <w:bookmarkStart w:name="三、公司基本情况" w:id="116"/>
      <w:bookmarkEnd w:id="116"/>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73" w:right="105"/>
        <w:jc w:val="left"/>
      </w:pPr>
      <w:r>
        <w:rPr/>
        <w:t>北京神州泰岳软件股份有限公司（以下简称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）前身系北京神州泰岳软件有限公司，成立于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w:t>
      </w:r>
    </w:p>
    <w:p>
      <w:pPr>
        <w:spacing w:line="240" w:lineRule="auto" w:before="9"/>
        <w:rPr>
          <w:rFonts w:ascii="宋体" w:hAnsi="宋体" w:cs="宋体" w:eastAsia="宋体" w:hint="default"/>
          <w:sz w:val="16"/>
          <w:szCs w:val="16"/>
        </w:rPr>
      </w:pPr>
    </w:p>
    <w:p>
      <w:pPr>
        <w:pStyle w:val="BodyText"/>
        <w:spacing w:line="240" w:lineRule="auto"/>
        <w:ind w:left="113" w:right="209"/>
        <w:jc w:val="left"/>
      </w:pPr>
      <w:r>
        <w:rPr>
          <w:rFonts w:ascii="Times New Roman" w:hAnsi="Times New Roman" w:cs="Times New Roman" w:eastAsia="Times New Roman" w:hint="default"/>
        </w:rPr>
        <w:t>18</w:t>
      </w:r>
      <w:r>
        <w:rPr/>
        <w:t>日，成立时注册资本为人民币</w:t>
      </w:r>
      <w:r>
        <w:rPr>
          <w:rFonts w:ascii="Times New Roman" w:hAnsi="Times New Roman" w:cs="Times New Roman" w:eastAsia="Times New Roman" w:hint="default"/>
        </w:rPr>
        <w:t>1,000</w:t>
      </w:r>
      <w:r>
        <w:rPr/>
        <w:t>万元。</w:t>
      </w:r>
    </w:p>
    <w:p>
      <w:pPr>
        <w:spacing w:line="240" w:lineRule="auto" w:before="10"/>
        <w:rPr>
          <w:rFonts w:ascii="宋体" w:hAnsi="宋体" w:cs="宋体" w:eastAsia="宋体" w:hint="default"/>
          <w:sz w:val="16"/>
          <w:szCs w:val="16"/>
        </w:rPr>
      </w:pPr>
    </w:p>
    <w:p>
      <w:pPr>
        <w:pStyle w:val="BodyText"/>
        <w:spacing w:line="451" w:lineRule="auto"/>
        <w:ind w:left="113" w:right="109" w:firstLine="36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日，经股东会表决通过，以截至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日经审计的净资产为基数，按照</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的比例折股，整体变更设 </w:t>
      </w:r>
      <w:r>
        <w:rPr>
          <w:spacing w:val="-2"/>
        </w:rPr>
        <w:t>立为股份有限公司。</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日，北京市人民政府经济体制改革办公室出具京政体改股函【</w:t>
      </w:r>
      <w:r>
        <w:rPr>
          <w:rFonts w:ascii="Times New Roman" w:hAnsi="Times New Roman" w:cs="Times New Roman" w:eastAsia="Times New Roman" w:hint="default"/>
          <w:spacing w:val="-2"/>
        </w:rPr>
        <w:t>2002</w:t>
      </w:r>
      <w:r>
        <w:rPr>
          <w:spacing w:val="-2"/>
        </w:rPr>
        <w:t>】</w:t>
      </w:r>
      <w:r>
        <w:rPr>
          <w:rFonts w:ascii="Times New Roman" w:hAnsi="Times New Roman" w:cs="Times New Roman" w:eastAsia="Times New Roman" w:hint="default"/>
          <w:spacing w:val="-2"/>
        </w:rPr>
        <w:t>7</w:t>
      </w:r>
      <w:r>
        <w:rPr>
          <w:spacing w:val="-2"/>
        </w:rPr>
        <w:t>号文批准了公司的上</w:t>
      </w:r>
      <w:r>
        <w:rPr>
          <w:spacing w:val="-53"/>
        </w:rPr>
        <w:t> </w:t>
      </w:r>
      <w:r>
        <w:rPr/>
        <w:t>述整体改制方案。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日，北京京都会计师事务所有限公司出具北京京都验字〔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0025</w:t>
      </w:r>
      <w:r>
        <w:rPr/>
        <w:t>号《验资报告》审验</w:t>
      </w:r>
      <w:r>
        <w:rPr>
          <w:spacing w:val="-83"/>
        </w:rPr>
        <w:t> </w:t>
      </w:r>
      <w:r>
        <w:rPr>
          <w:spacing w:val="-83"/>
        </w:rPr>
      </w:r>
      <w:r>
        <w:rPr>
          <w:spacing w:val="2"/>
        </w:rPr>
        <w:t>确认，公司注册资本人民币</w:t>
      </w:r>
      <w:r>
        <w:rPr>
          <w:rFonts w:ascii="Times New Roman" w:hAnsi="Times New Roman" w:cs="Times New Roman" w:eastAsia="Times New Roman" w:hint="default"/>
          <w:spacing w:val="2"/>
        </w:rPr>
        <w:t>2,159.20</w:t>
      </w:r>
      <w:r>
        <w:rPr>
          <w:spacing w:val="2"/>
        </w:rPr>
        <w:t>万元已缴足。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日，公司在北京市工商行政管理局注册登记并取得注册号为</w:t>
      </w:r>
      <w:r>
        <w:rPr>
          <w:spacing w:val="-52"/>
        </w:rPr>
        <w:t> </w:t>
      </w:r>
      <w:r>
        <w:rPr>
          <w:spacing w:val="-52"/>
        </w:rPr>
      </w:r>
      <w:r>
        <w:rPr>
          <w:rFonts w:ascii="Times New Roman" w:hAnsi="Times New Roman" w:cs="Times New Roman" w:eastAsia="Times New Roman" w:hint="default"/>
        </w:rPr>
        <w:t>1100001270093</w:t>
      </w:r>
      <w:r>
        <w:rPr/>
        <w:t>的《企业法人营业执照》。</w:t>
      </w:r>
    </w:p>
    <w:p>
      <w:pPr>
        <w:pStyle w:val="BodyText"/>
        <w:spacing w:line="240" w:lineRule="auto" w:before="43"/>
        <w:ind w:left="473" w:right="209"/>
        <w:jc w:val="left"/>
      </w:pPr>
      <w:r>
        <w:rPr/>
        <w:t>经历次股权转让和增资，至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日，公司注册资本为人民币</w:t>
      </w:r>
      <w:r>
        <w:rPr>
          <w:rFonts w:ascii="Times New Roman" w:hAnsi="Times New Roman" w:cs="Times New Roman" w:eastAsia="Times New Roman" w:hint="default"/>
        </w:rPr>
        <w:t>9,480</w:t>
      </w:r>
      <w:r>
        <w:rPr/>
        <w:t>万元。</w:t>
      </w:r>
    </w:p>
    <w:p>
      <w:pPr>
        <w:spacing w:line="240" w:lineRule="auto" w:before="9"/>
        <w:rPr>
          <w:rFonts w:ascii="宋体" w:hAnsi="宋体" w:cs="宋体" w:eastAsia="宋体" w:hint="default"/>
          <w:sz w:val="16"/>
          <w:szCs w:val="16"/>
        </w:rPr>
      </w:pPr>
    </w:p>
    <w:p>
      <w:pPr>
        <w:pStyle w:val="BodyText"/>
        <w:spacing w:line="451" w:lineRule="auto"/>
        <w:ind w:left="113" w:right="110" w:firstLine="360"/>
        <w:jc w:val="both"/>
      </w:pP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20</w:t>
      </w:r>
      <w:r>
        <w:rPr>
          <w:spacing w:val="-4"/>
        </w:rPr>
        <w:t>日，经中国证券监督管理委员会以</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952</w:t>
      </w:r>
      <w:r>
        <w:rPr>
          <w:spacing w:val="-4"/>
        </w:rPr>
        <w:t>号</w:t>
      </w:r>
      <w:r>
        <w:rPr>
          <w:rFonts w:ascii="Times New Roman" w:hAnsi="Times New Roman" w:cs="Times New Roman" w:eastAsia="Times New Roman" w:hint="default"/>
          <w:spacing w:val="-4"/>
        </w:rPr>
        <w:t>”</w:t>
      </w:r>
      <w:r>
        <w:rPr>
          <w:spacing w:val="-4"/>
        </w:rPr>
        <w:t>文核准，向社会公众公开发行境内上市内资（</w:t>
      </w:r>
      <w:r>
        <w:rPr>
          <w:rFonts w:ascii="Times New Roman" w:hAnsi="Times New Roman" w:cs="Times New Roman" w:eastAsia="Times New Roman" w:hint="default"/>
          <w:spacing w:val="-4"/>
        </w:rPr>
        <w:t>A</w:t>
      </w:r>
      <w:r>
        <w:rPr>
          <w:rFonts w:ascii="Times New Roman" w:hAnsi="Times New Roman" w:cs="Times New Roman" w:eastAsia="Times New Roman" w:hint="default"/>
          <w:w w:val="99"/>
        </w:rPr>
        <w:t> </w:t>
      </w:r>
      <w:r>
        <w:rPr>
          <w:spacing w:val="-1"/>
        </w:rPr>
        <w:t>股）股票</w:t>
      </w:r>
      <w:r>
        <w:rPr>
          <w:rFonts w:ascii="Times New Roman" w:hAnsi="Times New Roman" w:cs="Times New Roman" w:eastAsia="Times New Roman" w:hint="default"/>
          <w:spacing w:val="-1"/>
        </w:rPr>
        <w:t>3,160</w:t>
      </w:r>
      <w:r>
        <w:rPr>
          <w:spacing w:val="-1"/>
        </w:rPr>
        <w:t>万股并在深圳交易所创业板上市交易。</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日，由北京市工商行政管理局换发企业法人营业执照，注</w:t>
      </w:r>
      <w:r>
        <w:rPr>
          <w:spacing w:val="-70"/>
        </w:rPr>
        <w:t> </w:t>
      </w:r>
      <w:r>
        <w:rPr>
          <w:spacing w:val="-70"/>
        </w:rPr>
      </w:r>
      <w:r>
        <w:rPr/>
        <w:t>册号</w:t>
      </w:r>
      <w:r>
        <w:rPr>
          <w:rFonts w:ascii="Times New Roman" w:hAnsi="Times New Roman" w:cs="Times New Roman" w:eastAsia="Times New Roman" w:hint="default"/>
        </w:rPr>
        <w:t>110000002700930</w:t>
      </w:r>
      <w:r>
        <w:rPr/>
        <w:t>。</w:t>
      </w:r>
    </w:p>
    <w:p>
      <w:pPr>
        <w:pStyle w:val="BodyText"/>
        <w:spacing w:line="451" w:lineRule="auto" w:before="43"/>
        <w:ind w:left="114" w:right="110" w:firstLine="36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日，经公司</w:t>
      </w:r>
      <w:r>
        <w:rPr>
          <w:rFonts w:ascii="Times New Roman" w:hAnsi="Times New Roman" w:cs="Times New Roman" w:eastAsia="Times New Roman" w:hint="default"/>
          <w:spacing w:val="-1"/>
        </w:rPr>
        <w:t>2009</w:t>
      </w:r>
      <w:r>
        <w:rPr>
          <w:spacing w:val="-1"/>
        </w:rPr>
        <w:t>年度股东大会决议通过，以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12,640</w:t>
      </w:r>
      <w:r>
        <w:rPr>
          <w:spacing w:val="-1"/>
        </w:rPr>
        <w:t>万股为基数，以资本公积金向</w:t>
      </w:r>
      <w:r>
        <w:rPr/>
        <w:t> 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股转增</w:t>
      </w:r>
      <w:r>
        <w:rPr>
          <w:rFonts w:ascii="Times New Roman" w:hAnsi="Times New Roman" w:cs="Times New Roman" w:eastAsia="Times New Roman" w:hint="default"/>
        </w:rPr>
        <w:t>15</w:t>
      </w:r>
      <w:r>
        <w:rPr/>
        <w:t>股，合计转增股本</w:t>
      </w:r>
      <w:r>
        <w:rPr>
          <w:rFonts w:ascii="Times New Roman" w:hAnsi="Times New Roman" w:cs="Times New Roman" w:eastAsia="Times New Roman" w:hint="default"/>
        </w:rPr>
        <w:t>18,960</w:t>
      </w:r>
      <w:r>
        <w:rPr/>
        <w:t>万股。</w:t>
      </w:r>
    </w:p>
    <w:p>
      <w:pPr>
        <w:pStyle w:val="BodyText"/>
        <w:spacing w:line="451" w:lineRule="auto" w:before="44"/>
        <w:ind w:left="114" w:right="110" w:firstLine="36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日，经公司</w:t>
      </w:r>
      <w:r>
        <w:rPr>
          <w:rFonts w:ascii="Times New Roman" w:hAnsi="Times New Roman" w:cs="Times New Roman" w:eastAsia="Times New Roman" w:hint="default"/>
          <w:spacing w:val="-1"/>
        </w:rPr>
        <w:t>2010</w:t>
      </w:r>
      <w:r>
        <w:rPr>
          <w:spacing w:val="-1"/>
        </w:rPr>
        <w:t>年度股东大会决议通过，以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31,600</w:t>
      </w:r>
      <w:r>
        <w:rPr>
          <w:spacing w:val="-1"/>
        </w:rPr>
        <w:t>万股为基数，以资本公积金向</w:t>
      </w:r>
      <w:r>
        <w:rPr/>
        <w:t> 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6,320</w:t>
      </w:r>
      <w:r>
        <w:rPr/>
        <w:t>万股。</w:t>
      </w:r>
    </w:p>
    <w:p>
      <w:pPr>
        <w:pStyle w:val="BodyText"/>
        <w:spacing w:line="240" w:lineRule="auto" w:before="43"/>
        <w:ind w:left="473" w:right="105"/>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日，公司</w:t>
      </w:r>
      <w:r>
        <w:rPr>
          <w:rFonts w:ascii="Times New Roman" w:hAnsi="Times New Roman" w:cs="Times New Roman" w:eastAsia="Times New Roman" w:hint="default"/>
          <w:spacing w:val="-2"/>
        </w:rPr>
        <w:t>2012</w:t>
      </w:r>
      <w:r>
        <w:rPr>
          <w:spacing w:val="-2"/>
        </w:rPr>
        <w:t>年第一次临时股东大会决议通过《北京神州泰岳软件股份有限公司股票期权与限制性股票激励</w:t>
      </w:r>
    </w:p>
    <w:p>
      <w:pPr>
        <w:spacing w:after="0" w:line="240" w:lineRule="auto"/>
        <w:jc w:val="left"/>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93"/>
        <w:jc w:val="left"/>
      </w:pPr>
      <w:r>
        <w:rPr>
          <w:spacing w:val="-1"/>
        </w:rPr>
        <w:t>计划》，向</w:t>
      </w:r>
      <w:r>
        <w:rPr>
          <w:rFonts w:ascii="Times New Roman" w:hAnsi="Times New Roman" w:cs="Times New Roman" w:eastAsia="Times New Roman" w:hint="default"/>
          <w:spacing w:val="-1"/>
        </w:rPr>
        <w:t>185</w:t>
      </w:r>
      <w:r>
        <w:rPr>
          <w:spacing w:val="-1"/>
        </w:rPr>
        <w:t>名自然人发行限制性股票</w:t>
      </w:r>
      <w:r>
        <w:rPr>
          <w:rFonts w:ascii="Times New Roman" w:hAnsi="Times New Roman" w:cs="Times New Roman" w:eastAsia="Times New Roman" w:hint="default"/>
          <w:spacing w:val="-1"/>
        </w:rPr>
        <w:t>418.37</w:t>
      </w:r>
      <w:r>
        <w:rPr>
          <w:spacing w:val="-1"/>
        </w:rPr>
        <w:t>万股。</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日，由北京市工商行政管理局换发企业法人营业执照，注</w:t>
      </w:r>
      <w:r>
        <w:rPr>
          <w:spacing w:val="-68"/>
        </w:rPr>
        <w:t> </w:t>
      </w:r>
      <w:r>
        <w:rPr>
          <w:spacing w:val="-68"/>
        </w:rPr>
      </w:r>
      <w:r>
        <w:rPr/>
        <w:t>册号</w:t>
      </w:r>
      <w:r>
        <w:rPr>
          <w:rFonts w:ascii="Times New Roman" w:hAnsi="Times New Roman" w:cs="Times New Roman" w:eastAsia="Times New Roman" w:hint="default"/>
        </w:rPr>
        <w:t>110000002700930</w:t>
      </w:r>
      <w:r>
        <w:rPr/>
        <w:t>。</w:t>
      </w:r>
    </w:p>
    <w:p>
      <w:pPr>
        <w:pStyle w:val="BodyText"/>
        <w:spacing w:line="451" w:lineRule="auto" w:before="43"/>
        <w:ind w:right="18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2012</w:t>
      </w:r>
      <w:r>
        <w:rPr/>
        <w:t>年度股东大会决议审议通过了《</w:t>
      </w:r>
      <w:r>
        <w:rPr>
          <w:rFonts w:ascii="Times New Roman" w:hAnsi="Times New Roman" w:cs="Times New Roman" w:eastAsia="Times New Roman" w:hint="default"/>
        </w:rPr>
        <w:t>2012</w:t>
      </w:r>
      <w:r>
        <w:rPr/>
        <w:t>年度利润分配及资本公积金转增股本预案》，截止</w:t>
      </w:r>
      <w:r>
        <w:rPr>
          <w:rFonts w:ascii="Times New Roman" w:hAnsi="Times New Roman" w:cs="Times New Roman" w:eastAsia="Times New Roman" w:hint="default"/>
        </w:rPr>
        <w:t>2012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日，母公司资本公积金为</w:t>
      </w:r>
      <w:r>
        <w:rPr>
          <w:rFonts w:ascii="Times New Roman" w:hAnsi="Times New Roman" w:cs="Times New Roman" w:eastAsia="Times New Roman" w:hint="default"/>
          <w:spacing w:val="-2"/>
        </w:rPr>
        <w:t>1,556,513,432.57</w:t>
      </w:r>
      <w:r>
        <w:rPr>
          <w:spacing w:val="-2"/>
        </w:rPr>
        <w:t>元，本次以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38,338.37</w:t>
      </w:r>
      <w:r>
        <w:rPr>
          <w:spacing w:val="-2"/>
        </w:rPr>
        <w:t>万股为基数，由资本公积</w:t>
      </w:r>
      <w:r>
        <w:rPr>
          <w:spacing w:val="-30"/>
        </w:rPr>
        <w:t> </w:t>
      </w:r>
      <w:r>
        <w:rPr>
          <w:spacing w:val="-30"/>
        </w:rPr>
      </w:r>
      <w:r>
        <w:rPr/>
        <w:t>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spacing w:val="-3"/>
        </w:rPr>
        <w:t>股转增</w:t>
      </w:r>
      <w:r>
        <w:rPr>
          <w:rFonts w:ascii="Times New Roman" w:hAnsi="Times New Roman" w:cs="Times New Roman" w:eastAsia="Times New Roman" w:hint="default"/>
          <w:spacing w:val="-3"/>
        </w:rPr>
        <w:t>6</w:t>
      </w:r>
      <w:r>
        <w:rPr>
          <w:spacing w:val="-3"/>
        </w:rPr>
        <w:t>股，合计转增</w:t>
      </w:r>
      <w:r>
        <w:rPr>
          <w:rFonts w:ascii="Times New Roman" w:hAnsi="Times New Roman" w:cs="Times New Roman" w:eastAsia="Times New Roman" w:hint="default"/>
          <w:spacing w:val="-3"/>
        </w:rPr>
        <w:t>23,003.02</w:t>
      </w:r>
      <w:r>
        <w:rPr>
          <w:spacing w:val="-3"/>
        </w:rPr>
        <w:t>万股。</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w:t>
      </w:r>
      <w:r>
        <w:rPr>
          <w:spacing w:val="-3"/>
        </w:rPr>
        <w:t>日，由北京市工商行政管理局换发企业法人营业执照，</w:t>
      </w:r>
      <w:r>
        <w:rPr/>
        <w:t> 注册号</w:t>
      </w:r>
      <w:r>
        <w:rPr>
          <w:rFonts w:ascii="Times New Roman" w:hAnsi="Times New Roman" w:cs="Times New Roman" w:eastAsia="Times New Roman" w:hint="default"/>
        </w:rPr>
        <w:t>110000002700930</w:t>
      </w:r>
      <w:r>
        <w:rPr/>
        <w:t>。</w:t>
      </w:r>
    </w:p>
    <w:p>
      <w:pPr>
        <w:pStyle w:val="BodyText"/>
        <w:spacing w:line="458" w:lineRule="auto" w:before="43"/>
        <w:ind w:right="19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日，公司第五届董事会第六次会议审议通过了《关于回购注销部分已不符合激励条件的原激励对象已获授 </w:t>
      </w:r>
      <w:r>
        <w:rPr>
          <w:spacing w:val="-2"/>
        </w:rPr>
        <w:t>的限制性股票的议案》。由于部分原激励对象因个人原因已离职，根据相关规定，其已不具备激励对象资格，公司对该等原</w:t>
      </w:r>
      <w:r>
        <w:rPr>
          <w:spacing w:val="-65"/>
        </w:rPr>
        <w:t> </w:t>
      </w:r>
      <w:r>
        <w:rPr>
          <w:spacing w:val="-65"/>
        </w:rPr>
      </w:r>
      <w:r>
        <w:rPr/>
        <w:t>激励对象获授的限制性股票全部注销回购，回购数量为</w:t>
      </w:r>
      <w:r>
        <w:rPr>
          <w:rFonts w:ascii="Times New Roman" w:hAnsi="Times New Roman" w:cs="Times New Roman" w:eastAsia="Times New Roman" w:hint="default"/>
        </w:rPr>
        <w:t>280,800</w:t>
      </w:r>
      <w:r>
        <w:rPr/>
        <w:t>股，回购价格为</w:t>
      </w:r>
      <w:r>
        <w:rPr>
          <w:rFonts w:ascii="Times New Roman" w:hAnsi="Times New Roman" w:cs="Times New Roman" w:eastAsia="Times New Roman" w:hint="default"/>
        </w:rPr>
        <w:t>5.36</w:t>
      </w:r>
      <w:r>
        <w:rPr/>
        <w:t>元</w:t>
      </w:r>
      <w:r>
        <w:rPr>
          <w:rFonts w:ascii="Times New Roman" w:hAnsi="Times New Roman" w:cs="Times New Roman" w:eastAsia="Times New Roman" w:hint="default"/>
        </w:rPr>
        <w:t>/</w:t>
      </w:r>
      <w:r>
        <w:rPr/>
        <w:t>股。注销完成后，公司注册资本由人</w:t>
      </w:r>
      <w:r>
        <w:rPr>
          <w:spacing w:val="-49"/>
        </w:rPr>
        <w:t> </w:t>
      </w:r>
      <w:r>
        <w:rPr>
          <w:spacing w:val="-49"/>
        </w:rPr>
      </w:r>
      <w:r>
        <w:rPr/>
        <w:t>民币</w:t>
      </w:r>
      <w:r>
        <w:rPr>
          <w:rFonts w:ascii="Times New Roman" w:hAnsi="Times New Roman" w:cs="Times New Roman" w:eastAsia="Times New Roman" w:hint="default"/>
        </w:rPr>
        <w:t>613,413,920</w:t>
      </w:r>
      <w:r>
        <w:rPr/>
        <w:t>元减少至人民币</w:t>
      </w:r>
      <w:r>
        <w:rPr>
          <w:rFonts w:ascii="Times New Roman" w:hAnsi="Times New Roman" w:cs="Times New Roman" w:eastAsia="Times New Roman" w:hint="default"/>
        </w:rPr>
        <w:t>613,133,120</w:t>
      </w:r>
      <w:r>
        <w:rPr/>
        <w:t>元；公司股份总数由人民币普通股</w:t>
      </w:r>
      <w:r>
        <w:rPr>
          <w:rFonts w:ascii="Times New Roman" w:hAnsi="Times New Roman" w:cs="Times New Roman" w:eastAsia="Times New Roman" w:hint="default"/>
        </w:rPr>
        <w:t>613,413,920</w:t>
      </w:r>
      <w:r>
        <w:rPr/>
        <w:t>股减少至</w:t>
      </w:r>
      <w:r>
        <w:rPr>
          <w:rFonts w:ascii="Times New Roman" w:hAnsi="Times New Roman" w:cs="Times New Roman" w:eastAsia="Times New Roman" w:hint="default"/>
        </w:rPr>
        <w:t>613,133,120</w:t>
      </w:r>
      <w:r>
        <w:rPr/>
        <w:t>股。</w:t>
      </w:r>
    </w:p>
    <w:p>
      <w:pPr>
        <w:pStyle w:val="BodyText"/>
        <w:spacing w:line="451" w:lineRule="auto" w:before="37"/>
        <w:ind w:right="192" w:firstLine="36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12</w:t>
      </w:r>
      <w:r>
        <w:rPr>
          <w:spacing w:val="-1"/>
        </w:rPr>
        <w:t>日，根据公司</w:t>
      </w:r>
      <w:r>
        <w:rPr>
          <w:rFonts w:ascii="Times New Roman" w:hAnsi="Times New Roman" w:cs="Times New Roman" w:eastAsia="Times New Roman" w:hint="default"/>
          <w:spacing w:val="-1"/>
        </w:rPr>
        <w:t>2013</w:t>
      </w:r>
      <w:r>
        <w:rPr>
          <w:spacing w:val="-1"/>
        </w:rPr>
        <w:t>年第二次临时股东大会审议通过的《公司注册资本变更的议案》和《关于修改</w:t>
      </w:r>
      <w:r>
        <w:rPr>
          <w:rFonts w:ascii="Times New Roman" w:hAnsi="Times New Roman" w:cs="Times New Roman" w:eastAsia="Times New Roman" w:hint="default"/>
          <w:spacing w:val="-1"/>
        </w:rPr>
        <w:t>&lt;</w:t>
      </w:r>
      <w:r>
        <w:rPr>
          <w:spacing w:val="-1"/>
        </w:rPr>
        <w:t>公司章</w:t>
      </w:r>
      <w:r>
        <w:rPr/>
        <w:t> 程</w:t>
      </w:r>
      <w:r>
        <w:rPr>
          <w:rFonts w:ascii="Times New Roman" w:hAnsi="Times New Roman" w:cs="Times New Roman" w:eastAsia="Times New Roman" w:hint="default"/>
        </w:rPr>
        <w:t>&gt;</w:t>
      </w:r>
      <w:r>
        <w:rPr/>
        <w:t>的议案》，公司已完成相应的工商变更登记手续，并取得了北京市工商行政管理局换发的《企业法人营业执照》，注册 号为</w:t>
      </w:r>
      <w:r>
        <w:rPr>
          <w:rFonts w:ascii="Times New Roman" w:hAnsi="Times New Roman" w:cs="Times New Roman" w:eastAsia="Times New Roman" w:hint="default"/>
        </w:rPr>
        <w:t>110000002700930</w:t>
      </w:r>
      <w:r>
        <w:rPr/>
        <w:t>。</w:t>
      </w:r>
    </w:p>
    <w:p>
      <w:pPr>
        <w:pStyle w:val="BodyText"/>
        <w:spacing w:line="451" w:lineRule="auto" w:before="43"/>
        <w:ind w:right="1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2013</w:t>
      </w:r>
      <w:r>
        <w:rPr/>
        <w:t>年度股东大会审议通过《关于修改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的议案》，因公司股权激励计划之股票期权行 </w:t>
      </w:r>
      <w:r>
        <w:rPr>
          <w:spacing w:val="5"/>
        </w:rPr>
        <w:t>权而增加股份数为</w:t>
      </w:r>
      <w:r>
        <w:rPr>
          <w:rFonts w:ascii="Times New Roman" w:hAnsi="Times New Roman" w:cs="Times New Roman" w:eastAsia="Times New Roman" w:hint="default"/>
          <w:spacing w:val="5"/>
        </w:rPr>
        <w:t>2,083,264</w:t>
      </w:r>
      <w:r>
        <w:rPr>
          <w:spacing w:val="5"/>
        </w:rPr>
        <w:t>股；同时，根据公司《</w:t>
      </w:r>
      <w:r>
        <w:rPr>
          <w:rFonts w:ascii="Times New Roman" w:hAnsi="Times New Roman" w:cs="Times New Roman" w:eastAsia="Times New Roman" w:hint="default"/>
          <w:spacing w:val="5"/>
        </w:rPr>
        <w:t>2013</w:t>
      </w:r>
      <w:r>
        <w:rPr>
          <w:spacing w:val="5"/>
        </w:rPr>
        <w:t>年度利润分配及转增股本预案》，以公司</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28</w:t>
      </w:r>
      <w:r>
        <w:rPr>
          <w:spacing w:val="5"/>
        </w:rPr>
        <w:t>日总股本</w:t>
      </w:r>
      <w:r>
        <w:rPr>
          <w:spacing w:val="-47"/>
        </w:rPr>
        <w:t> </w:t>
      </w:r>
      <w:r>
        <w:rPr>
          <w:spacing w:val="-47"/>
        </w:rPr>
      </w:r>
      <w:r>
        <w:rPr>
          <w:rFonts w:ascii="Times New Roman" w:hAnsi="Times New Roman" w:cs="Times New Roman" w:eastAsia="Times New Roman" w:hint="default"/>
        </w:rPr>
        <w:t>615,216,384</w:t>
      </w:r>
      <w:r>
        <w:rPr/>
        <w:t>股为基数，向全体股东以每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股，实施</w:t>
      </w:r>
      <w:r>
        <w:rPr>
          <w:spacing w:val="-45"/>
        </w:rPr>
        <w:t> </w:t>
      </w:r>
      <w:r>
        <w:rPr>
          <w:spacing w:val="-45"/>
        </w:rPr>
      </w:r>
      <w:r>
        <w:rPr>
          <w:spacing w:val="2"/>
        </w:rPr>
        <w:t>完成后公司注册资本增至</w:t>
      </w:r>
      <w:r>
        <w:rPr>
          <w:rFonts w:ascii="Times New Roman" w:hAnsi="Times New Roman" w:cs="Times New Roman" w:eastAsia="Times New Roman" w:hint="default"/>
          <w:spacing w:val="2"/>
        </w:rPr>
        <w:t>1,230,432,768.00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日，由北京市工商行政管理局换发企业法人营业执照，注册号</w:t>
      </w:r>
      <w:r>
        <w:rPr>
          <w:spacing w:val="-64"/>
        </w:rPr>
        <w:t> </w:t>
      </w:r>
      <w:r>
        <w:rPr>
          <w:spacing w:val="-64"/>
        </w:rPr>
      </w:r>
      <w:r>
        <w:rPr>
          <w:rFonts w:ascii="Times New Roman" w:hAnsi="Times New Roman" w:cs="Times New Roman" w:eastAsia="Times New Roman" w:hint="default"/>
        </w:rPr>
        <w:t>110000002700930</w:t>
      </w:r>
      <w:r>
        <w:rPr/>
        <w:t>。</w:t>
      </w:r>
    </w:p>
    <w:p>
      <w:pPr>
        <w:pStyle w:val="BodyText"/>
        <w:spacing w:line="451" w:lineRule="auto" w:before="43"/>
        <w:ind w:right="9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2014</w:t>
      </w:r>
      <w:r>
        <w:rPr/>
        <w:t>年第一次临时股东大会审议通过《关于变更公司注册资本的议案》、《关于修改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 </w:t>
      </w:r>
      <w:r>
        <w:rPr/>
        <w:t>的议案》，公司因发行股份及支付现金购买资产的相关股份上市手续已办理完毕，公司股本增加了</w:t>
      </w:r>
      <w:r>
        <w:rPr>
          <w:rFonts w:ascii="Times New Roman" w:hAnsi="Times New Roman" w:cs="Times New Roman" w:eastAsia="Times New Roman" w:hint="default"/>
        </w:rPr>
        <w:t>92,756,183</w:t>
      </w:r>
      <w:r>
        <w:rPr/>
        <w:t>股，公司股份</w:t>
      </w:r>
      <w:r>
        <w:rPr>
          <w:spacing w:val="-84"/>
        </w:rPr>
        <w:t> </w:t>
      </w:r>
      <w:r>
        <w:rPr>
          <w:spacing w:val="-84"/>
        </w:rPr>
      </w:r>
      <w:r>
        <w:rPr/>
        <w:t>总数由</w:t>
      </w:r>
      <w:r>
        <w:rPr>
          <w:rFonts w:ascii="Times New Roman" w:hAnsi="Times New Roman" w:cs="Times New Roman" w:eastAsia="Times New Roman" w:hint="default"/>
        </w:rPr>
        <w:t>1,230,432,768.00</w:t>
      </w:r>
      <w:r>
        <w:rPr/>
        <w:t>股变更为</w:t>
      </w:r>
      <w:r>
        <w:rPr>
          <w:rFonts w:ascii="Times New Roman" w:hAnsi="Times New Roman" w:cs="Times New Roman" w:eastAsia="Times New Roman" w:hint="default"/>
        </w:rPr>
        <w:t>1,323,188,951.00</w:t>
      </w:r>
      <w:r>
        <w:rPr/>
        <w:t>股，注册资本由人民币</w:t>
      </w:r>
      <w:r>
        <w:rPr>
          <w:rFonts w:ascii="Times New Roman" w:hAnsi="Times New Roman" w:cs="Times New Roman" w:eastAsia="Times New Roman" w:hint="default"/>
        </w:rPr>
        <w:t>1,230,432,768.00</w:t>
      </w:r>
      <w:r>
        <w:rPr/>
        <w:t>元变更为人民币</w:t>
      </w:r>
      <w:r>
        <w:rPr>
          <w:rFonts w:ascii="Times New Roman" w:hAnsi="Times New Roman" w:cs="Times New Roman" w:eastAsia="Times New Roman" w:hint="default"/>
        </w:rPr>
        <w:t>1,323,188,951.00</w:t>
      </w:r>
      <w:r>
        <w:rPr/>
        <w:t>元。</w:t>
      </w:r>
    </w:p>
    <w:p>
      <w:pPr>
        <w:pStyle w:val="BodyText"/>
        <w:spacing w:line="240" w:lineRule="auto" w:before="43"/>
        <w:ind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日，由北京市工商行政管理局换发企业法人营业执照，注册号</w:t>
      </w:r>
      <w:r>
        <w:rPr>
          <w:rFonts w:ascii="Times New Roman" w:hAnsi="Times New Roman" w:cs="Times New Roman" w:eastAsia="Times New Roman" w:hint="default"/>
        </w:rPr>
        <w:t>110000002700930</w:t>
      </w:r>
      <w:r>
        <w:rPr/>
        <w:t>。</w:t>
      </w:r>
    </w:p>
    <w:p>
      <w:pPr>
        <w:spacing w:line="240" w:lineRule="auto" w:before="9"/>
        <w:rPr>
          <w:rFonts w:ascii="宋体" w:hAnsi="宋体" w:cs="宋体" w:eastAsia="宋体" w:hint="default"/>
          <w:sz w:val="16"/>
          <w:szCs w:val="16"/>
        </w:rPr>
      </w:pPr>
    </w:p>
    <w:p>
      <w:pPr>
        <w:pStyle w:val="BodyText"/>
        <w:spacing w:line="458" w:lineRule="auto"/>
        <w:ind w:right="189"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日，公司</w:t>
      </w:r>
      <w:r>
        <w:rPr>
          <w:rFonts w:ascii="Times New Roman" w:hAnsi="Times New Roman" w:cs="Times New Roman" w:eastAsia="Times New Roman" w:hint="default"/>
          <w:spacing w:val="-1"/>
        </w:rPr>
        <w:t>2014</w:t>
      </w:r>
      <w:r>
        <w:rPr>
          <w:spacing w:val="-1"/>
        </w:rPr>
        <w:t>年第二次临时股东大会审议通过了《关于修改</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的议案》，因公司股权激励计划第</w:t>
      </w:r>
      <w:r>
        <w:rPr/>
        <w:t> </w:t>
      </w:r>
      <w:r>
        <w:rPr>
          <w:spacing w:val="14"/>
        </w:rPr>
        <w:t>一个行权期激励对象行权、</w:t>
      </w:r>
      <w:r>
        <w:rPr>
          <w:spacing w:val="-68"/>
        </w:rPr>
        <w:t> </w:t>
      </w:r>
      <w:r>
        <w:rPr>
          <w:spacing w:val="15"/>
        </w:rPr>
        <w:t>回购注销不符合激励条件的原激励对象已获授的限制性股票等原因，</w:t>
      </w:r>
      <w:r>
        <w:rPr>
          <w:spacing w:val="-68"/>
        </w:rPr>
        <w:t> </w:t>
      </w:r>
      <w:r>
        <w:rPr>
          <w:spacing w:val="14"/>
        </w:rPr>
        <w:t>公司股份总数由</w:t>
      </w:r>
      <w:r>
        <w:rPr>
          <w:spacing w:val="-74"/>
        </w:rPr>
        <w:t> </w:t>
      </w:r>
      <w:r>
        <w:rPr>
          <w:spacing w:val="-74"/>
        </w:rPr>
      </w:r>
      <w:r>
        <w:rPr>
          <w:rFonts w:ascii="Times New Roman" w:hAnsi="Times New Roman" w:cs="Times New Roman" w:eastAsia="Times New Roman" w:hint="default"/>
        </w:rPr>
        <w:t>1,323,188,951</w:t>
      </w:r>
      <w:r>
        <w:rPr/>
        <w:t>股变更为</w:t>
      </w:r>
      <w:r>
        <w:rPr>
          <w:rFonts w:ascii="Times New Roman" w:hAnsi="Times New Roman" w:cs="Times New Roman" w:eastAsia="Times New Roman" w:hint="default"/>
        </w:rPr>
        <w:t>1,323,268,087</w:t>
      </w:r>
      <w:r>
        <w:rPr/>
        <w:t>股，注册资本由人民币</w:t>
      </w:r>
      <w:r>
        <w:rPr>
          <w:rFonts w:ascii="Times New Roman" w:hAnsi="Times New Roman" w:cs="Times New Roman" w:eastAsia="Times New Roman" w:hint="default"/>
        </w:rPr>
        <w:t>1,323,188,951.00</w:t>
      </w:r>
      <w:r>
        <w:rPr/>
        <w:t>元变更为人民币</w:t>
      </w:r>
      <w:r>
        <w:rPr>
          <w:rFonts w:ascii="Times New Roman" w:hAnsi="Times New Roman" w:cs="Times New Roman" w:eastAsia="Times New Roman" w:hint="default"/>
        </w:rPr>
        <w:t>1,323,268,087.00</w:t>
      </w:r>
      <w:r>
        <w:rPr/>
        <w:t>元，该注册资本 </w:t>
      </w:r>
      <w:r>
        <w:rPr>
          <w:spacing w:val="-2"/>
        </w:rPr>
        <w:t>已经立信会计师事务所（特殊普通合伙）验证，并出具信会师报字（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114603</w:t>
      </w:r>
      <w:r>
        <w:rPr>
          <w:spacing w:val="-2"/>
        </w:rPr>
        <w:t>号验资报告。</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日，由北京</w:t>
      </w:r>
      <w:r>
        <w:rPr>
          <w:spacing w:val="-52"/>
        </w:rPr>
        <w:t> </w:t>
      </w:r>
      <w:r>
        <w:rPr>
          <w:spacing w:val="-52"/>
        </w:rPr>
      </w:r>
      <w:r>
        <w:rPr/>
        <w:t>市工商行政管理局换发企业法人营业执照，注册号</w:t>
      </w:r>
      <w:r>
        <w:rPr>
          <w:rFonts w:ascii="Times New Roman" w:hAnsi="Times New Roman" w:cs="Times New Roman" w:eastAsia="Times New Roman" w:hint="default"/>
        </w:rPr>
        <w:t>110000002700930</w:t>
      </w:r>
      <w:r>
        <w:rPr/>
        <w:t>。</w:t>
      </w:r>
    </w:p>
    <w:p>
      <w:pPr>
        <w:pStyle w:val="BodyText"/>
        <w:spacing w:line="451" w:lineRule="auto" w:before="38"/>
        <w:ind w:right="192" w:firstLine="360"/>
        <w:jc w:val="both"/>
      </w:pPr>
      <w:r>
        <w:rPr/>
        <w:t>报告期内公司股权激励计划第二个行权期行权条件已满足，第二个行权期为自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 </w:t>
      </w:r>
      <w:r>
        <w:rPr>
          <w:spacing w:val="-9"/>
        </w:rPr>
        <w:t>日止，可</w:t>
      </w:r>
      <w:r>
        <w:rPr/>
        <w:t> </w:t>
      </w:r>
      <w:r>
        <w:rPr>
          <w:spacing w:val="-2"/>
        </w:rPr>
        <w:t>行权数量共计</w:t>
      </w:r>
      <w:r>
        <w:rPr>
          <w:rFonts w:ascii="Times New Roman" w:hAnsi="Times New Roman" w:cs="Times New Roman" w:eastAsia="Times New Roman" w:hint="default"/>
          <w:spacing w:val="-2"/>
        </w:rPr>
        <w:t>4,601,600</w:t>
      </w:r>
      <w:r>
        <w:rPr>
          <w:spacing w:val="-2"/>
        </w:rPr>
        <w:t>份。截止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日第二个行权期已自主行权累计增加股本的数量为</w:t>
      </w:r>
      <w:r>
        <w:rPr>
          <w:rFonts w:ascii="Times New Roman" w:hAnsi="Times New Roman" w:cs="Times New Roman" w:eastAsia="Times New Roman" w:hint="default"/>
          <w:spacing w:val="-2"/>
        </w:rPr>
        <w:t>4,213,448</w:t>
      </w:r>
      <w:r>
        <w:rPr>
          <w:spacing w:val="-2"/>
        </w:rPr>
        <w:t>股，公司股本增至</w:t>
      </w:r>
    </w:p>
    <w:p>
      <w:pPr>
        <w:spacing w:after="0" w:line="451" w:lineRule="auto"/>
        <w:jc w:val="both"/>
        <w:sectPr>
          <w:pgSz w:w="11910" w:h="16840"/>
          <w:pgMar w:header="851" w:footer="1226" w:top="1380" w:bottom="1420" w:left="980" w:right="940"/>
        </w:sectPr>
      </w:pPr>
    </w:p>
    <w:p>
      <w:pPr>
        <w:pStyle w:val="BodyText"/>
        <w:spacing w:line="240" w:lineRule="auto" w:before="141"/>
        <w:ind w:left="154" w:right="93"/>
        <w:jc w:val="left"/>
      </w:pPr>
      <w:r>
        <w:rPr>
          <w:rFonts w:ascii="Times New Roman" w:hAnsi="Times New Roman" w:cs="Times New Roman" w:eastAsia="Times New Roman" w:hint="default"/>
        </w:rPr>
        <w:t>1,327,481,535</w:t>
      </w:r>
      <w:r>
        <w:rPr/>
        <w:t>股。</w:t>
      </w:r>
    </w:p>
    <w:p>
      <w:pPr>
        <w:spacing w:line="240" w:lineRule="auto" w:before="9"/>
        <w:rPr>
          <w:rFonts w:ascii="宋体" w:hAnsi="宋体" w:cs="宋体" w:eastAsia="宋体" w:hint="default"/>
          <w:sz w:val="16"/>
          <w:szCs w:val="16"/>
        </w:rPr>
      </w:pPr>
    </w:p>
    <w:p>
      <w:pPr>
        <w:pStyle w:val="BodyText"/>
        <w:spacing w:line="477" w:lineRule="auto"/>
        <w:ind w:left="513" w:right="93"/>
        <w:jc w:val="left"/>
      </w:pPr>
      <w:r>
        <w:rPr/>
        <w:t>本公司所处行业：计算机应用服务业。 </w:t>
      </w:r>
      <w:r>
        <w:rPr>
          <w:spacing w:val="-2"/>
        </w:rPr>
        <w:t>公司经营范围：计算机网络综合管理及网络系统集成、通讯设备技术开发、技术服务、技术转让、技术培训；电子信息</w:t>
      </w:r>
    </w:p>
    <w:p>
      <w:pPr>
        <w:pStyle w:val="BodyText"/>
        <w:spacing w:line="477" w:lineRule="auto" w:before="54"/>
        <w:ind w:right="93"/>
        <w:jc w:val="left"/>
      </w:pPr>
      <w:r>
        <w:rPr>
          <w:spacing w:val="-2"/>
        </w:rPr>
        <w:t>技术咨询（中介除外）；委托生产通讯设备；销售计算机网络软硬件产品、通讯设备；电子信息技术系统工程设计；通讯设</w:t>
      </w:r>
      <w:r>
        <w:rPr>
          <w:spacing w:val="-72"/>
        </w:rPr>
        <w:t> </w:t>
      </w:r>
      <w:r>
        <w:rPr>
          <w:spacing w:val="-72"/>
        </w:rPr>
      </w:r>
      <w:r>
        <w:rPr/>
        <w:t>备售后服务；技术进出口、代理进出口、货物进出口。</w:t>
      </w:r>
    </w:p>
    <w:p>
      <w:pPr>
        <w:pStyle w:val="BodyText"/>
        <w:spacing w:line="240" w:lineRule="auto" w:before="54"/>
        <w:ind w:left="514" w:right="93"/>
        <w:jc w:val="left"/>
      </w:pPr>
      <w:r>
        <w:rPr/>
        <w:t>公司的主营业务为向国内电信</w:t>
      </w:r>
      <w:r>
        <w:rPr>
          <w:spacing w:val="-77"/>
        </w:rPr>
        <w:t>、</w:t>
      </w:r>
      <w:r>
        <w:rPr/>
        <w:t>金融</w:t>
      </w:r>
      <w:r>
        <w:rPr>
          <w:spacing w:val="-77"/>
        </w:rPr>
        <w:t>、</w:t>
      </w:r>
      <w:r>
        <w:rPr/>
        <w:t>能</w:t>
      </w:r>
      <w:r>
        <w:rPr>
          <w:spacing w:val="-2"/>
        </w:rPr>
        <w:t>源</w:t>
      </w:r>
      <w:r>
        <w:rPr/>
        <w:t>等行业的大中型企业和政府部门提供</w:t>
      </w:r>
      <w:r>
        <w:rPr>
          <w:rFonts w:ascii="Times New Roman" w:hAnsi="Times New Roman" w:cs="Times New Roman" w:eastAsia="Times New Roman" w:hint="default"/>
        </w:rPr>
        <w:t>IT</w:t>
      </w:r>
      <w:r>
        <w:rPr/>
        <w:t>运维管理的整体解决方案</w:t>
      </w:r>
      <w:r>
        <w:rPr>
          <w:spacing w:val="-77"/>
        </w:rPr>
        <w:t>；</w:t>
      </w:r>
      <w:r>
        <w:rPr/>
        <w:t>以</w:t>
      </w:r>
      <w:r>
        <w:rPr>
          <w:rFonts w:ascii="Times New Roman" w:hAnsi="Times New Roman" w:cs="Times New Roman" w:eastAsia="Times New Roman" w:hint="default"/>
          <w:spacing w:val="-1"/>
          <w:w w:val="100"/>
        </w:rPr>
        <w:t>“</w:t>
      </w:r>
      <w:r>
        <w:rPr/>
        <w:t>飞信</w:t>
      </w:r>
      <w:r>
        <w:rPr>
          <w:rFonts w:ascii="Times New Roman" w:hAnsi="Times New Roman" w:cs="Times New Roman" w:eastAsia="Times New Roman" w:hint="default"/>
          <w:w w:val="100"/>
        </w:rPr>
        <w:t>”</w:t>
      </w:r>
      <w:r>
        <w:rPr/>
        <w:t>、</w:t>
      </w:r>
    </w:p>
    <w:p>
      <w:pPr>
        <w:spacing w:line="240" w:lineRule="auto" w:before="9"/>
        <w:rPr>
          <w:rFonts w:ascii="宋体" w:hAnsi="宋体" w:cs="宋体" w:eastAsia="宋体" w:hint="default"/>
          <w:sz w:val="16"/>
          <w:szCs w:val="16"/>
        </w:rPr>
      </w:pPr>
    </w:p>
    <w:p>
      <w:pPr>
        <w:pStyle w:val="BodyText"/>
        <w:spacing w:line="458" w:lineRule="auto"/>
        <w:ind w:left="513" w:right="3173" w:hanging="360"/>
        <w:jc w:val="left"/>
      </w:pPr>
      <w:r>
        <w:rPr/>
        <w:pict>
          <v:shape style="position:absolute;margin-left:56.459999pt;margin-top:159.371735pt;width:486.1pt;height:375.2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8"/>
                    <w:gridCol w:w="4114"/>
                    <w:gridCol w:w="1200"/>
                    <w:gridCol w:w="1276"/>
                    <w:gridCol w:w="1559"/>
                  </w:tblGrid>
                  <w:tr>
                    <w:trPr>
                      <w:trHeight w:val="341" w:hRule="exact"/>
                    </w:trPr>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1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4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北京神州泰岳通信技术有限公司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宁波金信通信技术有限公司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奇点新源国际技术开发（北京）有限公司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89</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r>
                          <w:rPr>
                            <w:rFonts w:ascii="宋体" w:hAnsi="宋体" w:cs="宋体" w:eastAsia="宋体" w:hint="default"/>
                            <w:spacing w:val="-19"/>
                            <w:sz w:val="18"/>
                            <w:szCs w:val="18"/>
                          </w:rPr>
                          <w:t> </w:t>
                        </w:r>
                        <w:r>
                          <w:rPr>
                            <w:rFonts w:ascii="宋体" w:hAnsi="宋体" w:cs="宋体" w:eastAsia="宋体" w:hint="default"/>
                            <w:sz w:val="18"/>
                            <w:szCs w:val="18"/>
                          </w:rPr>
                          <w:t>【注】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85</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80</w:t>
                        </w:r>
                      </w:p>
                    </w:tc>
                  </w:tr>
                  <w:tr>
                    <w:trPr>
                      <w:trHeight w:val="6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572" w:right="440" w:hanging="130"/>
                          <w:jc w:val="left"/>
                          <w:rPr>
                            <w:rFonts w:ascii="Times New Roman" w:hAnsi="Times New Roman" w:cs="Times New Roman" w:eastAsia="Times New Roman" w:hint="default"/>
                            <w:sz w:val="18"/>
                            <w:szCs w:val="18"/>
                          </w:rPr>
                        </w:pPr>
                        <w:r>
                          <w:rPr>
                            <w:rFonts w:ascii="Times New Roman"/>
                            <w:sz w:val="18"/>
                          </w:rPr>
                          <w:t>RED TRUST SOFTWARE AND</w:t>
                        </w:r>
                        <w:r>
                          <w:rPr>
                            <w:rFonts w:ascii="Times New Roman"/>
                            <w:spacing w:val="-5"/>
                            <w:sz w:val="18"/>
                          </w:rPr>
                          <w:t> </w:t>
                        </w:r>
                        <w:r>
                          <w:rPr>
                            <w:rFonts w:ascii="Times New Roman"/>
                            <w:sz w:val="18"/>
                          </w:rPr>
                          <w:t>SERVICE</w:t>
                        </w:r>
                        <w:r>
                          <w:rPr>
                            <w:rFonts w:ascii="Times New Roman"/>
                            <w:sz w:val="18"/>
                          </w:rPr>
                          <w:t> TECHNOLOGY COMPANY</w:t>
                        </w:r>
                        <w:r>
                          <w:rPr>
                            <w:rFonts w:ascii="Times New Roman"/>
                            <w:spacing w:val="-3"/>
                            <w:sz w:val="18"/>
                          </w:rPr>
                          <w:t> </w:t>
                        </w:r>
                        <w:r>
                          <w:rPr>
                            <w:rFonts w:ascii="Times New Roman"/>
                            <w:sz w:val="18"/>
                          </w:rPr>
                          <w:t>LIMITED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5"/>
                            <w:sz w:val="18"/>
                          </w:rPr>
                          <w:t> </w:t>
                        </w:r>
                        <w:r>
                          <w:rPr>
                            <w:rFonts w:ascii="Times New Roman"/>
                            <w:sz w:val="18"/>
                          </w:rPr>
                          <w:t>LTD.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55</w:t>
                        </w:r>
                      </w:p>
                    </w:tc>
                  </w:tr>
                </w:tbl>
                <w:p>
                  <w:pPr/>
                </w:p>
              </w:txbxContent>
            </v:textbox>
            <w10:wrap type="none"/>
          </v:shape>
        </w:pict>
      </w:r>
      <w:r>
        <w:rPr>
          <w:rFonts w:ascii="Times New Roman" w:hAnsi="Times New Roman" w:cs="Times New Roman" w:eastAsia="Times New Roman" w:hint="default"/>
        </w:rPr>
        <w:t>“</w:t>
      </w:r>
      <w:r>
        <w:rPr/>
        <w:t>农信通</w:t>
      </w:r>
      <w:r>
        <w:rPr>
          <w:rFonts w:ascii="Times New Roman" w:hAnsi="Times New Roman" w:cs="Times New Roman" w:eastAsia="Times New Roman" w:hint="default"/>
        </w:rPr>
        <w:t>”</w:t>
      </w:r>
      <w:r>
        <w:rPr/>
        <w:t>为代表的移动互联网开发及运维支撑服务业务；移动端</w:t>
      </w:r>
      <w:r>
        <w:rPr>
          <w:color w:val="333333"/>
        </w:rPr>
        <w:t>游戏的开发与运营。</w:t>
      </w:r>
      <w:r>
        <w:rPr>
          <w:color w:val="333333"/>
        </w:rPr>
        <w:t> </w:t>
      </w:r>
      <w:r>
        <w:rPr/>
        <w:t>公司法定代表人：王宁。</w:t>
      </w:r>
      <w:r>
        <w:rPr/>
        <w:t> 公司注册地址：北京市海淀区万泉庄路</w:t>
      </w:r>
      <w:r>
        <w:rPr>
          <w:rFonts w:ascii="Times New Roman" w:hAnsi="Times New Roman" w:cs="Times New Roman" w:eastAsia="Times New Roman" w:hint="default"/>
        </w:rPr>
        <w:t>28</w:t>
      </w:r>
      <w:r>
        <w:rPr/>
        <w:t>号万柳新贵大厦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601</w:t>
      </w:r>
      <w:r>
        <w:rPr/>
        <w:t>室。 公司主要办公地址：北京市朝阳区北苑路甲</w:t>
      </w:r>
      <w:r>
        <w:rPr>
          <w:rFonts w:ascii="Times New Roman" w:hAnsi="Times New Roman" w:cs="Times New Roman" w:eastAsia="Times New Roman" w:hint="default"/>
        </w:rPr>
        <w:t>13</w:t>
      </w:r>
      <w:r>
        <w:rPr/>
        <w:t>号院</w:t>
      </w:r>
      <w:r>
        <w:rPr>
          <w:rFonts w:ascii="Times New Roman" w:hAnsi="Times New Roman" w:cs="Times New Roman" w:eastAsia="Times New Roman" w:hint="default"/>
        </w:rPr>
        <w:t>1</w:t>
      </w:r>
      <w:r>
        <w:rPr/>
        <w:t>号楼北辰泰岳大厦</w:t>
      </w:r>
      <w:r>
        <w:rPr>
          <w:rFonts w:ascii="Times New Roman" w:hAnsi="Times New Roman" w:cs="Times New Roman" w:eastAsia="Times New Roman" w:hint="default"/>
        </w:rPr>
        <w:t>22</w:t>
      </w:r>
      <w:r>
        <w:rPr/>
        <w:t>层。 本公司的实际控制人为王宁、李力。 本财务报表业经公司全体董事于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收日批准报出。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458" w:lineRule="auto"/>
        <w:jc w:val="left"/>
        <w:sectPr>
          <w:pgSz w:w="11910" w:h="16840"/>
          <w:pgMar w:header="851" w:footer="1226" w:top="1380" w:bottom="1420" w:left="980" w:right="94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58"/>
        <w:gridCol w:w="4114"/>
        <w:gridCol w:w="1200"/>
        <w:gridCol w:w="1276"/>
        <w:gridCol w:w="1559"/>
      </w:tblGrid>
      <w:tr>
        <w:trPr>
          <w:trHeight w:val="354" w:hRule="exact"/>
        </w:trPr>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21</w:t>
            </w:r>
          </w:p>
        </w:tc>
        <w:tc>
          <w:tcPr>
            <w:tcW w:w="41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5" w:right="0"/>
              <w:jc w:val="left"/>
              <w:rPr>
                <w:rFonts w:ascii="Times New Roman" w:hAnsi="Times New Roman" w:cs="Times New Roman" w:eastAsia="Times New Roman" w:hint="default"/>
                <w:sz w:val="18"/>
                <w:szCs w:val="18"/>
              </w:rPr>
            </w:pPr>
            <w:r>
              <w:rPr>
                <w:rFonts w:ascii="Times New Roman"/>
                <w:sz w:val="18"/>
              </w:rPr>
              <w:t>Ultrapower Netherlands</w:t>
            </w:r>
            <w:r>
              <w:rPr>
                <w:rFonts w:ascii="Times New Roman"/>
                <w:spacing w:val="-7"/>
                <w:sz w:val="18"/>
              </w:rPr>
              <w:t> </w:t>
            </w:r>
            <w:r>
              <w:rPr>
                <w:rFonts w:ascii="Times New Roman"/>
                <w:sz w:val="18"/>
              </w:rPr>
              <w:t>B.V.</w:t>
            </w:r>
          </w:p>
        </w:tc>
        <w:tc>
          <w:tcPr>
            <w:tcW w:w="12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542" w:right="0"/>
              <w:jc w:val="left"/>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5" w:right="0"/>
              <w:jc w:val="left"/>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UQSOFT YUHAN</w:t>
            </w:r>
            <w:r>
              <w:rPr>
                <w:rFonts w:ascii="Times New Roman"/>
                <w:spacing w:val="-5"/>
                <w:sz w:val="18"/>
              </w:rPr>
              <w:t> </w:t>
            </w:r>
            <w:r>
              <w:rPr>
                <w:rFonts w:ascii="Times New Roman"/>
                <w:sz w:val="18"/>
              </w:rPr>
              <w:t>HOESA</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5" w:right="0"/>
              <w:jc w:val="left"/>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北京壳木软件有限责任公司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3"/>
                <w:sz w:val="18"/>
              </w:rPr>
              <w:t> </w:t>
            </w:r>
            <w:r>
              <w:rPr>
                <w:rFonts w:ascii="Times New Roman"/>
                <w:sz w:val="18"/>
              </w:rPr>
              <w:t>Limited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北京骆骆软件科技有限责任公司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INC.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LTD.</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广州短讯神州网络技术有限公司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8" w:right="0"/>
              <w:jc w:val="lef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9"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苏州短讯神州网络技术有限公司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5" w:right="0"/>
              <w:jc w:val="left"/>
              <w:rPr>
                <w:rFonts w:ascii="Times New Roman" w:hAnsi="Times New Roman" w:cs="Times New Roman" w:eastAsia="Times New Roman" w:hint="default"/>
                <w:sz w:val="18"/>
                <w:szCs w:val="18"/>
              </w:rPr>
            </w:pPr>
            <w:r>
              <w:rPr>
                <w:rFonts w:ascii="Times New Roman"/>
                <w:sz w:val="18"/>
              </w:rPr>
              <w:t>90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2" w:right="0"/>
              <w:jc w:val="lef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85" w:right="0"/>
              <w:jc w:val="left"/>
              <w:rPr>
                <w:rFonts w:ascii="Times New Roman" w:hAnsi="Times New Roman" w:cs="Times New Roman" w:eastAsia="Times New Roman" w:hint="default"/>
                <w:sz w:val="18"/>
                <w:szCs w:val="18"/>
              </w:rPr>
            </w:pPr>
            <w:r>
              <w:rPr>
                <w:rFonts w:ascii="Times New Roman"/>
                <w:sz w:val="18"/>
              </w:rPr>
              <w:t>51</w:t>
            </w:r>
          </w:p>
        </w:tc>
      </w:tr>
    </w:tbl>
    <w:p>
      <w:pPr>
        <w:pStyle w:val="BodyText"/>
        <w:spacing w:line="451" w:lineRule="auto" w:before="88"/>
        <w:ind w:left="113" w:right="2433"/>
        <w:jc w:val="left"/>
      </w:pPr>
      <w:r>
        <w:rPr/>
        <w:t>本期合并财务报表范围详见本附注</w:t>
      </w:r>
      <w:r>
        <w:rPr>
          <w:spacing w:val="-1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日，北京信合运通科技有限公司更名为北京神州泰岳智能数据技术有限公司。</w:t>
      </w:r>
    </w:p>
    <w:p>
      <w:pPr>
        <w:spacing w:line="240" w:lineRule="auto" w:before="9"/>
        <w:rPr>
          <w:rFonts w:ascii="宋体" w:hAnsi="宋体" w:cs="宋体" w:eastAsia="宋体" w:hint="default"/>
          <w:sz w:val="16"/>
          <w:szCs w:val="16"/>
        </w:rPr>
      </w:pPr>
    </w:p>
    <w:p>
      <w:pPr>
        <w:pStyle w:val="Heading2"/>
        <w:spacing w:line="240" w:lineRule="auto"/>
        <w:ind w:left="113" w:right="0"/>
        <w:jc w:val="left"/>
        <w:rPr>
          <w:b w:val="0"/>
          <w:bCs w:val="0"/>
        </w:rPr>
      </w:pPr>
      <w:bookmarkStart w:name="四、财务报表的编制基础" w:id="117"/>
      <w:bookmarkEnd w:id="11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编制基础" w:id="118"/>
      <w:bookmarkEnd w:id="11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13" w:right="19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6"/>
        <w:rPr>
          <w:rFonts w:ascii="宋体" w:hAnsi="宋体" w:cs="宋体" w:eastAsia="宋体" w:hint="default"/>
          <w:sz w:val="18"/>
          <w:szCs w:val="18"/>
        </w:rPr>
      </w:pPr>
    </w:p>
    <w:p>
      <w:pPr>
        <w:pStyle w:val="Heading3"/>
        <w:spacing w:line="240" w:lineRule="auto"/>
        <w:ind w:left="113" w:right="0"/>
        <w:jc w:val="left"/>
        <w:rPr>
          <w:b w:val="0"/>
          <w:bCs w:val="0"/>
        </w:rPr>
      </w:pPr>
      <w:bookmarkStart w:name="2、持续经营" w:id="119"/>
      <w:bookmarkEnd w:id="11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7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pStyle w:val="Heading2"/>
        <w:spacing w:line="240" w:lineRule="auto" w:before="158"/>
        <w:ind w:left="113" w:right="0"/>
        <w:jc w:val="left"/>
        <w:rPr>
          <w:b w:val="0"/>
          <w:bCs w:val="0"/>
        </w:rPr>
      </w:pPr>
      <w:bookmarkStart w:name="五、重要会计政策及会计估计" w:id="120"/>
      <w:bookmarkEnd w:id="120"/>
      <w:r>
        <w:rPr>
          <w:b w:val="0"/>
          <w:bCs w:val="0"/>
        </w:rPr>
      </w:r>
      <w:r>
        <w:rPr/>
        <w:t>五、重要会计政策及会计估计</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left="473" w:right="2613"/>
        <w:jc w:val="left"/>
      </w:pPr>
      <w:r>
        <w:rPr/>
        <w:t>具体会计政策和会计估计提示： 以下披露内容已涵盖了本公司根据实际生产经营特点制定的具体会计政策和会计估计。</w:t>
      </w:r>
    </w:p>
    <w:p>
      <w:pPr>
        <w:spacing w:line="240" w:lineRule="auto" w:before="1"/>
        <w:rPr>
          <w:rFonts w:ascii="宋体" w:hAnsi="宋体" w:cs="宋体" w:eastAsia="宋体" w:hint="default"/>
          <w:sz w:val="17"/>
          <w:szCs w:val="17"/>
        </w:rPr>
      </w:pPr>
    </w:p>
    <w:p>
      <w:pPr>
        <w:pStyle w:val="Heading3"/>
        <w:spacing w:line="240" w:lineRule="auto"/>
        <w:ind w:left="113" w:right="0"/>
        <w:jc w:val="left"/>
        <w:rPr>
          <w:b w:val="0"/>
          <w:bCs w:val="0"/>
        </w:rPr>
      </w:pPr>
      <w:bookmarkStart w:name="1、遵循企业会计准则的声明" w:id="121"/>
      <w:bookmarkEnd w:id="12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 w:right="191" w:firstLine="360"/>
        <w:jc w:val="both"/>
      </w:pPr>
      <w:r>
        <w:rPr>
          <w:spacing w:val="-2"/>
        </w:rPr>
        <w:t>公司所编制的财务报表符合企业会计准则的要求，真实、完整地反映了报告期公司的财务状况、经营成果、现金流量等</w:t>
      </w:r>
      <w:r>
        <w:rPr/>
        <w:t> 有关信息。</w:t>
      </w:r>
    </w:p>
    <w:p>
      <w:pPr>
        <w:spacing w:after="0" w:line="477" w:lineRule="auto"/>
        <w:jc w:val="both"/>
        <w:sectPr>
          <w:pgSz w:w="11910" w:h="16840"/>
          <w:pgMar w:header="851" w:footer="1226" w:top="1380" w:bottom="1420" w:left="102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93"/>
        <w:jc w:val="left"/>
        <w:rPr>
          <w:b w:val="0"/>
          <w:bCs w:val="0"/>
        </w:rPr>
      </w:pPr>
      <w:bookmarkStart w:name="2、会计期间" w:id="122"/>
      <w:bookmarkEnd w:id="12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2"/>
        <w:rPr>
          <w:rFonts w:ascii="宋体" w:hAnsi="宋体" w:cs="宋体" w:eastAsia="宋体" w:hint="default"/>
          <w:sz w:val="25"/>
          <w:szCs w:val="25"/>
        </w:rPr>
      </w:pPr>
    </w:p>
    <w:p>
      <w:pPr>
        <w:pStyle w:val="Heading3"/>
        <w:spacing w:line="240" w:lineRule="auto"/>
        <w:ind w:right="93"/>
        <w:jc w:val="left"/>
        <w:rPr>
          <w:b w:val="0"/>
          <w:bCs w:val="0"/>
        </w:rPr>
      </w:pPr>
      <w:bookmarkStart w:name="3、营业周期" w:id="123"/>
      <w:bookmarkEnd w:id="12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93"/>
        <w:jc w:val="left"/>
        <w:rPr>
          <w:b w:val="0"/>
          <w:bCs w:val="0"/>
        </w:rPr>
      </w:pPr>
      <w:bookmarkStart w:name="4、记账本位币" w:id="124"/>
      <w:bookmarkEnd w:id="12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3"/>
        <w:jc w:val="left"/>
      </w:pPr>
      <w:r>
        <w:rPr/>
        <w:t>（</w:t>
      </w:r>
      <w:r>
        <w:rPr>
          <w:rFonts w:ascii="Times New Roman" w:hAnsi="Times New Roman" w:cs="Times New Roman" w:eastAsia="Times New Roman" w:hint="default"/>
        </w:rPr>
        <w:t>1</w:t>
      </w:r>
      <w:r>
        <w:rPr/>
        <w:t>）母公司采用人民币为记账本位币。</w:t>
      </w:r>
    </w:p>
    <w:p>
      <w:pPr>
        <w:spacing w:line="240" w:lineRule="auto" w:before="9"/>
        <w:rPr>
          <w:rFonts w:ascii="宋体" w:hAnsi="宋体" w:cs="宋体" w:eastAsia="宋体" w:hint="default"/>
          <w:sz w:val="16"/>
          <w:szCs w:val="16"/>
        </w:rPr>
      </w:pPr>
    </w:p>
    <w:p>
      <w:pPr>
        <w:pStyle w:val="BodyText"/>
        <w:spacing w:line="240" w:lineRule="auto"/>
        <w:ind w:left="513" w:right="93"/>
        <w:jc w:val="left"/>
      </w:pPr>
      <w:r>
        <w:rPr/>
        <w:t>（</w:t>
      </w:r>
      <w:r>
        <w:rPr>
          <w:rFonts w:ascii="Times New Roman" w:hAnsi="Times New Roman" w:cs="Times New Roman" w:eastAsia="Times New Roman" w:hint="default"/>
        </w:rPr>
        <w:t>2</w:t>
      </w:r>
      <w:r>
        <w:rPr/>
        <w:t>）以下子公司记账本位币如下：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544"/>
        <w:gridCol w:w="2549"/>
        <w:gridCol w:w="2548"/>
      </w:tblGrid>
      <w:tr>
        <w:trPr>
          <w:trHeight w:val="347" w:hRule="exact"/>
        </w:trPr>
        <w:tc>
          <w:tcPr>
            <w:tcW w:w="3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新加坡币</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5"/>
                <w:sz w:val="18"/>
              </w:rPr>
              <w:t> </w:t>
            </w:r>
            <w:r>
              <w:rPr>
                <w:rFonts w:ascii="Times New Roman"/>
                <w:sz w:val="18"/>
              </w:rPr>
              <w:t>LTD.</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新加坡币</w:t>
            </w:r>
          </w:p>
        </w:tc>
      </w:tr>
      <w:tr>
        <w:trPr>
          <w:trHeight w:val="34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INC.</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LTD.</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开曼群岛</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Camel Games</w:t>
            </w:r>
            <w:r>
              <w:rPr>
                <w:rFonts w:ascii="Times New Roman"/>
                <w:spacing w:val="-3"/>
                <w:sz w:val="18"/>
              </w:rPr>
              <w:t> </w:t>
            </w:r>
            <w:r>
              <w:rPr>
                <w:rFonts w:ascii="Times New Roman"/>
                <w:sz w:val="18"/>
              </w:rPr>
              <w:t>Limited</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659"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184" w:right="152" w:hanging="30"/>
              <w:jc w:val="left"/>
              <w:rPr>
                <w:rFonts w:ascii="Times New Roman" w:hAnsi="Times New Roman" w:cs="Times New Roman" w:eastAsia="Times New Roman" w:hint="default"/>
                <w:sz w:val="18"/>
                <w:szCs w:val="18"/>
              </w:rPr>
            </w:pPr>
            <w:r>
              <w:rPr>
                <w:rFonts w:ascii="Times New Roman"/>
                <w:sz w:val="18"/>
              </w:rPr>
              <w:t>RED TRUST SOFTWARE AND</w:t>
            </w:r>
            <w:r>
              <w:rPr>
                <w:rFonts w:ascii="Times New Roman"/>
                <w:spacing w:val="-4"/>
                <w:sz w:val="18"/>
              </w:rPr>
              <w:t> </w:t>
            </w:r>
            <w:r>
              <w:rPr>
                <w:rFonts w:ascii="Times New Roman"/>
                <w:sz w:val="18"/>
              </w:rPr>
              <w:t>SERVICE</w:t>
            </w:r>
            <w:r>
              <w:rPr>
                <w:rFonts w:ascii="Times New Roman"/>
                <w:sz w:val="18"/>
              </w:rPr>
              <w:t> TECHNOLOGY   COMPANY  </w:t>
            </w:r>
            <w:r>
              <w:rPr>
                <w:rFonts w:ascii="Times New Roman"/>
                <w:spacing w:val="15"/>
                <w:sz w:val="18"/>
              </w:rPr>
              <w:t> </w:t>
            </w:r>
            <w:r>
              <w:rPr>
                <w:rFonts w:ascii="Times New Roman"/>
                <w:sz w:val="18"/>
              </w:rPr>
              <w:t>LIMITED</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越南</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越南盾</w:t>
            </w:r>
          </w:p>
        </w:tc>
      </w:tr>
      <w:tr>
        <w:trPr>
          <w:trHeight w:val="34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Ultrapower Netherlands</w:t>
            </w:r>
            <w:r>
              <w:rPr>
                <w:rFonts w:ascii="Times New Roman"/>
                <w:spacing w:val="-7"/>
                <w:sz w:val="18"/>
              </w:rPr>
              <w:t> </w:t>
            </w:r>
            <w:r>
              <w:rPr>
                <w:rFonts w:ascii="Times New Roman"/>
                <w:sz w:val="18"/>
              </w:rPr>
              <w:t>B.V.</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r>
      <w:tr>
        <w:trPr>
          <w:trHeight w:val="347"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UQSOFT YUHAN</w:t>
            </w:r>
            <w:r>
              <w:rPr>
                <w:rFonts w:ascii="Times New Roman"/>
                <w:spacing w:val="-5"/>
                <w:sz w:val="18"/>
              </w:rPr>
              <w:t> </w:t>
            </w:r>
            <w:r>
              <w:rPr>
                <w:rFonts w:ascii="Times New Roman"/>
                <w:sz w:val="18"/>
              </w:rPr>
              <w:t>HOESA</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韩元</w:t>
            </w:r>
          </w:p>
        </w:tc>
      </w:tr>
    </w:tbl>
    <w:p>
      <w:pPr>
        <w:pStyle w:val="BodyText"/>
        <w:spacing w:line="240" w:lineRule="auto" w:before="88"/>
        <w:ind w:left="514" w:right="93"/>
        <w:jc w:val="left"/>
      </w:pPr>
      <w:r>
        <w:rPr/>
        <w:t>（</w:t>
      </w:r>
      <w:r>
        <w:rPr>
          <w:rFonts w:ascii="Times New Roman" w:hAnsi="Times New Roman" w:cs="Times New Roman" w:eastAsia="Times New Roman" w:hint="default"/>
        </w:rPr>
        <w:t>3</w:t>
      </w:r>
      <w:r>
        <w:rPr/>
        <w:t>）除上述子公司外，合并报表范围内其他子公司均采用人民币为记账本位币。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93"/>
        <w:jc w:val="left"/>
        <w:rPr>
          <w:b w:val="0"/>
          <w:bCs w:val="0"/>
        </w:rPr>
      </w:pPr>
      <w:bookmarkStart w:name="5、同一控制下和非同一控制下企业合并的会计处理方法" w:id="125"/>
      <w:bookmarkEnd w:id="12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477" w:lineRule="auto" w:before="54"/>
        <w:ind w:left="154" w:right="93"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3"/>
        </w:rPr>
        <w:t> </w:t>
      </w:r>
      <w:r>
        <w:rPr>
          <w:spacing w:val="-43"/>
        </w:rPr>
      </w:r>
      <w:r>
        <w:rPr/>
        <w:t>确认为商誉；合并成本小于合并中取得的被购买方可辨认净资产公允价值份额的差额，经复核后，计入当期损益。</w:t>
      </w:r>
    </w:p>
    <w:p>
      <w:pPr>
        <w:pStyle w:val="BodyText"/>
        <w:spacing w:line="477" w:lineRule="auto" w:before="54"/>
        <w:ind w:right="93"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after="0" w:line="477" w:lineRule="auto"/>
        <w:jc w:val="left"/>
        <w:sectPr>
          <w:footerReference w:type="default" r:id="rId18"/>
          <w:pgSz w:w="11910" w:h="16840"/>
          <w:pgMar w:footer="1226" w:header="851" w:top="1380" w:bottom="1420" w:left="980" w:right="940"/>
          <w:pgNumType w:start="1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93"/>
        <w:jc w:val="left"/>
        <w:rPr>
          <w:b w:val="0"/>
          <w:bCs w:val="0"/>
        </w:rPr>
      </w:pPr>
      <w:bookmarkStart w:name="6、合并财务报表的编制方法" w:id="126"/>
      <w:bookmarkEnd w:id="12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3" w:right="93"/>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w:t>
      </w:r>
    </w:p>
    <w:p>
      <w:pPr>
        <w:pStyle w:val="BodyText"/>
        <w:spacing w:line="240" w:lineRule="auto" w:before="74"/>
        <w:ind w:right="93"/>
        <w:jc w:val="left"/>
      </w:pPr>
      <w:r>
        <w:rPr/>
        <w:t>合并财务报表。</w:t>
      </w:r>
    </w:p>
    <w:p>
      <w:pPr>
        <w:spacing w:line="240" w:lineRule="auto" w:before="10"/>
        <w:rPr>
          <w:rFonts w:ascii="宋体" w:hAnsi="宋体" w:cs="宋体" w:eastAsia="宋体" w:hint="default"/>
          <w:sz w:val="17"/>
          <w:szCs w:val="17"/>
        </w:rPr>
      </w:pPr>
    </w:p>
    <w:p>
      <w:pPr>
        <w:pStyle w:val="BodyText"/>
        <w:spacing w:line="451" w:lineRule="auto"/>
        <w:ind w:left="513" w:right="93"/>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477" w:lineRule="auto" w:before="74"/>
        <w:ind w:right="93"/>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477" w:lineRule="auto" w:before="54"/>
        <w:ind w:left="154" w:right="93"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477" w:lineRule="auto" w:before="54"/>
        <w:ind w:left="154" w:right="19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477" w:lineRule="auto" w:before="54"/>
        <w:ind w:left="514" w:right="93"/>
        <w:jc w:val="left"/>
      </w:pPr>
      <w:r>
        <w:rPr/>
        <w:t>增加子公司或业务： </w:t>
      </w:r>
      <w:r>
        <w:rPr>
          <w:spacing w:val="-2"/>
        </w:rPr>
        <w:t>在报告期内，若因同一控制下企业合并增加子公司或业务的，则调整合并资产负债表的期初数；将子公司或业务合并当</w:t>
      </w:r>
    </w:p>
    <w:p>
      <w:pPr>
        <w:pStyle w:val="BodyText"/>
        <w:spacing w:line="477" w:lineRule="auto" w:before="54"/>
        <w:ind w:left="154" w:right="93"/>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477" w:lineRule="auto" w:before="54"/>
        <w:ind w:left="154" w:right="19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477" w:lineRule="auto" w:before="54"/>
        <w:ind w:left="154" w:right="19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477" w:lineRule="auto" w:before="54"/>
        <w:ind w:left="154"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p>
    <w:p>
      <w:pPr>
        <w:spacing w:after="0" w:line="477" w:lineRule="auto"/>
        <w:jc w:val="both"/>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left="154" w:right="192"/>
        <w:jc w:val="both"/>
      </w:pP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4"/>
        <w:ind w:left="514" w:right="93"/>
        <w:jc w:val="left"/>
      </w:pPr>
      <w:r>
        <w:rPr/>
        <w:t>处置子公司或业务：</w:t>
      </w:r>
    </w:p>
    <w:p>
      <w:pPr>
        <w:spacing w:line="240" w:lineRule="auto" w:before="10"/>
        <w:rPr>
          <w:rFonts w:ascii="宋体" w:hAnsi="宋体" w:cs="宋体" w:eastAsia="宋体" w:hint="default"/>
          <w:sz w:val="17"/>
          <w:szCs w:val="17"/>
        </w:rPr>
      </w:pPr>
    </w:p>
    <w:p>
      <w:pPr>
        <w:pStyle w:val="BodyText"/>
        <w:spacing w:line="477" w:lineRule="auto"/>
        <w:ind w:left="513" w:right="9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477" w:lineRule="auto" w:before="54"/>
        <w:ind w:left="514" w:right="93"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477" w:lineRule="auto" w:before="54"/>
        <w:ind w:left="154" w:right="9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spacing w:val="-85"/>
        </w:rPr>
        <w:t> </w:t>
      </w:r>
      <w:r>
        <w:rPr>
          <w:spacing w:val="-85"/>
        </w:rPr>
      </w:r>
      <w:r>
        <w:rPr/>
        <w:t>由于被投资方重新计量设定受益计划净负债或净资产变动而产生的其他综合收益除外。</w:t>
      </w:r>
    </w:p>
    <w:p>
      <w:pPr>
        <w:pStyle w:val="BodyText"/>
        <w:spacing w:line="477" w:lineRule="auto" w:before="54"/>
        <w:ind w:left="513" w:right="93"/>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477" w:lineRule="auto" w:before="54"/>
        <w:ind w:left="513" w:right="261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77" w:lineRule="auto" w:before="54"/>
        <w:ind w:right="19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477" w:lineRule="auto" w:before="54"/>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477" w:lineRule="auto" w:before="54"/>
        <w:ind w:left="513" w:right="93"/>
        <w:jc w:val="left"/>
      </w:pPr>
      <w:r>
        <w:rPr/>
        <w:t>购买子公司少数股权： </w:t>
      </w:r>
      <w:r>
        <w:rPr>
          <w:spacing w:val="-2"/>
        </w:rPr>
        <w:t>本公司因购买少数股权新取得的长期股权投资与按照新增持股比例计算应享有子公司自购买日（或合并日）开始持续计</w:t>
      </w:r>
    </w:p>
    <w:p>
      <w:pPr>
        <w:pStyle w:val="BodyText"/>
        <w:spacing w:line="477" w:lineRule="auto" w:before="54"/>
        <w:ind w:right="93"/>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240" w:lineRule="auto" w:before="54"/>
        <w:ind w:left="513" w:right="93"/>
        <w:jc w:val="left"/>
      </w:pPr>
      <w:r>
        <w:rPr/>
        <w:t>不丧失控制权的情况下部分处置对子公司的股权投资：</w:t>
      </w:r>
    </w:p>
    <w:p>
      <w:pPr>
        <w:spacing w:after="0" w:line="240" w:lineRule="auto"/>
        <w:jc w:val="left"/>
        <w:sectPr>
          <w:pgSz w:w="11910" w:h="16840"/>
          <w:pgMar w:header="851" w:footer="1226" w:top="1380" w:bottom="1420" w:left="980" w:right="940"/>
        </w:sectPr>
      </w:pPr>
    </w:p>
    <w:p>
      <w:pPr>
        <w:pStyle w:val="BodyText"/>
        <w:spacing w:line="477" w:lineRule="auto" w:before="141"/>
        <w:ind w:left="154" w:right="152" w:firstLine="360"/>
        <w:jc w:val="both"/>
      </w:pPr>
      <w:r>
        <w:rPr/>
        <w:t>在不丧失控制权的情况下因部分处置对子公司的长期股权投资而取得的处置价款与处置长期股权投资相对应享有子公 </w:t>
      </w: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7、合营安排分类及共同经营会计处理方法" w:id="127"/>
      <w:bookmarkEnd w:id="12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54"/>
        <w:ind w:left="51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9"/>
        <w:rPr>
          <w:rFonts w:ascii="宋体" w:hAnsi="宋体" w:cs="宋体" w:eastAsia="宋体" w:hint="default"/>
          <w:sz w:val="16"/>
          <w:szCs w:val="16"/>
        </w:rPr>
      </w:pPr>
    </w:p>
    <w:p>
      <w:pPr>
        <w:pStyle w:val="BodyText"/>
        <w:spacing w:line="451" w:lineRule="auto"/>
        <w:ind w:left="513" w:right="338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三、（十三）长期股权投资</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8、现金及现金等价物的确定标准" w:id="128"/>
      <w:bookmarkEnd w:id="12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9、外币业务和外币报表折算" w:id="129"/>
      <w:bookmarkEnd w:id="12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74" w:right="2872" w:hanging="5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477" w:lineRule="auto" w:before="74"/>
        <w:ind w:left="213" w:right="0" w:firstLine="360"/>
        <w:jc w:val="left"/>
      </w:pPr>
      <w:r>
        <w:rPr/>
        <w:t>资产负债表日外币货币性项目余额按资产负债表日即期汇率折算，由此产生的汇兑差额，除属于与购建符合资本化条 件的资产相关的外币专门借款产生的汇兑差额按照借款费用资本化的原则处理外，均计入当期损益。</w:t>
      </w:r>
    </w:p>
    <w:p>
      <w:pPr>
        <w:pStyle w:val="BodyText"/>
        <w:spacing w:line="451" w:lineRule="auto" w:before="54"/>
        <w:ind w:left="573" w:right="0" w:hanging="5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477" w:lineRule="auto" w:before="43"/>
        <w:ind w:left="573" w:right="1073"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after="0" w:line="477" w:lineRule="auto"/>
        <w:jc w:val="lef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93"/>
        <w:jc w:val="left"/>
        <w:rPr>
          <w:b w:val="0"/>
          <w:bCs w:val="0"/>
        </w:rPr>
      </w:pPr>
      <w:bookmarkStart w:name="10、金融工具" w:id="130"/>
      <w:bookmarkEnd w:id="13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3"/>
        <w:jc w:val="left"/>
      </w:pPr>
      <w:r>
        <w:rPr/>
        <w:t>金融工具包括金融资产、金融负债和权益工具。</w:t>
      </w:r>
    </w:p>
    <w:p>
      <w:pPr>
        <w:spacing w:line="240" w:lineRule="auto" w:before="10"/>
        <w:rPr>
          <w:rFonts w:ascii="宋体" w:hAnsi="宋体" w:cs="宋体" w:eastAsia="宋体" w:hint="default"/>
          <w:sz w:val="17"/>
          <w:szCs w:val="17"/>
        </w:rPr>
      </w:pPr>
    </w:p>
    <w:p>
      <w:pPr>
        <w:pStyle w:val="BodyText"/>
        <w:spacing w:line="451" w:lineRule="auto"/>
        <w:ind w:left="514" w:right="93" w:firstLine="1"/>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240" w:lineRule="auto" w:before="74"/>
        <w:ind w:left="154" w:right="93"/>
        <w:jc w:val="left"/>
      </w:pPr>
      <w:r>
        <w:rPr/>
        <w:t>金融资产或金融负债；持有至到期投资；应收款项；可供出售金融资产；其他金融负债等。</w:t>
      </w:r>
    </w:p>
    <w:p>
      <w:pPr>
        <w:spacing w:line="240" w:lineRule="auto" w:before="10"/>
        <w:rPr>
          <w:rFonts w:ascii="宋体" w:hAnsi="宋体" w:cs="宋体" w:eastAsia="宋体" w:hint="default"/>
          <w:sz w:val="17"/>
          <w:szCs w:val="17"/>
        </w:rPr>
      </w:pPr>
    </w:p>
    <w:p>
      <w:pPr>
        <w:pStyle w:val="Heading4"/>
        <w:spacing w:line="240" w:lineRule="auto"/>
        <w:ind w:left="515" w:right="93"/>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9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477" w:lineRule="auto" w:before="74"/>
        <w:ind w:left="513" w:right="189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63" w:lineRule="auto" w:before="54"/>
        <w:ind w:left="513" w:right="9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477" w:lineRule="auto" w:before="65"/>
        <w:ind w:left="513" w:right="4053" w:hanging="360"/>
        <w:jc w:val="left"/>
      </w:pPr>
      <w:r>
        <w:rPr/>
        <w:t>用的更短期间内保持不变。 处置时，将所取得价款与该投资账面价值之间的差额计入投资收益。</w:t>
      </w:r>
    </w:p>
    <w:p>
      <w:pPr>
        <w:pStyle w:val="BodyText"/>
        <w:spacing w:line="451" w:lineRule="auto" w:before="54"/>
        <w:ind w:left="513" w:right="93"/>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477" w:lineRule="auto" w:before="74"/>
        <w:ind w:right="93"/>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54"/>
        <w:ind w:left="514" w:right="93"/>
        <w:jc w:val="left"/>
      </w:pPr>
      <w:r>
        <w:rPr/>
        <w:t>收回或处置时，将取得的价款与该应收款项账面价值之间的差额计入当期损益。</w:t>
      </w:r>
    </w:p>
    <w:p>
      <w:pPr>
        <w:spacing w:line="240" w:lineRule="auto" w:before="10"/>
        <w:rPr>
          <w:rFonts w:ascii="宋体" w:hAnsi="宋体" w:cs="宋体" w:eastAsia="宋体" w:hint="default"/>
          <w:sz w:val="17"/>
          <w:szCs w:val="17"/>
        </w:rPr>
      </w:pPr>
    </w:p>
    <w:p>
      <w:pPr>
        <w:pStyle w:val="BodyText"/>
        <w:spacing w:line="451" w:lineRule="auto"/>
        <w:ind w:left="514" w:right="93"/>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477" w:lineRule="auto" w:before="74"/>
        <w:ind w:left="513" w:right="93" w:hanging="360"/>
        <w:jc w:val="left"/>
      </w:pPr>
      <w:r>
        <w:rPr/>
        <w:t>初始确认金额。 持有期间将取得的利息或现金股利确认为投资收益。期末以公允价值计量且将公允价值变动计入其他综合收益。但是，</w:t>
      </w:r>
    </w:p>
    <w:p>
      <w:pPr>
        <w:pStyle w:val="BodyText"/>
        <w:spacing w:line="477" w:lineRule="auto" w:before="54"/>
        <w:ind w:right="93"/>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477" w:lineRule="auto" w:before="54"/>
        <w:ind w:right="93"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spacing w:after="0" w:line="477" w:lineRule="auto"/>
        <w:jc w:val="left"/>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463" w:lineRule="auto" w:before="83"/>
        <w:ind w:left="514" w:right="27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477" w:lineRule="auto" w:before="34"/>
        <w:ind w:right="93"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477" w:lineRule="auto" w:before="54"/>
        <w:ind w:right="93"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4"/>
        <w:ind w:left="513" w:right="93"/>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451" w:lineRule="auto"/>
        <w:ind w:left="154" w:right="18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477" w:lineRule="auto" w:before="74"/>
        <w:ind w:right="9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left="513" w:right="93"/>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451" w:lineRule="auto"/>
        <w:ind w:left="154" w:right="182"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463" w:lineRule="auto" w:before="74"/>
        <w:ind w:left="513" w:right="93"/>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477" w:lineRule="auto" w:before="65"/>
        <w:ind w:right="93"/>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477" w:lineRule="auto" w:before="54"/>
        <w:ind w:right="9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477" w:lineRule="auto" w:before="54"/>
        <w:ind w:right="9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4"/>
        <w:ind w:right="9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w:t>
      </w:r>
      <w:r>
        <w:rPr>
          <w:spacing w:val="-85"/>
        </w:rPr>
        <w:t> </w:t>
      </w:r>
      <w:r>
        <w:rPr>
          <w:spacing w:val="-85"/>
        </w:rPr>
      </w:r>
      <w:r>
        <w:rPr/>
        <w:t>计入当期损益。</w:t>
      </w:r>
    </w:p>
    <w:p>
      <w:pPr>
        <w:spacing w:line="451" w:lineRule="auto" w:before="54"/>
        <w:ind w:left="513" w:right="9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spacing w:after="0" w:line="451" w:lineRule="auto"/>
        <w:jc w:val="left"/>
        <w:rPr>
          <w:rFonts w:ascii="宋体" w:hAnsi="宋体" w:cs="宋体" w:eastAsia="宋体" w:hint="default"/>
          <w:sz w:val="18"/>
          <w:szCs w:val="18"/>
        </w:rPr>
        <w:sectPr>
          <w:pgSz w:w="11910" w:h="16840"/>
          <w:pgMar w:header="851" w:footer="1226" w:top="1380" w:bottom="1420" w:left="980" w:right="940"/>
        </w:sectPr>
      </w:pPr>
    </w:p>
    <w:p>
      <w:pPr>
        <w:pStyle w:val="BodyText"/>
        <w:spacing w:line="477" w:lineRule="auto" w:before="141"/>
        <w:ind w:left="154" w:right="151"/>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451" w:lineRule="auto" w:before="5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74"/>
        <w:ind w:right="0"/>
        <w:jc w:val="left"/>
      </w:pPr>
      <w:r>
        <w:rPr/>
        <w:t>有客观证据表明某项金融资产发生减值的，计提减值准备。</w:t>
      </w:r>
    </w:p>
    <w:p>
      <w:pPr>
        <w:spacing w:line="240" w:lineRule="auto" w:before="10"/>
        <w:rPr>
          <w:rFonts w:ascii="宋体" w:hAnsi="宋体" w:cs="宋体" w:eastAsia="宋体" w:hint="default"/>
          <w:sz w:val="17"/>
          <w:szCs w:val="17"/>
        </w:rPr>
      </w:pPr>
    </w:p>
    <w:p>
      <w:pPr>
        <w:pStyle w:val="BodyText"/>
        <w:spacing w:line="451" w:lineRule="auto"/>
        <w:ind w:left="513"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477" w:lineRule="auto" w:before="74"/>
        <w:ind w:left="513"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477" w:lineRule="auto" w:before="54"/>
        <w:ind w:left="514" w:right="4732" w:hanging="360"/>
        <w:jc w:val="left"/>
      </w:pPr>
      <w:r>
        <w:rPr/>
        <w:t>事项有关的，原确认的减值损失予以转回，计入当期损益。 可供出售权益工具投资发生的减值损失，不通过损益转回。</w:t>
      </w:r>
    </w:p>
    <w:p>
      <w:pPr>
        <w:pStyle w:val="BodyText"/>
        <w:spacing w:line="451" w:lineRule="auto" w:before="54"/>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11、应收款项" w:id="131"/>
      <w:bookmarkEnd w:id="13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2"/>
      <w:bookmarkEnd w:id="13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单项金额重大的应收账款是指：余额前五名或占余额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上的明细之和。单项金额重大的其他应收款是指：余额大于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33"/>
      <w:bookmarkEnd w:id="13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（一般应收账款及其他应收款）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（商业购销应收账款）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（移动端游戏业务应收账款）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（取得国内信用证的应收账款）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spacing w:after="0" w:line="240" w:lineRule="auto"/>
        <w:jc w:val="lef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3191"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上重大但单独计提坏账准备的应收款项" w:id="134"/>
      <w:bookmarkEnd w:id="13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除单项金额重大已单独计提坏账准备的应收款项外，公司根 据以往经验结合实际情况判断，以上述组合方式计提的坏账 准备不足以完全覆盖其预计损失额的应收款项，将单独计提 坏账准备。</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根据预计的损失情况足额计提。</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both"/>
        <w:rPr>
          <w:b w:val="0"/>
          <w:bCs w:val="0"/>
        </w:rPr>
      </w:pPr>
      <w:bookmarkStart w:name="12、存货" w:id="135"/>
      <w:bookmarkEnd w:id="135"/>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2"/>
          <w:szCs w:val="32"/>
        </w:rPr>
      </w:pPr>
    </w:p>
    <w:p>
      <w:pPr>
        <w:spacing w:line="463" w:lineRule="auto" w:before="0"/>
        <w:ind w:left="514" w:right="38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存货分类为：原材料、库存商品、外购软硬件及服务、低值易耗品等。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pStyle w:val="BodyText"/>
        <w:spacing w:line="477" w:lineRule="auto" w:before="33"/>
        <w:ind w:left="513" w:right="6353"/>
        <w:jc w:val="left"/>
      </w:pPr>
      <w:r>
        <w:rPr/>
        <w:t>日常核算存货取得时按实际成本计价。 发出时按以下方式确认：</w:t>
      </w:r>
    </w:p>
    <w:p>
      <w:pPr>
        <w:pStyle w:val="BodyText"/>
        <w:spacing w:line="240" w:lineRule="auto" w:before="54"/>
        <w:ind w:left="513" w:right="0"/>
        <w:jc w:val="left"/>
      </w:pPr>
      <w:r>
        <w:rPr/>
        <w:t>（</w:t>
      </w:r>
      <w:r>
        <w:rPr>
          <w:rFonts w:ascii="Times New Roman" w:hAnsi="Times New Roman" w:cs="Times New Roman" w:eastAsia="Times New Roman" w:hint="default"/>
        </w:rPr>
        <w:t>1</w:t>
      </w:r>
      <w:r>
        <w:rPr/>
        <w:t>）采购存货专门用于单项业务时，按个别计价法确认；</w:t>
      </w:r>
    </w:p>
    <w:p>
      <w:pPr>
        <w:spacing w:line="240" w:lineRule="auto" w:before="9"/>
        <w:rPr>
          <w:rFonts w:ascii="宋体" w:hAnsi="宋体" w:cs="宋体" w:eastAsia="宋体" w:hint="default"/>
          <w:sz w:val="16"/>
          <w:szCs w:val="16"/>
        </w:rPr>
      </w:pPr>
    </w:p>
    <w:p>
      <w:pPr>
        <w:pStyle w:val="BodyText"/>
        <w:spacing w:line="458" w:lineRule="auto"/>
        <w:ind w:left="513" w:right="0"/>
        <w:jc w:val="left"/>
      </w:pPr>
      <w:r>
        <w:rPr/>
        <w:t>（</w:t>
      </w:r>
      <w:r>
        <w:rPr>
          <w:rFonts w:ascii="Times New Roman" w:hAnsi="Times New Roman" w:cs="Times New Roman" w:eastAsia="Times New Roman" w:hint="default"/>
        </w:rPr>
        <w:t>2</w:t>
      </w:r>
      <w:r>
        <w:rPr/>
        <w:t>）非为单项业务单独采购的存货，按加权平均价格计价确认。 </w:t>
      </w:r>
      <w:r>
        <w:rPr>
          <w:rFonts w:ascii="Times New Roman" w:hAnsi="Times New Roman" w:cs="Times New Roman" w:eastAsia="Times New Roman" w:hint="default"/>
          <w:b/>
          <w:bCs/>
        </w:rPr>
        <w:t>3</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477" w:lineRule="auto" w:before="68"/>
        <w:ind w:right="15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477" w:lineRule="auto" w:before="54"/>
        <w:ind w:left="154" w:right="15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477" w:lineRule="auto" w:before="54"/>
        <w:ind w:left="154" w:right="0" w:firstLine="360"/>
        <w:jc w:val="left"/>
      </w:pPr>
      <w:r>
        <w:rPr>
          <w:spacing w:val="-2"/>
        </w:rPr>
        <w:t>以前减记存货价值的影响因素已经消失的，减记的金额予以恢复，并在原已计提的存货跌价准备金额内转回，转回的金</w:t>
      </w:r>
      <w:r>
        <w:rPr/>
        <w:t> 额计入当期损益。</w:t>
      </w:r>
    </w:p>
    <w:p>
      <w:pPr>
        <w:pStyle w:val="BodyText"/>
        <w:spacing w:line="477" w:lineRule="auto" w:before="54"/>
        <w:ind w:left="513" w:right="593"/>
        <w:jc w:val="left"/>
      </w:pPr>
      <w:r>
        <w:rPr/>
        <w:t>除有明确证据表明资产负债表日市场价格异常外，存货项目的可变现净值以资产负债表日市场价格为基础确定。 资产负债表日市场价格异常的判断依据为： 本期期末存货项目的可变现净值以资产负债表日市场价格为基础确定。</w:t>
      </w:r>
    </w:p>
    <w:p>
      <w:pPr>
        <w:spacing w:line="451" w:lineRule="auto" w:before="54"/>
        <w:ind w:left="514" w:right="7875"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r>
        <w:rPr>
          <w:rFonts w:ascii="宋体" w:hAnsi="宋体" w:cs="宋体" w:eastAsia="宋体" w:hint="default"/>
          <w:spacing w:val="-17"/>
          <w:sz w:val="18"/>
          <w:szCs w:val="18"/>
        </w:rPr>
        <w:t> </w:t>
      </w:r>
      <w:r>
        <w:rPr>
          <w:rFonts w:ascii="宋体" w:hAnsi="宋体" w:cs="宋体" w:eastAsia="宋体" w:hint="default"/>
          <w:sz w:val="18"/>
          <w:szCs w:val="18"/>
        </w:rPr>
        <w:t>。</w:t>
      </w:r>
    </w:p>
    <w:p>
      <w:pPr>
        <w:pStyle w:val="Heading4"/>
        <w:spacing w:line="240" w:lineRule="auto" w:before="74"/>
        <w:ind w:left="515"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13" w:right="0"/>
        <w:jc w:val="left"/>
      </w:pPr>
      <w:r>
        <w:rPr/>
        <w:t>（</w:t>
      </w:r>
      <w:r>
        <w:rPr>
          <w:rFonts w:ascii="Times New Roman" w:hAnsi="Times New Roman" w:cs="Times New Roman" w:eastAsia="Times New Roman" w:hint="default"/>
        </w:rPr>
        <w:t>1</w:t>
      </w:r>
      <w:r>
        <w:rPr/>
        <w:t>）低值易耗品采用一次转销法；</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93"/>
        <w:jc w:val="left"/>
        <w:rPr>
          <w:b w:val="0"/>
          <w:bCs w:val="0"/>
        </w:rPr>
      </w:pPr>
      <w:bookmarkStart w:name="13、划分为持有待售资产" w:id="136"/>
      <w:bookmarkEnd w:id="136"/>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93"/>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53" w:right="93"/>
        <w:jc w:val="left"/>
        <w:rPr>
          <w:b w:val="0"/>
          <w:bCs w:val="0"/>
        </w:rPr>
      </w:pPr>
      <w:bookmarkStart w:name="14、长期股权投资" w:id="137"/>
      <w:bookmarkEnd w:id="13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spacing w:line="451" w:lineRule="auto" w:before="0"/>
        <w:ind w:left="513" w:right="9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477" w:lineRule="auto" w:before="74"/>
        <w:ind w:right="93"/>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477" w:lineRule="auto" w:before="54"/>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4"/>
        <w:spacing w:line="240" w:lineRule="auto" w:before="54"/>
        <w:ind w:left="515" w:right="93"/>
        <w:jc w:val="left"/>
        <w:rPr>
          <w:b w:val="0"/>
          <w:bCs w:val="0"/>
        </w:rPr>
      </w:pPr>
      <w:r>
        <w:rPr>
          <w:rFonts w:ascii="Times New Roman" w:hAnsi="Times New Roman" w:cs="Times New Roman" w:eastAsia="Times New Roman" w:hint="default"/>
        </w:rPr>
        <w:t>2</w:t>
      </w:r>
      <w:r>
        <w:rPr/>
        <w:t>、初始投资成本的确定</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93"/>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74"/>
        <w:ind w:right="93"/>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477" w:lineRule="auto" w:before="54"/>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468" w:lineRule="auto" w:before="54"/>
        <w:ind w:left="513" w:right="9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477" w:lineRule="auto" w:before="61"/>
        <w:ind w:right="19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4"/>
        <w:ind w:left="514" w:right="93"/>
        <w:jc w:val="left"/>
      </w:pPr>
      <w:r>
        <w:rPr/>
        <w:t>通过债务重组取得的长期股权投资，其初始投资成本按照公允价值为基础确定。</w:t>
      </w:r>
    </w:p>
    <w:p>
      <w:pPr>
        <w:spacing w:after="0" w:line="240" w:lineRule="auto"/>
        <w:jc w:val="left"/>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83"/>
        <w:ind w:left="515"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73" w:right="0"/>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w:t>
      </w:r>
    </w:p>
    <w:p>
      <w:pPr>
        <w:pStyle w:val="BodyText"/>
        <w:spacing w:line="240" w:lineRule="auto" w:before="74"/>
        <w:ind w:left="213" w:right="0"/>
        <w:jc w:val="left"/>
      </w:pPr>
      <w:r>
        <w:rPr/>
        <w:t>现金股利或利润外，公司按照享有被投资单位宣告发放的现金股利或利润确认当期投资收益。</w:t>
      </w:r>
    </w:p>
    <w:p>
      <w:pPr>
        <w:spacing w:line="240" w:lineRule="auto" w:before="10"/>
        <w:rPr>
          <w:rFonts w:ascii="宋体" w:hAnsi="宋体" w:cs="宋体" w:eastAsia="宋体" w:hint="default"/>
          <w:sz w:val="17"/>
          <w:szCs w:val="17"/>
        </w:rPr>
      </w:pPr>
    </w:p>
    <w:p>
      <w:pPr>
        <w:pStyle w:val="BodyText"/>
        <w:spacing w:line="451" w:lineRule="auto"/>
        <w:ind w:left="574" w:right="0" w:hanging="60"/>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w:t>
      </w:r>
    </w:p>
    <w:p>
      <w:pPr>
        <w:pStyle w:val="BodyText"/>
        <w:spacing w:line="477" w:lineRule="auto" w:before="74"/>
        <w:ind w:left="214" w:right="0"/>
        <w:jc w:val="left"/>
      </w:pPr>
      <w:r>
        <w:rPr/>
        <w:t>公允价值份额的差额，不调整长期股权投资的初始投资成本；初始投资成本小于投资时应享有被投资单位可辨认净资产公</w:t>
      </w:r>
      <w:r>
        <w:rPr>
          <w:spacing w:val="-57"/>
        </w:rPr>
        <w:t> </w:t>
      </w:r>
      <w:r>
        <w:rPr>
          <w:spacing w:val="-57"/>
        </w:rPr>
      </w:r>
      <w:r>
        <w:rPr/>
        <w:t>允价值份额的差额，计入当期损益。</w:t>
      </w:r>
    </w:p>
    <w:p>
      <w:pPr>
        <w:pStyle w:val="BodyText"/>
        <w:spacing w:line="477" w:lineRule="auto" w:before="54"/>
        <w:ind w:left="154" w:right="15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477" w:lineRule="auto" w:before="54"/>
        <w:ind w:left="154" w:right="15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468" w:lineRule="auto" w:before="54"/>
        <w:ind w:right="152"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5"/>
        </w:rPr>
        <w:t> </w:t>
      </w:r>
      <w:r>
        <w:rPr>
          <w:spacing w:val="-75"/>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477" w:lineRule="auto" w:before="29"/>
        <w:ind w:left="213" w:right="151" w:firstLine="360"/>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w:t>
      </w:r>
      <w:r>
        <w:rPr>
          <w:spacing w:val="-57"/>
        </w:rPr>
        <w:t> </w:t>
      </w:r>
      <w:r>
        <w:rPr>
          <w:spacing w:val="-57"/>
        </w:rPr>
      </w:r>
      <w:r>
        <w:rPr/>
        <w:t>失，冲减长期应收项目等的账面价值。最后，经过上述处理，按照投资合同或协议约定企业仍承担额外义务的，按预计承</w:t>
      </w:r>
      <w:r>
        <w:rPr>
          <w:spacing w:val="-55"/>
        </w:rPr>
        <w:t> </w:t>
      </w:r>
      <w:r>
        <w:rPr>
          <w:spacing w:val="-55"/>
        </w:rPr>
      </w:r>
      <w:r>
        <w:rPr/>
        <w:t>担的义务确认预计负债，计入当期投资损失。</w:t>
      </w:r>
    </w:p>
    <w:p>
      <w:pPr>
        <w:pStyle w:val="BodyText"/>
        <w:spacing w:line="451" w:lineRule="auto" w:before="54"/>
        <w:ind w:left="514" w:right="365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77" w:lineRule="auto" w:before="74"/>
        <w:ind w:right="15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spacing w:after="0" w:line="477" w:lineRule="auto"/>
        <w:jc w:val="both"/>
        <w:sectPr>
          <w:pgSz w:w="11910" w:h="16840"/>
          <w:pgMar w:header="851" w:footer="1226" w:top="1380" w:bottom="1420" w:left="980" w:right="980"/>
        </w:sectPr>
      </w:pPr>
    </w:p>
    <w:p>
      <w:pPr>
        <w:pStyle w:val="BodyText"/>
        <w:spacing w:line="477" w:lineRule="auto" w:before="141"/>
        <w:ind w:left="154" w:right="92"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spacing w:val="-85"/>
        </w:rPr>
        <w:t> </w:t>
      </w:r>
      <w:r>
        <w:rPr>
          <w:spacing w:val="-85"/>
        </w:rPr>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477" w:lineRule="auto" w:before="54"/>
        <w:ind w:right="191"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477" w:lineRule="auto" w:before="54"/>
        <w:ind w:left="154"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15、投资性房地产" w:id="138"/>
      <w:bookmarkEnd w:id="13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514" w:right="7472"/>
        <w:jc w:val="left"/>
      </w:pPr>
      <w:r>
        <w:rPr/>
        <w:t>投资性房地产计量模式： 成本法计量。 折旧或摊销方法：</w:t>
      </w:r>
    </w:p>
    <w:p>
      <w:pPr>
        <w:pStyle w:val="BodyText"/>
        <w:spacing w:line="477" w:lineRule="auto" w:before="63"/>
        <w:ind w:left="154" w:right="19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477" w:lineRule="auto" w:before="54"/>
        <w:ind w:left="154" w:right="19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3"/>
        <w:rPr>
          <w:rFonts w:ascii="宋体" w:hAnsi="宋体" w:cs="宋体" w:eastAsia="宋体" w:hint="default"/>
          <w:sz w:val="19"/>
          <w:szCs w:val="19"/>
        </w:rPr>
      </w:pPr>
    </w:p>
    <w:p>
      <w:pPr>
        <w:pStyle w:val="Heading3"/>
        <w:spacing w:line="240" w:lineRule="auto"/>
        <w:ind w:left="153" w:right="93"/>
        <w:jc w:val="left"/>
        <w:rPr>
          <w:b w:val="0"/>
          <w:bCs w:val="0"/>
        </w:rPr>
      </w:pPr>
      <w:bookmarkStart w:name="16、固定资产" w:id="139"/>
      <w:bookmarkEnd w:id="13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6"/>
        <w:rPr>
          <w:rFonts w:ascii="宋体" w:hAnsi="宋体" w:cs="宋体" w:eastAsia="宋体" w:hint="default"/>
          <w:b/>
          <w:bCs/>
          <w:sz w:val="32"/>
          <w:szCs w:val="32"/>
        </w:rPr>
      </w:pPr>
    </w:p>
    <w:p>
      <w:pPr>
        <w:pStyle w:val="Heading4"/>
        <w:spacing w:line="240" w:lineRule="auto"/>
        <w:ind w:left="515" w:right="93"/>
        <w:jc w:val="left"/>
        <w:rPr>
          <w:b w:val="0"/>
          <w:bCs w:val="0"/>
        </w:rPr>
      </w:pPr>
      <w:bookmarkStart w:name="（1）确认条件" w:id="140"/>
      <w:bookmarkEnd w:id="14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left="154" w:right="190" w:firstLine="360"/>
        <w:jc w:val="both"/>
      </w:pPr>
      <w:r>
        <w:rPr>
          <w:spacing w:val="-2"/>
        </w:rPr>
        <w:t>固定资产指为生产商品、提供劳务、出租或经营管理而持有，并且使用寿命超过一个会计年度的有形资产。固定资产在</w:t>
      </w:r>
      <w:r>
        <w:rPr/>
        <w:t> </w:t>
      </w:r>
      <w:r>
        <w:rPr>
          <w:spacing w:val="-8"/>
        </w:rPr>
        <w:t>同时满足下列条件时予以确认：（</w:t>
      </w:r>
      <w:r>
        <w:rPr>
          <w:rFonts w:ascii="Times New Roman" w:hAnsi="Times New Roman" w:cs="Times New Roman" w:eastAsia="Times New Roman" w:hint="default"/>
          <w:spacing w:val="-8"/>
        </w:rPr>
        <w:t>1</w:t>
      </w:r>
      <w:r>
        <w:rPr>
          <w:spacing w:val="-8"/>
        </w:rPr>
        <w:t>）与该固定资产有关的经济利益很可能流入企业；（</w:t>
      </w:r>
      <w:r>
        <w:rPr>
          <w:rFonts w:ascii="Times New Roman" w:hAnsi="Times New Roman" w:cs="Times New Roman" w:eastAsia="Times New Roman" w:hint="default"/>
          <w:spacing w:val="-8"/>
        </w:rPr>
        <w:t>2</w:t>
      </w:r>
      <w:r>
        <w:rPr>
          <w:spacing w:val="-8"/>
        </w:rPr>
        <w:t>）该固定资产的成本能够可靠地计量。</w:t>
      </w:r>
    </w:p>
    <w:p>
      <w:pPr>
        <w:spacing w:after="0" w:line="477" w:lineRule="auto"/>
        <w:jc w:val="both"/>
        <w:sectPr>
          <w:pgSz w:w="11910" w:h="16840"/>
          <w:pgMar w:header="851" w:footer="1226" w:top="1380" w:bottom="1420" w:left="980" w:right="940"/>
        </w:sectPr>
      </w:pPr>
    </w:p>
    <w:p>
      <w:pPr>
        <w:pStyle w:val="Heading4"/>
        <w:spacing w:line="240" w:lineRule="auto" w:before="141"/>
        <w:ind w:left="515" w:right="0"/>
        <w:jc w:val="left"/>
        <w:rPr>
          <w:b w:val="0"/>
          <w:bCs w:val="0"/>
        </w:rPr>
      </w:pPr>
      <w:bookmarkStart w:name="（2）折旧方法" w:id="141"/>
      <w:bookmarkEnd w:id="14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4"/>
        <w:rPr>
          <w:rFonts w:ascii="宋体" w:hAnsi="宋体" w:cs="宋体" w:eastAsia="宋体" w:hint="default"/>
          <w:b/>
          <w:bCs/>
          <w:sz w:val="26"/>
          <w:szCs w:val="26"/>
        </w:rPr>
      </w:pPr>
    </w:p>
    <w:p>
      <w:pPr>
        <w:pStyle w:val="Heading4"/>
        <w:spacing w:line="240" w:lineRule="auto" w:before="44"/>
        <w:ind w:left="515" w:right="0"/>
        <w:jc w:val="left"/>
        <w:rPr>
          <w:b w:val="0"/>
          <w:bCs w:val="0"/>
        </w:rPr>
      </w:pPr>
      <w:bookmarkStart w:name="（3）融资租入固定资产的认定依据、计价和折旧方法" w:id="142"/>
      <w:bookmarkEnd w:id="14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60" w:lineRule="auto"/>
        <w:ind w:right="291" w:firstLine="360"/>
        <w:jc w:val="both"/>
      </w:pPr>
      <w:r>
        <w:rPr>
          <w:spacing w:val="-2"/>
        </w:rPr>
        <w:t>（</w:t>
      </w:r>
      <w:r>
        <w:rPr>
          <w:rFonts w:ascii="Times New Roman" w:hAnsi="Times New Roman" w:cs="Times New Roman" w:eastAsia="Times New Roman" w:hint="default"/>
          <w:spacing w:val="-2"/>
        </w:rPr>
        <w:t>1</w:t>
      </w:r>
      <w:r>
        <w:rPr>
          <w:spacing w:val="-2"/>
        </w:rPr>
        <w:t>）租赁期满后租赁资产的所有权归属于本公司；（</w:t>
      </w:r>
      <w:r>
        <w:rPr>
          <w:rFonts w:ascii="Times New Roman" w:hAnsi="Times New Roman" w:cs="Times New Roman" w:eastAsia="Times New Roman" w:hint="default"/>
          <w:spacing w:val="-2"/>
        </w:rPr>
        <w:t>2</w:t>
      </w:r>
      <w:r>
        <w:rPr>
          <w:spacing w:val="-2"/>
        </w:rPr>
        <w:t>）公司具有购买资产的选择权，购买价款远低于行使选择权时该</w:t>
      </w:r>
      <w:r>
        <w:rPr/>
        <w:t> </w:t>
      </w:r>
      <w:r>
        <w:rPr>
          <w:spacing w:val="-5"/>
        </w:rPr>
        <w:t>资产的公允价值；（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）租赁开始日的最低租赁付款额现值，与该资产的公允价</w:t>
      </w:r>
      <w:r>
        <w:rPr>
          <w:spacing w:val="-73"/>
        </w:rPr>
        <w:t> </w:t>
      </w:r>
      <w:r>
        <w:rPr>
          <w:spacing w:val="-73"/>
        </w:rPr>
      </w:r>
      <w:r>
        <w:rPr>
          <w:spacing w:val="-2"/>
        </w:rPr>
        <w:t>值不存在较大的差异。公司在承租开始日，将租赁资产公允价值与最低租赁付款额现值两者中较低者作为租入资产的入账价</w:t>
      </w:r>
      <w:r>
        <w:rPr>
          <w:spacing w:val="-64"/>
        </w:rPr>
        <w:t> </w:t>
      </w:r>
      <w:r>
        <w:rPr>
          <w:spacing w:val="-64"/>
        </w:rPr>
      </w:r>
      <w:r>
        <w:rPr/>
        <w:t>值，将最低租赁付款额作为长期应付款的入账价值，其差额作为未确认的融资费。公司本报告期无融资租入固定资产。</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17、在建工程" w:id="143"/>
      <w:bookmarkEnd w:id="14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left="154" w:right="29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18、借款费用" w:id="144"/>
      <w:bookmarkEnd w:id="14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513" w:right="0" w:firstLine="1"/>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477" w:lineRule="auto" w:before="65"/>
        <w:ind w:left="514" w:right="0" w:hanging="360"/>
        <w:jc w:val="left"/>
      </w:pPr>
      <w:r>
        <w:rPr/>
        <w:t>借款费用，在发生时根据其发生额确认为费用，计入当期损益。 </w:t>
      </w:r>
      <w:r>
        <w:rPr>
          <w:spacing w:val="-2"/>
        </w:rPr>
        <w:t>符合资本化条件的资产，是指需要经过相当长时间的购建或者生产活动才能达到预定可使用或者可销售状态的固定资产、</w:t>
      </w:r>
    </w:p>
    <w:p>
      <w:pPr>
        <w:pStyle w:val="BodyText"/>
        <w:spacing w:line="477" w:lineRule="auto" w:before="54"/>
        <w:ind w:left="514" w:right="6132" w:hanging="360"/>
        <w:jc w:val="left"/>
      </w:pPr>
      <w:r>
        <w:rPr/>
        <w:t>投资性房地产和存货等资产。 借款费用同时满足下列条件时开始资本化：</w:t>
      </w:r>
    </w:p>
    <w:p>
      <w:pPr>
        <w:pStyle w:val="BodyText"/>
        <w:spacing w:line="240" w:lineRule="auto" w:before="54"/>
        <w:ind w:left="514"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w:t>
      </w:r>
    </w:p>
    <w:p>
      <w:pPr>
        <w:spacing w:after="0" w:line="240" w:lineRule="auto"/>
        <w:jc w:val="left"/>
        <w:sectPr>
          <w:pgSz w:w="11910" w:h="16840"/>
          <w:pgMar w:header="851" w:footer="1226" w:top="1380" w:bottom="1420" w:left="980" w:right="840"/>
        </w:sectPr>
      </w:pPr>
    </w:p>
    <w:p>
      <w:pPr>
        <w:pStyle w:val="BodyText"/>
        <w:spacing w:line="240" w:lineRule="auto" w:before="141"/>
        <w:ind w:left="154" w:right="0"/>
        <w:jc w:val="left"/>
      </w:pPr>
      <w:r>
        <w:rPr/>
        <w:t>担带息债务形式发生的支出；</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w:t>
      </w:r>
      <w:r>
        <w:rPr>
          <w:rFonts w:ascii="Times New Roman" w:hAnsi="Times New Roman" w:cs="Times New Roman" w:eastAsia="Times New Roman" w:hint="default"/>
        </w:rPr>
        <w:t>2</w:t>
      </w:r>
      <w:r>
        <w:rPr/>
        <w:t>）借款费用已经发生；</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10"/>
        <w:rPr>
          <w:rFonts w:ascii="宋体" w:hAnsi="宋体" w:cs="宋体" w:eastAsia="宋体" w:hint="default"/>
          <w:sz w:val="16"/>
          <w:szCs w:val="16"/>
        </w:rPr>
      </w:pPr>
    </w:p>
    <w:p>
      <w:pPr>
        <w:pStyle w:val="BodyText"/>
        <w:spacing w:line="470" w:lineRule="auto"/>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59"/>
        <w:ind w:right="0"/>
        <w:jc w:val="left"/>
      </w:pPr>
      <w:r>
        <w:rPr/>
        <w:t>款费用资本化。</w:t>
      </w:r>
    </w:p>
    <w:p>
      <w:pPr>
        <w:spacing w:line="240" w:lineRule="auto" w:before="10"/>
        <w:rPr>
          <w:rFonts w:ascii="宋体" w:hAnsi="宋体" w:cs="宋体" w:eastAsia="宋体" w:hint="default"/>
          <w:sz w:val="17"/>
          <w:szCs w:val="17"/>
        </w:rPr>
      </w:pPr>
    </w:p>
    <w:p>
      <w:pPr>
        <w:pStyle w:val="BodyText"/>
        <w:spacing w:line="451" w:lineRule="auto"/>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p>
    <w:p>
      <w:pPr>
        <w:pStyle w:val="BodyText"/>
        <w:spacing w:line="477" w:lineRule="auto" w:before="43"/>
        <w:ind w:left="154"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451" w:lineRule="auto" w:before="5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477" w:lineRule="auto" w:before="74"/>
        <w:ind w:left="513"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477" w:lineRule="auto" w:before="54"/>
        <w:ind w:right="0"/>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19、生物资产" w:id="145"/>
      <w:bookmarkEnd w:id="14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0、油气资产" w:id="146"/>
      <w:bookmarkEnd w:id="14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1、无形资产" w:id="147"/>
      <w:bookmarkEnd w:id="14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6"/>
        <w:rPr>
          <w:rFonts w:ascii="宋体" w:hAnsi="宋体" w:cs="宋体" w:eastAsia="宋体" w:hint="default"/>
          <w:b/>
          <w:bCs/>
          <w:sz w:val="32"/>
          <w:szCs w:val="32"/>
        </w:rPr>
      </w:pPr>
    </w:p>
    <w:p>
      <w:pPr>
        <w:pStyle w:val="Heading4"/>
        <w:spacing w:line="240" w:lineRule="auto"/>
        <w:ind w:left="515" w:right="0"/>
        <w:jc w:val="left"/>
        <w:rPr>
          <w:b w:val="0"/>
          <w:bCs w:val="0"/>
        </w:rPr>
      </w:pPr>
      <w:bookmarkStart w:name="（1）计价方法、使用寿命、减值测试" w:id="148"/>
      <w:bookmarkEnd w:id="14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515" w:right="0"/>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after="0" w:line="240" w:lineRule="auto"/>
        <w:jc w:val="left"/>
        <w:sectPr>
          <w:pgSz w:w="11910" w:h="16840"/>
          <w:pgMar w:header="851" w:footer="1226" w:top="1380" w:bottom="1420" w:left="980" w:right="980"/>
        </w:sectPr>
      </w:pPr>
    </w:p>
    <w:p>
      <w:pPr>
        <w:pStyle w:val="BodyText"/>
        <w:spacing w:line="451" w:lineRule="auto" w:before="141"/>
        <w:ind w:left="514"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477" w:lineRule="auto" w:before="74"/>
        <w:ind w:left="51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477" w:lineRule="auto" w:before="54"/>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54"/>
        <w:ind w:left="154"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51" w:lineRule="auto" w:before="54"/>
        <w:ind w:left="513" w:right="617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77" w:lineRule="auto" w:before="74"/>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4"/>
        <w:spacing w:line="240" w:lineRule="auto" w:before="54"/>
        <w:ind w:left="515"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9"/>
          <w:szCs w:val="9"/>
        </w:rPr>
      </w:pPr>
    </w:p>
    <w:tbl>
      <w:tblPr>
        <w:tblW w:w="0" w:type="auto"/>
        <w:jc w:val="left"/>
        <w:tblInd w:w="137" w:type="dxa"/>
        <w:tblLayout w:type="fixed"/>
        <w:tblCellMar>
          <w:top w:w="0" w:type="dxa"/>
          <w:left w:w="0" w:type="dxa"/>
          <w:bottom w:w="0" w:type="dxa"/>
          <w:right w:w="0" w:type="dxa"/>
        </w:tblCellMar>
        <w:tblLook w:val="01E0"/>
      </w:tblPr>
      <w:tblGrid>
        <w:gridCol w:w="5206"/>
        <w:gridCol w:w="4452"/>
      </w:tblGrid>
      <w:tr>
        <w:trPr>
          <w:trHeight w:val="346" w:hRule="exact"/>
        </w:trPr>
        <w:tc>
          <w:tcPr>
            <w:tcW w:w="52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预计使用寿命</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5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外购软件及许可权</w:t>
            </w:r>
          </w:p>
        </w:tc>
        <w:tc>
          <w:tcPr>
            <w:tcW w:w="4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5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自主研发软件（不含移动端游戏自主研发软件）</w:t>
            </w:r>
          </w:p>
        </w:tc>
        <w:tc>
          <w:tcPr>
            <w:tcW w:w="4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5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自主研发软件（移动端游戏自主研发软件）</w:t>
            </w:r>
          </w:p>
        </w:tc>
        <w:tc>
          <w:tcPr>
            <w:tcW w:w="4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5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20-50</w:t>
            </w:r>
          </w:p>
        </w:tc>
      </w:tr>
    </w:tbl>
    <w:p>
      <w:pPr>
        <w:pStyle w:val="BodyText"/>
        <w:spacing w:line="470" w:lineRule="auto" w:before="88"/>
        <w:ind w:left="513" w:right="3383"/>
        <w:jc w:val="left"/>
      </w:pPr>
      <w:r>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、使用寿命不确定的无形资产的判断依据以及对其使用寿命进行复核的程序 每期末，对使用寿命不确定的无形资产的使用寿命进行复核。 经复核，该类无形资产的使用寿命仍为不确定。</w:t>
      </w:r>
    </w:p>
    <w:p>
      <w:pPr>
        <w:spacing w:line="240" w:lineRule="auto" w:before="0"/>
        <w:rPr>
          <w:rFonts w:ascii="宋体" w:hAnsi="宋体" w:cs="宋体" w:eastAsia="宋体" w:hint="default"/>
          <w:sz w:val="18"/>
          <w:szCs w:val="18"/>
        </w:rPr>
      </w:pPr>
    </w:p>
    <w:p>
      <w:pPr>
        <w:pStyle w:val="Heading4"/>
        <w:spacing w:line="240" w:lineRule="auto" w:before="124"/>
        <w:ind w:left="515" w:right="0"/>
        <w:jc w:val="left"/>
        <w:rPr>
          <w:b w:val="0"/>
          <w:bCs w:val="0"/>
        </w:rPr>
      </w:pPr>
      <w:bookmarkStart w:name="（2）内部研究开发支出会计政策" w:id="149"/>
      <w:bookmarkEnd w:id="14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line="463" w:lineRule="auto" w:before="0"/>
        <w:ind w:left="513" w:right="167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477" w:lineRule="auto" w:before="65"/>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after="0" w:line="477" w:lineRule="auto"/>
        <w:jc w:val="left"/>
        <w:sectPr>
          <w:pgSz w:w="11910" w:h="16840"/>
          <w:pgMar w:header="851" w:footer="1226" w:top="1380" w:bottom="1420" w:left="980" w:right="980"/>
        </w:sectPr>
      </w:pPr>
    </w:p>
    <w:p>
      <w:pPr>
        <w:spacing w:line="451" w:lineRule="auto" w:before="141"/>
        <w:ind w:left="513" w:right="351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74"/>
        <w:ind w:left="513" w:right="93"/>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0"/>
        <w:rPr>
          <w:rFonts w:ascii="宋体" w:hAnsi="宋体" w:cs="宋体" w:eastAsia="宋体" w:hint="default"/>
          <w:sz w:val="16"/>
          <w:szCs w:val="16"/>
        </w:rPr>
      </w:pPr>
    </w:p>
    <w:p>
      <w:pPr>
        <w:pStyle w:val="BodyText"/>
        <w:spacing w:line="240" w:lineRule="auto"/>
        <w:ind w:left="513" w:right="93"/>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451" w:lineRule="auto"/>
        <w:ind w:left="154" w:right="18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74"/>
        <w:ind w:left="514" w:right="9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9"/>
        <w:rPr>
          <w:rFonts w:ascii="宋体" w:hAnsi="宋体" w:cs="宋体" w:eastAsia="宋体" w:hint="default"/>
          <w:sz w:val="16"/>
          <w:szCs w:val="16"/>
        </w:rPr>
      </w:pPr>
    </w:p>
    <w:p>
      <w:pPr>
        <w:pStyle w:val="BodyText"/>
        <w:spacing w:line="463" w:lineRule="auto"/>
        <w:ind w:left="513" w:right="81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 本报告期内，公司无符合资本化条件的开发项目。</w:t>
      </w:r>
    </w:p>
    <w:p>
      <w:pPr>
        <w:spacing w:line="240" w:lineRule="auto" w:before="1"/>
        <w:rPr>
          <w:rFonts w:ascii="宋体" w:hAnsi="宋体" w:cs="宋体" w:eastAsia="宋体" w:hint="default"/>
          <w:sz w:val="20"/>
          <w:szCs w:val="20"/>
        </w:rPr>
      </w:pPr>
    </w:p>
    <w:p>
      <w:pPr>
        <w:pStyle w:val="Heading3"/>
        <w:spacing w:line="240" w:lineRule="auto"/>
        <w:ind w:right="93"/>
        <w:jc w:val="left"/>
        <w:rPr>
          <w:b w:val="0"/>
          <w:bCs w:val="0"/>
        </w:rPr>
      </w:pPr>
      <w:bookmarkStart w:name="22、长期资产减值" w:id="150"/>
      <w:bookmarkEnd w:id="15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9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477" w:lineRule="auto" w:before="54"/>
        <w:ind w:left="513" w:right="9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477" w:lineRule="auto" w:before="54"/>
        <w:ind w:right="93"/>
        <w:jc w:val="left"/>
      </w:pPr>
      <w:r>
        <w:rPr/>
        <w:t>难以分摊至相关的资产组的，将其分摊至相关的资产组组合。在将商誉的账面价值分摊至相关的资产组或者资产组组合时，</w:t>
      </w:r>
      <w:r>
        <w:rPr>
          <w:spacing w:val="-85"/>
        </w:rPr>
        <w:t> </w:t>
      </w:r>
      <w:r>
        <w:rPr>
          <w:spacing w:val="-85"/>
        </w:rPr>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477" w:lineRule="auto" w:before="54"/>
        <w:ind w:right="93"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79"/>
        </w:rPr>
        <w:t> </w:t>
      </w:r>
      <w:r>
        <w:rPr>
          <w:spacing w:val="-79"/>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r>
        <w:rPr>
          <w:spacing w:val="-83"/>
        </w:rPr>
        <w:t> </w:t>
      </w:r>
      <w:r>
        <w:rPr>
          <w:spacing w:val="-83"/>
        </w:rPr>
      </w:r>
      <w:r>
        <w:rPr/>
        <w:t>上述资产减值损失一经确认，在以后会计期间不予转回。</w:t>
      </w:r>
    </w:p>
    <w:p>
      <w:pPr>
        <w:spacing w:line="240" w:lineRule="auto" w:before="4"/>
        <w:rPr>
          <w:rFonts w:ascii="宋体" w:hAnsi="宋体" w:cs="宋体" w:eastAsia="宋体" w:hint="default"/>
          <w:sz w:val="19"/>
          <w:szCs w:val="19"/>
        </w:rPr>
      </w:pPr>
    </w:p>
    <w:p>
      <w:pPr>
        <w:pStyle w:val="Heading3"/>
        <w:spacing w:line="240" w:lineRule="auto"/>
        <w:ind w:right="93"/>
        <w:jc w:val="left"/>
        <w:rPr>
          <w:b w:val="0"/>
          <w:bCs w:val="0"/>
        </w:rPr>
      </w:pPr>
      <w:bookmarkStart w:name="23、长期待摊费用" w:id="151"/>
      <w:bookmarkEnd w:id="15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3"/>
        <w:jc w:val="left"/>
      </w:pPr>
      <w:r>
        <w:rPr/>
        <w:t>长期待摊费用为已经发生但应由本期和以后各期负担的分摊期限在一年以上的各项费用</w:t>
      </w:r>
      <w:r>
        <w:rPr>
          <w:spacing w:val="-82"/>
        </w:rPr>
        <w:t>。</w:t>
      </w:r>
      <w:r>
        <w:rPr/>
        <w:t>本公司长期待摊费用包括租入</w:t>
      </w:r>
    </w:p>
    <w:p>
      <w:pPr>
        <w:spacing w:after="0" w:line="240" w:lineRule="auto"/>
        <w:jc w:val="left"/>
        <w:sectPr>
          <w:pgSz w:w="11910" w:h="16840"/>
          <w:pgMar w:header="851" w:footer="1226" w:top="1380" w:bottom="1420" w:left="980" w:right="940"/>
        </w:sectPr>
      </w:pPr>
    </w:p>
    <w:p>
      <w:pPr>
        <w:spacing w:line="468" w:lineRule="auto" w:before="141"/>
        <w:ind w:left="514" w:right="6532" w:hanging="360"/>
        <w:jc w:val="left"/>
        <w:rPr>
          <w:rFonts w:ascii="宋体" w:hAnsi="宋体" w:cs="宋体" w:eastAsia="宋体" w:hint="default"/>
          <w:sz w:val="18"/>
          <w:szCs w:val="18"/>
        </w:rPr>
      </w:pPr>
      <w:r>
        <w:rPr>
          <w:rFonts w:ascii="宋体" w:hAnsi="宋体" w:cs="宋体" w:eastAsia="宋体" w:hint="default"/>
          <w:sz w:val="18"/>
          <w:szCs w:val="18"/>
        </w:rPr>
        <w:t>固定资产装修和游戏版权金。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、摊销年限</w:t>
      </w:r>
      <w:r>
        <w:rPr>
          <w:rFonts w:ascii="宋体" w:hAnsi="宋体" w:cs="宋体" w:eastAsia="宋体" w:hint="default"/>
          <w:sz w:val="18"/>
          <w:szCs w:val="18"/>
        </w:rPr>
      </w:r>
    </w:p>
    <w:p>
      <w:pPr>
        <w:pStyle w:val="BodyText"/>
        <w:spacing w:line="477" w:lineRule="auto" w:before="29"/>
        <w:ind w:left="513" w:right="2933"/>
        <w:jc w:val="left"/>
      </w:pPr>
      <w:r>
        <w:rPr/>
        <w:t>经营租赁方式租入的固定资产改良支出，按最佳预期经济利益实现方式合理摊销。 购入游戏版权金，在授权期内合理摊销。</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24、职工薪酬" w:id="152"/>
      <w:bookmarkEnd w:id="15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6"/>
        <w:rPr>
          <w:rFonts w:ascii="宋体" w:hAnsi="宋体" w:cs="宋体" w:eastAsia="宋体" w:hint="default"/>
          <w:b/>
          <w:bCs/>
          <w:sz w:val="32"/>
          <w:szCs w:val="32"/>
        </w:rPr>
      </w:pPr>
    </w:p>
    <w:p>
      <w:pPr>
        <w:pStyle w:val="Heading4"/>
        <w:spacing w:line="240" w:lineRule="auto"/>
        <w:ind w:left="515" w:right="0"/>
        <w:jc w:val="left"/>
        <w:rPr>
          <w:b w:val="0"/>
          <w:bCs w:val="0"/>
        </w:rPr>
      </w:pPr>
      <w:bookmarkStart w:name="（1）短期薪酬的会计处理方法" w:id="153"/>
      <w:bookmarkEnd w:id="15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left="51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477" w:lineRule="auto" w:before="54"/>
        <w:ind w:left="513" w:right="365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4"/>
        <w:spacing w:line="240" w:lineRule="auto" w:before="118"/>
        <w:ind w:left="515" w:right="0"/>
        <w:jc w:val="left"/>
        <w:rPr>
          <w:b w:val="0"/>
          <w:bCs w:val="0"/>
        </w:rPr>
      </w:pPr>
      <w:bookmarkStart w:name="（2）离职后福利的会计处理方法" w:id="154"/>
      <w:bookmarkEnd w:id="15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left="513" w:right="0"/>
        <w:jc w:val="left"/>
      </w:pP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54"/>
        <w:ind w:right="0"/>
        <w:jc w:val="left"/>
      </w:pPr>
      <w:r>
        <w:rPr/>
        <w:t>定的缴纳基数和比例计算应缴纳金额，确认为负债，并计入当期损益或相关资产成本。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4"/>
        <w:spacing w:line="240" w:lineRule="auto"/>
        <w:ind w:left="515" w:right="0"/>
        <w:jc w:val="left"/>
        <w:rPr>
          <w:b w:val="0"/>
          <w:bCs w:val="0"/>
        </w:rPr>
      </w:pPr>
      <w:bookmarkStart w:name="（3）辞退福利的会计处理方法" w:id="155"/>
      <w:bookmarkEnd w:id="15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pStyle w:val="Heading4"/>
        <w:spacing w:line="240" w:lineRule="auto" w:before="118"/>
        <w:ind w:left="515" w:right="0"/>
        <w:jc w:val="left"/>
        <w:rPr>
          <w:b w:val="0"/>
          <w:bCs w:val="0"/>
        </w:rPr>
      </w:pPr>
      <w:bookmarkStart w:name="（4）其他长期职工福利的会计处理方法" w:id="156"/>
      <w:bookmarkEnd w:id="15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3"/>
          <w:szCs w:val="13"/>
        </w:rPr>
      </w:pPr>
    </w:p>
    <w:p>
      <w:pPr>
        <w:pStyle w:val="Heading3"/>
        <w:spacing w:line="240" w:lineRule="auto"/>
        <w:ind w:left="153" w:right="0"/>
        <w:jc w:val="left"/>
        <w:rPr>
          <w:b w:val="0"/>
          <w:bCs w:val="0"/>
        </w:rPr>
      </w:pPr>
      <w:bookmarkStart w:name="25、预计负债" w:id="157"/>
      <w:bookmarkEnd w:id="15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本公司涉及诉讼、债务担保、亏损合同、重组事项时，如该等事项很可能需要未来以交付资产或提供劳务、其金额能够</w:t>
      </w:r>
      <w:r>
        <w:rPr/>
        <w:t> 可靠计量的，确认为预计负债。</w:t>
      </w:r>
    </w:p>
    <w:p>
      <w:pPr>
        <w:spacing w:after="0" w:line="477" w:lineRule="auto"/>
        <w:jc w:val="left"/>
        <w:sectPr>
          <w:footerReference w:type="default" r:id="rId19"/>
          <w:pgSz w:w="11910" w:h="16840"/>
          <w:pgMar w:footer="1590" w:header="851" w:top="1380" w:bottom="1780" w:left="980" w:right="980"/>
          <w:pgNumType w:start="116"/>
        </w:sectPr>
      </w:pPr>
    </w:p>
    <w:p>
      <w:pPr>
        <w:pStyle w:val="BodyText"/>
        <w:spacing w:line="240" w:lineRule="auto" w:before="141"/>
        <w:ind w:left="514" w:right="93"/>
        <w:jc w:val="left"/>
      </w:pPr>
      <w:r>
        <w:rPr/>
        <w:t>与或有事项相关的义务同时满足下列条件时，本公司确认为预计负债：</w:t>
      </w:r>
    </w:p>
    <w:p>
      <w:pPr>
        <w:spacing w:line="240" w:lineRule="auto" w:before="10"/>
        <w:rPr>
          <w:rFonts w:ascii="宋体" w:hAnsi="宋体" w:cs="宋体" w:eastAsia="宋体" w:hint="default"/>
          <w:sz w:val="17"/>
          <w:szCs w:val="17"/>
        </w:rPr>
      </w:pPr>
    </w:p>
    <w:p>
      <w:pPr>
        <w:pStyle w:val="BodyText"/>
        <w:spacing w:line="240" w:lineRule="auto"/>
        <w:ind w:left="513" w:right="93"/>
        <w:jc w:val="left"/>
      </w:pPr>
      <w:r>
        <w:rPr/>
        <w:t>（</w:t>
      </w:r>
      <w:r>
        <w:rPr>
          <w:rFonts w:ascii="Times New Roman" w:hAnsi="Times New Roman" w:cs="Times New Roman" w:eastAsia="Times New Roman" w:hint="default"/>
        </w:rPr>
        <w:t>1</w:t>
      </w:r>
      <w:r>
        <w:rPr/>
        <w:t>）该义务是本公司承担的现时义务；</w:t>
      </w:r>
    </w:p>
    <w:p>
      <w:pPr>
        <w:spacing w:line="240" w:lineRule="auto" w:before="9"/>
        <w:rPr>
          <w:rFonts w:ascii="宋体" w:hAnsi="宋体" w:cs="宋体" w:eastAsia="宋体" w:hint="default"/>
          <w:sz w:val="16"/>
          <w:szCs w:val="16"/>
        </w:rPr>
      </w:pPr>
    </w:p>
    <w:p>
      <w:pPr>
        <w:pStyle w:val="BodyText"/>
        <w:spacing w:line="240" w:lineRule="auto"/>
        <w:ind w:left="513" w:right="93"/>
        <w:jc w:val="left"/>
      </w:pPr>
      <w:r>
        <w:rPr/>
        <w:t>（</w:t>
      </w:r>
      <w:r>
        <w:rPr>
          <w:rFonts w:ascii="Times New Roman" w:hAnsi="Times New Roman" w:cs="Times New Roman" w:eastAsia="Times New Roman" w:hint="default"/>
        </w:rPr>
        <w:t>2</w:t>
      </w:r>
      <w:r>
        <w:rPr/>
        <w:t>）履行该义务很可能导致经济利益流出本公司；</w:t>
      </w:r>
    </w:p>
    <w:p>
      <w:pPr>
        <w:spacing w:line="240" w:lineRule="auto" w:before="10"/>
        <w:rPr>
          <w:rFonts w:ascii="宋体" w:hAnsi="宋体" w:cs="宋体" w:eastAsia="宋体" w:hint="default"/>
          <w:sz w:val="16"/>
          <w:szCs w:val="16"/>
        </w:rPr>
      </w:pPr>
    </w:p>
    <w:p>
      <w:pPr>
        <w:pStyle w:val="BodyText"/>
        <w:spacing w:line="240" w:lineRule="auto"/>
        <w:ind w:left="514" w:right="93"/>
        <w:jc w:val="left"/>
      </w:pPr>
      <w:r>
        <w:rPr/>
        <w:t>（</w:t>
      </w:r>
      <w:r>
        <w:rPr>
          <w:rFonts w:ascii="Times New Roman" w:hAnsi="Times New Roman" w:cs="Times New Roman" w:eastAsia="Times New Roman" w:hint="default"/>
        </w:rPr>
        <w:t>3</w:t>
      </w:r>
      <w:r>
        <w:rPr/>
        <w:t>）该义务的金额能够可靠地计量。</w:t>
      </w:r>
    </w:p>
    <w:p>
      <w:pPr>
        <w:spacing w:line="240" w:lineRule="auto" w:before="9"/>
        <w:rPr>
          <w:rFonts w:ascii="宋体" w:hAnsi="宋体" w:cs="宋体" w:eastAsia="宋体" w:hint="default"/>
          <w:sz w:val="16"/>
          <w:szCs w:val="16"/>
        </w:rPr>
      </w:pPr>
    </w:p>
    <w:p>
      <w:pPr>
        <w:spacing w:line="451" w:lineRule="auto" w:before="0"/>
        <w:ind w:left="513" w:right="33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477" w:lineRule="auto" w:before="74"/>
        <w:ind w:right="93"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477" w:lineRule="auto" w:before="54"/>
        <w:ind w:left="514" w:right="93"/>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477" w:lineRule="auto" w:before="54"/>
        <w:ind w:left="514" w:right="93"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477" w:lineRule="auto" w:before="54"/>
        <w:ind w:left="154" w:right="193"/>
        <w:jc w:val="both"/>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477" w:lineRule="auto" w:before="54"/>
        <w:ind w:left="154" w:right="92"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26、股份支付" w:id="158"/>
      <w:bookmarkEnd w:id="15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93"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line="477" w:lineRule="auto" w:before="54"/>
        <w:ind w:left="513" w:right="93" w:firstLine="1"/>
        <w:jc w:val="left"/>
        <w:rPr>
          <w:rFonts w:ascii="宋体" w:hAnsi="宋体" w:cs="宋体" w:eastAsia="宋体" w:hint="default"/>
          <w:sz w:val="18"/>
          <w:szCs w:val="18"/>
        </w:rPr>
      </w:pP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以权益结算的股份支付换取职工提供服务的，以授予职工权益工具的公允价值计量。授予后立即可行权的，在授予日按</w:t>
      </w:r>
    </w:p>
    <w:p>
      <w:pPr>
        <w:pStyle w:val="BodyText"/>
        <w:spacing w:line="477" w:lineRule="auto" w:before="54"/>
        <w:ind w:right="192"/>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出最佳估计，以此为基础，按照授予日的公允价值，将当期取得的服务计入相关成本或费用，相应增加资本公积。权益工具</w:t>
      </w:r>
      <w:r>
        <w:rPr>
          <w:spacing w:val="-66"/>
        </w:rPr>
        <w:t> </w:t>
      </w:r>
      <w:r>
        <w:rPr>
          <w:spacing w:val="-66"/>
        </w:rPr>
      </w:r>
      <w:r>
        <w:rPr/>
        <w:t>的公允价值采用</w:t>
      </w:r>
      <w:r>
        <w:rPr>
          <w:rFonts w:ascii="Times New Roman" w:hAnsi="Times New Roman" w:cs="Times New Roman" w:eastAsia="Times New Roman" w:hint="default"/>
        </w:rPr>
        <w:t>Black-Scholes</w:t>
      </w:r>
      <w:r>
        <w:rPr/>
        <w:t>模型确定，详见</w:t>
      </w:r>
      <w:r>
        <w:rPr>
          <w:spacing w:val="-23"/>
        </w:rPr>
        <w:t> </w:t>
      </w:r>
      <w:r>
        <w:rPr/>
        <w:t>附注七、股份支付。</w:t>
      </w:r>
    </w:p>
    <w:p>
      <w:pPr>
        <w:pStyle w:val="BodyText"/>
        <w:spacing w:line="477" w:lineRule="auto" w:before="21"/>
        <w:ind w:left="154" w:right="191" w:firstLine="360"/>
        <w:jc w:val="both"/>
      </w:pPr>
      <w:r>
        <w:rPr>
          <w:spacing w:val="-2"/>
        </w:rPr>
        <w:t>在满足业绩条件或服务期限条件的期间，应确认以权益结算的股份支付的成本或费用，并相应增加资本公积。可行权日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240" w:lineRule="auto" w:before="54"/>
        <w:ind w:left="514" w:right="0"/>
        <w:jc w:val="left"/>
      </w:pPr>
      <w:r>
        <w:rPr/>
        <w:t>对于最终未能行权的股份支付，不确认成本或费用，除非行权条件是市场条件或非可行权条件，此时无论是否满足市场</w:t>
      </w:r>
    </w:p>
    <w:p>
      <w:pPr>
        <w:spacing w:after="0" w:line="240" w:lineRule="auto"/>
        <w:jc w:val="left"/>
        <w:sectPr>
          <w:footerReference w:type="default" r:id="rId20"/>
          <w:pgSz w:w="11910" w:h="16840"/>
          <w:pgMar w:footer="1226" w:header="851" w:top="1380" w:bottom="1420" w:left="980" w:right="940"/>
          <w:pgNumType w:start="117"/>
        </w:sectPr>
      </w:pPr>
    </w:p>
    <w:p>
      <w:pPr>
        <w:pStyle w:val="BodyText"/>
        <w:spacing w:line="477" w:lineRule="auto" w:before="141"/>
        <w:ind w:left="513" w:right="0" w:hanging="360"/>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477" w:lineRule="auto" w:before="54"/>
        <w:ind w:left="513" w:right="0" w:hanging="360"/>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477" w:lineRule="auto" w:before="54"/>
        <w:ind w:right="0"/>
        <w:jc w:val="left"/>
      </w:pPr>
      <w:r>
        <w:rPr/>
        <w:t>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r>
        <w:rPr>
          <w:spacing w:val="-62"/>
        </w:rPr>
        <w:t> </w:t>
      </w:r>
      <w:r>
        <w:rPr>
          <w:spacing w:val="-62"/>
        </w:rPr>
      </w:r>
      <w:r>
        <w:rPr/>
        <w:t>对所授予的替代权益工具进行处理。</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27、优先股、永续债等其他金融工具" w:id="159"/>
      <w:bookmarkEnd w:id="15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53" w:right="0"/>
        <w:jc w:val="left"/>
        <w:rPr>
          <w:b w:val="0"/>
          <w:bCs w:val="0"/>
        </w:rPr>
      </w:pPr>
      <w:bookmarkStart w:name="28、收入" w:id="160"/>
      <w:bookmarkEnd w:id="160"/>
      <w:r>
        <w:rPr>
          <w:b w:val="0"/>
          <w:bCs w:val="0"/>
        </w:rPr>
      </w:r>
      <w:r>
        <w:rPr>
          <w:rFonts w:ascii="Times New Roman" w:hAnsi="Times New Roman" w:cs="Times New Roman" w:eastAsia="Times New Roman" w:hint="default"/>
        </w:rPr>
        <w:t>28</w:t>
      </w:r>
      <w:r>
        <w:rPr/>
        <w:t>、收入</w:t>
      </w:r>
      <w:r>
        <w:rPr>
          <w:b w:val="0"/>
          <w:bCs w:val="0"/>
        </w:rPr>
      </w:r>
    </w:p>
    <w:p>
      <w:pPr>
        <w:spacing w:line="240" w:lineRule="auto" w:before="6"/>
        <w:rPr>
          <w:rFonts w:ascii="宋体" w:hAnsi="宋体" w:cs="宋体" w:eastAsia="宋体" w:hint="default"/>
          <w:b/>
          <w:bCs/>
          <w:sz w:val="32"/>
          <w:szCs w:val="32"/>
        </w:rPr>
      </w:pPr>
    </w:p>
    <w:p>
      <w:pPr>
        <w:pStyle w:val="Heading4"/>
        <w:spacing w:line="240" w:lineRule="auto"/>
        <w:ind w:left="515" w:right="0"/>
        <w:jc w:val="left"/>
        <w:rPr>
          <w:b w:val="0"/>
          <w:bCs w:val="0"/>
        </w:rPr>
      </w:pPr>
      <w:r>
        <w:rPr>
          <w:rFonts w:ascii="Times New Roman" w:hAnsi="Times New Roman" w:cs="Times New Roman" w:eastAsia="Times New Roman" w:hint="default"/>
        </w:rPr>
        <w:t>1</w:t>
      </w:r>
      <w:r>
        <w:rPr/>
        <w:t>、公司收入在交易结果能够可靠估计时，按以下原则确认：</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4" w:right="0"/>
        <w:jc w:val="left"/>
      </w:pPr>
      <w:r>
        <w:rPr/>
        <w:t>（</w:t>
      </w:r>
      <w:r>
        <w:rPr>
          <w:rFonts w:ascii="Times New Roman" w:hAnsi="Times New Roman" w:cs="Times New Roman" w:eastAsia="Times New Roman" w:hint="default"/>
        </w:rPr>
        <w:t>1</w:t>
      </w:r>
      <w:r>
        <w:rPr/>
        <w:t>）软件产品开发与销售： </w:t>
      </w:r>
      <w:r>
        <w:rPr>
          <w:spacing w:val="-2"/>
        </w:rPr>
        <w:t>软件产品包括自主开发软件产品和定制开发软件产品。自主开发软件产品指公司自行开发研制的软件产品；定制开发软</w:t>
      </w:r>
    </w:p>
    <w:p>
      <w:pPr>
        <w:pStyle w:val="BodyText"/>
        <w:spacing w:line="477" w:lineRule="auto" w:before="74"/>
        <w:ind w:left="514" w:right="0" w:hanging="360"/>
        <w:jc w:val="left"/>
      </w:pPr>
      <w:r>
        <w:rPr/>
        <w:t>件产品指公司根据买方的实际需求进行定制、开发的软件产品。 </w:t>
      </w:r>
      <w:r>
        <w:rPr>
          <w:spacing w:val="-2"/>
        </w:rPr>
        <w:t>对于自主开发软件产品的销售，公司在软件产品的主要风险和报酬已转移给买方，不再保留与之相联系的管理权和控制</w:t>
      </w:r>
    </w:p>
    <w:p>
      <w:pPr>
        <w:pStyle w:val="BodyText"/>
        <w:spacing w:line="477" w:lineRule="auto" w:before="54"/>
        <w:ind w:left="513" w:right="3613" w:hanging="360"/>
        <w:jc w:val="left"/>
      </w:pPr>
      <w:r>
        <w:rPr/>
        <w:t>权，取得明确的收款证据，相关成本能够可靠地计量时，确认收入。 对于定制开发软件产品，经客户验收确认，按完工百分比确认收入。 对于包含在系统集成中的软件产品，按系统集成的收入确认原则确认收入。</w:t>
      </w:r>
    </w:p>
    <w:p>
      <w:pPr>
        <w:pStyle w:val="BodyText"/>
        <w:spacing w:line="451" w:lineRule="auto" w:before="54"/>
        <w:ind w:left="574" w:right="0" w:hanging="60"/>
        <w:jc w:val="left"/>
      </w:pPr>
      <w:r>
        <w:rPr/>
        <w:t>（</w:t>
      </w:r>
      <w:r>
        <w:rPr>
          <w:rFonts w:ascii="Times New Roman" w:hAnsi="Times New Roman" w:cs="Times New Roman" w:eastAsia="Times New Roman" w:hint="default"/>
        </w:rPr>
        <w:t>2</w:t>
      </w:r>
      <w:r>
        <w:rPr/>
        <w:t>）技术服务收入： 技术服务包括公司向客户提供的与</w:t>
      </w:r>
      <w:r>
        <w:rPr>
          <w:rFonts w:ascii="Times New Roman" w:hAnsi="Times New Roman" w:cs="Times New Roman" w:eastAsia="Times New Roman" w:hint="default"/>
        </w:rPr>
        <w:t>IT</w:t>
      </w:r>
      <w:r>
        <w:rPr/>
        <w:t>运维管理相关的技术支持、技术咨询、技术开发、系统维护、运营管理等服务内</w:t>
      </w:r>
    </w:p>
    <w:p>
      <w:pPr>
        <w:pStyle w:val="BodyText"/>
        <w:spacing w:line="240" w:lineRule="auto" w:before="43"/>
        <w:ind w:left="214" w:right="0"/>
        <w:jc w:val="left"/>
      </w:pPr>
      <w:r>
        <w:rPr/>
        <w:t>容。</w:t>
      </w:r>
    </w:p>
    <w:p>
      <w:pPr>
        <w:spacing w:line="240" w:lineRule="auto" w:before="10"/>
        <w:rPr>
          <w:rFonts w:ascii="宋体" w:hAnsi="宋体" w:cs="宋体" w:eastAsia="宋体" w:hint="default"/>
          <w:sz w:val="17"/>
          <w:szCs w:val="17"/>
        </w:rPr>
      </w:pPr>
    </w:p>
    <w:p>
      <w:pPr>
        <w:pStyle w:val="BodyText"/>
        <w:spacing w:line="477" w:lineRule="auto"/>
        <w:ind w:left="214" w:right="293" w:firstLine="360"/>
        <w:jc w:val="both"/>
      </w:pPr>
      <w:r>
        <w:rPr/>
        <w:t>公司在已根据合同约定提供了相应服务，取得明确的收款证据，相关成本能够可靠地计量时，确认收入。合同明确约 定服务期限的，在合同约定的服务期限内，按进度确认收入；合同明确约定服务成果需经客户验收确认的，根据客户验收</w:t>
      </w:r>
      <w:r>
        <w:rPr>
          <w:spacing w:val="-57"/>
        </w:rPr>
        <w:t> </w:t>
      </w:r>
      <w:r>
        <w:rPr>
          <w:spacing w:val="-57"/>
        </w:rPr>
      </w:r>
      <w:r>
        <w:rPr/>
        <w:t>情况确认收入。</w:t>
      </w:r>
    </w:p>
    <w:p>
      <w:pPr>
        <w:pStyle w:val="BodyText"/>
        <w:spacing w:line="451" w:lineRule="auto" w:before="54"/>
        <w:ind w:left="574" w:right="4632" w:hanging="60"/>
        <w:jc w:val="left"/>
      </w:pPr>
      <w:r>
        <w:rPr/>
        <w:t>（</w:t>
      </w:r>
      <w:r>
        <w:rPr>
          <w:rFonts w:ascii="Times New Roman" w:hAnsi="Times New Roman" w:cs="Times New Roman" w:eastAsia="Times New Roman" w:hint="default"/>
        </w:rPr>
        <w:t>3</w:t>
      </w:r>
      <w:r>
        <w:rPr/>
        <w:t>）系统集成收入： 系统集成包括外购软硬件产品和公司软件产品的销售及安装。</w:t>
      </w:r>
    </w:p>
    <w:p>
      <w:pPr>
        <w:pStyle w:val="BodyText"/>
        <w:spacing w:line="240" w:lineRule="auto" w:before="74"/>
        <w:ind w:left="214" w:right="0" w:firstLine="360"/>
        <w:jc w:val="left"/>
      </w:pPr>
      <w:r>
        <w:rPr/>
        <w:t>对于系统集成，公司根据合同的约定，在系统集成中的外购软硬件产品和公司软件产品的主要风险和报酬已转移给买</w:t>
      </w:r>
    </w:p>
    <w:p>
      <w:pPr>
        <w:spacing w:line="240" w:lineRule="auto" w:before="10"/>
        <w:rPr>
          <w:rFonts w:ascii="宋体" w:hAnsi="宋体" w:cs="宋体" w:eastAsia="宋体" w:hint="default"/>
          <w:sz w:val="17"/>
          <w:szCs w:val="17"/>
        </w:rPr>
      </w:pPr>
    </w:p>
    <w:p>
      <w:pPr>
        <w:pStyle w:val="BodyText"/>
        <w:spacing w:line="240" w:lineRule="auto"/>
        <w:ind w:left="214" w:right="0"/>
        <w:jc w:val="left"/>
      </w:pPr>
      <w:r>
        <w:rPr/>
        <w:t>方，不再保留与之相联系的继续管理权和控制权，系统已按合同约定的条件安装调试、取得了买方的验收确认，相关成本</w:t>
      </w:r>
    </w:p>
    <w:p>
      <w:pPr>
        <w:spacing w:after="0" w:line="240" w:lineRule="auto"/>
        <w:jc w:val="left"/>
        <w:sectPr>
          <w:footerReference w:type="default" r:id="rId21"/>
          <w:pgSz w:w="11910" w:h="16840"/>
          <w:pgMar w:footer="1226" w:header="851" w:top="1380" w:bottom="1420" w:left="980" w:right="840"/>
          <w:pgNumType w:start="118"/>
        </w:sectPr>
      </w:pPr>
    </w:p>
    <w:p>
      <w:pPr>
        <w:pStyle w:val="BodyText"/>
        <w:spacing w:line="240" w:lineRule="auto" w:before="141"/>
        <w:ind w:left="214" w:right="0"/>
        <w:jc w:val="left"/>
      </w:pPr>
      <w:r>
        <w:rPr/>
        <w:t>能够可靠地计量时，按完工百分比确认收入。</w:t>
      </w:r>
    </w:p>
    <w:p>
      <w:pPr>
        <w:spacing w:line="240" w:lineRule="auto" w:before="10"/>
        <w:rPr>
          <w:rFonts w:ascii="宋体" w:hAnsi="宋体" w:cs="宋体" w:eastAsia="宋体" w:hint="default"/>
          <w:sz w:val="17"/>
          <w:szCs w:val="17"/>
        </w:rPr>
      </w:pPr>
    </w:p>
    <w:p>
      <w:pPr>
        <w:pStyle w:val="BodyText"/>
        <w:spacing w:line="451" w:lineRule="auto"/>
        <w:ind w:left="574" w:right="0" w:hanging="60"/>
        <w:jc w:val="left"/>
      </w:pPr>
      <w:r>
        <w:rPr/>
        <w:t>（</w:t>
      </w:r>
      <w:r>
        <w:rPr>
          <w:rFonts w:ascii="Times New Roman" w:hAnsi="Times New Roman" w:cs="Times New Roman" w:eastAsia="Times New Roman" w:hint="default"/>
        </w:rPr>
        <w:t>4</w:t>
      </w:r>
      <w:r>
        <w:rPr/>
        <w:t>）电子商务收入： 对于电子商务业务，以公司将商品所有权上的主要风险和报酬转移给购买方；公司既没有保留与所有权相联系的继续</w:t>
      </w:r>
    </w:p>
    <w:p>
      <w:pPr>
        <w:pStyle w:val="BodyText"/>
        <w:spacing w:line="477" w:lineRule="auto" w:before="74"/>
        <w:ind w:left="214" w:right="0"/>
        <w:jc w:val="left"/>
      </w:pPr>
      <w:r>
        <w:rPr/>
        <w:t>管理权，也没有对已售出的商品实施有效控制；收入的金额能够可靠地计量；相关的经济利益很可能流入企业；相关的已</w:t>
      </w:r>
      <w:r>
        <w:rPr>
          <w:spacing w:val="-53"/>
        </w:rPr>
        <w:t> </w:t>
      </w:r>
      <w:r>
        <w:rPr>
          <w:spacing w:val="-53"/>
        </w:rPr>
      </w:r>
      <w:r>
        <w:rPr/>
        <w:t>发生或将发生的成本能够可靠地计量时，确认商品销售收入实现。</w:t>
      </w:r>
    </w:p>
    <w:p>
      <w:pPr>
        <w:pStyle w:val="BodyText"/>
        <w:spacing w:line="463" w:lineRule="auto" w:before="54"/>
        <w:ind w:left="566" w:right="3780" w:hanging="53"/>
        <w:jc w:val="left"/>
      </w:pPr>
      <w:r>
        <w:rPr/>
        <w:t>（</w:t>
      </w:r>
      <w:r>
        <w:rPr>
          <w:rFonts w:ascii="Times New Roman" w:hAnsi="Times New Roman" w:cs="Times New Roman" w:eastAsia="Times New Roman" w:hint="default"/>
        </w:rPr>
        <w:t>5</w:t>
      </w:r>
      <w:r>
        <w:rPr/>
        <w:t>）移动端游戏收入： 公司目前的移动游戏分为联机游戏和单机游戏，其中以联机游戏为主。 联机游戏目前采用</w:t>
      </w:r>
      <w:r>
        <w:rPr>
          <w:rFonts w:ascii="Times New Roman" w:hAnsi="Times New Roman" w:cs="Times New Roman" w:eastAsia="Times New Roman" w:hint="default"/>
        </w:rPr>
        <w:t>“</w:t>
      </w:r>
      <w:r>
        <w:rPr/>
        <w:t>游戏基础功能免费、部分道具收费</w:t>
      </w:r>
      <w:r>
        <w:rPr>
          <w:rFonts w:ascii="Times New Roman" w:hAnsi="Times New Roman" w:cs="Times New Roman" w:eastAsia="Times New Roman" w:hint="default"/>
        </w:rPr>
        <w:t>”</w:t>
      </w:r>
      <w:r>
        <w:rPr/>
        <w:t>的运营模式。</w:t>
      </w:r>
    </w:p>
    <w:p>
      <w:pPr>
        <w:pStyle w:val="BodyText"/>
        <w:spacing w:line="477" w:lineRule="auto" w:before="33"/>
        <w:ind w:left="206" w:right="0" w:firstLine="360"/>
        <w:jc w:val="left"/>
      </w:pPr>
      <w:r>
        <w:rPr/>
        <w:t>月末与合作方对账确认后，以协议约定的分成比例为基础，在玩家实际使用付费获得的游戏内货币购买道具及其他合 理方式确认收入。</w:t>
      </w:r>
    </w:p>
    <w:p>
      <w:pPr>
        <w:pStyle w:val="BodyText"/>
        <w:spacing w:line="240" w:lineRule="auto" w:before="54"/>
        <w:ind w:left="566" w:right="0"/>
        <w:jc w:val="left"/>
      </w:pPr>
      <w:r>
        <w:rPr/>
        <w:t>单机游戏目前采用</w:t>
      </w:r>
      <w:r>
        <w:rPr>
          <w:rFonts w:ascii="Times New Roman" w:hAnsi="Times New Roman" w:cs="Times New Roman" w:eastAsia="Times New Roman" w:hint="default"/>
        </w:rPr>
        <w:t>“</w:t>
      </w:r>
      <w:r>
        <w:rPr/>
        <w:t>下载一次性收费</w:t>
      </w:r>
      <w:r>
        <w:rPr>
          <w:rFonts w:ascii="Times New Roman" w:hAnsi="Times New Roman" w:cs="Times New Roman" w:eastAsia="Times New Roman" w:hint="default"/>
        </w:rPr>
        <w:t>”</w:t>
      </w:r>
      <w:r>
        <w:rPr/>
        <w:t>模式，在玩家下载游戏并确认付费时确认收入。</w:t>
      </w:r>
    </w:p>
    <w:p>
      <w:pPr>
        <w:spacing w:line="240" w:lineRule="auto" w:before="9"/>
        <w:rPr>
          <w:rFonts w:ascii="宋体" w:hAnsi="宋体" w:cs="宋体" w:eastAsia="宋体" w:hint="default"/>
          <w:sz w:val="16"/>
          <w:szCs w:val="16"/>
        </w:rPr>
      </w:pPr>
    </w:p>
    <w:p>
      <w:pPr>
        <w:pStyle w:val="Heading4"/>
        <w:spacing w:line="240" w:lineRule="auto"/>
        <w:ind w:left="515" w:right="0"/>
        <w:jc w:val="left"/>
        <w:rPr>
          <w:b w:val="0"/>
          <w:bCs w:val="0"/>
        </w:rPr>
      </w:pPr>
      <w:r>
        <w:rPr>
          <w:rFonts w:ascii="Times New Roman" w:hAnsi="Times New Roman" w:cs="Times New Roman" w:eastAsia="Times New Roman" w:hint="default"/>
        </w:rPr>
        <w:t>2</w:t>
      </w:r>
      <w:r>
        <w:rPr/>
        <w:t>、上述交易如交易结果不能够可靠估计的，分别下列情况处理：</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0"/>
        <w:jc w:val="left"/>
      </w:pPr>
      <w:r>
        <w:rPr/>
        <w:t>（</w:t>
      </w:r>
      <w:r>
        <w:rPr>
          <w:rFonts w:ascii="Times New Roman" w:hAnsi="Times New Roman" w:cs="Times New Roman" w:eastAsia="Times New Roman" w:hint="default"/>
        </w:rPr>
        <w:t>1</w:t>
      </w:r>
      <w:r>
        <w:rPr/>
        <w:t>）已经发生的成本预计能够得到补偿的，按照已经发生的成本金额确认收入，并按相同金额结转成本。</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）已经发生的成本预计不能够得到补偿的，将已经发生的成本计入当期损益，不确认收入。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29、政府补助" w:id="161"/>
      <w:bookmarkEnd w:id="16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6"/>
        <w:rPr>
          <w:rFonts w:ascii="宋体" w:hAnsi="宋体" w:cs="宋体" w:eastAsia="宋体" w:hint="default"/>
          <w:b/>
          <w:bCs/>
          <w:sz w:val="32"/>
          <w:szCs w:val="32"/>
        </w:rPr>
      </w:pPr>
    </w:p>
    <w:p>
      <w:pPr>
        <w:pStyle w:val="Heading4"/>
        <w:spacing w:line="240" w:lineRule="auto"/>
        <w:ind w:left="515" w:right="0"/>
        <w:jc w:val="left"/>
        <w:rPr>
          <w:b w:val="0"/>
          <w:bCs w:val="0"/>
        </w:rPr>
      </w:pPr>
      <w:bookmarkStart w:name="（1）与资产相关的政府补助判断依据及会计处理方法" w:id="162"/>
      <w:bookmarkEnd w:id="16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153" w:firstLine="360"/>
        <w:jc w:val="both"/>
      </w:pPr>
      <w:r>
        <w:rPr>
          <w:spacing w:val="-2"/>
        </w:rPr>
        <w:t>与资产相关的政府补助，是指本公司取得的、用于购建或以其他方式形成长期资产的政府补助，包括购买固定资产或无</w:t>
      </w:r>
      <w:r>
        <w:rPr/>
        <w:t> </w:t>
      </w:r>
      <w:r>
        <w:rPr>
          <w:spacing w:val="-2"/>
        </w:rPr>
        <w:t>形资产的财政拨款、固定资产专门借款的财政贴息等。与收益相关的政府补助，是指除与资产相关的政府补助之外的政府补</w:t>
      </w:r>
      <w:r>
        <w:rPr>
          <w:spacing w:val="-66"/>
        </w:rPr>
        <w:t> </w:t>
      </w:r>
      <w:r>
        <w:rPr>
          <w:spacing w:val="-66"/>
        </w:rPr>
      </w:r>
      <w:r>
        <w:rPr>
          <w:spacing w:val="-2"/>
        </w:rPr>
        <w:t>助。与资产相关的政府补助，在实际收到或者获得了收取政府补助的权利并基本确定能收到时确认为递延收益，并按照所建</w:t>
      </w:r>
      <w:r>
        <w:rPr>
          <w:spacing w:val="-66"/>
        </w:rPr>
        <w:t> </w:t>
      </w:r>
      <w:r>
        <w:rPr>
          <w:spacing w:val="-66"/>
        </w:rPr>
      </w:r>
      <w:r>
        <w:rPr/>
        <w:t>造或购买的资产使用年限分期计入营业外收入。</w:t>
      </w:r>
    </w:p>
    <w:p>
      <w:pPr>
        <w:pStyle w:val="BodyText"/>
        <w:spacing w:line="240" w:lineRule="auto" w:before="54"/>
        <w:ind w:left="513"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4"/>
        <w:spacing w:line="240" w:lineRule="auto"/>
        <w:ind w:left="515" w:right="0"/>
        <w:jc w:val="left"/>
        <w:rPr>
          <w:b w:val="0"/>
          <w:bCs w:val="0"/>
        </w:rPr>
      </w:pPr>
      <w:bookmarkStart w:name="（2）与收益相关的政府补助判断依据及会计处理方法" w:id="163"/>
      <w:bookmarkEnd w:id="16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51" w:lineRule="auto"/>
        <w:ind w:right="149" w:firstLine="360"/>
        <w:jc w:val="both"/>
      </w:pPr>
      <w:r>
        <w:rPr/>
        <w:t>与收益相关的政府补助，在实际收到或者获得了收取政府补助的权利并基本确定能收到时予以确认。其中：（</w:t>
      </w:r>
      <w:r>
        <w:rPr>
          <w:rFonts w:ascii="Times New Roman" w:hAnsi="Times New Roman" w:cs="Times New Roman" w:eastAsia="Times New Roman" w:hint="default"/>
        </w:rPr>
        <w:t>1</w:t>
      </w:r>
      <w:r>
        <w:rPr/>
        <w:t>）用于 补偿企业以后期间的相关费用或损失的，取得时确认为递延收益，在确认相关费用的期间计入当期营业外收入；（</w:t>
      </w:r>
      <w:r>
        <w:rPr>
          <w:rFonts w:ascii="Times New Roman" w:hAnsi="Times New Roman" w:cs="Times New Roman" w:eastAsia="Times New Roman" w:hint="default"/>
        </w:rPr>
        <w:t>2</w:t>
      </w:r>
      <w:r>
        <w:rPr/>
        <w:t>）用于</w:t>
      </w:r>
      <w:r>
        <w:rPr>
          <w:spacing w:val="-83"/>
        </w:rPr>
        <w:t> </w:t>
      </w:r>
      <w:r>
        <w:rPr>
          <w:spacing w:val="-83"/>
        </w:rPr>
      </w:r>
      <w:r>
        <w:rPr/>
        <w:t>补偿企业已发生的相关费用或损失的，取得时直接计入当期营业外收入。</w:t>
      </w:r>
    </w:p>
    <w:p>
      <w:pPr>
        <w:pStyle w:val="BodyText"/>
        <w:spacing w:line="240" w:lineRule="auto" w:before="74"/>
        <w:ind w:left="513" w:right="0"/>
        <w:jc w:val="left"/>
      </w:pPr>
      <w:r>
        <w:rPr/>
        <w:t>与收益相关的政府补助，用于补偿本公司以后期间的相关费用或损失的，取得时确认为递延收益，在确认相关费用的期</w:t>
      </w:r>
    </w:p>
    <w:p>
      <w:pPr>
        <w:spacing w:after="0" w:line="240" w:lineRule="auto"/>
        <w:jc w:val="left"/>
        <w:sectPr>
          <w:footerReference w:type="default" r:id="rId22"/>
          <w:pgSz w:w="11910" w:h="16840"/>
          <w:pgMar w:footer="1531" w:header="851" w:top="1380" w:bottom="1720" w:left="980" w:right="980"/>
          <w:pgNumType w:start="119"/>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0、递延所得税资产/递延所得税负债" w:id="164"/>
      <w:bookmarkEnd w:id="16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对于可抵扣暂时性差异确认递延所得税资产，以未来期间很可能取得的用来抵扣可抵扣暂时性差异的应纳税所得额为限。</w:t>
      </w:r>
      <w:r>
        <w:rPr/>
        <w:t> 对于能够结转以后年度的可抵扣亏损和税款抵减，以很可能获得用来抵扣可抵扣亏损和税款抵减的未来应纳税所得额为限，</w:t>
      </w:r>
      <w:r>
        <w:rPr>
          <w:spacing w:val="-85"/>
        </w:rPr>
        <w:t> </w:t>
      </w:r>
      <w:r>
        <w:rPr>
          <w:spacing w:val="-85"/>
        </w:rPr>
      </w:r>
      <w:r>
        <w:rPr/>
        <w:t>确认相应的递延所得税资产。</w:t>
      </w:r>
    </w:p>
    <w:p>
      <w:pPr>
        <w:pStyle w:val="BodyText"/>
        <w:spacing w:line="477" w:lineRule="auto" w:before="54"/>
        <w:ind w:left="513"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477" w:lineRule="auto" w:before="54"/>
        <w:ind w:left="513"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477" w:lineRule="auto" w:before="54"/>
        <w:ind w:left="513"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before="54"/>
        <w:ind w:right="2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31、租赁" w:id="165"/>
      <w:bookmarkEnd w:id="16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4" w:right="0"/>
        <w:jc w:val="left"/>
      </w:pPr>
      <w:r>
        <w:rPr/>
        <w:t>详见“</w:t>
      </w:r>
      <w:r>
        <w:rPr>
          <w:rFonts w:ascii="Times New Roman" w:hAnsi="Times New Roman" w:cs="Times New Roman" w:eastAsia="Times New Roman" w:hint="default"/>
        </w:rPr>
        <w:t>28</w:t>
      </w:r>
      <w:r>
        <w:rPr/>
        <w:t>、收入</w:t>
      </w:r>
      <w:r>
        <w:rPr>
          <w:spacing w:val="-90"/>
        </w:rPr>
        <w:t>”</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2、其他重要的会计政策和会计估计" w:id="166"/>
      <w:bookmarkEnd w:id="16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53" w:right="0"/>
        <w:jc w:val="left"/>
        <w:rPr>
          <w:b w:val="0"/>
          <w:bCs w:val="0"/>
        </w:rPr>
      </w:pPr>
      <w:bookmarkStart w:name="33、重要会计政策和会计估计变更" w:id="167"/>
      <w:bookmarkEnd w:id="16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168"/>
      <w:bookmarkEnd w:id="16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32"/>
          <w:szCs w:val="3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251"/>
        <w:gridCol w:w="1444"/>
      </w:tblGrid>
      <w:tr>
        <w:trPr>
          <w:trHeight w:val="401" w:hRule="exact"/>
        </w:trPr>
        <w:tc>
          <w:tcPr>
            <w:tcW w:w="8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审批程序</w:t>
            </w:r>
          </w:p>
        </w:tc>
      </w:tr>
      <w:tr>
        <w:trPr>
          <w:trHeight w:val="1652" w:hRule="exact"/>
        </w:trPr>
        <w:tc>
          <w:tcPr>
            <w:tcW w:w="825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本公司已执行财政部于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年颁布的下列新的及修订的企业会计准则</w:t>
            </w:r>
            <w:r>
              <w:rPr>
                <w:rFonts w:ascii="宋体" w:hAnsi="宋体" w:cs="宋体" w:eastAsia="宋体" w:hint="default"/>
                <w:spacing w:val="-90"/>
                <w:sz w:val="18"/>
                <w:szCs w:val="18"/>
              </w:rPr>
              <w:t>：</w:t>
            </w:r>
            <w:r>
              <w:rPr>
                <w:rFonts w:ascii="宋体" w:hAnsi="宋体" w:cs="宋体" w:eastAsia="宋体" w:hint="default"/>
                <w:sz w:val="18"/>
                <w:szCs w:val="18"/>
              </w:rPr>
              <w:t>《企业会计准则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宋体" w:hAnsi="宋体" w:cs="宋体" w:eastAsia="宋体" w:hint="default"/>
                <w:spacing w:val="-90"/>
                <w:sz w:val="18"/>
                <w:szCs w:val="18"/>
              </w:rPr>
              <w:t>》</w:t>
            </w:r>
            <w:r>
              <w:rPr>
                <w:rFonts w:ascii="宋体" w:hAnsi="宋体" w:cs="宋体" w:eastAsia="宋体" w:hint="default"/>
                <w:sz w:val="18"/>
                <w:szCs w:val="18"/>
              </w:rPr>
              <w:t>（修</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44"/>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财务报表列报</w:t>
            </w:r>
            <w:r>
              <w:rPr>
                <w:rFonts w:ascii="宋体" w:hAnsi="宋体" w:cs="宋体" w:eastAsia="宋体" w:hint="default"/>
                <w:spacing w:val="-119"/>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119"/>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w:t>
            </w:r>
          </w:p>
        </w:tc>
        <w:tc>
          <w:tcPr>
            <w:tcW w:w="144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1" w:right="149"/>
              <w:jc w:val="both"/>
              <w:rPr>
                <w:rFonts w:ascii="宋体" w:hAnsi="宋体" w:cs="宋体" w:eastAsia="宋体" w:hint="default"/>
                <w:sz w:val="18"/>
                <w:szCs w:val="18"/>
              </w:rPr>
            </w:pPr>
            <w:r>
              <w:rPr>
                <w:rFonts w:ascii="宋体" w:hAnsi="宋体" w:cs="宋体" w:eastAsia="宋体" w:hint="default"/>
                <w:sz w:val="18"/>
                <w:szCs w:val="18"/>
              </w:rPr>
              <w:t>第五届董事会第 十五次会议决议 审批</w:t>
            </w:r>
          </w:p>
        </w:tc>
      </w:tr>
    </w:tbl>
    <w:p>
      <w:pPr>
        <w:pStyle w:val="BodyText"/>
        <w:spacing w:line="240" w:lineRule="auto" w:before="88"/>
        <w:ind w:left="559" w:right="0"/>
        <w:jc w:val="left"/>
      </w:pPr>
      <w:r>
        <w:rPr/>
        <w:pict>
          <v:group style="position:absolute;margin-left:469.26001pt;margin-top:-49.368279pt;width:69.45pt;height:15.6pt;mso-position-horizontal-relative:page;mso-position-vertical-relative:paragraph;z-index:-1110280" coordorigin="9385,-987" coordsize="1389,312">
            <v:shape style="position:absolute;left:9385;top:-987;width:1389;height:312" coordorigin="9385,-987" coordsize="1389,312" path="m9385,-675l10774,-675,10774,-987,9385,-987,9385,-675xe" filled="true" fillcolor="#ffffff" stroked="false">
              <v:path arrowok="t"/>
              <v:fill type="solid"/>
            </v:shape>
            <w10:wrap type="none"/>
          </v:group>
        </w:pict>
      </w:r>
      <w:r>
        <w:rPr/>
        <w:t>（</w:t>
      </w:r>
      <w:r>
        <w:rPr>
          <w:rFonts w:ascii="Times New Roman" w:hAnsi="Times New Roman" w:cs="Times New Roman" w:eastAsia="Times New Roman" w:hint="default"/>
        </w:rPr>
        <w:t>1</w:t>
      </w:r>
      <w:r>
        <w:rPr/>
        <w:t>）</w:t>
      </w:r>
      <w:r>
        <w:rPr>
          <w:spacing w:val="-25"/>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7</w:t>
      </w:r>
      <w:r>
        <w:rPr>
          <w:spacing w:val="-2"/>
        </w:rPr>
        <w:t>月，财政部发布了《企业会计准则第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公允价值计量》（简称企业会计准则第</w:t>
      </w:r>
      <w:r>
        <w:rPr>
          <w:rFonts w:ascii="Times New Roman" w:hAnsi="Times New Roman" w:cs="Times New Roman" w:eastAsia="Times New Roman" w:hint="default"/>
          <w:spacing w:val="-2"/>
        </w:rPr>
        <w:t>39</w:t>
      </w:r>
      <w:r>
        <w:rPr>
          <w:spacing w:val="-2"/>
        </w:rPr>
        <w:t>号）、《企</w:t>
      </w:r>
    </w:p>
    <w:p>
      <w:pPr>
        <w:spacing w:after="0" w:line="240" w:lineRule="auto"/>
        <w:jc w:val="left"/>
        <w:sectPr>
          <w:footerReference w:type="default" r:id="rId23"/>
          <w:pgSz w:w="11910" w:h="16840"/>
          <w:pgMar w:footer="1226" w:header="851" w:top="1380" w:bottom="1420" w:left="980" w:right="840"/>
          <w:pgNumType w:start="1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99" w:right="0"/>
        <w:jc w:val="left"/>
      </w:pPr>
      <w:r>
        <w:rPr/>
        <w:t>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合营安排》（简称企业会计准则第</w:t>
      </w:r>
      <w:r>
        <w:rPr>
          <w:rFonts w:ascii="Times New Roman" w:hAnsi="Times New Roman" w:cs="Times New Roman" w:eastAsia="Times New Roman" w:hint="default"/>
        </w:rPr>
        <w:t>40</w:t>
      </w:r>
      <w:r>
        <w:rPr/>
        <w:t>号）和《企业会计准则第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spacing w:line="240" w:lineRule="auto" w:before="9"/>
        <w:rPr>
          <w:rFonts w:ascii="宋体" w:hAnsi="宋体" w:cs="宋体" w:eastAsia="宋体" w:hint="default"/>
          <w:sz w:val="16"/>
          <w:szCs w:val="16"/>
        </w:rPr>
      </w:pPr>
    </w:p>
    <w:p>
      <w:pPr>
        <w:pStyle w:val="BodyText"/>
        <w:spacing w:line="451" w:lineRule="auto"/>
        <w:ind w:left="199" w:right="149"/>
        <w:jc w:val="both"/>
      </w:pPr>
      <w:r>
        <w:rPr/>
        <w:t>（简称企业会计准则第</w:t>
      </w:r>
      <w:r>
        <w:rPr>
          <w:rFonts w:ascii="Times New Roman" w:hAnsi="Times New Roman" w:cs="Times New Roman" w:eastAsia="Times New Roman" w:hint="default"/>
        </w:rPr>
        <w:t>41</w:t>
      </w:r>
      <w:r>
        <w:rPr/>
        <w:t>号），修订了《企业会计准则第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长期股权投资》（简称企业会计准则第</w:t>
      </w:r>
      <w:r>
        <w:rPr>
          <w:rFonts w:ascii="Times New Roman" w:hAnsi="Times New Roman" w:cs="Times New Roman" w:eastAsia="Times New Roman" w:hint="default"/>
        </w:rPr>
        <w:t>2</w:t>
      </w:r>
      <w:r>
        <w:rPr/>
        <w:t>号）、《企业会</w:t>
      </w:r>
      <w:r>
        <w:rPr>
          <w:spacing w:val="-43"/>
        </w:rPr>
        <w:t> </w:t>
      </w:r>
      <w:r>
        <w:rPr>
          <w:spacing w:val="-43"/>
        </w:rPr>
      </w:r>
      <w:r>
        <w:rPr/>
        <w:t>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职工薪酬》（简称企业会计准则第</w:t>
      </w:r>
      <w:r>
        <w:rPr>
          <w:rFonts w:ascii="Times New Roman" w:hAnsi="Times New Roman" w:cs="Times New Roman" w:eastAsia="Times New Roman" w:hint="default"/>
        </w:rPr>
        <w:t>9</w:t>
      </w:r>
      <w:r>
        <w:rPr/>
        <w:t>号）、《企业会计准则第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财务报表列报》（简称企业会计准</w:t>
      </w:r>
      <w:r>
        <w:rPr>
          <w:spacing w:val="-47"/>
        </w:rPr>
        <w:t> </w:t>
      </w:r>
      <w:r>
        <w:rPr>
          <w:spacing w:val="-47"/>
        </w:rPr>
      </w:r>
      <w:r>
        <w:rPr/>
        <w:t>则第</w:t>
      </w:r>
      <w:r>
        <w:rPr>
          <w:rFonts w:ascii="Times New Roman" w:hAnsi="Times New Roman" w:cs="Times New Roman" w:eastAsia="Times New Roman" w:hint="default"/>
        </w:rPr>
        <w:t>30</w:t>
      </w:r>
      <w:r>
        <w:rPr/>
        <w:t>号）、《企业会计准则第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合并财务报表》（简称企业会计准则第</w:t>
      </w:r>
      <w:r>
        <w:rPr>
          <w:rFonts w:ascii="Times New Roman" w:hAnsi="Times New Roman" w:cs="Times New Roman" w:eastAsia="Times New Roman" w:hint="default"/>
        </w:rPr>
        <w:t>33</w:t>
      </w:r>
      <w:r>
        <w:rPr/>
        <w:t>号）和《企业会计准则第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w:t>
      </w:r>
      <w:r>
        <w:rPr>
          <w:spacing w:val="-42"/>
        </w:rPr>
        <w:t> </w:t>
      </w:r>
      <w:r>
        <w:rPr/>
        <w:t>工具列报》（简称企业会计准则第</w:t>
      </w:r>
      <w:r>
        <w:rPr>
          <w:rFonts w:ascii="Times New Roman" w:hAnsi="Times New Roman" w:cs="Times New Roman" w:eastAsia="Times New Roman" w:hint="default"/>
        </w:rPr>
        <w:t>37</w:t>
      </w:r>
      <w:r>
        <w:rPr/>
        <w:t>号），除企业会计准则第</w:t>
      </w:r>
      <w:r>
        <w:rPr>
          <w:rFonts w:ascii="Times New Roman" w:hAnsi="Times New Roman" w:cs="Times New Roman" w:eastAsia="Times New Roman" w:hint="default"/>
        </w:rPr>
        <w:t>37</w:t>
      </w:r>
      <w:r>
        <w:rPr/>
        <w:t>号在</w:t>
      </w:r>
      <w:r>
        <w:rPr>
          <w:rFonts w:ascii="Times New Roman" w:hAnsi="Times New Roman" w:cs="Times New Roman" w:eastAsia="Times New Roman" w:hint="default"/>
        </w:rPr>
        <w:t>2014</w:t>
      </w:r>
      <w:r>
        <w:rPr/>
        <w:t>年年度及以后期间的财务报告中使用外，上述其</w:t>
      </w:r>
      <w:r>
        <w:rPr>
          <w:spacing w:val="-46"/>
        </w:rPr>
        <w:t> </w:t>
      </w:r>
      <w:r>
        <w:rPr>
          <w:spacing w:val="-46"/>
        </w:rPr>
      </w:r>
      <w:r>
        <w:rPr/>
        <w:t>他准则于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pStyle w:val="BodyText"/>
        <w:spacing w:line="477" w:lineRule="auto" w:before="43"/>
        <w:ind w:left="514" w:right="5002"/>
        <w:jc w:val="left"/>
      </w:pPr>
      <w:r>
        <w:rPr/>
        <w:t>本公司执行上述企业会计准则的主要影响如下： 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463" w:lineRule="auto" w:before="21"/>
        <w:ind w:left="154" w:right="151" w:firstLine="360"/>
        <w:jc w:val="both"/>
      </w:pPr>
      <w:r>
        <w:rPr/>
        <w:t>本公司根据《企业会计准则第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长期股权投资》（修订）将本公司对被投资单位不具有共同控制或重大影响，并 </w:t>
      </w:r>
      <w:r>
        <w:rPr>
          <w:spacing w:val="-2"/>
        </w:rPr>
        <w:t>且在活跃市场中没有报价、公允价值不能可靠计量的投资从长期股权投资中分类至可供出售金融资产核算，并进行了追溯调</w:t>
      </w:r>
      <w:r>
        <w:rPr>
          <w:spacing w:val="-64"/>
        </w:rPr>
        <w:t> </w:t>
      </w:r>
      <w:r>
        <w:rPr>
          <w:spacing w:val="-64"/>
        </w:rPr>
      </w:r>
      <w:r>
        <w:rPr/>
        <w:t>整。</w:t>
      </w:r>
    </w:p>
    <w:p>
      <w:pPr>
        <w:pStyle w:val="BodyText"/>
        <w:spacing w:line="451" w:lineRule="auto" w:before="65"/>
        <w:ind w:left="514" w:right="0"/>
        <w:jc w:val="left"/>
        <w:rPr>
          <w:rFonts w:ascii="Times New Roman" w:hAnsi="Times New Roman" w:cs="Times New Roman" w:eastAsia="Times New Roman" w:hint="default"/>
        </w:rPr>
      </w:pPr>
      <w:r>
        <w:rPr/>
        <w:t>执行《企业会计准则第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 本公司根据《企业会计准则第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财务报表列报》（修订）将收到的政府补助由资产负债表中</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p>
    <w:p>
      <w:pPr>
        <w:pStyle w:val="BodyText"/>
        <w:spacing w:line="451" w:lineRule="auto" w:before="43"/>
        <w:ind w:left="513" w:right="0" w:hanging="360"/>
        <w:jc w:val="left"/>
        <w:rPr>
          <w:rFonts w:ascii="Times New Roman" w:hAnsi="Times New Roman" w:cs="Times New Roman" w:eastAsia="Times New Roman" w:hint="default"/>
        </w:rPr>
      </w:pPr>
      <w:r>
        <w:rPr/>
        <w:t>分类至</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核算，并进行了调整。 本公司根据《企业会计准则第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财务报表列报》（修订）将其他综合收益由资产负债表中</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p>
    <w:p>
      <w:pPr>
        <w:pStyle w:val="BodyText"/>
        <w:spacing w:line="451" w:lineRule="auto" w:before="44"/>
        <w:ind w:left="513" w:right="152" w:hanging="360"/>
        <w:jc w:val="left"/>
      </w:pPr>
      <w:r>
        <w:rPr/>
        <w:t>分类至</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核算，并进行了追溯调整。 资产负债表中</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r>
        <w:rPr/>
        <w:t>分类至</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核算，并进行了调整。 </w:t>
      </w:r>
      <w:r>
        <w:rPr>
          <w:spacing w:val="-2"/>
        </w:rPr>
        <w:t>本公司根据《企业会计准则第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财务报表列报》（修订）将资本公积（权益法下在被投资单位以后将重分类进损</w:t>
      </w:r>
    </w:p>
    <w:p>
      <w:pPr>
        <w:pStyle w:val="BodyText"/>
        <w:spacing w:line="451" w:lineRule="auto" w:before="43"/>
        <w:ind w:left="513" w:right="1369" w:hanging="360"/>
        <w:jc w:val="left"/>
      </w:pPr>
      <w:r>
        <w:rPr/>
        <w:t>益的其他综合收益中享有的份额）由资产负债表中</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分类至</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核算，并进行了调整。 执行《企业会计准则第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451" w:lineRule="auto" w:before="43"/>
        <w:ind w:right="152" w:firstLine="360"/>
        <w:jc w:val="both"/>
      </w:pPr>
      <w:r>
        <w:rPr>
          <w:spacing w:val="-3"/>
        </w:rPr>
        <w:t>本公司根据《企业会计准则第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金融工具列报》（修订）将本公司发行的附回购义务的限制性股票分类为债务工具，</w:t>
      </w:r>
      <w:r>
        <w:rPr/>
        <w:t> 在资产负债表中</w:t>
      </w:r>
      <w:r>
        <w:rPr>
          <w:rFonts w:ascii="Times New Roman" w:hAnsi="Times New Roman" w:cs="Times New Roman" w:eastAsia="Times New Roman" w:hint="default"/>
        </w:rPr>
        <w:t>“</w:t>
      </w:r>
      <w:r>
        <w:rPr/>
        <w:t>其他流动负债</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库存股</w:t>
      </w:r>
      <w:r>
        <w:rPr>
          <w:rFonts w:ascii="Times New Roman" w:hAnsi="Times New Roman" w:cs="Times New Roman" w:eastAsia="Times New Roman" w:hint="default"/>
        </w:rPr>
        <w:t>”</w:t>
      </w:r>
      <w:r>
        <w:rPr/>
        <w:t>核算，并进行了追溯调整。</w:t>
      </w:r>
    </w:p>
    <w:p>
      <w:pPr>
        <w:pStyle w:val="BodyText"/>
        <w:spacing w:line="240" w:lineRule="auto" w:before="43"/>
        <w:ind w:left="513" w:right="0"/>
        <w:jc w:val="left"/>
      </w:pPr>
      <w:r>
        <w:rPr/>
        <w:t>上述追溯调整对本期和上期财务报表的主要影响如下：</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①</w:t>
      </w:r>
      <w:r>
        <w:rPr>
          <w:spacing w:val="53"/>
        </w:rPr>
        <w:t> </w:t>
      </w:r>
      <w:r>
        <w:rPr/>
        <w:t>上述追溯调整对本期和上期的损益均无影响。</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②上述追溯调整对上期资产负债表列报主要影响如下：</w:t>
      </w:r>
    </w:p>
    <w:p>
      <w:pPr>
        <w:spacing w:line="240" w:lineRule="auto" w:before="13"/>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2188"/>
        <w:gridCol w:w="1869"/>
        <w:gridCol w:w="1867"/>
        <w:gridCol w:w="1869"/>
        <w:gridCol w:w="1866"/>
      </w:tblGrid>
      <w:tr>
        <w:trPr>
          <w:trHeight w:val="347" w:hRule="exact"/>
        </w:trPr>
        <w:tc>
          <w:tcPr>
            <w:tcW w:w="218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373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69" w:right="0"/>
              <w:jc w:val="left"/>
              <w:rPr>
                <w:rFonts w:ascii="宋体" w:hAnsi="宋体" w:cs="宋体" w:eastAsia="宋体" w:hint="default"/>
                <w:sz w:val="18"/>
                <w:szCs w:val="18"/>
              </w:rPr>
            </w:pPr>
            <w:r>
              <w:rPr>
                <w:rFonts w:ascii="宋体" w:hAnsi="宋体" w:cs="宋体" w:eastAsia="宋体" w:hint="default"/>
                <w:sz w:val="18"/>
                <w:szCs w:val="18"/>
              </w:rPr>
              <w:t>合并报表年初余额（元）</w:t>
            </w:r>
          </w:p>
        </w:tc>
        <w:tc>
          <w:tcPr>
            <w:tcW w:w="373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79" w:right="0"/>
              <w:jc w:val="left"/>
              <w:rPr>
                <w:rFonts w:ascii="宋体" w:hAnsi="宋体" w:cs="宋体" w:eastAsia="宋体" w:hint="default"/>
                <w:sz w:val="18"/>
                <w:szCs w:val="18"/>
              </w:rPr>
            </w:pPr>
            <w:r>
              <w:rPr>
                <w:rFonts w:ascii="宋体" w:hAnsi="宋体" w:cs="宋体" w:eastAsia="宋体" w:hint="default"/>
                <w:sz w:val="18"/>
                <w:szCs w:val="18"/>
              </w:rPr>
              <w:t>母公司报表年初余额（元）</w:t>
            </w:r>
          </w:p>
        </w:tc>
      </w:tr>
      <w:tr>
        <w:trPr>
          <w:trHeight w:val="347" w:hRule="exact"/>
        </w:trPr>
        <w:tc>
          <w:tcPr>
            <w:tcW w:w="2188" w:type="dxa"/>
            <w:vMerge/>
            <w:tcBorders>
              <w:left w:val="single" w:sz="6" w:space="0" w:color="000000"/>
              <w:bottom w:val="single" w:sz="6" w:space="0" w:color="000000"/>
              <w:right w:val="single" w:sz="6" w:space="0" w:color="000000"/>
            </w:tcBorders>
            <w:shd w:val="clear" w:color="auto" w:fill="D9D9D9"/>
          </w:tcPr>
          <w:p>
            <w:pPr/>
          </w:p>
        </w:tc>
        <w:tc>
          <w:tcPr>
            <w:tcW w:w="1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6" w:right="0"/>
              <w:jc w:val="left"/>
              <w:rPr>
                <w:rFonts w:ascii="宋体" w:hAnsi="宋体" w:cs="宋体" w:eastAsia="宋体" w:hint="default"/>
                <w:sz w:val="18"/>
                <w:szCs w:val="18"/>
              </w:rPr>
            </w:pPr>
            <w:r>
              <w:rPr>
                <w:rFonts w:ascii="宋体" w:hAnsi="宋体" w:cs="宋体" w:eastAsia="宋体" w:hint="default"/>
                <w:sz w:val="18"/>
                <w:szCs w:val="18"/>
              </w:rPr>
              <w:t>原列报金额</w:t>
            </w:r>
          </w:p>
        </w:tc>
        <w:tc>
          <w:tcPr>
            <w:tcW w:w="1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6" w:right="0"/>
              <w:jc w:val="left"/>
              <w:rPr>
                <w:rFonts w:ascii="宋体" w:hAnsi="宋体" w:cs="宋体" w:eastAsia="宋体" w:hint="default"/>
                <w:sz w:val="18"/>
                <w:szCs w:val="18"/>
              </w:rPr>
            </w:pPr>
            <w:r>
              <w:rPr>
                <w:rFonts w:ascii="宋体" w:hAnsi="宋体" w:cs="宋体" w:eastAsia="宋体" w:hint="default"/>
                <w:sz w:val="18"/>
                <w:szCs w:val="18"/>
              </w:rPr>
              <w:t>现列报金额</w:t>
            </w:r>
          </w:p>
        </w:tc>
        <w:tc>
          <w:tcPr>
            <w:tcW w:w="1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7" w:right="0"/>
              <w:jc w:val="left"/>
              <w:rPr>
                <w:rFonts w:ascii="宋体" w:hAnsi="宋体" w:cs="宋体" w:eastAsia="宋体" w:hint="default"/>
                <w:sz w:val="18"/>
                <w:szCs w:val="18"/>
              </w:rPr>
            </w:pPr>
            <w:r>
              <w:rPr>
                <w:rFonts w:ascii="宋体" w:hAnsi="宋体" w:cs="宋体" w:eastAsia="宋体" w:hint="default"/>
                <w:sz w:val="18"/>
                <w:szCs w:val="18"/>
              </w:rPr>
              <w:t>原列报金额</w:t>
            </w:r>
          </w:p>
        </w:tc>
        <w:tc>
          <w:tcPr>
            <w:tcW w:w="1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现列报金额</w:t>
            </w: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588,419,915.64</w:t>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323,419,915.64</w:t>
            </w:r>
          </w:p>
        </w:tc>
        <w:tc>
          <w:tcPr>
            <w:tcW w:w="1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91" w:right="0"/>
              <w:jc w:val="left"/>
              <w:rPr>
                <w:rFonts w:ascii="Times New Roman" w:hAnsi="Times New Roman" w:cs="Times New Roman" w:eastAsia="Times New Roman" w:hint="default"/>
                <w:sz w:val="18"/>
                <w:szCs w:val="18"/>
              </w:rPr>
            </w:pPr>
            <w:r>
              <w:rPr>
                <w:rFonts w:ascii="Times New Roman"/>
                <w:sz w:val="18"/>
              </w:rPr>
              <w:t>1,316,224,158.65</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1,051,224,158.65</w:t>
            </w: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265,000,000.00</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7,559,805.43</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7,559,805.43</w:t>
            </w:r>
          </w:p>
        </w:tc>
        <w:tc>
          <w:tcPr>
            <w:tcW w:w="1867" w:type="dxa"/>
            <w:tcBorders>
              <w:top w:val="single" w:sz="6" w:space="0" w:color="000000"/>
              <w:left w:val="single" w:sz="6" w:space="0" w:color="000000"/>
              <w:bottom w:val="single" w:sz="6" w:space="0" w:color="000000"/>
              <w:right w:val="single" w:sz="6" w:space="0" w:color="000000"/>
            </w:tcBorders>
          </w:tcPr>
          <w:p>
            <w:pP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1" w:footer="1226" w:top="1380" w:bottom="1420" w:left="980" w:right="980"/>
        </w:sectPr>
      </w:pP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188"/>
        <w:gridCol w:w="1869"/>
        <w:gridCol w:w="1867"/>
        <w:gridCol w:w="1869"/>
        <w:gridCol w:w="1866"/>
      </w:tblGrid>
      <w:tr>
        <w:trPr>
          <w:trHeight w:val="361" w:hRule="exact"/>
        </w:trPr>
        <w:tc>
          <w:tcPr>
            <w:tcW w:w="21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3"/>
              <w:jc w:val="right"/>
              <w:rPr>
                <w:rFonts w:ascii="Times New Roman" w:hAnsi="Times New Roman" w:cs="Times New Roman" w:eastAsia="Times New Roman" w:hint="default"/>
                <w:sz w:val="18"/>
                <w:szCs w:val="18"/>
              </w:rPr>
            </w:pPr>
            <w:r>
              <w:rPr>
                <w:rFonts w:ascii="Times New Roman"/>
                <w:spacing w:val="-1"/>
                <w:sz w:val="18"/>
              </w:rPr>
              <w:t>1,360,221,600.56</w:t>
            </w:r>
          </w:p>
        </w:tc>
        <w:tc>
          <w:tcPr>
            <w:tcW w:w="18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8"/>
                <w:szCs w:val="18"/>
              </w:rPr>
            </w:pPr>
            <w:r>
              <w:rPr>
                <w:rFonts w:ascii="Times New Roman"/>
                <w:spacing w:val="-1"/>
                <w:sz w:val="18"/>
              </w:rPr>
              <w:t>1,361,234,043.22</w:t>
            </w:r>
          </w:p>
        </w:tc>
        <w:tc>
          <w:tcPr>
            <w:tcW w:w="18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left="591" w:right="0"/>
              <w:jc w:val="left"/>
              <w:rPr>
                <w:rFonts w:ascii="Times New Roman" w:hAnsi="Times New Roman" w:cs="Times New Roman" w:eastAsia="Times New Roman" w:hint="default"/>
                <w:sz w:val="18"/>
                <w:szCs w:val="18"/>
              </w:rPr>
            </w:pPr>
            <w:r>
              <w:rPr>
                <w:rFonts w:ascii="Times New Roman"/>
                <w:sz w:val="18"/>
              </w:rPr>
              <w:t>1,354,204,542.57</w:t>
            </w:r>
          </w:p>
        </w:tc>
        <w:tc>
          <w:tcPr>
            <w:tcW w:w="18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8"/>
                <w:szCs w:val="18"/>
              </w:rPr>
            </w:pPr>
            <w:r>
              <w:rPr>
                <w:rFonts w:ascii="Times New Roman"/>
                <w:spacing w:val="-1"/>
                <w:sz w:val="18"/>
              </w:rPr>
              <w:t>1,355,216,985.23</w:t>
            </w: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-372,905.30</w:t>
            </w:r>
            <w:r>
              <w:rPr>
                <w:rFonts w:ascii="Times New Roman"/>
                <w:sz w:val="18"/>
              </w:rPr>
            </w:r>
          </w:p>
        </w:tc>
        <w:tc>
          <w:tcPr>
            <w:tcW w:w="1867" w:type="dxa"/>
            <w:tcBorders>
              <w:top w:val="single" w:sz="6" w:space="0" w:color="000000"/>
              <w:left w:val="single" w:sz="6" w:space="0" w:color="000000"/>
              <w:bottom w:val="single" w:sz="6" w:space="0" w:color="000000"/>
              <w:right w:val="single" w:sz="6" w:space="0" w:color="000000"/>
            </w:tcBorders>
          </w:tcPr>
          <w:p>
            <w:pP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-1,385,347.96</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-1,012,442.66</w:t>
            </w:r>
          </w:p>
        </w:tc>
      </w:tr>
      <w:tr>
        <w:trPr>
          <w:trHeight w:val="347"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30,792,079.20</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348" w:hRule="exact"/>
        </w:trPr>
        <w:tc>
          <w:tcPr>
            <w:tcW w:w="2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30,792,079.20</w:t>
            </w:r>
          </w:p>
        </w:tc>
        <w:tc>
          <w:tcPr>
            <w:tcW w:w="1869"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30,792,079.20</w:t>
            </w:r>
          </w:p>
        </w:tc>
      </w:tr>
    </w:tbl>
    <w:p>
      <w:pPr>
        <w:spacing w:line="240" w:lineRule="auto" w:before="2"/>
        <w:rPr>
          <w:rFonts w:ascii="宋体" w:hAnsi="宋体" w:cs="宋体" w:eastAsia="宋体" w:hint="default"/>
          <w:sz w:val="19"/>
          <w:szCs w:val="19"/>
        </w:rPr>
      </w:pPr>
    </w:p>
    <w:p>
      <w:pPr>
        <w:pStyle w:val="Heading3"/>
        <w:spacing w:line="240" w:lineRule="auto" w:before="35"/>
        <w:ind w:left="134" w:right="0"/>
        <w:jc w:val="left"/>
        <w:rPr>
          <w:b w:val="0"/>
          <w:bCs w:val="0"/>
        </w:rPr>
      </w:pPr>
      <w:bookmarkStart w:name="（2）重要会计估计变更" w:id="169"/>
      <w:bookmarkEnd w:id="16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3829"/>
        <w:gridCol w:w="1842"/>
        <w:gridCol w:w="1816"/>
        <w:gridCol w:w="2180"/>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8"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73"/>
              <w:jc w:val="right"/>
              <w:rPr>
                <w:rFonts w:ascii="宋体" w:hAnsi="宋体" w:cs="宋体" w:eastAsia="宋体" w:hint="default"/>
                <w:sz w:val="18"/>
                <w:szCs w:val="18"/>
              </w:rPr>
            </w:pPr>
            <w:r>
              <w:rPr>
                <w:rFonts w:ascii="宋体" w:hAnsi="宋体" w:cs="宋体" w:eastAsia="宋体" w:hint="default"/>
                <w:sz w:val="18"/>
                <w:szCs w:val="18"/>
              </w:rPr>
              <w:t>开始适用的时点</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因公司系统集成购销业务发展，结算方式相应增 加，其中新增了国内信用证结算方式。结合国内 信用证结算的特征，公司将国内信用证收款的应 收账款作为一个无风险组合计提坏账准备。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87"/>
              <w:jc w:val="left"/>
              <w:rPr>
                <w:rFonts w:ascii="宋体" w:hAnsi="宋体" w:cs="宋体" w:eastAsia="宋体" w:hint="default"/>
                <w:sz w:val="18"/>
                <w:szCs w:val="18"/>
              </w:rPr>
            </w:pPr>
            <w:r>
              <w:rPr>
                <w:rFonts w:ascii="宋体" w:hAnsi="宋体" w:cs="宋体" w:eastAsia="宋体" w:hint="default"/>
                <w:sz w:val="18"/>
                <w:szCs w:val="18"/>
              </w:rPr>
              <w:t>第五届董事会第三十 七次会议审议通过</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3"/>
                <w:sz w:val="18"/>
                <w:szCs w:val="18"/>
              </w:rPr>
              <w:t>影响科目应收账款、资产减</w:t>
            </w:r>
            <w:r>
              <w:rPr>
                <w:rFonts w:ascii="宋体" w:hAnsi="宋体" w:cs="宋体" w:eastAsia="宋体" w:hint="default"/>
                <w:sz w:val="18"/>
                <w:szCs w:val="18"/>
              </w:rPr>
              <w:t> </w:t>
            </w:r>
            <w:r>
              <w:rPr>
                <w:rFonts w:ascii="宋体" w:hAnsi="宋体" w:cs="宋体" w:eastAsia="宋体" w:hint="default"/>
                <w:spacing w:val="-3"/>
                <w:sz w:val="18"/>
                <w:szCs w:val="18"/>
              </w:rPr>
              <w:t>值损失；影响金额应收账款</w:t>
            </w:r>
            <w:r>
              <w:rPr>
                <w:rFonts w:ascii="宋体" w:hAnsi="宋体" w:cs="宋体" w:eastAsia="宋体" w:hint="default"/>
                <w:sz w:val="18"/>
                <w:szCs w:val="18"/>
              </w:rPr>
              <w:t> 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479.37 </w:t>
            </w:r>
            <w:r>
              <w:rPr>
                <w:rFonts w:ascii="宋体" w:hAnsi="宋体" w:cs="宋体" w:eastAsia="宋体" w:hint="default"/>
                <w:spacing w:val="-12"/>
                <w:sz w:val="18"/>
                <w:szCs w:val="18"/>
              </w:rPr>
              <w:t>万元、减少资产</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减值损失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8"/>
          <w:szCs w:val="18"/>
        </w:rPr>
      </w:pPr>
    </w:p>
    <w:p>
      <w:pPr>
        <w:pStyle w:val="Heading2"/>
        <w:spacing w:line="240" w:lineRule="auto" w:before="26"/>
        <w:ind w:left="134" w:right="0"/>
        <w:jc w:val="left"/>
        <w:rPr>
          <w:b w:val="0"/>
          <w:bCs w:val="0"/>
        </w:rPr>
      </w:pPr>
      <w:bookmarkStart w:name="六、税项" w:id="170"/>
      <w:bookmarkEnd w:id="170"/>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4" w:right="0"/>
        <w:jc w:val="left"/>
        <w:rPr>
          <w:b w:val="0"/>
          <w:bCs w:val="0"/>
        </w:rPr>
      </w:pPr>
      <w:bookmarkStart w:name="1、主要税种及税率" w:id="171"/>
      <w:bookmarkEnd w:id="17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3178"/>
        <w:gridCol w:w="4761"/>
        <w:gridCol w:w="163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761"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3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 税额，在扣除当期允许抵扣的进项税额后，差额部分为应交 增值税</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761" w:type="dxa"/>
            <w:vMerge/>
            <w:tcBorders>
              <w:left w:val="single" w:sz="9" w:space="0" w:color="D2D2D2"/>
              <w:right w:val="single" w:sz="4" w:space="0" w:color="000000"/>
            </w:tcBorders>
          </w:tcPr>
          <w:p>
            <w:pPr/>
          </w:p>
        </w:tc>
        <w:tc>
          <w:tcPr>
            <w:tcW w:w="1631"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4761" w:type="dxa"/>
            <w:vMerge/>
            <w:tcBorders>
              <w:left w:val="single" w:sz="9" w:space="0" w:color="D2D2D2"/>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7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b/>
          <w:bCs/>
          <w:sz w:val="6"/>
          <w:szCs w:val="6"/>
        </w:rPr>
      </w:pPr>
    </w:p>
    <w:p>
      <w:pPr>
        <w:pStyle w:val="Heading4"/>
        <w:spacing w:line="240" w:lineRule="auto" w:before="44"/>
        <w:ind w:left="134" w:right="0"/>
        <w:jc w:val="left"/>
        <w:rPr>
          <w:b w:val="0"/>
          <w:bCs w:val="0"/>
        </w:rPr>
      </w:pPr>
      <w:r>
        <w:rPr/>
        <w:t>存在不同企业所得税税率纳税主体的，披露情况说明：</w:t>
      </w:r>
      <w:r>
        <w:rPr>
          <w:b w:val="0"/>
          <w:bCs w:val="0"/>
        </w:rPr>
      </w:r>
    </w:p>
    <w:p>
      <w:pPr>
        <w:spacing w:line="240" w:lineRule="auto" w:before="0"/>
        <w:rPr>
          <w:rFonts w:ascii="宋体" w:hAnsi="宋体" w:cs="宋体" w:eastAsia="宋体" w:hint="default"/>
          <w:b/>
          <w:bCs/>
          <w:sz w:val="14"/>
          <w:szCs w:val="14"/>
        </w:rPr>
      </w:pPr>
    </w:p>
    <w:tbl>
      <w:tblPr>
        <w:tblW w:w="0" w:type="auto"/>
        <w:jc w:val="left"/>
        <w:tblInd w:w="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子公司宁波普天通信技术（香港）有限公司、神州泰岳（香 港）有限公司、</w:t>
            </w:r>
            <w:r>
              <w:rPr>
                <w:rFonts w:ascii="Times New Roman" w:hAnsi="Times New Roman" w:cs="Times New Roman" w:eastAsia="Times New Roman" w:hint="default"/>
                <w:sz w:val="18"/>
                <w:szCs w:val="18"/>
              </w:rPr>
              <w:t>Camel Games Limited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系在香港注册成立的公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196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CAMEL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GAMES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公司所得税分为联邦所得税和特拉华州所得税。其中：对于 联邦所得税，其应纳税所得额少于五万美元的公司，按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的比例纳税，五万美元到七万五千美元之间的所得按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 比例纳税，七万五千美元到一千万美元之间的所得按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的 比例纳税，一千万美元以上的所得按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的比例纳税；特拉 华州所得税税率为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CAMEL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GAMES </w:t>
            </w:r>
            <w:r>
              <w:rPr>
                <w:rFonts w:ascii="Times New Roman" w:hAnsi="Times New Roman" w:cs="Times New Roman" w:eastAsia="Times New Roman" w:hint="default"/>
                <w:spacing w:val="-5"/>
                <w:sz w:val="18"/>
                <w:szCs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Bridge Minds Consulting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ULTRAPOWER</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360</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1226" w:top="1380" w:bottom="1420" w:left="1000" w:right="980"/>
        </w:sectPr>
      </w:pPr>
    </w:p>
    <w:p>
      <w:pPr>
        <w:spacing w:line="240" w:lineRule="auto" w:before="12"/>
        <w:rPr>
          <w:rFonts w:ascii="宋体" w:hAnsi="宋体" w:cs="宋体" w:eastAsia="宋体" w:hint="default"/>
          <w:b/>
          <w:bCs/>
          <w:sz w:val="2"/>
          <w:szCs w:val="2"/>
        </w:rPr>
      </w:pPr>
    </w:p>
    <w:p>
      <w:pPr>
        <w:spacing w:line="391"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7pt;height:19.6pt;mso-position-horizontal-relative:char;mso-position-vertical-relative:line" coordorigin="0,0" coordsize="9714,392">
            <v:group style="position:absolute;left:7;top:7;width:9700;height:2" coordorigin="7,7" coordsize="9700,2">
              <v:shape style="position:absolute;left:7;top:7;width:9700;height:2" coordorigin="7,7" coordsize="9700,0" path="m7,7l9707,7e" filled="false" stroked="true" strokeweight=".72pt" strokecolor="#000000">
                <v:path arrowok="t"/>
              </v:shape>
            </v:group>
            <v:group style="position:absolute;left:42;top:19;width:4774;height:2" coordorigin="42,19" coordsize="4774,2">
              <v:shape style="position:absolute;left:42;top:19;width:4774;height:2" coordorigin="42,19" coordsize="4774,0" path="m42,19l4815,19e" filled="false" stroked="true" strokeweight=".48pt" strokecolor="#000000">
                <v:path arrowok="t"/>
              </v:shape>
            </v:group>
            <v:group style="position:absolute;left:4825;top:19;width:4777;height:2" coordorigin="4825,19" coordsize="4777,2">
              <v:shape style="position:absolute;left:4825;top:19;width:4777;height:2" coordorigin="4825,19" coordsize="4777,0" path="m4825,19l9601,19e" filled="false" stroked="true" strokeweight=".48pt" strokecolor="#000000">
                <v:path arrowok="t"/>
              </v:shape>
            </v:group>
            <v:group style="position:absolute;left:37;top:14;width:2;height:372" coordorigin="37,14" coordsize="2,372">
              <v:shape style="position:absolute;left:37;top:14;width:2;height:372" coordorigin="37,14" coordsize="0,372" path="m37,14l37,386e" filled="false" stroked="true" strokeweight=".48pt" strokecolor="#000000">
                <v:path arrowok="t"/>
              </v:shape>
            </v:group>
            <v:group style="position:absolute;left:42;top:382;width:4774;height:2" coordorigin="42,382" coordsize="4774,2">
              <v:shape style="position:absolute;left:42;top:382;width:4774;height:2" coordorigin="42,382" coordsize="4774,0" path="m42,382l4815,382e" filled="false" stroked="true" strokeweight=".48pt" strokecolor="#000000">
                <v:path arrowok="t"/>
              </v:shape>
            </v:group>
            <v:group style="position:absolute;left:4820;top:14;width:2;height:372" coordorigin="4820,14" coordsize="2,372">
              <v:shape style="position:absolute;left:4820;top:14;width:2;height:372" coordorigin="4820,14" coordsize="0,372" path="m4820,14l4820,386e" filled="false" stroked="true" strokeweight=".48pt" strokecolor="#000000">
                <v:path arrowok="t"/>
              </v:shape>
            </v:group>
            <v:group style="position:absolute;left:4825;top:382;width:4777;height:2" coordorigin="4825,382" coordsize="4777,2">
              <v:shape style="position:absolute;left:4825;top:382;width:4777;height:2" coordorigin="4825,382" coordsize="4777,0" path="m4825,382l9601,382e" filled="false" stroked="true" strokeweight=".48pt" strokecolor="#000000">
                <v:path arrowok="t"/>
              </v:shape>
            </v:group>
            <v:group style="position:absolute;left:9606;top:14;width:2;height:372" coordorigin="9606,14" coordsize="2,372">
              <v:shape style="position:absolute;left:9606;top:14;width:2;height:372" coordorigin="9606,14" coordsize="0,372" path="m9606,14l9606,386e" filled="false" stroked="true" strokeweight=".48pt" strokecolor="#000000">
                <v:path arrowok="t"/>
              </v:shape>
              <v:shape style="position:absolute;left:37;top:7;width:4783;height:375" type="#_x0000_t202" filled="false" stroked="false">
                <v:textbox inset="0,0,0,0">
                  <w:txbxContent>
                    <w:p>
                      <w:pPr>
                        <w:spacing w:before="68"/>
                        <w:ind w:left="27" w:right="0" w:firstLine="0"/>
                        <w:jc w:val="left"/>
                        <w:rPr>
                          <w:rFonts w:ascii="Times New Roman" w:hAnsi="Times New Roman" w:cs="Times New Roman" w:eastAsia="Times New Roman" w:hint="default"/>
                          <w:sz w:val="18"/>
                          <w:szCs w:val="18"/>
                        </w:rPr>
                      </w:pPr>
                      <w:r>
                        <w:rPr>
                          <w:rFonts w:ascii="Times New Roman"/>
                          <w:spacing w:val="-3"/>
                          <w:sz w:val="18"/>
                        </w:rPr>
                        <w:t>PTE.LTD</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both"/>
        <w:rPr>
          <w:b w:val="0"/>
          <w:bCs w:val="0"/>
        </w:rPr>
      </w:pPr>
      <w:bookmarkStart w:name="2、税收优惠" w:id="172"/>
      <w:bookmarkEnd w:id="17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93"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2"/>
        </w:rPr>
        <w:t>根据国务院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月发布的国发【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号《关于印发进一步鼓励软件产业和集成电路产业发展若干政策的通知》和</w:t>
      </w:r>
    </w:p>
    <w:p>
      <w:pPr>
        <w:pStyle w:val="BodyText"/>
        <w:spacing w:line="468" w:lineRule="auto" w:before="43"/>
        <w:ind w:left="154" w:right="192"/>
        <w:jc w:val="both"/>
      </w:pPr>
      <w:r>
        <w:rPr/>
        <w:t>财政部、国家税务总局发布的财税【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号《关于软件产品增值税政策的通知》中的有关规定，本公司，全资子公司</w:t>
      </w:r>
      <w:r>
        <w:rPr>
          <w:spacing w:val="-83"/>
        </w:rPr>
        <w:t> </w:t>
      </w:r>
      <w:r>
        <w:rPr>
          <w:spacing w:val="-83"/>
        </w:rPr>
      </w:r>
      <w:r>
        <w:rPr>
          <w:spacing w:val="-2"/>
        </w:rPr>
        <w:t>北京新媒传信科技有限公司、北京神州泰岳系统集成有限公司、北京神州泰岳信息安全技术有限公司、北京神州泰岳智能数</w:t>
      </w:r>
      <w:r>
        <w:rPr>
          <w:spacing w:val="-66"/>
        </w:rPr>
        <w:t> </w:t>
      </w:r>
      <w:r>
        <w:rPr>
          <w:spacing w:val="-66"/>
        </w:rPr>
      </w:r>
      <w:r>
        <w:rPr>
          <w:spacing w:val="-2"/>
        </w:rPr>
        <w:t>据技术有限公司，孙公司宁波金信通讯技术有限公司、宁波移畅通信设备有限公司销售自行开发生产的软件产品时对增值税</w:t>
      </w:r>
      <w:r>
        <w:rPr>
          <w:spacing w:val="-64"/>
        </w:rPr>
        <w:t> </w:t>
      </w:r>
      <w:r>
        <w:rPr>
          <w:spacing w:val="-64"/>
        </w:rPr>
      </w:r>
      <w:r>
        <w:rPr/>
        <w:t>实际税负超过</w:t>
      </w:r>
      <w:r>
        <w:rPr>
          <w:rFonts w:ascii="Times New Roman" w:hAnsi="Times New Roman" w:cs="Times New Roman" w:eastAsia="Times New Roman" w:hint="default"/>
        </w:rPr>
        <w:t>3%</w:t>
      </w:r>
      <w:r>
        <w:rPr/>
        <w:t>的部分即征即退。</w:t>
      </w:r>
    </w:p>
    <w:p>
      <w:pPr>
        <w:pStyle w:val="BodyText"/>
        <w:spacing w:line="463" w:lineRule="auto" w:before="29"/>
        <w:ind w:right="191" w:firstLine="360"/>
        <w:jc w:val="both"/>
      </w:pPr>
      <w:r>
        <w:rPr>
          <w:spacing w:val="-2"/>
        </w:rPr>
        <w:t>根据财政部和国家税务总局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月发布的财税【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71</w:t>
      </w:r>
      <w:r>
        <w:rPr>
          <w:spacing w:val="-2"/>
        </w:rPr>
        <w:t>号《关于在北京等</w:t>
      </w:r>
      <w:r>
        <w:rPr>
          <w:rFonts w:ascii="Times New Roman" w:hAnsi="Times New Roman" w:cs="Times New Roman" w:eastAsia="Times New Roman" w:hint="default"/>
          <w:spacing w:val="-2"/>
        </w:rPr>
        <w:t>8</w:t>
      </w:r>
      <w:r>
        <w:rPr>
          <w:spacing w:val="-2"/>
        </w:rPr>
        <w:t>省市开展交通运输业和部分现代服务业</w:t>
      </w:r>
      <w:r>
        <w:rPr/>
        <w:t> </w:t>
      </w:r>
      <w:r>
        <w:rPr>
          <w:spacing w:val="-2"/>
        </w:rPr>
        <w:t>营业税改征增值税试点的通知》及</w:t>
      </w:r>
      <w:r>
        <w:rPr>
          <w:rFonts w:ascii="宋体" w:hAnsi="宋体" w:cs="宋体" w:eastAsia="宋体" w:hint="default"/>
          <w:b/>
          <w:bCs/>
          <w:spacing w:val="-2"/>
        </w:rPr>
        <w:t>《</w:t>
      </w:r>
      <w:r>
        <w:rPr>
          <w:spacing w:val="-2"/>
        </w:rPr>
        <w:t>交通运输业和部分现代服务业营业税改征增值税试点过渡政策的规定》的有关规定，自</w:t>
      </w:r>
      <w:r>
        <w:rPr>
          <w:spacing w:val="-68"/>
        </w:rPr>
        <w:t> </w:t>
      </w:r>
      <w:r>
        <w:rPr>
          <w:spacing w:val="-68"/>
        </w:rPr>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日起，本公司及全资子公司北京新媒传信科技有限公司、北京神州泰岳系统集成有限公司、重庆新媒农信科技有</w:t>
      </w:r>
      <w:r>
        <w:rPr>
          <w:spacing w:val="-60"/>
        </w:rPr>
        <w:t> </w:t>
      </w:r>
      <w:r>
        <w:rPr>
          <w:spacing w:val="-60"/>
        </w:rPr>
      </w:r>
      <w:r>
        <w:rPr>
          <w:spacing w:val="-2"/>
        </w:rPr>
        <w:t>限公司、北京神州泰岳信息安全技术有限公司从事技术转让、技术开发业务和与之相关的技术咨询、技术服务业务取得的收</w:t>
      </w:r>
      <w:r>
        <w:rPr>
          <w:spacing w:val="-66"/>
        </w:rPr>
        <w:t> </w:t>
      </w:r>
      <w:r>
        <w:rPr>
          <w:spacing w:val="-66"/>
        </w:rPr>
      </w:r>
      <w:r>
        <w:rPr/>
        <w:t>入，符合条件的，免征增值税。</w:t>
      </w:r>
    </w:p>
    <w:p>
      <w:pPr>
        <w:pStyle w:val="BodyText"/>
        <w:spacing w:line="451" w:lineRule="auto" w:before="65"/>
        <w:ind w:right="192" w:firstLine="360"/>
        <w:jc w:val="both"/>
      </w:pPr>
      <w:r>
        <w:rPr/>
        <w:t>根据《关于应税服务适用增值税零税率和免税政策的通知》（财税</w:t>
      </w:r>
      <w:r>
        <w:rPr>
          <w:rFonts w:ascii="Times New Roman" w:hAnsi="Times New Roman" w:cs="Times New Roman" w:eastAsia="Times New Roman" w:hint="default"/>
        </w:rPr>
        <w:t>[2011]131</w:t>
      </w:r>
      <w:r>
        <w:rPr/>
        <w:t>号）（已于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日废止）、《关于 </w:t>
      </w:r>
      <w:r>
        <w:rPr>
          <w:spacing w:val="-1"/>
        </w:rPr>
        <w:t>在全国开展交通运输业和部分现代服务业营业税改征增值税试点税收政策的通知》（财税</w:t>
      </w:r>
      <w:r>
        <w:rPr>
          <w:rFonts w:ascii="Times New Roman" w:hAnsi="Times New Roman" w:cs="Times New Roman" w:eastAsia="Times New Roman" w:hint="default"/>
          <w:spacing w:val="-1"/>
        </w:rPr>
        <w:t>[2013]37</w:t>
      </w:r>
      <w:r>
        <w:rPr>
          <w:spacing w:val="-1"/>
        </w:rPr>
        <w:t>号）的有关规定，本公司</w:t>
      </w:r>
      <w:r>
        <w:rPr>
          <w:spacing w:val="-56"/>
        </w:rPr>
        <w:t> </w:t>
      </w:r>
      <w:r>
        <w:rPr>
          <w:spacing w:val="-56"/>
        </w:rPr>
      </w:r>
      <w:r>
        <w:rPr/>
        <w:t>三级子公司北京壳木软件有限责任公司向境外单位提供软件服务产生的收入免征增值税。</w:t>
      </w:r>
    </w:p>
    <w:p>
      <w:pPr>
        <w:pStyle w:val="BodyText"/>
        <w:spacing w:line="451" w:lineRule="auto" w:before="74"/>
        <w:ind w:left="514" w:right="192"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w w:val="99"/>
        </w:rPr>
        <w:t> </w:t>
      </w:r>
      <w:r>
        <w:rPr/>
        <w:t>国家发展和改革委员会、工业和信息化部、财政部、商务部和国家税务总局于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月下发《关于印发</w:t>
      </w:r>
      <w:r>
        <w:rPr>
          <w:rFonts w:ascii="Times New Roman" w:hAnsi="Times New Roman" w:cs="Times New Roman" w:eastAsia="Times New Roman" w:hint="default"/>
        </w:rPr>
        <w:t>2013-2014</w:t>
      </w:r>
      <w:r>
        <w:rPr/>
        <w:t>年</w:t>
      </w:r>
    </w:p>
    <w:p>
      <w:pPr>
        <w:pStyle w:val="BodyText"/>
        <w:spacing w:line="451" w:lineRule="auto" w:before="43"/>
        <w:ind w:right="190"/>
        <w:jc w:val="both"/>
      </w:pPr>
      <w:r>
        <w:rPr>
          <w:spacing w:val="-2"/>
        </w:rPr>
        <w:t>度国家规划布局内重点软件企业和集成电路设计企业名单的通知》（发改高技【</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2458</w:t>
      </w:r>
      <w:r>
        <w:rPr>
          <w:spacing w:val="-2"/>
        </w:rPr>
        <w:t>号），本公司与全资子公司北京</w:t>
      </w:r>
      <w:r>
        <w:rPr>
          <w:spacing w:val="-60"/>
        </w:rPr>
        <w:t> </w:t>
      </w:r>
      <w:r>
        <w:rPr>
          <w:spacing w:val="-60"/>
        </w:rPr>
      </w:r>
      <w:r>
        <w:rPr/>
        <w:t>新媒传信科技有限公司被认定为</w:t>
      </w:r>
      <w:r>
        <w:rPr>
          <w:rFonts w:ascii="Times New Roman" w:hAnsi="Times New Roman" w:cs="Times New Roman" w:eastAsia="Times New Roman" w:hint="default"/>
        </w:rPr>
        <w:t>2013-2014</w:t>
      </w:r>
      <w:r>
        <w:rPr/>
        <w:t>年度国家规划布局内重点软件企业，根据相关规定，公司与全资子公司北京新媒</w:t>
      </w:r>
      <w:r>
        <w:rPr>
          <w:spacing w:val="-56"/>
        </w:rPr>
        <w:t> </w:t>
      </w:r>
      <w:r>
        <w:rPr>
          <w:spacing w:val="-56"/>
        </w:rPr>
      </w:r>
      <w:r>
        <w:rPr/>
        <w:t>传信科技有限公司</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年度所得税税率为</w:t>
      </w:r>
      <w:r>
        <w:rPr>
          <w:rFonts w:ascii="Times New Roman" w:hAnsi="Times New Roman" w:cs="Times New Roman" w:eastAsia="Times New Roman" w:hint="default"/>
        </w:rPr>
        <w:t>10%</w:t>
      </w:r>
      <w:r>
        <w:rPr/>
        <w:t>。</w:t>
      </w:r>
    </w:p>
    <w:p>
      <w:pPr>
        <w:pStyle w:val="BodyText"/>
        <w:spacing w:line="477" w:lineRule="auto" w:before="43"/>
        <w:ind w:left="154" w:right="92" w:firstLine="360"/>
        <w:jc w:val="left"/>
      </w:pPr>
      <w:r>
        <w:rPr>
          <w:spacing w:val="-2"/>
        </w:rPr>
        <w:t>全资子公司北京神州泰岳智能数据技术有限公司、北京互联时代通讯科技有限公司、宁波普天通信技术有限公司、北京</w:t>
      </w:r>
      <w:r>
        <w:rPr/>
        <w:t> 广通神州网络技术有限公司，孙公司宁波金信通讯技术有限公司、广州短讯神州网络技术有限公司被认定为高新技术企业，</w:t>
      </w:r>
      <w:r>
        <w:rPr>
          <w:spacing w:val="-85"/>
        </w:rPr>
        <w:t> </w:t>
      </w:r>
      <w:r>
        <w:rPr>
          <w:spacing w:val="-85"/>
        </w:rPr>
      </w:r>
      <w:r>
        <w:rPr/>
        <w:t>根据《企业所得税法》、《高新技术企业认定管理办法》等规定，本年减按</w:t>
      </w:r>
      <w:r>
        <w:rPr>
          <w:rFonts w:ascii="Times New Roman" w:hAnsi="Times New Roman" w:cs="Times New Roman" w:eastAsia="Times New Roman" w:hint="default"/>
        </w:rPr>
        <w:t>15%</w:t>
      </w:r>
      <w:r>
        <w:rPr/>
        <w:t>的税率征收企业所得税。</w:t>
      </w:r>
    </w:p>
    <w:p>
      <w:pPr>
        <w:pStyle w:val="BodyText"/>
        <w:spacing w:line="451" w:lineRule="auto" w:before="21"/>
        <w:ind w:right="191" w:firstLine="360"/>
        <w:jc w:val="both"/>
      </w:pPr>
      <w:r>
        <w:rPr>
          <w:spacing w:val="-2"/>
        </w:rPr>
        <w:t>重庆新媒农信科技有限公司</w:t>
      </w:r>
      <w:r>
        <w:rPr>
          <w:rFonts w:ascii="Times New Roman" w:hAnsi="Times New Roman" w:cs="Times New Roman" w:eastAsia="Times New Roman" w:hint="default"/>
          <w:spacing w:val="-2"/>
        </w:rPr>
        <w:t>2011</w:t>
      </w:r>
      <w:r>
        <w:rPr>
          <w:spacing w:val="-2"/>
        </w:rPr>
        <w:t>年被批准认定为软件企业，自</w:t>
      </w:r>
      <w:r>
        <w:rPr>
          <w:rFonts w:ascii="Times New Roman" w:hAnsi="Times New Roman" w:cs="Times New Roman" w:eastAsia="Times New Roman" w:hint="default"/>
          <w:spacing w:val="-2"/>
        </w:rPr>
        <w:t>2011</w:t>
      </w:r>
      <w:r>
        <w:rPr>
          <w:spacing w:val="-2"/>
        </w:rPr>
        <w:t>年起享受所得税两免三减半优惠政策，本年为所得税</w:t>
      </w:r>
      <w:r>
        <w:rPr/>
        <w:t> 两免三减半的第四年，即减按</w:t>
      </w:r>
      <w:r>
        <w:rPr>
          <w:rFonts w:ascii="Times New Roman" w:hAnsi="Times New Roman" w:cs="Times New Roman" w:eastAsia="Times New Roman" w:hint="default"/>
        </w:rPr>
        <w:t>12.5%</w:t>
      </w:r>
      <w:r>
        <w:rPr/>
        <w:t>的税率征收企业所得税。</w:t>
      </w:r>
    </w:p>
    <w:p>
      <w:pPr>
        <w:pStyle w:val="BodyText"/>
        <w:spacing w:line="451" w:lineRule="auto" w:before="44"/>
        <w:ind w:right="190" w:firstLine="360"/>
        <w:jc w:val="both"/>
      </w:pPr>
      <w:r>
        <w:rPr>
          <w:spacing w:val="-2"/>
        </w:rPr>
        <w:t>宁波移畅通信设备有限公司</w:t>
      </w:r>
      <w:r>
        <w:rPr>
          <w:rFonts w:ascii="Times New Roman" w:hAnsi="Times New Roman" w:cs="Times New Roman" w:eastAsia="Times New Roman" w:hint="default"/>
          <w:spacing w:val="-2"/>
        </w:rPr>
        <w:t>2012</w:t>
      </w:r>
      <w:r>
        <w:rPr>
          <w:spacing w:val="-2"/>
        </w:rPr>
        <w:t>年被认定为新办软件生产企业和集成电路设计企业，自</w:t>
      </w:r>
      <w:r>
        <w:rPr>
          <w:rFonts w:ascii="Times New Roman" w:hAnsi="Times New Roman" w:cs="Times New Roman" w:eastAsia="Times New Roman" w:hint="default"/>
          <w:spacing w:val="-2"/>
        </w:rPr>
        <w:t>2012</w:t>
      </w:r>
      <w:r>
        <w:rPr>
          <w:spacing w:val="-2"/>
        </w:rPr>
        <w:t>年起享受所得税二免三减半</w:t>
      </w:r>
      <w:r>
        <w:rPr/>
        <w:t> 优惠政策，本年为所得税两免三减半的第三年，即减按</w:t>
      </w:r>
      <w:r>
        <w:rPr>
          <w:rFonts w:ascii="Times New Roman" w:hAnsi="Times New Roman" w:cs="Times New Roman" w:eastAsia="Times New Roman" w:hint="default"/>
        </w:rPr>
        <w:t>12.5%</w:t>
      </w:r>
      <w:r>
        <w:rPr/>
        <w:t>的税率征收企业所得税。</w:t>
      </w:r>
    </w:p>
    <w:p>
      <w:pPr>
        <w:pStyle w:val="BodyText"/>
        <w:spacing w:line="240" w:lineRule="auto" w:before="43"/>
        <w:ind w:left="513" w:right="93"/>
        <w:jc w:val="left"/>
      </w:pPr>
      <w:r>
        <w:rPr/>
        <w:t>北京壳木软件有限责任公司</w:t>
      </w:r>
      <w:r>
        <w:rPr>
          <w:rFonts w:ascii="Times New Roman" w:hAnsi="Times New Roman" w:cs="Times New Roman" w:eastAsia="Times New Roman" w:hint="default"/>
        </w:rPr>
        <w:t>2012</w:t>
      </w:r>
      <w:r>
        <w:rPr/>
        <w:t>年被认定为我国境内新办的符合条件的软件企业</w:t>
      </w:r>
      <w:r>
        <w:rPr>
          <w:spacing w:val="-82"/>
        </w:rPr>
        <w:t>，</w:t>
      </w:r>
      <w:r>
        <w:rPr/>
        <w:t>自</w:t>
      </w:r>
      <w:r>
        <w:rPr>
          <w:rFonts w:ascii="Times New Roman" w:hAnsi="Times New Roman" w:cs="Times New Roman" w:eastAsia="Times New Roman" w:hint="default"/>
        </w:rPr>
        <w:t>2012</w:t>
      </w:r>
      <w:r>
        <w:rPr/>
        <w:t>年起享受所得税二免三减半优</w:t>
      </w:r>
    </w:p>
    <w:p>
      <w:pPr>
        <w:spacing w:after="0" w:line="240" w:lineRule="auto"/>
        <w:jc w:val="left"/>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left="513" w:right="93" w:hanging="360"/>
        <w:jc w:val="left"/>
      </w:pPr>
      <w:r>
        <w:rPr/>
        <w:t>惠政策，本年为所得税两免三减半的第三年，即减按</w:t>
      </w:r>
      <w:r>
        <w:rPr>
          <w:rFonts w:ascii="Times New Roman" w:hAnsi="Times New Roman" w:cs="Times New Roman" w:eastAsia="Times New Roman" w:hint="default"/>
        </w:rPr>
        <w:t>12.5%</w:t>
      </w:r>
      <w:r>
        <w:rPr/>
        <w:t>的税率征收企业所得税。 </w:t>
      </w:r>
      <w:r>
        <w:rPr>
          <w:spacing w:val="-2"/>
        </w:rPr>
        <w:t>北京神州泰岳信息安全技术有限公司</w:t>
      </w:r>
      <w:r>
        <w:rPr>
          <w:rFonts w:ascii="Times New Roman" w:hAnsi="Times New Roman" w:cs="Times New Roman" w:eastAsia="Times New Roman" w:hint="default"/>
          <w:spacing w:val="-2"/>
        </w:rPr>
        <w:t>2014</w:t>
      </w:r>
      <w:r>
        <w:rPr>
          <w:spacing w:val="-2"/>
        </w:rPr>
        <w:t>年被批准认定为软件企业，自</w:t>
      </w:r>
      <w:r>
        <w:rPr>
          <w:rFonts w:ascii="Times New Roman" w:hAnsi="Times New Roman" w:cs="Times New Roman" w:eastAsia="Times New Roman" w:hint="default"/>
          <w:spacing w:val="-2"/>
        </w:rPr>
        <w:t>2014</w:t>
      </w:r>
      <w:r>
        <w:rPr>
          <w:spacing w:val="-2"/>
        </w:rPr>
        <w:t>年起享受所得税两免三减半优惠政策，本年</w:t>
      </w:r>
    </w:p>
    <w:p>
      <w:pPr>
        <w:pStyle w:val="BodyText"/>
        <w:spacing w:line="240" w:lineRule="auto" w:before="43"/>
        <w:ind w:right="93"/>
        <w:jc w:val="left"/>
      </w:pPr>
      <w:r>
        <w:rPr/>
        <w:t>为所得税两免三减半的第一年，即免征企业所得税。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93"/>
        <w:jc w:val="left"/>
        <w:rPr>
          <w:b w:val="0"/>
          <w:bCs w:val="0"/>
        </w:rPr>
      </w:pPr>
      <w:bookmarkStart w:name="3其他" w:id="173"/>
      <w:bookmarkEnd w:id="173"/>
      <w:r>
        <w:rPr>
          <w:b w:val="0"/>
          <w:bCs w:val="0"/>
        </w:rPr>
      </w:r>
      <w:r>
        <w:rPr>
          <w:rFonts w:ascii="Times New Roman" w:hAnsi="Times New Roman" w:cs="Times New Roman" w:eastAsia="Times New Roman" w:hint="default"/>
        </w:rPr>
        <w:t>3 </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4" w:right="88" w:firstLine="360"/>
        <w:jc w:val="left"/>
      </w:pPr>
      <w:r>
        <w:rPr/>
        <w:t>根据财政部和国家税务总局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月发布的财税【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106</w:t>
      </w:r>
      <w:r>
        <w:rPr/>
        <w:t>号《关于将铁路运输和邮政业纳入营业税改征增值税试 </w:t>
      </w:r>
      <w:r>
        <w:rPr>
          <w:spacing w:val="-4"/>
        </w:rPr>
        <w:t>点的通知》，自</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日起全资子公司北京新媒传信科技有限公司提供的增值电信服务由营业税改征增值税，税率为</w:t>
      </w:r>
      <w:r>
        <w:rPr>
          <w:rFonts w:ascii="Times New Roman" w:hAnsi="Times New Roman" w:cs="Times New Roman" w:eastAsia="Times New Roman" w:hint="default"/>
          <w:spacing w:val="-4"/>
        </w:rPr>
        <w:t>6%</w:t>
      </w:r>
      <w:r>
        <w:rPr>
          <w:spacing w:val="-4"/>
        </w:rPr>
        <w:t>。</w:t>
      </w:r>
    </w:p>
    <w:p>
      <w:pPr>
        <w:pStyle w:val="BodyText"/>
        <w:spacing w:line="451" w:lineRule="auto" w:before="43"/>
        <w:ind w:right="178" w:firstLine="360"/>
        <w:jc w:val="left"/>
      </w:pPr>
      <w:r>
        <w:rPr>
          <w:spacing w:val="-1"/>
        </w:rPr>
        <w:t>子公司北京神州泰奇互动科技有限公司、子公司北京泰岳智桥信息技术有限公司在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月成立时按小规模纳税人</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的税率缴纳增值税，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月起获批按增值税一般纳税人</w:t>
      </w:r>
      <w:r>
        <w:rPr>
          <w:rFonts w:ascii="Times New Roman" w:hAnsi="Times New Roman" w:cs="Times New Roman" w:eastAsia="Times New Roman" w:hint="default"/>
        </w:rPr>
        <w:t>6%</w:t>
      </w:r>
      <w:r>
        <w:rPr/>
        <w:t>缴纳增值税。</w:t>
      </w:r>
    </w:p>
    <w:p>
      <w:pPr>
        <w:spacing w:line="240" w:lineRule="auto" w:before="9"/>
        <w:rPr>
          <w:rFonts w:ascii="宋体" w:hAnsi="宋体" w:cs="宋体" w:eastAsia="宋体" w:hint="default"/>
          <w:sz w:val="16"/>
          <w:szCs w:val="16"/>
        </w:rPr>
      </w:pPr>
    </w:p>
    <w:p>
      <w:pPr>
        <w:pStyle w:val="Heading2"/>
        <w:spacing w:line="240" w:lineRule="auto"/>
        <w:ind w:left="153" w:right="93"/>
        <w:jc w:val="left"/>
        <w:rPr>
          <w:b w:val="0"/>
          <w:bCs w:val="0"/>
        </w:rPr>
      </w:pPr>
      <w:bookmarkStart w:name="七、合并财务报表项目注释" w:id="174"/>
      <w:bookmarkEnd w:id="17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货币资金" w:id="175"/>
      <w:bookmarkEnd w:id="17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288,131.87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1,504,258.12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1,224,347,498.00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1,476,862,153.88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10,002,092.39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5,465,356.20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1,234,637,722.26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1,483,831,768.20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181,601,877.33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24,024,561.43</w:t>
            </w:r>
          </w:p>
        </w:tc>
      </w:tr>
    </w:tbl>
    <w:p>
      <w:pPr>
        <w:spacing w:line="240" w:lineRule="auto" w:before="6"/>
        <w:rPr>
          <w:rFonts w:ascii="宋体" w:hAnsi="宋体" w:cs="宋体" w:eastAsia="宋体" w:hint="default"/>
          <w:sz w:val="6"/>
          <w:szCs w:val="6"/>
        </w:rPr>
      </w:pPr>
    </w:p>
    <w:p>
      <w:pPr>
        <w:pStyle w:val="BodyText"/>
        <w:spacing w:line="516" w:lineRule="auto" w:before="44"/>
        <w:ind w:left="513" w:right="6753"/>
        <w:jc w:val="left"/>
      </w:pPr>
      <w:r>
        <w:rPr/>
        <w:t>其他说明： 其中受限制的货币资金明细如下：</w:t>
      </w:r>
    </w:p>
    <w:p>
      <w:pPr>
        <w:pStyle w:val="BodyText"/>
        <w:spacing w:line="240" w:lineRule="auto" w:before="25"/>
        <w:ind w:left="0" w:right="190"/>
        <w:jc w:val="right"/>
      </w:pPr>
      <w:r>
        <w:rPr/>
        <w:t>单位： 元</w:t>
      </w:r>
    </w:p>
    <w:p>
      <w:pPr>
        <w:spacing w:line="240" w:lineRule="auto" w:before="13"/>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4364"/>
        <w:gridCol w:w="2678"/>
        <w:gridCol w:w="2617"/>
      </w:tblGrid>
      <w:tr>
        <w:trPr>
          <w:trHeight w:val="347" w:hRule="exact"/>
        </w:trPr>
        <w:tc>
          <w:tcPr>
            <w:tcW w:w="4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15" w:right="0"/>
              <w:jc w:val="left"/>
              <w:rPr>
                <w:rFonts w:ascii="Times New Roman" w:hAnsi="Times New Roman" w:cs="Times New Roman" w:eastAsia="Times New Roman" w:hint="default"/>
                <w:sz w:val="18"/>
                <w:szCs w:val="18"/>
              </w:rPr>
            </w:pPr>
            <w:r>
              <w:rPr>
                <w:rFonts w:ascii="Times New Roman"/>
                <w:sz w:val="18"/>
              </w:rPr>
              <w:t>7,857,886.30</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5" w:right="0"/>
              <w:jc w:val="left"/>
              <w:rPr>
                <w:rFonts w:ascii="Times New Roman" w:hAnsi="Times New Roman" w:cs="Times New Roman" w:eastAsia="Times New Roman" w:hint="default"/>
                <w:sz w:val="18"/>
                <w:szCs w:val="18"/>
              </w:rPr>
            </w:pPr>
            <w:r>
              <w:rPr>
                <w:rFonts w:ascii="Times New Roman"/>
                <w:sz w:val="18"/>
              </w:rPr>
              <w:t>5,465,356.20</w:t>
            </w:r>
          </w:p>
        </w:tc>
      </w:tr>
    </w:tbl>
    <w:p>
      <w:pPr>
        <w:pStyle w:val="BodyText"/>
        <w:spacing w:line="451" w:lineRule="auto" w:before="88"/>
        <w:ind w:right="93"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7,857,886.30</w:t>
      </w:r>
      <w:r>
        <w:rPr/>
        <w:t>元（含利息）为本公司向银行申请开具无条件、不可撤销的</w:t>
      </w:r>
      <w:r>
        <w:rPr>
          <w:spacing w:val="1"/>
        </w:rPr>
        <w:t> </w:t>
      </w:r>
      <w:r>
        <w:rPr/>
        <w:t>担保函所存入的保证金存款。</w:t>
      </w:r>
    </w:p>
    <w:p>
      <w:pPr>
        <w:spacing w:line="240" w:lineRule="auto" w:before="10"/>
        <w:rPr>
          <w:rFonts w:ascii="宋体" w:hAnsi="宋体" w:cs="宋体" w:eastAsia="宋体" w:hint="default"/>
          <w:sz w:val="20"/>
          <w:szCs w:val="20"/>
        </w:rPr>
      </w:pPr>
    </w:p>
    <w:p>
      <w:pPr>
        <w:pStyle w:val="Heading3"/>
        <w:spacing w:line="240" w:lineRule="auto"/>
        <w:ind w:left="153" w:right="93"/>
        <w:jc w:val="left"/>
        <w:rPr>
          <w:b w:val="0"/>
          <w:bCs w:val="0"/>
        </w:rPr>
      </w:pPr>
      <w:bookmarkStart w:name="2、以公允价值计量且其变动计入当期损益的金融资产" w:id="176"/>
      <w:bookmarkEnd w:id="17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4"/>
          <w:pgSz w:w="11910" w:h="16840"/>
          <w:pgMar w:header="851" w:footer="1226" w:top="1380" w:bottom="1420" w:left="980" w:right="94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衍生金融资产" w:id="177"/>
      <w:bookmarkEnd w:id="17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4、应收票据" w:id="178"/>
      <w:bookmarkEnd w:id="17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79"/>
      <w:bookmarkEnd w:id="17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126,469,963.00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119,872,954.49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128,617,963.00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119,872,954.49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180"/>
      <w:bookmarkEnd w:id="180"/>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66,072,061.00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66,072,061.00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应收账款" w:id="181"/>
      <w:bookmarkEnd w:id="18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2"/>
      <w:bookmarkEnd w:id="18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9"/>
              <w:ind w:right="11"/>
              <w:jc w:val="center"/>
              <w:rPr>
                <w:rFonts w:ascii="宋体" w:hAnsi="宋体" w:cs="宋体" w:eastAsia="宋体" w:hint="default"/>
                <w:sz w:val="15"/>
                <w:szCs w:val="15"/>
              </w:rPr>
            </w:pPr>
            <w:r>
              <w:rPr>
                <w:rFonts w:ascii="宋体" w:hAnsi="宋体" w:cs="宋体" w:eastAsia="宋体" w:hint="default"/>
                <w:sz w:val="15"/>
                <w:szCs w:val="15"/>
              </w:rPr>
              <w:t>类别</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5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6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0"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7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7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5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61"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1" w:right="100"/>
              <w:jc w:val="left"/>
              <w:rPr>
                <w:rFonts w:ascii="宋体" w:hAnsi="宋体" w:cs="宋体" w:eastAsia="宋体" w:hint="default"/>
                <w:sz w:val="15"/>
                <w:szCs w:val="15"/>
              </w:rPr>
            </w:pPr>
            <w:r>
              <w:rPr>
                <w:rFonts w:ascii="宋体" w:hAnsi="宋体" w:cs="宋体" w:eastAsia="宋体" w:hint="default"/>
                <w:sz w:val="15"/>
                <w:szCs w:val="15"/>
              </w:rPr>
              <w:t>按信用风险特征组合计 提坏账准备的应收账款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80" w:right="0"/>
              <w:jc w:val="left"/>
              <w:rPr>
                <w:rFonts w:ascii="Times New Roman" w:hAnsi="Times New Roman" w:cs="Times New Roman" w:eastAsia="Times New Roman" w:hint="default"/>
                <w:sz w:val="15"/>
                <w:szCs w:val="15"/>
              </w:rPr>
            </w:pPr>
            <w:r>
              <w:rPr>
                <w:rFonts w:ascii="Times New Roman"/>
                <w:sz w:val="15"/>
              </w:rPr>
              <w:t>1,005,868,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4" w:right="0"/>
              <w:jc w:val="left"/>
              <w:rPr>
                <w:rFonts w:ascii="Times New Roman" w:hAnsi="Times New Roman" w:cs="Times New Roman" w:eastAsia="Times New Roman" w:hint="default"/>
                <w:sz w:val="15"/>
                <w:szCs w:val="15"/>
              </w:rPr>
            </w:pPr>
            <w:r>
              <w:rPr>
                <w:rFonts w:ascii="Times New Roman"/>
                <w:sz w:val="15"/>
              </w:rPr>
              <w:t>269.69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91,261,859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9.07%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2" w:right="0"/>
              <w:jc w:val="left"/>
              <w:rPr>
                <w:rFonts w:ascii="Times New Roman" w:hAnsi="Times New Roman" w:cs="Times New Roman" w:eastAsia="Times New Roman" w:hint="default"/>
                <w:sz w:val="15"/>
                <w:szCs w:val="15"/>
              </w:rPr>
            </w:pPr>
            <w:r>
              <w:rPr>
                <w:rFonts w:ascii="Times New Roman"/>
                <w:sz w:val="15"/>
              </w:rPr>
              <w:t>914,606,41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0.60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824,994,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239.13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73,723,491.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751,270,747.8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1" w:right="100"/>
              <w:jc w:val="both"/>
              <w:rPr>
                <w:rFonts w:ascii="宋体" w:hAnsi="宋体" w:cs="宋体" w:eastAsia="宋体" w:hint="default"/>
                <w:sz w:val="15"/>
                <w:szCs w:val="15"/>
              </w:rPr>
            </w:pPr>
            <w:r>
              <w:rPr>
                <w:rFonts w:ascii="宋体" w:hAnsi="宋体" w:cs="宋体" w:eastAsia="宋体" w:hint="default"/>
                <w:sz w:val="15"/>
                <w:szCs w:val="15"/>
              </w:rPr>
              <w:t>单项金额不重大但单独 计提坏账准备的应收账 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5"/>
                <w:szCs w:val="15"/>
              </w:rPr>
            </w:pPr>
            <w:r>
              <w:rPr>
                <w:rFonts w:ascii="Times New Roman"/>
                <w:sz w:val="15"/>
              </w:rPr>
              <w:t>53,556.84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5"/>
                <w:szCs w:val="15"/>
              </w:rPr>
            </w:pPr>
            <w:r>
              <w:rPr>
                <w:rFonts w:ascii="Times New Roman"/>
                <w:sz w:val="15"/>
              </w:rPr>
              <w:t>53,556.84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611,597.8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sz w:val="15"/>
              </w:rPr>
              <w:t>611,597.84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08"/>
              <w:ind w:left="85" w:right="0"/>
              <w:jc w:val="left"/>
              <w:rPr>
                <w:rFonts w:ascii="Times New Roman" w:hAnsi="Times New Roman" w:cs="Times New Roman" w:eastAsia="Times New Roman" w:hint="default"/>
                <w:sz w:val="15"/>
                <w:szCs w:val="15"/>
              </w:rPr>
            </w:pPr>
            <w:r>
              <w:rPr>
                <w:rFonts w:ascii="Times New Roman"/>
                <w:sz w:val="15"/>
              </w:rPr>
              <w:t>1,005,921,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10" w:right="0"/>
              <w:jc w:val="left"/>
              <w:rPr>
                <w:rFonts w:ascii="Times New Roman" w:hAnsi="Times New Roman" w:cs="Times New Roman" w:eastAsia="Times New Roman" w:hint="default"/>
                <w:sz w:val="15"/>
                <w:szCs w:val="15"/>
              </w:rPr>
            </w:pPr>
            <w:r>
              <w:rPr>
                <w:rFonts w:ascii="Times New Roman"/>
                <w:sz w:val="15"/>
              </w:rPr>
              <w:t>826.53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91,315,415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.93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8"/>
              <w:ind w:left="82" w:right="0"/>
              <w:jc w:val="left"/>
              <w:rPr>
                <w:rFonts w:ascii="Times New Roman" w:hAnsi="Times New Roman" w:cs="Times New Roman" w:eastAsia="Times New Roman" w:hint="default"/>
                <w:sz w:val="15"/>
                <w:szCs w:val="15"/>
              </w:rPr>
            </w:pPr>
            <w:r>
              <w:rPr>
                <w:rFonts w:ascii="Times New Roman"/>
                <w:sz w:val="15"/>
              </w:rPr>
              <w:t>914,606,41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0.60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825,605,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836.97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74,335,089.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751,270,747.8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44"/>
        <w:ind w:left="154" w:right="0"/>
        <w:jc w:val="left"/>
      </w:pPr>
      <w:r>
        <w:rPr/>
        <w:t>期末单项金额重大并单项计提坏账准备的应收账款：</w:t>
      </w:r>
    </w:p>
    <w:p>
      <w:pPr>
        <w:pStyle w:val="BodyText"/>
        <w:spacing w:line="490" w:lineRule="atLeast" w:before="32"/>
        <w:ind w:left="154"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组合中，按账龄分析法计提坏账准备的应收账款：</w:t>
      </w:r>
    </w:p>
    <w:p>
      <w:pPr>
        <w:spacing w:after="0" w:line="490" w:lineRule="atLeast"/>
        <w:jc w:val="lef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before="84"/>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7"/>
        <w:gridCol w:w="3246"/>
        <w:gridCol w:w="3231"/>
      </w:tblGrid>
      <w:tr>
        <w:trPr>
          <w:trHeight w:val="206" w:hRule="exact"/>
        </w:trPr>
        <w:tc>
          <w:tcPr>
            <w:tcW w:w="3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3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6" w:type="dxa"/>
            <w:vMerge/>
            <w:tcBorders>
              <w:left w:val="single" w:sz="4" w:space="0" w:color="000000"/>
              <w:bottom w:val="single" w:sz="4" w:space="0" w:color="000000"/>
              <w:right w:val="single" w:sz="4" w:space="0" w:color="000000"/>
            </w:tcBorders>
            <w:shd w:val="clear" w:color="auto" w:fill="D2D2D2"/>
          </w:tcPr>
          <w:p>
            <w:pPr/>
          </w:p>
        </w:tc>
        <w:tc>
          <w:tcPr>
            <w:tcW w:w="3231" w:type="dxa"/>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207" w:type="dxa"/>
            <w:vMerge/>
            <w:tcBorders>
              <w:left w:val="single" w:sz="4" w:space="0" w:color="000000"/>
              <w:bottom w:val="nil" w:sz="6" w:space="0" w:color="auto"/>
              <w:right w:val="single" w:sz="4" w:space="0" w:color="000000"/>
            </w:tcBorders>
            <w:shd w:val="clear" w:color="auto" w:fill="D2D2D2"/>
          </w:tcPr>
          <w:p>
            <w:pPr/>
          </w:p>
        </w:tc>
        <w:tc>
          <w:tcPr>
            <w:tcW w:w="32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05" w:hRule="exact"/>
        </w:trPr>
        <w:tc>
          <w:tcPr>
            <w:tcW w:w="3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46" w:type="dxa"/>
            <w:vMerge/>
            <w:tcBorders>
              <w:left w:val="single" w:sz="4" w:space="0" w:color="000000"/>
              <w:bottom w:val="single" w:sz="4" w:space="0" w:color="000000"/>
              <w:right w:val="single" w:sz="4" w:space="0" w:color="000000"/>
            </w:tcBorders>
            <w:shd w:val="clear" w:color="auto" w:fill="D2D2D2"/>
          </w:tcPr>
          <w:p>
            <w:pPr/>
          </w:p>
        </w:tc>
        <w:tc>
          <w:tcPr>
            <w:tcW w:w="323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712,701,919.71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35,334,850.86</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136,174,123.18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17,884,047.30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22,598,624.93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6,779,587.49</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5,722,071.41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2,861,035.71</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21,976,513.64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17,581,210.91</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10,821,126.82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10,821,126.82</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909,994,379.69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91,261,859.09</w:t>
            </w: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组合中，采用其他方法计提坏账准备的应收账款：</w:t>
      </w:r>
    </w:p>
    <w:p>
      <w:pPr>
        <w:spacing w:line="240" w:lineRule="auto" w:before="12"/>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2550"/>
        <w:gridCol w:w="2762"/>
        <w:gridCol w:w="2255"/>
        <w:gridCol w:w="2092"/>
      </w:tblGrid>
      <w:tr>
        <w:trPr>
          <w:trHeight w:val="347" w:hRule="exact"/>
        </w:trPr>
        <w:tc>
          <w:tcPr>
            <w:tcW w:w="25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0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50" w:type="dxa"/>
            <w:vMerge/>
            <w:tcBorders>
              <w:left w:val="single" w:sz="6" w:space="0" w:color="000000"/>
              <w:bottom w:val="single" w:sz="6" w:space="0" w:color="000000"/>
              <w:right w:val="single" w:sz="6" w:space="0" w:color="000000"/>
            </w:tcBorders>
            <w:shd w:val="clear" w:color="auto" w:fill="D9D9D9"/>
          </w:tcPr>
          <w:p>
            <w:pPr/>
          </w:p>
        </w:tc>
        <w:tc>
          <w:tcPr>
            <w:tcW w:w="27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7"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7" w:right="0"/>
              <w:jc w:val="left"/>
              <w:rPr>
                <w:rFonts w:ascii="宋体" w:hAnsi="宋体" w:cs="宋体" w:eastAsia="宋体" w:hint="default"/>
                <w:sz w:val="18"/>
                <w:szCs w:val="18"/>
              </w:rPr>
            </w:pPr>
            <w:r>
              <w:rPr>
                <w:rFonts w:ascii="宋体" w:hAnsi="宋体" w:cs="宋体" w:eastAsia="宋体" w:hint="default"/>
                <w:sz w:val="18"/>
                <w:szCs w:val="18"/>
              </w:rPr>
              <w:t>信用证应收账款</w:t>
            </w:r>
          </w:p>
        </w:tc>
        <w:tc>
          <w:tcPr>
            <w:tcW w:w="2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95,873,890.00</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0.00</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183"/>
      <w:bookmarkEnd w:id="18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53" w:right="2535" w:firstLine="36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17,048,755.72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558,041.00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b/>
          <w:bCs/>
          <w:sz w:val="18"/>
          <w:szCs w:val="18"/>
        </w:rPr>
        <w:t>其中本期坏账准备收回或转回金额重要的：</w:t>
      </w:r>
      <w:r>
        <w:rPr>
          <w:rFonts w:ascii="宋体" w:hAnsi="宋体" w:cs="宋体" w:eastAsia="宋体" w:hint="default"/>
          <w:sz w:val="18"/>
          <w:szCs w:val="18"/>
        </w:rPr>
      </w:r>
    </w:p>
    <w:p>
      <w:pPr>
        <w:pStyle w:val="BodyText"/>
        <w:spacing w:line="240" w:lineRule="auto" w:before="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商业购销应收款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558,041.00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货币资金收回</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558,041.00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吊的应收账款情况" w:id="184"/>
      <w:bookmarkEnd w:id="18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25"/>
        <w:gridCol w:w="2003"/>
        <w:gridCol w:w="1900"/>
        <w:gridCol w:w="1854"/>
      </w:tblGrid>
      <w:tr>
        <w:trPr>
          <w:trHeight w:val="347" w:hRule="exact"/>
        </w:trPr>
        <w:tc>
          <w:tcPr>
            <w:tcW w:w="322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75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225" w:type="dxa"/>
            <w:vMerge/>
            <w:tcBorders>
              <w:left w:val="single" w:sz="6" w:space="0" w:color="000000"/>
              <w:bottom w:val="single" w:sz="6" w:space="0" w:color="000000"/>
              <w:right w:val="single" w:sz="6" w:space="0" w:color="000000"/>
            </w:tcBorders>
            <w:shd w:val="clear" w:color="auto" w:fill="D9D9D9"/>
          </w:tcPr>
          <w:p>
            <w:pPr/>
          </w:p>
        </w:tc>
        <w:tc>
          <w:tcPr>
            <w:tcW w:w="2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717" w:right="41"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142,335,676.93</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14.15</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7,637,262.54</w:t>
            </w:r>
          </w:p>
        </w:tc>
      </w:tr>
      <w:tr>
        <w:trPr>
          <w:trHeight w:val="347"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中国移动通信集团重庆有限公司</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97,718,131.32</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9.71</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8,755,411.48</w:t>
            </w:r>
          </w:p>
        </w:tc>
      </w:tr>
      <w:tr>
        <w:trPr>
          <w:trHeight w:val="348"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95,873,890.00</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9.53</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4,793,694.50</w:t>
            </w:r>
          </w:p>
        </w:tc>
      </w:tr>
      <w:tr>
        <w:trPr>
          <w:trHeight w:val="347"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中国移动通信集团湖南有限公司</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43,563,384.13</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4.33</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7,808,891.61</w:t>
            </w:r>
          </w:p>
        </w:tc>
      </w:tr>
      <w:tr>
        <w:trPr>
          <w:trHeight w:val="347"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中国移动通信集团天津有限公司</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34,250,151.75</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3.40</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2,374,592.29</w:t>
            </w:r>
          </w:p>
        </w:tc>
      </w:tr>
      <w:tr>
        <w:trPr>
          <w:trHeight w:val="348" w:hRule="exact"/>
        </w:trPr>
        <w:tc>
          <w:tcPr>
            <w:tcW w:w="3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413,741,234.13</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41.12</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31,369,852.42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6、预付款项" w:id="185"/>
      <w:bookmarkEnd w:id="18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86"/>
      <w:bookmarkEnd w:id="18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56,221,833.49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94,746,453.94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216,778.18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186,185.03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56,438,611.67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94,932,638.97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吊的预付款情况" w:id="187"/>
      <w:bookmarkEnd w:id="18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882"/>
        <w:gridCol w:w="1940"/>
        <w:gridCol w:w="3837"/>
      </w:tblGrid>
      <w:tr>
        <w:trPr>
          <w:trHeight w:val="329" w:hRule="exact"/>
        </w:trPr>
        <w:tc>
          <w:tcPr>
            <w:tcW w:w="3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9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8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占预付款期末余额合计数的比例（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5" w:hRule="exact"/>
        </w:trPr>
        <w:tc>
          <w:tcPr>
            <w:tcW w:w="38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深圳市华成峰科技有限公司</w:t>
            </w:r>
          </w:p>
        </w:tc>
        <w:tc>
          <w:tcPr>
            <w:tcW w:w="19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13,686,400.00</w:t>
            </w:r>
          </w:p>
        </w:tc>
        <w:tc>
          <w:tcPr>
            <w:tcW w:w="38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24.25</w:t>
            </w:r>
          </w:p>
        </w:tc>
      </w:tr>
      <w:tr>
        <w:trPr>
          <w:trHeight w:val="347" w:hRule="exact"/>
        </w:trPr>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北京创想恒信科技有限公司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6,743,500.00</w:t>
            </w:r>
          </w:p>
        </w:tc>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11.95</w:t>
            </w:r>
          </w:p>
        </w:tc>
      </w:tr>
      <w:tr>
        <w:trPr>
          <w:trHeight w:val="347" w:hRule="exact"/>
        </w:trPr>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北京鼎晟祥宇商贸有限公司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5,722,826.43</w:t>
            </w:r>
          </w:p>
        </w:tc>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10.14</w:t>
            </w:r>
          </w:p>
        </w:tc>
      </w:tr>
      <w:tr>
        <w:trPr>
          <w:trHeight w:val="347" w:hRule="exact"/>
        </w:trPr>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上海惠普有限公司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5,246,014.98</w:t>
            </w:r>
          </w:p>
        </w:tc>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9.30</w:t>
            </w:r>
          </w:p>
        </w:tc>
      </w:tr>
      <w:tr>
        <w:trPr>
          <w:trHeight w:val="348" w:hRule="exact"/>
        </w:trPr>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益海嘉里食品营销有限公司天津分公司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3,623,127.76</w:t>
            </w:r>
          </w:p>
        </w:tc>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6.42</w:t>
            </w:r>
          </w:p>
        </w:tc>
      </w:tr>
      <w:tr>
        <w:trPr>
          <w:trHeight w:val="347" w:hRule="exact"/>
        </w:trPr>
        <w:tc>
          <w:tcPr>
            <w:tcW w:w="3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35,021,869.17</w:t>
            </w:r>
          </w:p>
        </w:tc>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62.06</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7、应收利息" w:id="188"/>
      <w:bookmarkEnd w:id="18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8、应收股利" w:id="189"/>
      <w:bookmarkEnd w:id="18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9、其他应收款" w:id="190"/>
      <w:bookmarkEnd w:id="19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191"/>
      <w:bookmarkEnd w:id="19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9"/>
              <w:ind w:right="11"/>
              <w:jc w:val="center"/>
              <w:rPr>
                <w:rFonts w:ascii="宋体" w:hAnsi="宋体" w:cs="宋体" w:eastAsia="宋体" w:hint="default"/>
                <w:sz w:val="15"/>
                <w:szCs w:val="15"/>
              </w:rPr>
            </w:pPr>
            <w:r>
              <w:rPr>
                <w:rFonts w:ascii="宋体" w:hAnsi="宋体" w:cs="宋体" w:eastAsia="宋体" w:hint="default"/>
                <w:sz w:val="15"/>
                <w:szCs w:val="15"/>
              </w:rPr>
              <w:t>类别</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5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6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0"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7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7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5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61"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11" w:right="100"/>
              <w:jc w:val="both"/>
              <w:rPr>
                <w:rFonts w:ascii="宋体" w:hAnsi="宋体" w:cs="宋体" w:eastAsia="宋体" w:hint="default"/>
                <w:sz w:val="15"/>
                <w:szCs w:val="15"/>
              </w:rPr>
            </w:pPr>
            <w:r>
              <w:rPr>
                <w:rFonts w:ascii="宋体" w:hAnsi="宋体" w:cs="宋体" w:eastAsia="宋体" w:hint="default"/>
                <w:sz w:val="15"/>
                <w:szCs w:val="15"/>
              </w:rPr>
              <w:t>按信用风险特征组合计 提坏账准备的其他应收 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15,506,430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5"/>
                <w:szCs w:val="15"/>
              </w:rPr>
            </w:pPr>
            <w:r>
              <w:rPr>
                <w:rFonts w:ascii="Times New Roman"/>
                <w:sz w:val="15"/>
              </w:rPr>
              <w:t>83.90%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2,237,984.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5"/>
                <w:szCs w:val="15"/>
              </w:rPr>
            </w:pPr>
            <w:r>
              <w:rPr>
                <w:rFonts w:ascii="Times New Roman"/>
                <w:sz w:val="15"/>
              </w:rPr>
              <w:t>14.43%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13,268,446.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10,331,3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69.46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5"/>
                <w:szCs w:val="15"/>
              </w:rPr>
            </w:pPr>
            <w:r>
              <w:rPr>
                <w:rFonts w:ascii="Times New Roman"/>
                <w:sz w:val="15"/>
              </w:rPr>
              <w:t>94.92%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1,520,723.2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5"/>
                <w:szCs w:val="15"/>
              </w:rPr>
            </w:pPr>
            <w:r>
              <w:rPr>
                <w:rFonts w:ascii="Times New Roman"/>
                <w:sz w:val="15"/>
              </w:rPr>
              <w:t>14.72%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5"/>
                <w:szCs w:val="15"/>
              </w:rPr>
            </w:pPr>
            <w:r>
              <w:rPr>
                <w:rFonts w:ascii="Times New Roman"/>
                <w:sz w:val="15"/>
              </w:rPr>
              <w:t>8,810,646.18</w:t>
            </w:r>
          </w:p>
        </w:tc>
      </w:tr>
    </w:tbl>
    <w:p>
      <w:pPr>
        <w:spacing w:after="0" w:line="240" w:lineRule="auto"/>
        <w:jc w:val="left"/>
        <w:rPr>
          <w:rFonts w:ascii="Times New Roman" w:hAnsi="Times New Roman" w:cs="Times New Roman" w:eastAsia="Times New Roman" w:hint="default"/>
          <w:sz w:val="15"/>
          <w:szCs w:val="15"/>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38" w:hRule="exact"/>
        </w:trPr>
        <w:tc>
          <w:tcPr>
            <w:tcW w:w="16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9"/>
              <w:ind w:left="22" w:right="99"/>
              <w:jc w:val="both"/>
              <w:rPr>
                <w:rFonts w:ascii="宋体" w:hAnsi="宋体" w:cs="宋体" w:eastAsia="宋体" w:hint="default"/>
                <w:sz w:val="15"/>
                <w:szCs w:val="15"/>
              </w:rPr>
            </w:pPr>
            <w:r>
              <w:rPr>
                <w:rFonts w:ascii="宋体" w:hAnsi="宋体" w:cs="宋体" w:eastAsia="宋体" w:hint="default"/>
                <w:sz w:val="15"/>
                <w:szCs w:val="15"/>
              </w:rPr>
              <w:t>单项金额不重大但单独 计提坏账准备的其他应 收款</w:t>
            </w:r>
          </w:p>
        </w:tc>
        <w:tc>
          <w:tcPr>
            <w:tcW w:w="7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2,974,989.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20</w:t>
            </w:r>
          </w:p>
        </w:tc>
        <w:tc>
          <w:tcPr>
            <w:tcW w:w="7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16.10%</w:t>
            </w:r>
          </w:p>
        </w:tc>
        <w:tc>
          <w:tcPr>
            <w:tcW w:w="762" w:type="dxa"/>
            <w:tcBorders>
              <w:top w:val="single" w:sz="10" w:space="0" w:color="000000"/>
              <w:left w:val="single" w:sz="4" w:space="0" w:color="000000"/>
              <w:bottom w:val="single" w:sz="4" w:space="0" w:color="000000"/>
              <w:right w:val="single" w:sz="4" w:space="0" w:color="000000"/>
            </w:tcBorders>
          </w:tcPr>
          <w:p>
            <w:pPr/>
          </w:p>
        </w:tc>
        <w:tc>
          <w:tcPr>
            <w:tcW w:w="762" w:type="dxa"/>
            <w:tcBorders>
              <w:top w:val="single" w:sz="10" w:space="0" w:color="000000"/>
              <w:left w:val="single" w:sz="4" w:space="0" w:color="000000"/>
              <w:bottom w:val="single" w:sz="4" w:space="0" w:color="000000"/>
              <w:right w:val="single" w:sz="4" w:space="0" w:color="000000"/>
            </w:tcBorders>
          </w:tcPr>
          <w:p>
            <w:pPr/>
          </w:p>
        </w:tc>
        <w:tc>
          <w:tcPr>
            <w:tcW w:w="7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2,974,989.2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6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553,345.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50</w:t>
            </w:r>
          </w:p>
        </w:tc>
        <w:tc>
          <w:tcPr>
            <w:tcW w:w="7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5.08%</w:t>
            </w:r>
          </w:p>
        </w:tc>
        <w:tc>
          <w:tcPr>
            <w:tcW w:w="813" w:type="dxa"/>
            <w:tcBorders>
              <w:top w:val="single" w:sz="10" w:space="0" w:color="000000"/>
              <w:left w:val="single" w:sz="4" w:space="0" w:color="000000"/>
              <w:bottom w:val="single" w:sz="4" w:space="0" w:color="000000"/>
              <w:right w:val="single" w:sz="4" w:space="0" w:color="000000"/>
            </w:tcBorders>
          </w:tcPr>
          <w:p>
            <w:pPr/>
          </w:p>
        </w:tc>
        <w:tc>
          <w:tcPr>
            <w:tcW w:w="932" w:type="dxa"/>
            <w:tcBorders>
              <w:top w:val="single" w:sz="10" w:space="0" w:color="000000"/>
              <w:left w:val="single" w:sz="4" w:space="0" w:color="000000"/>
              <w:bottom w:val="single" w:sz="4" w:space="0" w:color="000000"/>
              <w:right w:val="single" w:sz="4" w:space="0" w:color="000000"/>
            </w:tcBorders>
          </w:tcPr>
          <w:p>
            <w:pPr/>
          </w:p>
        </w:tc>
        <w:tc>
          <w:tcPr>
            <w:tcW w:w="9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553,345.50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18,481,419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2,237,984.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2" w:right="0"/>
              <w:jc w:val="left"/>
              <w:rPr>
                <w:rFonts w:ascii="Times New Roman" w:hAnsi="Times New Roman" w:cs="Times New Roman" w:eastAsia="Times New Roman" w:hint="default"/>
                <w:sz w:val="15"/>
                <w:szCs w:val="15"/>
              </w:rPr>
            </w:pPr>
            <w:r>
              <w:rPr>
                <w:rFonts w:ascii="Times New Roman"/>
                <w:sz w:val="15"/>
              </w:rPr>
              <w:t>12.11%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16,243,435.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10,884,7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14.96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1,520,723.2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7" w:right="0"/>
              <w:jc w:val="left"/>
              <w:rPr>
                <w:rFonts w:ascii="Times New Roman" w:hAnsi="Times New Roman" w:cs="Times New Roman" w:eastAsia="Times New Roman" w:hint="default"/>
                <w:sz w:val="15"/>
                <w:szCs w:val="15"/>
              </w:rPr>
            </w:pPr>
            <w:r>
              <w:rPr>
                <w:rFonts w:ascii="Times New Roman"/>
                <w:sz w:val="15"/>
              </w:rPr>
              <w:t>13.97%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9,363,991.68</w:t>
            </w:r>
          </w:p>
        </w:tc>
      </w:tr>
    </w:tbl>
    <w:p>
      <w:pPr>
        <w:spacing w:line="240" w:lineRule="auto" w:before="6"/>
        <w:rPr>
          <w:rFonts w:ascii="宋体" w:hAnsi="宋体" w:cs="宋体" w:eastAsia="宋体" w:hint="default"/>
          <w:sz w:val="6"/>
          <w:szCs w:val="6"/>
        </w:rPr>
      </w:pPr>
    </w:p>
    <w:p>
      <w:pPr>
        <w:pStyle w:val="BodyText"/>
        <w:spacing w:line="240" w:lineRule="auto" w:before="44"/>
        <w:ind w:left="114" w:right="209"/>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114" w:right="5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组合中，按账龄分析法计提坏账准备的其他应收款：</w:t>
      </w:r>
    </w:p>
    <w:p>
      <w:pPr>
        <w:spacing w:before="85"/>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10,043,013.57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502,150.73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3,291,451.47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329,145.14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721,200.52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216,360.16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451,070.29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225,535.15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139,606.48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825,186.60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825,186.60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15,506,430.55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2,237,984.26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518" w:lineRule="auto" w:before="44"/>
        <w:ind w:left="114" w:right="5232"/>
        <w:jc w:val="left"/>
      </w:pPr>
      <w:r>
        <w:rPr/>
        <w:t>确定该组合依据的说明： 组合中，采用余额百分比法计提坏账准备的其他应收款：</w:t>
      </w:r>
    </w:p>
    <w:p>
      <w:pPr>
        <w:pStyle w:val="BodyText"/>
        <w:spacing w:line="489" w:lineRule="auto" w:before="63"/>
        <w:ind w:left="114" w:right="5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组合中，采用其他方法计提坏账准备的其他应收款：</w:t>
      </w:r>
    </w:p>
    <w:p>
      <w:pPr>
        <w:spacing w:before="85"/>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4" w:right="209"/>
        <w:jc w:val="left"/>
        <w:rPr>
          <w:b w:val="0"/>
          <w:bCs w:val="0"/>
        </w:rPr>
      </w:pPr>
      <w:bookmarkStart w:name="（2）本期计提、收回或转回的坏账准备情况" w:id="192"/>
      <w:bookmarkEnd w:id="19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4" w:right="209"/>
        <w:jc w:val="left"/>
      </w:pPr>
      <w:r>
        <w:rPr/>
        <w:t>本期计提坏账准备金额</w:t>
      </w:r>
      <w:r>
        <w:rPr>
          <w:spacing w:val="-46"/>
        </w:rPr>
        <w:t> </w:t>
      </w:r>
      <w:r>
        <w:rPr>
          <w:rFonts w:ascii="Times New Roman" w:hAnsi="Times New Roman" w:cs="Times New Roman" w:eastAsia="Times New Roman" w:hint="default"/>
        </w:rPr>
        <w:t>627,450.36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本期实际核销的其他应收款情况" w:id="193"/>
      <w:bookmarkEnd w:id="19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194"/>
      <w:bookmarkEnd w:id="19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9,891,335.08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7,410,012.42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员工股权激励相关款项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2,974,989.20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553,345.50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2,881,013.27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877,521.42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2,734,082.20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2,043,835.62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18,481,419.75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10,884,714.96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195"/>
      <w:bookmarkEnd w:id="19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088"/>
        <w:gridCol w:w="1001"/>
        <w:gridCol w:w="2520"/>
        <w:gridCol w:w="1835"/>
        <w:gridCol w:w="1196"/>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1" w:right="101"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2" w:right="5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2"/>
              <w:jc w:val="left"/>
              <w:rPr>
                <w:rFonts w:ascii="宋体" w:hAnsi="宋体" w:cs="宋体" w:eastAsia="宋体" w:hint="default"/>
                <w:sz w:val="18"/>
                <w:szCs w:val="18"/>
              </w:rPr>
            </w:pPr>
            <w:r>
              <w:rPr>
                <w:rFonts w:ascii="宋体" w:hAnsi="宋体" w:cs="宋体" w:eastAsia="宋体" w:hint="default"/>
                <w:sz w:val="18"/>
                <w:szCs w:val="18"/>
              </w:rPr>
              <w:t>员工股权激 励相关款项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2,974,989.20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16.10%</w:t>
            </w: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神州泰岳顶策科技（北 京）有限公司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2,734,082.20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690,246.58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2,043,835.62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238,895.89</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重庆经济技术开发区管 理委员会建设管理局</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工资保障金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75,800.00</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中国移动通信集团河南 有限公司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鄞州区收付中心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8,125,071.40</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494,695.89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存货" w:id="196"/>
      <w:bookmarkEnd w:id="196"/>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197"/>
      <w:bookmarkEnd w:id="19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264,825.26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264,825.26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624,144.98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229,876.58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146,492,951.12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146,098,682.72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22,739,292.10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22,739,292.10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5,898.50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26" w:hRule="exact"/>
        </w:trPr>
        <w:tc>
          <w:tcPr>
            <w:tcW w:w="135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22" w:right="62"/>
              <w:jc w:val="left"/>
              <w:rPr>
                <w:rFonts w:ascii="宋体" w:hAnsi="宋体" w:cs="宋体" w:eastAsia="宋体" w:hint="default"/>
                <w:sz w:val="18"/>
                <w:szCs w:val="18"/>
              </w:rPr>
            </w:pPr>
            <w:r>
              <w:rPr>
                <w:rFonts w:ascii="宋体" w:hAnsi="宋体" w:cs="宋体" w:eastAsia="宋体" w:hint="default"/>
                <w:sz w:val="18"/>
                <w:szCs w:val="18"/>
              </w:rPr>
              <w:t>外购软硬件及服 务</w:t>
            </w:r>
          </w:p>
        </w:tc>
        <w:tc>
          <w:tcPr>
            <w:tcW w:w="1379" w:type="dxa"/>
            <w:tcBorders>
              <w:top w:val="single" w:sz="10" w:space="0" w:color="000000"/>
              <w:left w:val="single" w:sz="13" w:space="0" w:color="D9D9D9"/>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69,425,664.56</w:t>
            </w: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69,425,664.56</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96,486,213.74</w:t>
            </w: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96,486,213.74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216,189,730.47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215,795,462.07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119,855,549.32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119,461,280.92</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存货跌价准备" w:id="198"/>
      <w:bookmarkEnd w:id="19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11、划分为持有待售的资产" w:id="199"/>
      <w:bookmarkEnd w:id="19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12、一年内到期的非流动资产" w:id="200"/>
      <w:bookmarkEnd w:id="20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13、其他流动资产" w:id="201"/>
      <w:bookmarkEnd w:id="20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22,469,515.06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3,615,896.51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预缴的其他税金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10,989,215.67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28,624,595.59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33,458,730.73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32,240,492.10</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14、可供出售金融资产" w:id="202"/>
      <w:bookmarkEnd w:id="20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209"/>
        <w:jc w:val="left"/>
        <w:rPr>
          <w:b w:val="0"/>
          <w:bCs w:val="0"/>
        </w:rPr>
      </w:pPr>
      <w:bookmarkStart w:name="（1）可供出售金融资产情况" w:id="203"/>
      <w:bookmarkEnd w:id="20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266,404,205.37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266,004,205.37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265,400,000.00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266,404,205.37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266,004,205.37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265,400,000.00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266,404,205.37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266,004,205.37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265,400,000.00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期末按成本计量的可供出售金融资产" w:id="204"/>
      <w:bookmarkEnd w:id="204"/>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6"/>
        <w:gridCol w:w="1181"/>
        <w:gridCol w:w="1001"/>
        <w:gridCol w:w="363"/>
        <w:gridCol w:w="1182"/>
        <w:gridCol w:w="865"/>
        <w:gridCol w:w="364"/>
        <w:gridCol w:w="362"/>
        <w:gridCol w:w="867"/>
        <w:gridCol w:w="904"/>
        <w:gridCol w:w="1033"/>
      </w:tblGrid>
      <w:tr>
        <w:trPr>
          <w:trHeight w:val="402" w:hRule="exact"/>
        </w:trPr>
        <w:tc>
          <w:tcPr>
            <w:tcW w:w="1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86" w:right="8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421" w:right="60"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1338" w:hRule="exact"/>
        </w:trPr>
        <w:tc>
          <w:tcPr>
            <w:tcW w:w="154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5"/>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904" w:type="dxa"/>
            <w:vMerge/>
            <w:tcBorders>
              <w:left w:val="single" w:sz="4" w:space="0" w:color="000000"/>
              <w:bottom w:val="single" w:sz="4" w:space="0" w:color="000000"/>
              <w:right w:val="single" w:sz="4" w:space="0" w:color="000000"/>
            </w:tcBorders>
            <w:shd w:val="clear" w:color="auto" w:fill="D2D2D2"/>
          </w:tcPr>
          <w:p>
            <w:pPr/>
          </w:p>
        </w:tc>
        <w:tc>
          <w:tcPr>
            <w:tcW w:w="103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北京润佳华商创新 投资管理中心（有 </w:t>
            </w:r>
            <w:r>
              <w:rPr>
                <w:rFonts w:ascii="宋体" w:hAnsi="宋体" w:cs="宋体" w:eastAsia="宋体" w:hint="default"/>
                <w:spacing w:val="-13"/>
                <w:sz w:val="18"/>
                <w:szCs w:val="18"/>
              </w:rPr>
              <w:t>限合伙）【注】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59.91%</w:t>
            </w:r>
          </w:p>
        </w:tc>
        <w:tc>
          <w:tcPr>
            <w:tcW w:w="10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广东中科白云投资 管理有限公司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3,270,222.20</w:t>
            </w:r>
          </w:p>
        </w:tc>
      </w:tr>
      <w:tr>
        <w:trPr>
          <w:trHeight w:val="71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北京安德伦技术开 发有限公司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宁波互通网络技术 服务有限公司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w:t>
            </w:r>
          </w:p>
        </w:tc>
        <w:tc>
          <w:tcPr>
            <w:tcW w:w="90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7"/>
              <w:jc w:val="left"/>
              <w:rPr>
                <w:rFonts w:ascii="Times New Roman" w:hAnsi="Times New Roman" w:cs="Times New Roman" w:eastAsia="Times New Roman" w:hint="default"/>
                <w:sz w:val="18"/>
                <w:szCs w:val="18"/>
              </w:rPr>
            </w:pPr>
            <w:r>
              <w:rPr>
                <w:rFonts w:ascii="Times New Roman"/>
                <w:sz w:val="18"/>
              </w:rPr>
              <w:t>Limited</w:t>
            </w:r>
            <w:r>
              <w:rPr>
                <w:rFonts w:ascii="Times New Roman"/>
                <w:spacing w:val="-3"/>
                <w:sz w:val="18"/>
              </w:rPr>
              <w:t> </w:t>
            </w:r>
            <w:r>
              <w:rPr>
                <w:rFonts w:ascii="Times New Roman"/>
                <w:sz w:val="18"/>
              </w:rPr>
              <w:t>Liability</w:t>
            </w:r>
            <w:r>
              <w:rPr>
                <w:rFonts w:ascii="Times New Roman"/>
                <w:sz w:val="18"/>
              </w:rPr>
              <w:t> Company</w:t>
            </w:r>
            <w:r>
              <w:rPr>
                <w:rFonts w:ascii="Times New Roman"/>
                <w:spacing w:val="-9"/>
                <w:sz w:val="18"/>
              </w:rPr>
              <w:t> </w:t>
            </w:r>
            <w:r>
              <w:rPr>
                <w:rFonts w:ascii="Times New Roman"/>
                <w:sz w:val="18"/>
              </w:rPr>
              <w:t>A2B</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1,004,205.37</w:t>
            </w: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1,004,205.37</w:t>
            </w:r>
          </w:p>
        </w:tc>
        <w:tc>
          <w:tcPr>
            <w:tcW w:w="865"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1,004,205.37</w:t>
            </w:r>
          </w:p>
        </w:tc>
        <w:tc>
          <w:tcPr>
            <w:tcW w:w="36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266,404,205.37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400,000.00</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3,270,222.20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可供出售金融资产减值的变动情况" w:id="205"/>
      <w:bookmarkEnd w:id="205"/>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持有至到期投资" w:id="206"/>
      <w:bookmarkEnd w:id="20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16、长期应收款" w:id="207"/>
      <w:bookmarkEnd w:id="20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7、长期股权投资" w:id="208"/>
      <w:bookmarkEnd w:id="20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61"/>
        <w:gridCol w:w="995"/>
        <w:gridCol w:w="912"/>
        <w:gridCol w:w="432"/>
        <w:gridCol w:w="1168"/>
        <w:gridCol w:w="941"/>
        <w:gridCol w:w="533"/>
        <w:gridCol w:w="1133"/>
        <w:gridCol w:w="534"/>
        <w:gridCol w:w="330"/>
        <w:gridCol w:w="995"/>
        <w:gridCol w:w="634"/>
      </w:tblGrid>
      <w:tr>
        <w:trPr>
          <w:trHeight w:val="409" w:hRule="exact"/>
        </w:trPr>
        <w:tc>
          <w:tcPr>
            <w:tcW w:w="1061" w:type="dxa"/>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0"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995" w:type="dxa"/>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983" w:type="dxa"/>
            <w:gridSpan w:val="8"/>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95" w:type="dxa"/>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34" w:type="dxa"/>
            <w:vMerge w:val="restart"/>
            <w:tcBorders>
              <w:top w:val="single" w:sz="10" w:space="0" w:color="000000"/>
              <w:left w:val="single" w:sz="4" w:space="0" w:color="000000"/>
              <w:right w:val="single" w:sz="4" w:space="0" w:color="000000"/>
            </w:tcBorders>
            <w:shd w:val="clear" w:color="auto" w:fill="D2D2D2"/>
          </w:tcPr>
          <w:p>
            <w:pPr>
              <w:pStyle w:val="TableParagraph"/>
              <w:spacing w:line="381" w:lineRule="auto" w:before="120"/>
              <w:ind w:left="86" w:right="85"/>
              <w:jc w:val="both"/>
              <w:rPr>
                <w:rFonts w:ascii="宋体" w:hAnsi="宋体" w:cs="宋体" w:eastAsia="宋体" w:hint="default"/>
                <w:sz w:val="15"/>
                <w:szCs w:val="15"/>
              </w:rPr>
            </w:pPr>
            <w:r>
              <w:rPr>
                <w:rFonts w:ascii="宋体" w:hAnsi="宋体" w:cs="宋体" w:eastAsia="宋体" w:hint="default"/>
                <w:sz w:val="15"/>
                <w:szCs w:val="15"/>
              </w:rPr>
              <w:t>减值准 备期末 余额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1" w:right="59"/>
              <w:jc w:val="left"/>
              <w:rPr>
                <w:rFonts w:ascii="宋体" w:hAnsi="宋体" w:cs="宋体" w:eastAsia="宋体" w:hint="default"/>
                <w:sz w:val="15"/>
                <w:szCs w:val="15"/>
              </w:rPr>
            </w:pPr>
            <w:r>
              <w:rPr>
                <w:rFonts w:ascii="宋体" w:hAnsi="宋体" w:cs="宋体" w:eastAsia="宋体" w:hint="default"/>
                <w:sz w:val="15"/>
                <w:szCs w:val="15"/>
              </w:rPr>
              <w:t>减少 投资</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79" w:right="52" w:hanging="226"/>
              <w:jc w:val="left"/>
              <w:rPr>
                <w:rFonts w:ascii="宋体" w:hAnsi="宋体" w:cs="宋体" w:eastAsia="宋体" w:hint="default"/>
                <w:sz w:val="15"/>
                <w:szCs w:val="15"/>
              </w:rPr>
            </w:pPr>
            <w:r>
              <w:rPr>
                <w:rFonts w:ascii="宋体" w:hAnsi="宋体" w:cs="宋体" w:eastAsia="宋体" w:hint="default"/>
                <w:sz w:val="15"/>
                <w:szCs w:val="15"/>
              </w:rPr>
              <w:t>权益法下确认的 投资损益</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39" w:right="89" w:hanging="150"/>
              <w:jc w:val="left"/>
              <w:rPr>
                <w:rFonts w:ascii="宋体" w:hAnsi="宋体" w:cs="宋体" w:eastAsia="宋体" w:hint="default"/>
                <w:sz w:val="15"/>
                <w:szCs w:val="15"/>
              </w:rPr>
            </w:pPr>
            <w:r>
              <w:rPr>
                <w:rFonts w:ascii="宋体" w:hAnsi="宋体" w:cs="宋体" w:eastAsia="宋体" w:hint="default"/>
                <w:sz w:val="15"/>
                <w:szCs w:val="15"/>
              </w:rPr>
              <w:t>其他综合收 益调整</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36" w:right="35"/>
              <w:jc w:val="left"/>
              <w:rPr>
                <w:rFonts w:ascii="宋体" w:hAnsi="宋体" w:cs="宋体" w:eastAsia="宋体" w:hint="default"/>
                <w:sz w:val="15"/>
                <w:szCs w:val="15"/>
              </w:rPr>
            </w:pPr>
            <w:r>
              <w:rPr>
                <w:rFonts w:ascii="宋体" w:hAnsi="宋体" w:cs="宋体" w:eastAsia="宋体" w:hint="default"/>
                <w:sz w:val="15"/>
                <w:szCs w:val="15"/>
              </w:rPr>
              <w:t>其他权 益变动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61" w:right="35" w:hanging="226"/>
              <w:jc w:val="left"/>
              <w:rPr>
                <w:rFonts w:ascii="宋体" w:hAnsi="宋体" w:cs="宋体" w:eastAsia="宋体" w:hint="default"/>
                <w:sz w:val="15"/>
                <w:szCs w:val="15"/>
              </w:rPr>
            </w:pPr>
            <w:r>
              <w:rPr>
                <w:rFonts w:ascii="宋体" w:hAnsi="宋体" w:cs="宋体" w:eastAsia="宋体" w:hint="default"/>
                <w:sz w:val="15"/>
                <w:szCs w:val="15"/>
              </w:rPr>
              <w:t>宣告发放现金股 利或利润</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37" w:right="35"/>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85" w:right="83"/>
              <w:jc w:val="left"/>
              <w:rPr>
                <w:rFonts w:ascii="宋体" w:hAnsi="宋体" w:cs="宋体" w:eastAsia="宋体" w:hint="default"/>
                <w:sz w:val="15"/>
                <w:szCs w:val="15"/>
              </w:rPr>
            </w:pPr>
            <w:r>
              <w:rPr>
                <w:rFonts w:ascii="宋体" w:hAnsi="宋体" w:cs="宋体" w:eastAsia="宋体" w:hint="default"/>
                <w:sz w:val="15"/>
                <w:szCs w:val="15"/>
              </w:rPr>
              <w:t>其 他</w:t>
            </w:r>
          </w:p>
        </w:tc>
        <w:tc>
          <w:tcPr>
            <w:tcW w:w="995"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联营企业</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大连华信计算 机技术股份有 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113,093,681.85</w:t>
            </w:r>
          </w:p>
        </w:tc>
        <w:tc>
          <w:tcPr>
            <w:tcW w:w="91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8,848,911.67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-178,980.42</w:t>
            </w: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2,400,000.00</w:t>
            </w:r>
          </w:p>
        </w:tc>
        <w:tc>
          <w:tcPr>
            <w:tcW w:w="534"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119,363,613.10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神州泰岳顶策 </w:t>
            </w:r>
            <w:r>
              <w:rPr>
                <w:rFonts w:ascii="宋体" w:hAnsi="宋体" w:cs="宋体" w:eastAsia="宋体" w:hint="default"/>
                <w:spacing w:val="-7"/>
                <w:sz w:val="15"/>
                <w:szCs w:val="15"/>
              </w:rPr>
              <w:t>科技（北京）有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9,081,547.49</w:t>
            </w:r>
          </w:p>
        </w:tc>
        <w:tc>
          <w:tcPr>
            <w:tcW w:w="91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-55,363.42</w:t>
            </w:r>
          </w:p>
        </w:tc>
        <w:tc>
          <w:tcPr>
            <w:tcW w:w="94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9,026,184.07</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北京盈海益讯 科技发展有限 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1,992,482.56</w:t>
            </w:r>
          </w:p>
        </w:tc>
        <w:tc>
          <w:tcPr>
            <w:tcW w:w="91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26,775.27</w:t>
            </w:r>
          </w:p>
        </w:tc>
        <w:tc>
          <w:tcPr>
            <w:tcW w:w="94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2,019,257.83</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left"/>
              <w:rPr>
                <w:rFonts w:ascii="宋体" w:hAnsi="宋体" w:cs="宋体" w:eastAsia="宋体" w:hint="default"/>
                <w:sz w:val="15"/>
                <w:szCs w:val="15"/>
              </w:rPr>
            </w:pPr>
            <w:r>
              <w:rPr>
                <w:rFonts w:ascii="宋体" w:hAnsi="宋体" w:cs="宋体" w:eastAsia="宋体" w:hint="default"/>
                <w:sz w:val="15"/>
                <w:szCs w:val="15"/>
              </w:rPr>
              <w:t>北京华泰德丰 技术有限公司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886,938.70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 w:right="0"/>
              <w:jc w:val="center"/>
              <w:rPr>
                <w:rFonts w:ascii="Times New Roman" w:hAnsi="Times New Roman" w:cs="Times New Roman" w:eastAsia="Times New Roman" w:hint="default"/>
                <w:sz w:val="15"/>
                <w:szCs w:val="15"/>
              </w:rPr>
            </w:pPr>
            <w:r>
              <w:rPr>
                <w:rFonts w:ascii="Times New Roman"/>
                <w:sz w:val="15"/>
              </w:rPr>
              <w:t>3,800,000.00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-2,076,975.06</w:t>
            </w:r>
          </w:p>
        </w:tc>
        <w:tc>
          <w:tcPr>
            <w:tcW w:w="94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2,609,963.64</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6"/>
              <w:jc w:val="both"/>
              <w:rPr>
                <w:rFonts w:ascii="宋体" w:hAnsi="宋体" w:cs="宋体" w:eastAsia="宋体" w:hint="default"/>
                <w:sz w:val="15"/>
                <w:szCs w:val="15"/>
              </w:rPr>
            </w:pPr>
            <w:r>
              <w:rPr>
                <w:rFonts w:ascii="宋体" w:hAnsi="宋体" w:cs="宋体" w:eastAsia="宋体" w:hint="default"/>
                <w:sz w:val="15"/>
                <w:szCs w:val="15"/>
              </w:rPr>
              <w:t>宁波泰岳梧桐 投资管理有限 公司</w:t>
            </w:r>
          </w:p>
        </w:tc>
        <w:tc>
          <w:tcPr>
            <w:tcW w:w="99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5"/>
                <w:szCs w:val="15"/>
              </w:rPr>
            </w:pPr>
            <w:r>
              <w:rPr>
                <w:rFonts w:ascii="Times New Roman"/>
                <w:sz w:val="15"/>
              </w:rPr>
              <w:t>8,000,000.00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-638,858.02</w:t>
            </w:r>
          </w:p>
        </w:tc>
        <w:tc>
          <w:tcPr>
            <w:tcW w:w="94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7,361,141.98</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125,054,650.60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11,800,000.00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6" w:right="0"/>
              <w:jc w:val="left"/>
              <w:rPr>
                <w:rFonts w:ascii="Times New Roman" w:hAnsi="Times New Roman" w:cs="Times New Roman" w:eastAsia="Times New Roman" w:hint="default"/>
                <w:sz w:val="15"/>
                <w:szCs w:val="15"/>
              </w:rPr>
            </w:pPr>
            <w:r>
              <w:rPr>
                <w:rFonts w:ascii="Times New Roman"/>
                <w:sz w:val="15"/>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6,104,490.44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-178,980.42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7" w:right="0"/>
              <w:jc w:val="left"/>
              <w:rPr>
                <w:rFonts w:ascii="Times New Roman" w:hAnsi="Times New Roman" w:cs="Times New Roman" w:eastAsia="Times New Roman" w:hint="default"/>
                <w:sz w:val="15"/>
                <w:szCs w:val="15"/>
              </w:rPr>
            </w:pPr>
            <w:r>
              <w:rPr>
                <w:rFonts w:ascii="Times New Roman"/>
                <w:sz w:val="15"/>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2,400,000.00</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8" w:right="0"/>
              <w:jc w:val="left"/>
              <w:rPr>
                <w:rFonts w:ascii="Times New Roman" w:hAnsi="Times New Roman" w:cs="Times New Roman" w:eastAsia="Times New Roman" w:hint="default"/>
                <w:sz w:val="15"/>
                <w:szCs w:val="15"/>
              </w:rPr>
            </w:pPr>
            <w:r>
              <w:rPr>
                <w:rFonts w:ascii="Times New Roman"/>
                <w:sz w:val="15"/>
              </w:rPr>
              <w:t>0.00</w:t>
            </w:r>
          </w:p>
        </w:tc>
        <w:tc>
          <w:tcPr>
            <w:tcW w:w="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4" w:right="0"/>
              <w:jc w:val="left"/>
              <w:rPr>
                <w:rFonts w:ascii="Times New Roman" w:hAnsi="Times New Roman" w:cs="Times New Roman" w:eastAsia="Times New Roman" w:hint="default"/>
                <w:sz w:val="15"/>
                <w:szCs w:val="15"/>
              </w:rPr>
            </w:pPr>
            <w:r>
              <w:rPr>
                <w:rFonts w:ascii="Times New Roman"/>
                <w:sz w:val="15"/>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140,380,160.62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38" w:right="0"/>
              <w:jc w:val="left"/>
              <w:rPr>
                <w:rFonts w:ascii="Times New Roman" w:hAnsi="Times New Roman" w:cs="Times New Roman" w:eastAsia="Times New Roman" w:hint="default"/>
                <w:sz w:val="15"/>
                <w:szCs w:val="15"/>
              </w:rPr>
            </w:pPr>
            <w:r>
              <w:rPr>
                <w:rFonts w:ascii="Times New Roman"/>
                <w:sz w:val="15"/>
              </w:rPr>
              <w:t>0.00</w:t>
            </w:r>
          </w:p>
        </w:tc>
      </w:tr>
    </w:tbl>
    <w:p>
      <w:pPr>
        <w:spacing w:line="240" w:lineRule="auto" w:before="3"/>
        <w:rPr>
          <w:rFonts w:ascii="宋体" w:hAnsi="宋体" w:cs="宋体" w:eastAsia="宋体" w:hint="default"/>
          <w:sz w:val="19"/>
          <w:szCs w:val="19"/>
        </w:rPr>
      </w:pPr>
    </w:p>
    <w:p>
      <w:pPr>
        <w:pStyle w:val="Heading3"/>
        <w:spacing w:line="240" w:lineRule="auto" w:before="35"/>
        <w:ind w:left="114" w:right="143"/>
        <w:jc w:val="left"/>
        <w:rPr>
          <w:b w:val="0"/>
          <w:bCs w:val="0"/>
        </w:rPr>
      </w:pPr>
      <w:bookmarkStart w:name="18、投资性房地产" w:id="209"/>
      <w:bookmarkEnd w:id="20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4" w:right="143"/>
        <w:jc w:val="left"/>
        <w:rPr>
          <w:b w:val="0"/>
          <w:bCs w:val="0"/>
        </w:rPr>
      </w:pPr>
      <w:bookmarkStart w:name="（1）采用成本计量模式的投资性房地产" w:id="210"/>
      <w:bookmarkEnd w:id="21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4" w:right="1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5" w:right="0"/>
              <w:jc w:val="left"/>
              <w:rPr>
                <w:rFonts w:ascii="Times New Roman" w:hAnsi="Times New Roman" w:cs="Times New Roman" w:eastAsia="Times New Roman" w:hint="default"/>
                <w:sz w:val="18"/>
                <w:szCs w:val="18"/>
              </w:rPr>
            </w:pPr>
            <w:r>
              <w:rPr>
                <w:rFonts w:ascii="Times New Roman"/>
                <w:sz w:val="18"/>
              </w:rPr>
              <w:t>188,678,119.29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188,678,119.29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1020" w:right="980"/>
        </w:sect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14" w:hRule="exact"/>
        </w:trPr>
        <w:tc>
          <w:tcPr>
            <w:tcW w:w="1912" w:type="dxa"/>
            <w:tcBorders>
              <w:top w:val="single" w:sz="10" w:space="0" w:color="000000"/>
              <w:left w:val="single" w:sz="4" w:space="0" w:color="000000"/>
              <w:bottom w:val="single" w:sz="4" w:space="0" w:color="000000"/>
              <w:right w:val="single" w:sz="4" w:space="0" w:color="000000"/>
            </w:tcBorders>
          </w:tcPr>
          <w:p>
            <w:pPr/>
          </w:p>
        </w:tc>
        <w:tc>
          <w:tcPr>
            <w:tcW w:w="1917"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188,678,119.29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188,678,119.29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12,371,702.77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12,371,702.77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16,453,164.97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16,453,164.97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172,224,954.32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172,224,954.32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176,306,416.52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176,306,416.52</w:t>
            </w:r>
          </w:p>
        </w:tc>
      </w:tr>
    </w:tbl>
    <w:p>
      <w:pPr>
        <w:spacing w:line="240" w:lineRule="auto" w:before="11"/>
        <w:rPr>
          <w:rFonts w:ascii="宋体" w:hAnsi="宋体" w:cs="宋体" w:eastAsia="宋体" w:hint="default"/>
          <w:sz w:val="18"/>
          <w:szCs w:val="18"/>
        </w:rPr>
      </w:pPr>
    </w:p>
    <w:p>
      <w:pPr>
        <w:pStyle w:val="Heading3"/>
        <w:spacing w:line="240" w:lineRule="auto" w:before="35"/>
        <w:ind w:left="114" w:right="209"/>
        <w:jc w:val="left"/>
        <w:rPr>
          <w:b w:val="0"/>
          <w:bCs w:val="0"/>
        </w:rPr>
      </w:pPr>
      <w:bookmarkStart w:name="（2）采用公允价值计量模式的投资性房地产" w:id="211"/>
      <w:bookmarkEnd w:id="21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19、固定资产" w:id="212"/>
      <w:bookmarkEnd w:id="21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4" w:right="209"/>
        <w:jc w:val="left"/>
        <w:rPr>
          <w:b w:val="0"/>
          <w:bCs w:val="0"/>
        </w:rPr>
      </w:pPr>
      <w:bookmarkStart w:name="（1）固定资产情况" w:id="213"/>
      <w:bookmarkEnd w:id="21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51" w:footer="1226" w:top="1420" w:bottom="1420" w:left="1020" w:right="1020"/>
        </w:sectPr>
      </w:pPr>
    </w:p>
    <w:tbl>
      <w:tblPr>
        <w:tblW w:w="0" w:type="auto"/>
        <w:jc w:val="left"/>
        <w:tblInd w:w="10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14" w:hRule="exact"/>
        </w:trPr>
        <w:tc>
          <w:tcPr>
            <w:tcW w:w="21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10" w:space="0" w:color="000000"/>
              <w:left w:val="single" w:sz="10" w:space="0" w:color="D2D2D2"/>
              <w:bottom w:val="single" w:sz="4" w:space="0" w:color="000000"/>
              <w:right w:val="single" w:sz="4" w:space="0" w:color="000000"/>
            </w:tcBorders>
          </w:tcPr>
          <w:p>
            <w:pPr/>
          </w:p>
        </w:tc>
        <w:tc>
          <w:tcPr>
            <w:tcW w:w="1197"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286"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309,469,039.19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1,182,833.00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73,928,008.95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Times New Roman" w:hAnsi="Times New Roman" w:cs="Times New Roman" w:eastAsia="Times New Roman" w:hint="default"/>
                <w:sz w:val="18"/>
                <w:szCs w:val="18"/>
              </w:rPr>
            </w:pPr>
            <w:r>
              <w:rPr>
                <w:rFonts w:ascii="Times New Roman"/>
                <w:sz w:val="18"/>
              </w:rPr>
              <w:t>19,031,233.03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8,533,703.85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412,144,818.02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40,454,552.80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1,289,388.66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10,278,634.76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2,424,522.62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54,447,098.84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40,454,552.80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1,289,388.66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8,874,752.91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2,424,522.62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53,021,351.59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1,425,747.25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1,425,747.25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207" w:type="dxa"/>
            <w:tcBorders>
              <w:top w:val="single" w:sz="4" w:space="0" w:color="000000"/>
              <w:left w:val="single" w:sz="10" w:space="0" w:color="D9D9D9"/>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-21,865.40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-21,865.40</w:t>
            </w:r>
            <w:r>
              <w:rPr>
                <w:rFonts w:ascii="Times New Roman"/>
                <w:sz w:val="18"/>
              </w:rPr>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3,412,131.79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2,397,062.00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5,809,193.79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3,412,131.79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2,397,062.00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5,809,193.79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349,923,591.99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2,472,221.66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80,794,511.92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Times New Roman" w:hAnsi="Times New Roman" w:cs="Times New Roman" w:eastAsia="Times New Roman" w:hint="default"/>
                <w:sz w:val="18"/>
                <w:szCs w:val="18"/>
              </w:rPr>
            </w:pPr>
            <w:r>
              <w:rPr>
                <w:rFonts w:ascii="Times New Roman"/>
                <w:sz w:val="18"/>
              </w:rPr>
              <w:t>19,058,693.65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8,533,703.85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460,782,723.07</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25,721,877.51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18,640.59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46,606,721.33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8,504,482.79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5,447,674.08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86,299,396.30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7,296,011.35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348,047.83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11,834,039.85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2,888,627.39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1,704,359.88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24,071,086.30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7,296,011.35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348,047.83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11,106,883.27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2,888,627.39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1,704,359.88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23,343,929.72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7" w:type="dxa"/>
            <w:tcBorders>
              <w:top w:val="single" w:sz="4" w:space="0" w:color="000000"/>
              <w:left w:val="single" w:sz="10" w:space="0" w:color="D9D9D9"/>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748,788.77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748,788.77</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207" w:type="dxa"/>
            <w:tcBorders>
              <w:top w:val="single" w:sz="4" w:space="0" w:color="000000"/>
              <w:left w:val="single" w:sz="10" w:space="0" w:color="D9D9D9"/>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-21,632.19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-21,632.19</w:t>
            </w:r>
            <w:r>
              <w:rPr>
                <w:rFonts w:ascii="Times New Roman"/>
                <w:sz w:val="18"/>
              </w:rPr>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1,905,896.44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9" w:right="0"/>
              <w:jc w:val="center"/>
              <w:rPr>
                <w:rFonts w:ascii="Times New Roman" w:hAnsi="Times New Roman" w:cs="Times New Roman" w:eastAsia="Times New Roman" w:hint="default"/>
                <w:sz w:val="18"/>
                <w:szCs w:val="18"/>
              </w:rPr>
            </w:pPr>
            <w:r>
              <w:rPr>
                <w:rFonts w:ascii="Times New Roman"/>
                <w:sz w:val="18"/>
              </w:rPr>
              <w:t>1,827,711.23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3,733,607.67</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1,905,896.44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9" w:right="0"/>
              <w:jc w:val="center"/>
              <w:rPr>
                <w:rFonts w:ascii="Times New Roman" w:hAnsi="Times New Roman" w:cs="Times New Roman" w:eastAsia="Times New Roman" w:hint="default"/>
                <w:sz w:val="18"/>
                <w:szCs w:val="18"/>
              </w:rPr>
            </w:pPr>
            <w:r>
              <w:rPr>
                <w:rFonts w:ascii="Times New Roman"/>
                <w:sz w:val="18"/>
              </w:rPr>
              <w:t>1,827,711.23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3,733,607.67</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33,017,888.86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366,688.42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56,534,864.74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9,565,398.95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7,152,033.96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106,636,874.93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316,905,703.13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2,105,533.24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24,259,647.18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3" w:right="0"/>
              <w:jc w:val="center"/>
              <w:rPr>
                <w:rFonts w:ascii="Times New Roman" w:hAnsi="Times New Roman" w:cs="Times New Roman" w:eastAsia="Times New Roman" w:hint="default"/>
                <w:sz w:val="18"/>
                <w:szCs w:val="18"/>
              </w:rPr>
            </w:pPr>
            <w:r>
              <w:rPr>
                <w:rFonts w:ascii="Times New Roman"/>
                <w:sz w:val="18"/>
              </w:rPr>
              <w:t>9,493,294.70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1,381,669.89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354,145,848.14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283,747,161.68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1,164,192.41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27,321,287.62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center"/>
              <w:rPr>
                <w:rFonts w:ascii="Times New Roman" w:hAnsi="Times New Roman" w:cs="Times New Roman" w:eastAsia="Times New Roman" w:hint="default"/>
                <w:sz w:val="18"/>
                <w:szCs w:val="18"/>
              </w:rPr>
            </w:pPr>
            <w:r>
              <w:rPr>
                <w:rFonts w:ascii="Times New Roman"/>
                <w:sz w:val="18"/>
              </w:rPr>
              <w:t>10,526,750.24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3,086,029.77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325,845,421.72</w:t>
            </w:r>
          </w:p>
        </w:tc>
      </w:tr>
    </w:tbl>
    <w:p>
      <w:pPr>
        <w:spacing w:line="240" w:lineRule="auto" w:before="11"/>
        <w:rPr>
          <w:rFonts w:ascii="宋体" w:hAnsi="宋体" w:cs="宋体" w:eastAsia="宋体" w:hint="default"/>
          <w:sz w:val="18"/>
          <w:szCs w:val="18"/>
        </w:rPr>
      </w:pPr>
    </w:p>
    <w:p>
      <w:pPr>
        <w:pStyle w:val="Heading3"/>
        <w:spacing w:line="240" w:lineRule="auto" w:before="35"/>
        <w:ind w:left="114" w:right="209"/>
        <w:jc w:val="left"/>
        <w:rPr>
          <w:b w:val="0"/>
          <w:bCs w:val="0"/>
        </w:rPr>
      </w:pPr>
      <w:bookmarkStart w:name="（2）未办妥产权证书的固定资产情况" w:id="214"/>
      <w:bookmarkEnd w:id="21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702"/>
        <w:gridCol w:w="6308"/>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3" w:right="0"/>
              <w:jc w:val="left"/>
              <w:rPr>
                <w:rFonts w:ascii="Times New Roman" w:hAnsi="Times New Roman" w:cs="Times New Roman" w:eastAsia="Times New Roman" w:hint="default"/>
                <w:sz w:val="18"/>
                <w:szCs w:val="18"/>
              </w:rPr>
            </w:pPr>
            <w:r>
              <w:rPr>
                <w:rFonts w:ascii="Times New Roman"/>
                <w:sz w:val="18"/>
              </w:rPr>
              <w:t>19,024,505.93</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北辰泰岳大厦地下车库于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月交付使用，协议规定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个月内由开发商协</w:t>
            </w:r>
          </w:p>
        </w:tc>
      </w:tr>
    </w:tbl>
    <w:p>
      <w:pPr>
        <w:spacing w:after="0" w:line="240" w:lineRule="auto"/>
        <w:jc w:val="center"/>
        <w:rPr>
          <w:rFonts w:ascii="宋体" w:hAnsi="宋体" w:cs="宋体" w:eastAsia="宋体" w:hint="default"/>
          <w:sz w:val="18"/>
          <w:szCs w:val="18"/>
        </w:rPr>
        <w:sectPr>
          <w:pgSz w:w="11910" w:h="16840"/>
          <w:pgMar w:header="851" w:footer="1226" w:top="1420" w:bottom="1420" w:left="1020" w:right="102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60"/>
        <w:gridCol w:w="1702"/>
        <w:gridCol w:w="6308"/>
      </w:tblGrid>
      <w:tr>
        <w:trPr>
          <w:trHeight w:val="368" w:hRule="exact"/>
        </w:trPr>
        <w:tc>
          <w:tcPr>
            <w:tcW w:w="1560"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c>
          <w:tcPr>
            <w:tcW w:w="63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助办理产权证书，目前尚未办理完毕。</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40,454,552.80</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普金厂房于本年达到预定可使用状态，结转固定资产。主体工程已办理完竣工结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算，其余零星工程尚未办理竣工结算，因此尚未开始办理产权证书。</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0、在建工程" w:id="215"/>
      <w:bookmarkEnd w:id="21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4" w:right="209"/>
        <w:jc w:val="left"/>
        <w:rPr>
          <w:b w:val="0"/>
          <w:bCs w:val="0"/>
        </w:rPr>
      </w:pPr>
      <w:bookmarkStart w:name="（1）在建工程情况" w:id="216"/>
      <w:bookmarkEnd w:id="21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办公及研发用房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27,523,320.41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27,523,320.41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29,784,002.93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29,784,002.93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27,523,320.41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27,523,320.41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29,784,002.93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29,784,002.93</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重要在建工程项目本期变动情况" w:id="217"/>
      <w:bookmarkEnd w:id="21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12" w:right="61" w:hanging="150"/>
              <w:jc w:val="left"/>
              <w:rPr>
                <w:rFonts w:ascii="宋体" w:hAnsi="宋体" w:cs="宋体" w:eastAsia="宋体" w:hint="default"/>
                <w:sz w:val="15"/>
                <w:szCs w:val="15"/>
              </w:rPr>
            </w:pPr>
            <w:r>
              <w:rPr>
                <w:rFonts w:ascii="宋体" w:hAnsi="宋体" w:cs="宋体" w:eastAsia="宋体" w:hint="default"/>
                <w:sz w:val="15"/>
                <w:szCs w:val="15"/>
              </w:rPr>
              <w:t>本期增加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1"/>
              <w:jc w:val="center"/>
              <w:rPr>
                <w:rFonts w:ascii="宋体" w:hAnsi="宋体" w:cs="宋体" w:eastAsia="宋体" w:hint="default"/>
                <w:sz w:val="15"/>
                <w:szCs w:val="15"/>
              </w:rPr>
            </w:pPr>
            <w:r>
              <w:rPr>
                <w:rFonts w:ascii="宋体" w:hAnsi="宋体" w:cs="宋体" w:eastAsia="宋体" w:hint="default"/>
                <w:sz w:val="15"/>
                <w:szCs w:val="15"/>
              </w:rPr>
              <w:t>本期转入 固定资产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63" w:right="61"/>
              <w:jc w:val="left"/>
              <w:rPr>
                <w:rFonts w:ascii="宋体" w:hAnsi="宋体" w:cs="宋体" w:eastAsia="宋体" w:hint="default"/>
                <w:sz w:val="15"/>
                <w:szCs w:val="15"/>
              </w:rPr>
            </w:pPr>
            <w:r>
              <w:rPr>
                <w:rFonts w:ascii="宋体" w:hAnsi="宋体" w:cs="宋体" w:eastAsia="宋体" w:hint="default"/>
                <w:sz w:val="15"/>
                <w:szCs w:val="15"/>
              </w:rPr>
              <w:t>本期其他 减少金额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1"/>
              <w:jc w:val="both"/>
              <w:rPr>
                <w:rFonts w:ascii="宋体" w:hAnsi="宋体" w:cs="宋体" w:eastAsia="宋体" w:hint="default"/>
                <w:sz w:val="15"/>
                <w:szCs w:val="15"/>
              </w:rPr>
            </w:pPr>
            <w:r>
              <w:rPr>
                <w:rFonts w:ascii="宋体" w:hAnsi="宋体" w:cs="宋体" w:eastAsia="宋体" w:hint="default"/>
                <w:sz w:val="15"/>
                <w:szCs w:val="15"/>
              </w:rPr>
              <w:t>工程累计 投入占预 算比例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工程进度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3"/>
              <w:jc w:val="center"/>
              <w:rPr>
                <w:rFonts w:ascii="宋体" w:hAnsi="宋体" w:cs="宋体" w:eastAsia="宋体" w:hint="default"/>
                <w:sz w:val="15"/>
                <w:szCs w:val="15"/>
              </w:rPr>
            </w:pPr>
            <w:r>
              <w:rPr>
                <w:rFonts w:ascii="宋体" w:hAnsi="宋体" w:cs="宋体" w:eastAsia="宋体" w:hint="default"/>
                <w:sz w:val="15"/>
                <w:szCs w:val="15"/>
              </w:rPr>
              <w:t>利息资本 化累计金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20" w:hanging="40"/>
              <w:jc w:val="both"/>
              <w:rPr>
                <w:rFonts w:ascii="宋体" w:hAnsi="宋体" w:cs="宋体" w:eastAsia="宋体" w:hint="default"/>
                <w:sz w:val="15"/>
                <w:szCs w:val="15"/>
              </w:rPr>
            </w:pPr>
            <w:r>
              <w:rPr>
                <w:rFonts w:ascii="宋体" w:hAnsi="宋体" w:cs="宋体" w:eastAsia="宋体" w:hint="default"/>
                <w:spacing w:val="-14"/>
                <w:sz w:val="15"/>
                <w:szCs w:val="15"/>
              </w:rPr>
              <w:t>其中：本期</w:t>
            </w:r>
            <w:r>
              <w:rPr>
                <w:rFonts w:ascii="宋体" w:hAnsi="宋体" w:cs="宋体" w:eastAsia="宋体" w:hint="default"/>
                <w:sz w:val="15"/>
                <w:szCs w:val="15"/>
              </w:rPr>
              <w:t> 利息资本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63" w:right="61"/>
              <w:jc w:val="left"/>
              <w:rPr>
                <w:rFonts w:ascii="宋体" w:hAnsi="宋体" w:cs="宋体" w:eastAsia="宋体" w:hint="default"/>
                <w:sz w:val="15"/>
                <w:szCs w:val="15"/>
              </w:rPr>
            </w:pPr>
            <w:r>
              <w:rPr>
                <w:rFonts w:ascii="宋体" w:hAnsi="宋体" w:cs="宋体" w:eastAsia="宋体" w:hint="default"/>
                <w:sz w:val="15"/>
                <w:szCs w:val="15"/>
              </w:rPr>
              <w:t>本期利息 资本化率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资金来源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5"/>
              <w:ind w:left="22" w:right="99"/>
              <w:jc w:val="left"/>
              <w:rPr>
                <w:rFonts w:ascii="宋体" w:hAnsi="宋体" w:cs="宋体" w:eastAsia="宋体" w:hint="default"/>
                <w:sz w:val="15"/>
                <w:szCs w:val="15"/>
              </w:rPr>
            </w:pPr>
            <w:r>
              <w:rPr>
                <w:rFonts w:ascii="宋体" w:hAnsi="宋体" w:cs="宋体" w:eastAsia="宋体" w:hint="default"/>
                <w:sz w:val="15"/>
                <w:szCs w:val="15"/>
              </w:rPr>
              <w:t>普金厂房 建造工程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45,159,300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28,190,938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12,263,614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40,454,552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89.58%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5"/>
              <w:ind w:left="23" w:right="101"/>
              <w:jc w:val="left"/>
              <w:rPr>
                <w:rFonts w:ascii="宋体" w:hAnsi="宋体" w:cs="宋体" w:eastAsia="宋体" w:hint="default"/>
                <w:sz w:val="15"/>
                <w:szCs w:val="15"/>
              </w:rPr>
            </w:pPr>
            <w:r>
              <w:rPr>
                <w:rFonts w:ascii="宋体" w:hAnsi="宋体" w:cs="宋体" w:eastAsia="宋体" w:hint="default"/>
                <w:sz w:val="15"/>
                <w:szCs w:val="15"/>
              </w:rPr>
              <w:t>主体项目 已竣工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99"/>
              <w:jc w:val="both"/>
              <w:rPr>
                <w:rFonts w:ascii="宋体" w:hAnsi="宋体" w:cs="宋体" w:eastAsia="宋体" w:hint="default"/>
                <w:sz w:val="15"/>
                <w:szCs w:val="15"/>
              </w:rPr>
            </w:pPr>
            <w:r>
              <w:rPr>
                <w:rFonts w:ascii="宋体" w:hAnsi="宋体" w:cs="宋体" w:eastAsia="宋体" w:hint="default"/>
                <w:sz w:val="15"/>
                <w:szCs w:val="15"/>
              </w:rPr>
              <w:t>重庆农信 茶园新媒 软件园建 造工程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88,760,000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1,593,064.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25,930,255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27,523,320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31.01%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3" w:right="101"/>
              <w:jc w:val="both"/>
              <w:rPr>
                <w:rFonts w:ascii="宋体" w:hAnsi="宋体" w:cs="宋体" w:eastAsia="宋体" w:hint="default"/>
                <w:sz w:val="15"/>
                <w:szCs w:val="15"/>
              </w:rPr>
            </w:pPr>
            <w:r>
              <w:rPr>
                <w:rFonts w:ascii="宋体" w:hAnsi="宋体" w:cs="宋体" w:eastAsia="宋体" w:hint="default"/>
                <w:sz w:val="15"/>
                <w:szCs w:val="15"/>
              </w:rPr>
              <w:t>主体项目 正在建造 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募股资金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 w:right="0"/>
              <w:jc w:val="left"/>
              <w:rPr>
                <w:rFonts w:ascii="Times New Roman" w:hAnsi="Times New Roman" w:cs="Times New Roman" w:eastAsia="Times New Roman" w:hint="default"/>
                <w:sz w:val="15"/>
                <w:szCs w:val="15"/>
              </w:rPr>
            </w:pPr>
            <w:r>
              <w:rPr>
                <w:rFonts w:ascii="Times New Roman"/>
                <w:sz w:val="15"/>
              </w:rPr>
              <w:t>133,919,30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40" w:right="0"/>
              <w:jc w:val="left"/>
              <w:rPr>
                <w:rFonts w:ascii="Times New Roman" w:hAnsi="Times New Roman" w:cs="Times New Roman" w:eastAsia="Times New Roman" w:hint="default"/>
                <w:sz w:val="15"/>
                <w:szCs w:val="15"/>
              </w:rPr>
            </w:pPr>
            <w:r>
              <w:rPr>
                <w:rFonts w:ascii="Times New Roman"/>
                <w:sz w:val="15"/>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29,784,002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38,193,870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40,454,552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27,523,320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1、工程物资" w:id="218"/>
      <w:bookmarkEnd w:id="21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32"/>
          <w:szCs w:val="32"/>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left="114" w:right="209"/>
        <w:jc w:val="left"/>
        <w:rPr>
          <w:b w:val="0"/>
          <w:bCs w:val="0"/>
        </w:rPr>
      </w:pPr>
      <w:bookmarkStart w:name="22、固定资产清理" w:id="219"/>
      <w:bookmarkEnd w:id="21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32"/>
          <w:szCs w:val="32"/>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left="114" w:right="209"/>
        <w:jc w:val="left"/>
        <w:rPr>
          <w:b w:val="0"/>
          <w:bCs w:val="0"/>
        </w:rPr>
      </w:pPr>
      <w:bookmarkStart w:name="23、生产性生物资产" w:id="220"/>
      <w:bookmarkEnd w:id="22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4、油气资产" w:id="221"/>
      <w:bookmarkEnd w:id="22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25、无形资产" w:id="222"/>
      <w:bookmarkEnd w:id="222"/>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23"/>
      <w:bookmarkEnd w:id="22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23,731,349.77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2,899,000.00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75,634,105.47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102,264,455.24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86,934,315.13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86,934,315.13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415,852.99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415,852.99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57,109,416.11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57,109,416.11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9,046.03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9,046.03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23,731,349.77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2,899,000.00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162,568,420.60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189,198,770.37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1,454,312.41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2,594,063.36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16,300,095.15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20,348,470.92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475,673.58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298,435.17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20,133,696.29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20,907,805.04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475,673.58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298,435.17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15,227,397.57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16,001,506.32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6,298.72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6,298.72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1,929,985.99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2,892,498.53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36,433,791.44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41,256,275.96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14" w:hRule="exact"/>
        </w:trPr>
        <w:tc>
          <w:tcPr>
            <w:tcW w:w="245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10" w:space="0" w:color="000000"/>
              <w:left w:val="single" w:sz="13" w:space="0" w:color="D2D2D2"/>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82" w:type="dxa"/>
            <w:tcBorders>
              <w:top w:val="single" w:sz="10" w:space="0" w:color="000000"/>
              <w:left w:val="single" w:sz="4" w:space="0" w:color="000000"/>
              <w:bottom w:val="single" w:sz="4" w:space="0" w:color="000000"/>
              <w:right w:val="single" w:sz="4" w:space="0" w:color="000000"/>
            </w:tcBorders>
          </w:tcPr>
          <w:p>
            <w:pPr/>
          </w:p>
        </w:tc>
        <w:tc>
          <w:tcPr>
            <w:tcW w:w="1380" w:type="dxa"/>
            <w:tcBorders>
              <w:top w:val="single" w:sz="10" w:space="0" w:color="000000"/>
              <w:left w:val="single" w:sz="4" w:space="0" w:color="000000"/>
              <w:bottom w:val="single" w:sz="4" w:space="0" w:color="000000"/>
              <w:right w:val="single" w:sz="4" w:space="0" w:color="000000"/>
            </w:tcBorders>
          </w:tcPr>
          <w:p>
            <w:pPr/>
          </w:p>
        </w:tc>
        <w:tc>
          <w:tcPr>
            <w:tcW w:w="1579"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21,801,363.78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6,501.47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126,134,629.16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147,942,494.41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22,277,037.36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304,936.64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59,334,010.32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81,915,984.32</w:t>
            </w:r>
          </w:p>
        </w:tc>
      </w:tr>
    </w:tbl>
    <w:p>
      <w:pPr>
        <w:spacing w:line="240" w:lineRule="auto" w:before="7"/>
        <w:rPr>
          <w:rFonts w:ascii="宋体" w:hAnsi="宋体" w:cs="宋体" w:eastAsia="宋体" w:hint="default"/>
          <w:sz w:val="6"/>
          <w:szCs w:val="6"/>
        </w:rPr>
      </w:pPr>
    </w:p>
    <w:p>
      <w:pPr>
        <w:pStyle w:val="BodyText"/>
        <w:spacing w:line="240" w:lineRule="auto" w:before="44"/>
        <w:ind w:left="114" w:right="209"/>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70.22%</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13" w:right="209"/>
        <w:jc w:val="left"/>
        <w:rPr>
          <w:b w:val="0"/>
          <w:bCs w:val="0"/>
        </w:rPr>
      </w:pPr>
      <w:bookmarkStart w:name="26、开发支出" w:id="224"/>
      <w:bookmarkEnd w:id="22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BodyText"/>
        <w:spacing w:line="240" w:lineRule="auto"/>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神州泰岳综合 业务管理平台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Ultra-</w:t>
            </w:r>
            <w:r>
              <w:rPr>
                <w:rFonts w:ascii="Times New Roman" w:hAnsi="Times New Roman" w:cs="Times New Roman" w:eastAsia="Times New Roman" w:hint="default"/>
                <w:sz w:val="18"/>
                <w:szCs w:val="18"/>
              </w:rPr>
              <w:t>∑M </w:t>
            </w:r>
            <w:r>
              <w:rPr>
                <w:rFonts w:ascii="Times New Roman" w:hAnsi="Times New Roman" w:cs="Times New Roman" w:eastAsia="Times New Roman" w:hint="default"/>
                <w:sz w:val="18"/>
                <w:szCs w:val="18"/>
              </w:rPr>
              <w:t>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5,397,147.72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5,397,147.72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神州泰岳基础 开发平台 </w:t>
            </w:r>
            <w:r>
              <w:rPr>
                <w:rFonts w:ascii="Times New Roman" w:hAnsi="Times New Roman" w:cs="Times New Roman" w:eastAsia="Times New Roman" w:hint="default"/>
                <w:sz w:val="18"/>
                <w:szCs w:val="18"/>
              </w:rPr>
              <w:t>Ultra-UFrame</w:t>
            </w:r>
          </w:p>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2,371,287.50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2,371,287.50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运行维护服务 管理平台软件 </w:t>
            </w:r>
            <w:r>
              <w:rPr>
                <w:rFonts w:ascii="Times New Roman" w:hAnsi="Times New Roman" w:cs="Times New Roman" w:eastAsia="Times New Roman" w:hint="default"/>
                <w:sz w:val="18"/>
                <w:szCs w:val="18"/>
              </w:rPr>
              <w:t>Ultra-ITSM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6,897,836.74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6,897,836.74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综合采集平台 软件</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Ultra-IDCP</w:t>
            </w:r>
            <w:r>
              <w:rPr>
                <w:rFonts w:ascii="Times New Roman"/>
                <w:spacing w:val="-8"/>
                <w:sz w:val="18"/>
              </w:rPr>
              <w:t> </w:t>
            </w: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3,488,017.24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3,488,017.24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新一代的大数 据管理软件 </w:t>
            </w:r>
            <w:r>
              <w:rPr>
                <w:rFonts w:ascii="Times New Roman" w:hAnsi="Times New Roman" w:cs="Times New Roman" w:eastAsia="Times New Roman" w:hint="default"/>
                <w:sz w:val="18"/>
                <w:szCs w:val="18"/>
              </w:rPr>
              <w:t>Ultra-Cloudup</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_3.0.0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5,405,028.77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5,405,028.77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漫游宝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3,836,698.60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3,836,698.60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音视频通信引 擎</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10,225,549.50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10,225,549.50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基于移动互联 网的云沟通平 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3,758,340.95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3,758,340.95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14,278,529.77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14,278,529.77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游戏发行平台 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uGame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8,228,625.71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4,333,231.39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12,561,857.10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14" w:hRule="exact"/>
        </w:trPr>
        <w:tc>
          <w:tcPr>
            <w:tcW w:w="11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刀塔帝国</w:t>
            </w:r>
          </w:p>
        </w:tc>
        <w:tc>
          <w:tcPr>
            <w:tcW w:w="1196"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2,102,540.22</w:t>
            </w:r>
          </w:p>
        </w:tc>
        <w:tc>
          <w:tcPr>
            <w:tcW w:w="11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4,718,072.31</w:t>
            </w:r>
          </w:p>
        </w:tc>
        <w:tc>
          <w:tcPr>
            <w:tcW w:w="11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6,820,612.53</w:t>
            </w:r>
          </w:p>
        </w:tc>
        <w:tc>
          <w:tcPr>
            <w:tcW w:w="1197"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天天大乱斗</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1,540,399.91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1,540,399.91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小小三国</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2,017,682.97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2,017,682.97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741,435.34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1,925,260.09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2,666,695.43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2,796,815.79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2,796,815.79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1,392,634.52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1,392,634.52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TSM</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229,979.28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229,979.28</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面向餐饮行业 物流服务云平 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1,047,640.45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1,047,640.45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启职教育平台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6,616,594.03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6,616,594.03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生活化即时通 讯社交平台系 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12,978,644.05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12,978,644.05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8,970,061.05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92,639,859.49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4,718,072.31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57,109,416.11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49,218,576.74</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7、商誉" w:id="225"/>
      <w:bookmarkEnd w:id="225"/>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4" w:right="209"/>
        <w:jc w:val="left"/>
        <w:rPr>
          <w:b w:val="0"/>
          <w:bCs w:val="0"/>
        </w:rPr>
      </w:pPr>
      <w:bookmarkStart w:name="（1）商誉账面原值" w:id="226"/>
      <w:bookmarkEnd w:id="22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559"/>
        <w:gridCol w:w="851"/>
        <w:gridCol w:w="851"/>
        <w:gridCol w:w="833"/>
        <w:gridCol w:w="1367"/>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33,470,814.63</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33,470,814.63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206,137,154.75</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206,137,154.75</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奇点新源国际技术开发（北京）有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13,156,878.95</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13,156,878.95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45,572,687.69</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45,572,687.69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46,913,784.54</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46,913,784.54</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 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33,027,608.12</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33,027,608.12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1,085,618,741.77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1,085,618,741.77</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345,251,320.56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1,118,646,349.89</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1,463,897,670.45</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商誉减值准备" w:id="227"/>
      <w:bookmarkEnd w:id="22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left="114" w:right="209"/>
        <w:jc w:val="left"/>
        <w:rPr>
          <w:b w:val="0"/>
          <w:bCs w:val="0"/>
        </w:rPr>
      </w:pPr>
      <w:r>
        <w:rPr/>
        <w:t>说明商誉减值测试过程、参数及商誉减值损失的确认方法：</w:t>
      </w:r>
      <w:r>
        <w:rPr>
          <w:b w:val="0"/>
          <w:bCs w:val="0"/>
        </w:rPr>
      </w:r>
    </w:p>
    <w:p>
      <w:pPr>
        <w:spacing w:after="0" w:line="240" w:lineRule="auto"/>
        <w:jc w:val="left"/>
        <w:sectPr>
          <w:pgSz w:w="11910" w:h="16840"/>
          <w:pgMar w:header="851" w:footer="1226" w:top="1380" w:bottom="1420" w:left="1020" w:right="102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60" w:lineRule="auto" w:before="83"/>
        <w:ind w:right="0" w:firstLine="360"/>
        <w:jc w:val="left"/>
      </w:pPr>
      <w:r>
        <w:rPr/>
        <w:t>本公司采用预计未来现金流现值的方法计算资产组的可收回金额。本公司根据管理层批准的财务预算预计未来</w:t>
      </w:r>
      <w:r>
        <w:rPr>
          <w:rFonts w:ascii="Times New Roman" w:hAnsi="Times New Roman" w:cs="Times New Roman" w:eastAsia="Times New Roman" w:hint="default"/>
        </w:rPr>
        <w:t>5</w:t>
      </w:r>
      <w:r>
        <w:rPr/>
        <w:t>年内现 金流量，其后年度采用的现金流量增长率预计为</w:t>
      </w:r>
      <w:r>
        <w:rPr>
          <w:rFonts w:ascii="Times New Roman" w:hAnsi="Times New Roman" w:cs="Times New Roman" w:eastAsia="Times New Roman" w:hint="default"/>
        </w:rPr>
        <w:t>0</w:t>
      </w:r>
      <w:r>
        <w:rPr/>
        <w:t>，不会超过资产组经营业务的长期平均增长率。管理层根据过往表现及其</w:t>
      </w:r>
      <w:r>
        <w:rPr>
          <w:spacing w:val="-82"/>
        </w:rPr>
        <w:t> </w:t>
      </w:r>
      <w:r>
        <w:rPr>
          <w:spacing w:val="-82"/>
        </w:rPr>
      </w:r>
      <w:r>
        <w:rPr>
          <w:spacing w:val="-4"/>
        </w:rPr>
        <w:t>对市场发展的预期编制上述财务预算。计算未来现金流现值所采用的税前折现率时考虑了本公司的债务成本、长期国债利率、</w:t>
      </w:r>
      <w:r>
        <w:rPr>
          <w:spacing w:val="-44"/>
        </w:rPr>
        <w:t> </w:t>
      </w:r>
      <w:r>
        <w:rPr>
          <w:spacing w:val="-44"/>
        </w:rPr>
      </w:r>
      <w:r>
        <w:rPr/>
        <w:t>市场预期报酬率等因素，已反映了相对于有关分部的风险。</w:t>
      </w:r>
    </w:p>
    <w:p>
      <w:pPr>
        <w:pStyle w:val="BodyText"/>
        <w:spacing w:line="240" w:lineRule="auto" w:before="67"/>
        <w:ind w:left="514" w:right="0"/>
        <w:jc w:val="left"/>
      </w:pPr>
      <w:r>
        <w:rPr/>
        <w:t>根据减值测试的结果，本期期末商誉未发生减值。</w:t>
      </w:r>
    </w:p>
    <w:p>
      <w:pPr>
        <w:pStyle w:val="Heading3"/>
        <w:spacing w:line="240" w:lineRule="auto" w:before="129"/>
        <w:ind w:right="0"/>
        <w:jc w:val="left"/>
        <w:rPr>
          <w:b w:val="0"/>
          <w:bCs w:val="0"/>
        </w:rPr>
      </w:pPr>
      <w:r>
        <w:rPr>
          <w:rFonts w:ascii="Times New Roman" w:hAnsi="Times New Roman" w:cs="Times New Roman" w:eastAsia="Times New Roman" w:hint="default"/>
        </w:rPr>
        <w:t>2</w:t>
      </w:r>
      <w:r>
        <w:rPr/>
        <w:t>、商誉计算过程</w:t>
      </w:r>
      <w:r>
        <w:rPr>
          <w:b w:val="0"/>
          <w:bCs w:val="0"/>
        </w:rPr>
      </w:r>
    </w:p>
    <w:p>
      <w:pPr>
        <w:pStyle w:val="BodyText"/>
        <w:spacing w:line="451" w:lineRule="auto" w:before="124"/>
        <w:ind w:right="290" w:firstLine="360"/>
        <w:jc w:val="both"/>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2010</w:t>
      </w:r>
      <w:r>
        <w:rPr/>
        <w:t>年以人民币</w:t>
      </w:r>
      <w:r>
        <w:rPr>
          <w:rFonts w:ascii="Times New Roman" w:hAnsi="Times New Roman" w:cs="Times New Roman" w:eastAsia="Times New Roman" w:hint="default"/>
        </w:rPr>
        <w:t>5,900</w:t>
      </w:r>
      <w:r>
        <w:rPr/>
        <w:t>万元作为合并成本购买北京神州泰岳系统集成有限公司</w:t>
      </w:r>
      <w:r>
        <w:rPr>
          <w:rFonts w:ascii="Times New Roman" w:hAnsi="Times New Roman" w:cs="Times New Roman" w:eastAsia="Times New Roman" w:hint="default"/>
        </w:rPr>
        <w:t>100%</w:t>
      </w:r>
      <w:r>
        <w:rPr/>
        <w:t>股权。合并成本超过 </w:t>
      </w:r>
      <w:r>
        <w:rPr>
          <w:spacing w:val="-1"/>
        </w:rPr>
        <w:t>按比例获得的北京神州泰岳系统集成有限公司可辨认资产、负债公允价值的差额人民币</w:t>
      </w:r>
      <w:r>
        <w:rPr>
          <w:rFonts w:ascii="Times New Roman" w:hAnsi="Times New Roman" w:cs="Times New Roman" w:eastAsia="Times New Roman" w:hint="default"/>
          <w:spacing w:val="-1"/>
        </w:rPr>
        <w:t>33,470,814.63</w:t>
      </w:r>
      <w:r>
        <w:rPr>
          <w:spacing w:val="-1"/>
        </w:rPr>
        <w:t>元，确认为与北京神州</w:t>
      </w:r>
      <w:r>
        <w:rPr>
          <w:spacing w:val="-68"/>
        </w:rPr>
        <w:t> </w:t>
      </w:r>
      <w:r>
        <w:rPr>
          <w:spacing w:val="-68"/>
        </w:rPr>
      </w:r>
      <w:r>
        <w:rPr/>
        <w:t>泰岳系统集成有限公司相关的商誉。</w:t>
      </w:r>
    </w:p>
    <w:p>
      <w:pPr>
        <w:pStyle w:val="BodyText"/>
        <w:spacing w:line="451" w:lineRule="auto" w:before="74"/>
        <w:ind w:right="0" w:firstLine="360"/>
        <w:jc w:val="left"/>
      </w:pPr>
      <w:r>
        <w:rPr/>
        <w:t>（</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2011</w:t>
      </w:r>
      <w:r>
        <w:rPr/>
        <w:t>年以人民币</w:t>
      </w:r>
      <w:r>
        <w:rPr>
          <w:rFonts w:ascii="Times New Roman" w:hAnsi="Times New Roman" w:cs="Times New Roman" w:eastAsia="Times New Roman" w:hint="default"/>
        </w:rPr>
        <w:t>24,000</w:t>
      </w:r>
      <w:r>
        <w:rPr/>
        <w:t>万元作为合并成本购买宁波普天通信技术有限公司</w:t>
      </w:r>
      <w:r>
        <w:rPr>
          <w:rFonts w:ascii="Times New Roman" w:hAnsi="Times New Roman" w:cs="Times New Roman" w:eastAsia="Times New Roman" w:hint="default"/>
        </w:rPr>
        <w:t>100%</w:t>
      </w:r>
      <w:r>
        <w:rPr/>
        <w:t>的股权。合并成本超过按 </w:t>
      </w:r>
      <w:r>
        <w:rPr>
          <w:spacing w:val="-1"/>
        </w:rPr>
        <w:t>比例获得的宁波普天通信技术有限公司可辨认资产、负债公允价值及确认递延所得税负债后的差额人民币</w:t>
      </w:r>
      <w:r>
        <w:rPr>
          <w:rFonts w:ascii="Times New Roman" w:hAnsi="Times New Roman" w:cs="Times New Roman" w:eastAsia="Times New Roman" w:hint="default"/>
          <w:spacing w:val="-1"/>
        </w:rPr>
        <w:t>206,137,154.75</w:t>
      </w:r>
      <w:r>
        <w:rPr>
          <w:spacing w:val="-1"/>
        </w:rPr>
        <w:t>元，</w:t>
      </w:r>
      <w:r>
        <w:rPr>
          <w:spacing w:val="-66"/>
        </w:rPr>
        <w:t> </w:t>
      </w:r>
      <w:r>
        <w:rPr/>
        <w:t>确认为与宁波普天通信技术有限公司相关的商誉。</w:t>
      </w:r>
    </w:p>
    <w:p>
      <w:pPr>
        <w:pStyle w:val="BodyText"/>
        <w:spacing w:line="463" w:lineRule="auto" w:before="74"/>
        <w:ind w:right="292" w:firstLine="360"/>
        <w:jc w:val="both"/>
      </w:pPr>
      <w:r>
        <w:rPr>
          <w:spacing w:val="-1"/>
        </w:rPr>
        <w:t>（</w:t>
      </w: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2011</w:t>
      </w:r>
      <w:r>
        <w:rPr>
          <w:spacing w:val="-1"/>
        </w:rPr>
        <w:t>年以人民币</w:t>
      </w:r>
      <w:r>
        <w:rPr>
          <w:rFonts w:ascii="Times New Roman" w:hAnsi="Times New Roman" w:cs="Times New Roman" w:eastAsia="Times New Roman" w:hint="default"/>
          <w:spacing w:val="-1"/>
        </w:rPr>
        <w:t>2,050</w:t>
      </w:r>
      <w:r>
        <w:rPr>
          <w:spacing w:val="-1"/>
        </w:rPr>
        <w:t>万元作为合并成本购买并增资奇点新源国际技术开发（北京）有限公司取得</w:t>
      </w:r>
      <w:r>
        <w:rPr>
          <w:rFonts w:ascii="Times New Roman" w:hAnsi="Times New Roman" w:cs="Times New Roman" w:eastAsia="Times New Roman" w:hint="default"/>
          <w:spacing w:val="-1"/>
        </w:rPr>
        <w:t>80%</w:t>
      </w:r>
      <w:r>
        <w:rPr>
          <w:spacing w:val="-1"/>
        </w:rPr>
        <w:t>股</w:t>
      </w:r>
      <w:r>
        <w:rPr/>
        <w:t> </w:t>
      </w:r>
      <w:r>
        <w:rPr>
          <w:spacing w:val="11"/>
        </w:rPr>
        <w:t>权。合并成本超过按比例获得的奇点新源国际技术开发（北京）有限公司可辨认资产、负债公允价值的差额人民币</w:t>
      </w:r>
      <w:r>
        <w:rPr>
          <w:spacing w:val="-61"/>
        </w:rPr>
        <w:t> </w:t>
      </w:r>
      <w:r>
        <w:rPr>
          <w:spacing w:val="-61"/>
        </w:rPr>
      </w:r>
      <w:r>
        <w:rPr>
          <w:rFonts w:ascii="Times New Roman" w:hAnsi="Times New Roman" w:cs="Times New Roman" w:eastAsia="Times New Roman" w:hint="default"/>
        </w:rPr>
        <w:t>13,156,878.95</w:t>
      </w:r>
      <w:r>
        <w:rPr/>
        <w:t>元，确认为与奇点新源国际技术开发（北京）有限公司相关的商誉。</w:t>
      </w:r>
    </w:p>
    <w:p>
      <w:pPr>
        <w:pStyle w:val="BodyText"/>
        <w:spacing w:line="451" w:lineRule="auto" w:before="34"/>
        <w:ind w:right="0" w:firstLine="360"/>
        <w:jc w:val="left"/>
      </w:pPr>
      <w:r>
        <w:rPr/>
        <w:t>（</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2013</w:t>
      </w:r>
      <w:r>
        <w:rPr/>
        <w:t>年人民币</w:t>
      </w:r>
      <w:r>
        <w:rPr>
          <w:rFonts w:ascii="Times New Roman" w:hAnsi="Times New Roman" w:cs="Times New Roman" w:eastAsia="Times New Roman" w:hint="default"/>
        </w:rPr>
        <w:t>5,500</w:t>
      </w:r>
      <w:r>
        <w:rPr/>
        <w:t>万元作为合并成本取得北京广通神州网络技术有限公司</w:t>
      </w:r>
      <w:r>
        <w:rPr>
          <w:rFonts w:ascii="Times New Roman" w:hAnsi="Times New Roman" w:cs="Times New Roman" w:eastAsia="Times New Roman" w:hint="default"/>
        </w:rPr>
        <w:t>100%</w:t>
      </w:r>
      <w:r>
        <w:rPr/>
        <w:t>股权。合并成本超过按 </w:t>
      </w:r>
      <w:r>
        <w:rPr>
          <w:spacing w:val="-1"/>
        </w:rPr>
        <w:t>比例获得的北京广通神州网络技术有限公司可辨认资产、负债公允价值的差额人民币差额人民币</w:t>
      </w:r>
      <w:r>
        <w:rPr>
          <w:rFonts w:ascii="Times New Roman" w:hAnsi="Times New Roman" w:cs="Times New Roman" w:eastAsia="Times New Roman" w:hint="default"/>
          <w:spacing w:val="-1"/>
        </w:rPr>
        <w:t>45,572,687.69</w:t>
      </w:r>
      <w:r>
        <w:rPr>
          <w:spacing w:val="-1"/>
        </w:rPr>
        <w:t>元确认为商誉。</w:t>
      </w:r>
    </w:p>
    <w:p>
      <w:pPr>
        <w:pStyle w:val="BodyText"/>
        <w:spacing w:line="451" w:lineRule="auto" w:before="43"/>
        <w:ind w:right="292" w:firstLine="360"/>
        <w:jc w:val="both"/>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2013</w:t>
      </w:r>
      <w:r>
        <w:rPr/>
        <w:t>年以人民币</w:t>
      </w:r>
      <w:r>
        <w:rPr>
          <w:rFonts w:ascii="Times New Roman" w:hAnsi="Times New Roman" w:cs="Times New Roman" w:eastAsia="Times New Roman" w:hint="default"/>
        </w:rPr>
        <w:t>49,329,906.91</w:t>
      </w:r>
      <w:r>
        <w:rPr/>
        <w:t>元作为合并成本取得</w:t>
      </w:r>
      <w:r>
        <w:rPr>
          <w:rFonts w:ascii="Times New Roman" w:hAnsi="Times New Roman" w:cs="Times New Roman" w:eastAsia="Times New Roman" w:hint="default"/>
        </w:rPr>
        <w:t>Bridge Minds Consulting Pte Ltd</w:t>
      </w:r>
      <w:r>
        <w:rPr>
          <w:rFonts w:ascii="Times New Roman" w:hAnsi="Times New Roman" w:cs="Times New Roman" w:eastAsia="Times New Roman" w:hint="default"/>
          <w:spacing w:val="-30"/>
        </w:rPr>
        <w:t> </w:t>
      </w:r>
      <w:r>
        <w:rPr>
          <w:rFonts w:ascii="Times New Roman" w:hAnsi="Times New Roman" w:cs="Times New Roman" w:eastAsia="Times New Roman" w:hint="default"/>
        </w:rPr>
        <w:t>80%</w:t>
      </w:r>
      <w:r>
        <w:rPr/>
        <w:t>股权。合并成本超 过按比例获得的</w:t>
      </w:r>
      <w:r>
        <w:rPr>
          <w:rFonts w:ascii="Times New Roman" w:hAnsi="Times New Roman" w:cs="Times New Roman" w:eastAsia="Times New Roman" w:hint="default"/>
        </w:rPr>
        <w:t>Bridge Minds Consulting Pte</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可辨认资产、负债公允价值的差额人民币</w:t>
      </w:r>
      <w:r>
        <w:rPr>
          <w:rFonts w:ascii="Times New Roman" w:hAnsi="Times New Roman" w:cs="Times New Roman" w:eastAsia="Times New Roman" w:hint="default"/>
        </w:rPr>
        <w:t>46,913,784.54</w:t>
      </w:r>
      <w:r>
        <w:rPr/>
        <w:t>元确认为商誉。</w:t>
      </w:r>
    </w:p>
    <w:p>
      <w:pPr>
        <w:pStyle w:val="BodyText"/>
        <w:spacing w:line="451" w:lineRule="auto" w:before="43"/>
        <w:ind w:right="290" w:firstLine="360"/>
        <w:jc w:val="both"/>
      </w:pPr>
      <w:r>
        <w:rPr>
          <w:spacing w:val="-1"/>
        </w:rPr>
        <w:t>（</w:t>
      </w:r>
      <w:r>
        <w:rPr>
          <w:rFonts w:ascii="Times New Roman" w:hAnsi="Times New Roman" w:cs="Times New Roman" w:eastAsia="Times New Roman" w:hint="default"/>
          <w:spacing w:val="-1"/>
        </w:rPr>
        <w:t>6</w:t>
      </w:r>
      <w:r>
        <w:rPr>
          <w:spacing w:val="-1"/>
        </w:rPr>
        <w:t>）本公司于</w:t>
      </w:r>
      <w:r>
        <w:rPr>
          <w:rFonts w:ascii="Times New Roman" w:hAnsi="Times New Roman" w:cs="Times New Roman" w:eastAsia="Times New Roman" w:hint="default"/>
          <w:spacing w:val="-1"/>
        </w:rPr>
        <w:t>2014</w:t>
      </w:r>
      <w:r>
        <w:rPr>
          <w:spacing w:val="-1"/>
        </w:rPr>
        <w:t>年以人民币</w:t>
      </w:r>
      <w:r>
        <w:rPr>
          <w:rFonts w:ascii="Times New Roman" w:hAnsi="Times New Roman" w:cs="Times New Roman" w:eastAsia="Times New Roman" w:hint="default"/>
          <w:spacing w:val="-1"/>
        </w:rPr>
        <w:t>1,275</w:t>
      </w:r>
      <w:r>
        <w:rPr>
          <w:spacing w:val="-1"/>
        </w:rPr>
        <w:t>万元作为合并成本购买北京神州泰岳智能数据技术有限公司</w:t>
      </w:r>
      <w:r>
        <w:rPr>
          <w:rFonts w:ascii="Times New Roman" w:hAnsi="Times New Roman" w:cs="Times New Roman" w:eastAsia="Times New Roman" w:hint="default"/>
          <w:spacing w:val="-1"/>
        </w:rPr>
        <w:t>85%</w:t>
      </w:r>
      <w:r>
        <w:rPr>
          <w:spacing w:val="-1"/>
        </w:rPr>
        <w:t>的股权。合并成本</w:t>
      </w:r>
      <w:r>
        <w:rPr/>
        <w:t> </w:t>
      </w:r>
      <w:r>
        <w:rPr>
          <w:spacing w:val="-1"/>
        </w:rPr>
        <w:t>超过按比例获得的北京神州泰岳智能数据技术有限公司可辨认资产、负债公允价值的差额人民币</w:t>
      </w:r>
      <w:r>
        <w:rPr>
          <w:rFonts w:ascii="Times New Roman" w:hAnsi="Times New Roman" w:cs="Times New Roman" w:eastAsia="Times New Roman" w:hint="default"/>
          <w:spacing w:val="-1"/>
        </w:rPr>
        <w:t>33,027,608.12</w:t>
      </w:r>
      <w:r>
        <w:rPr>
          <w:spacing w:val="-1"/>
        </w:rPr>
        <w:t>元，确认为与</w:t>
      </w:r>
      <w:r>
        <w:rPr>
          <w:spacing w:val="-68"/>
        </w:rPr>
        <w:t> </w:t>
      </w:r>
      <w:r>
        <w:rPr>
          <w:spacing w:val="-68"/>
        </w:rPr>
      </w:r>
      <w:r>
        <w:rPr/>
        <w:t>北京神州泰岳智能数据技术有限公司相关的商誉。</w:t>
      </w:r>
    </w:p>
    <w:p>
      <w:pPr>
        <w:pStyle w:val="BodyText"/>
        <w:spacing w:line="451" w:lineRule="auto" w:before="74"/>
        <w:ind w:left="154" w:right="290" w:firstLine="360"/>
        <w:jc w:val="both"/>
      </w:pPr>
      <w:r>
        <w:rPr/>
        <w:t>（</w:t>
      </w:r>
      <w:r>
        <w:rPr>
          <w:rFonts w:ascii="Times New Roman" w:hAnsi="Times New Roman" w:cs="Times New Roman" w:eastAsia="Times New Roman" w:hint="default"/>
        </w:rPr>
        <w:t>7</w:t>
      </w:r>
      <w:r>
        <w:rPr/>
        <w:t>）本公司于</w:t>
      </w:r>
      <w:r>
        <w:rPr>
          <w:rFonts w:ascii="Times New Roman" w:hAnsi="Times New Roman" w:cs="Times New Roman" w:eastAsia="Times New Roman" w:hint="default"/>
        </w:rPr>
        <w:t>2014</w:t>
      </w:r>
      <w:r>
        <w:rPr/>
        <w:t>年以人民币</w:t>
      </w:r>
      <w:r>
        <w:rPr>
          <w:rFonts w:ascii="Times New Roman" w:hAnsi="Times New Roman" w:cs="Times New Roman" w:eastAsia="Times New Roman" w:hint="default"/>
        </w:rPr>
        <w:t>121,500</w:t>
      </w:r>
      <w:r>
        <w:rPr/>
        <w:t>万元作为合并成本购买天津壳木软件有限责任公司</w:t>
      </w:r>
      <w:r>
        <w:rPr>
          <w:rFonts w:ascii="Times New Roman" w:hAnsi="Times New Roman" w:cs="Times New Roman" w:eastAsia="Times New Roman" w:hint="default"/>
        </w:rPr>
        <w:t>100%</w:t>
      </w:r>
      <w:r>
        <w:rPr/>
        <w:t>的股权。合并成本超过 </w:t>
      </w:r>
      <w:r>
        <w:rPr>
          <w:spacing w:val="-2"/>
        </w:rPr>
        <w:t>按比例获得的天津壳木软件有限责任公司可辨认资产、负债公允价值及确认递延所得税负债后的差额人民币</w:t>
      </w:r>
      <w:r>
        <w:rPr>
          <w:rFonts w:ascii="Times New Roman" w:hAnsi="Times New Roman" w:cs="Times New Roman" w:eastAsia="Times New Roman" w:hint="default"/>
          <w:spacing w:val="-2"/>
        </w:rPr>
        <w:t>1,085,618,741.77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元，确认为与天津壳木软件有限责任公司相关的商誉。</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8、长期待摊费用" w:id="228"/>
      <w:bookmarkEnd w:id="22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租入办公场所装修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861,025.55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229,443.23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534,925.88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5,474.19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550,068.71</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1226" w:top="1380" w:bottom="1420" w:left="980" w:right="84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14" w:hRule="exact"/>
        </w:trPr>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6" w:type="dxa"/>
            <w:tcBorders>
              <w:top w:val="single" w:sz="10" w:space="0" w:color="000000"/>
              <w:left w:val="single" w:sz="4" w:space="0" w:color="000000"/>
              <w:bottom w:val="single" w:sz="4" w:space="0" w:color="000000"/>
              <w:right w:val="single" w:sz="4" w:space="0" w:color="000000"/>
            </w:tcBorders>
          </w:tcPr>
          <w:p>
            <w:pP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2,825,453.77</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1,554,369.59</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-23,915.40</w:t>
            </w:r>
            <w:r>
              <w:rPr>
                <w:rFonts w:ascii="Times New Roman"/>
                <w:sz w:val="18"/>
              </w:rPr>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1,294,999.58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47" w:right="0"/>
              <w:jc w:val="left"/>
              <w:rPr>
                <w:rFonts w:ascii="Times New Roman" w:hAnsi="Times New Roman" w:cs="Times New Roman" w:eastAsia="Times New Roman" w:hint="default"/>
                <w:sz w:val="18"/>
                <w:szCs w:val="18"/>
              </w:rPr>
            </w:pPr>
            <w:r>
              <w:rPr>
                <w:rFonts w:ascii="Times New Roman"/>
                <w:sz w:val="18"/>
              </w:rPr>
              <w:t>861,025.55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3,054,897.00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2,089,295.47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-18,441.21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1,845,068.29</w:t>
            </w:r>
          </w:p>
        </w:tc>
      </w:tr>
    </w:tbl>
    <w:p>
      <w:pPr>
        <w:spacing w:line="240" w:lineRule="auto" w:before="6"/>
        <w:rPr>
          <w:rFonts w:ascii="宋体" w:hAnsi="宋体" w:cs="宋体" w:eastAsia="宋体" w:hint="default"/>
          <w:sz w:val="6"/>
          <w:szCs w:val="6"/>
        </w:rPr>
      </w:pPr>
    </w:p>
    <w:p>
      <w:pPr>
        <w:pStyle w:val="BodyText"/>
        <w:spacing w:line="518" w:lineRule="auto" w:before="44"/>
        <w:ind w:left="113" w:right="5853"/>
        <w:jc w:val="left"/>
      </w:pPr>
      <w:r>
        <w:rPr/>
        <w:t>其他说明： 其他减少系汇率变动引起的增减变动。</w:t>
      </w:r>
    </w:p>
    <w:p>
      <w:pPr>
        <w:spacing w:line="240" w:lineRule="auto" w:before="12"/>
        <w:rPr>
          <w:rFonts w:ascii="宋体" w:hAnsi="宋体" w:cs="宋体" w:eastAsia="宋体" w:hint="default"/>
          <w:sz w:val="16"/>
          <w:szCs w:val="16"/>
        </w:rPr>
      </w:pPr>
    </w:p>
    <w:p>
      <w:pPr>
        <w:pStyle w:val="Heading3"/>
        <w:spacing w:line="240" w:lineRule="auto"/>
        <w:ind w:left="113" w:right="143"/>
        <w:jc w:val="left"/>
        <w:rPr>
          <w:b w:val="0"/>
          <w:bCs w:val="0"/>
        </w:rPr>
      </w:pPr>
      <w:bookmarkStart w:name="29、递延所得税资产/递延所得税负债" w:id="229"/>
      <w:bookmarkEnd w:id="22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143"/>
        <w:jc w:val="left"/>
        <w:rPr>
          <w:b w:val="0"/>
          <w:bCs w:val="0"/>
        </w:rPr>
      </w:pPr>
      <w:bookmarkStart w:name="（1）未经抵销的递延所得税资产" w:id="230"/>
      <w:bookmarkEnd w:id="23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114"/>
        <w:gridCol w:w="1476"/>
        <w:gridCol w:w="1301"/>
        <w:gridCol w:w="1475"/>
        <w:gridCol w:w="1301"/>
      </w:tblGrid>
      <w:tr>
        <w:trPr>
          <w:trHeight w:val="380" w:hRule="exact"/>
        </w:trPr>
        <w:tc>
          <w:tcPr>
            <w:tcW w:w="4114"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7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5" w:hRule="exact"/>
        </w:trPr>
        <w:tc>
          <w:tcPr>
            <w:tcW w:w="4114"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643" w:right="101" w:hanging="540"/>
              <w:jc w:val="left"/>
              <w:rPr>
                <w:rFonts w:ascii="宋体" w:hAnsi="宋体" w:cs="宋体" w:eastAsia="宋体" w:hint="default"/>
                <w:sz w:val="18"/>
                <w:szCs w:val="18"/>
              </w:rPr>
            </w:pPr>
            <w:r>
              <w:rPr>
                <w:rFonts w:ascii="宋体" w:hAnsi="宋体" w:cs="宋体" w:eastAsia="宋体" w:hint="default"/>
                <w:sz w:val="18"/>
                <w:szCs w:val="18"/>
              </w:rPr>
              <w:t>可抵扣暂时性差 异</w:t>
            </w:r>
          </w:p>
        </w:tc>
        <w:tc>
          <w:tcPr>
            <w:tcW w:w="130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555" w:right="103" w:hanging="450"/>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75"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642" w:right="101" w:hanging="540"/>
              <w:jc w:val="left"/>
              <w:rPr>
                <w:rFonts w:ascii="宋体" w:hAnsi="宋体" w:cs="宋体" w:eastAsia="宋体" w:hint="default"/>
                <w:sz w:val="18"/>
                <w:szCs w:val="18"/>
              </w:rPr>
            </w:pPr>
            <w:r>
              <w:rPr>
                <w:rFonts w:ascii="宋体" w:hAnsi="宋体" w:cs="宋体" w:eastAsia="宋体" w:hint="default"/>
                <w:sz w:val="18"/>
                <w:szCs w:val="18"/>
              </w:rPr>
              <w:t>可抵扣暂时性差 异</w:t>
            </w:r>
          </w:p>
        </w:tc>
        <w:tc>
          <w:tcPr>
            <w:tcW w:w="130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555" w:right="103" w:hanging="450"/>
              <w:jc w:val="left"/>
              <w:rPr>
                <w:rFonts w:ascii="宋体" w:hAnsi="宋体" w:cs="宋体" w:eastAsia="宋体" w:hint="default"/>
                <w:sz w:val="18"/>
                <w:szCs w:val="18"/>
              </w:rPr>
            </w:pPr>
            <w:r>
              <w:rPr>
                <w:rFonts w:ascii="宋体" w:hAnsi="宋体" w:cs="宋体" w:eastAsia="宋体" w:hint="default"/>
                <w:sz w:val="18"/>
                <w:szCs w:val="18"/>
              </w:rPr>
              <w:t>递延所得税资 产</w:t>
            </w:r>
          </w:p>
        </w:tc>
      </w:tr>
      <w:tr>
        <w:trPr>
          <w:trHeight w:val="361" w:hRule="exact"/>
        </w:trPr>
        <w:tc>
          <w:tcPr>
            <w:tcW w:w="4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475"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81,856,191.61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12,170,848.27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63,859,968.44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6,485,055.18</w:t>
            </w:r>
          </w:p>
        </w:tc>
      </w:tr>
      <w:tr>
        <w:trPr>
          <w:trHeight w:val="402" w:hRule="exact"/>
        </w:trPr>
        <w:tc>
          <w:tcPr>
            <w:tcW w:w="4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14,390,940.34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2,263,782.56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11,301,031.67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1,695,154.75</w:t>
            </w:r>
          </w:p>
        </w:tc>
      </w:tr>
      <w:tr>
        <w:trPr>
          <w:trHeight w:val="402" w:hRule="exact"/>
        </w:trPr>
        <w:tc>
          <w:tcPr>
            <w:tcW w:w="4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计提质保金形成的可抵扣暂时性差异</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15,240,883.91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2,286,132.58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12,390,727.12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1,626,996.85</w:t>
            </w:r>
          </w:p>
        </w:tc>
      </w:tr>
      <w:tr>
        <w:trPr>
          <w:trHeight w:val="714" w:hRule="exact"/>
        </w:trPr>
        <w:tc>
          <w:tcPr>
            <w:tcW w:w="4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其他非流动负债（递延收益）形成的可抵扣暂时性差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异</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10,896,972.51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1,625,796.79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43,750.00</w:t>
            </w:r>
          </w:p>
        </w:tc>
      </w:tr>
      <w:tr>
        <w:trPr>
          <w:trHeight w:val="402" w:hRule="exact"/>
        </w:trPr>
        <w:tc>
          <w:tcPr>
            <w:tcW w:w="4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已计提未支付的奖金形成的可抵扣暂时性差异</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71,846,289.02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10,548,032.74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78,999,415.40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8,332,925.93</w:t>
            </w:r>
          </w:p>
        </w:tc>
      </w:tr>
      <w:tr>
        <w:trPr>
          <w:trHeight w:val="402" w:hRule="exact"/>
        </w:trPr>
        <w:tc>
          <w:tcPr>
            <w:tcW w:w="4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194,231,277.39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28,894,592.94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166,901,142.63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18,183,882.71</w:t>
            </w:r>
          </w:p>
        </w:tc>
      </w:tr>
    </w:tbl>
    <w:p>
      <w:pPr>
        <w:spacing w:line="240" w:lineRule="auto" w:before="2"/>
        <w:rPr>
          <w:rFonts w:ascii="宋体" w:hAnsi="宋体" w:cs="宋体" w:eastAsia="宋体" w:hint="default"/>
          <w:sz w:val="19"/>
          <w:szCs w:val="19"/>
        </w:rPr>
      </w:pPr>
    </w:p>
    <w:p>
      <w:pPr>
        <w:pStyle w:val="Heading3"/>
        <w:spacing w:line="240" w:lineRule="auto" w:before="35"/>
        <w:ind w:left="114" w:right="143"/>
        <w:jc w:val="left"/>
        <w:rPr>
          <w:b w:val="0"/>
          <w:bCs w:val="0"/>
        </w:rPr>
      </w:pPr>
      <w:bookmarkStart w:name="（2）未经抵销的递延所得税负债" w:id="231"/>
      <w:bookmarkEnd w:id="23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23,115,457.27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2,977,318.59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4,268,416.56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640,262.48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23,115,457.27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4,268,416.56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640,262.48</w:t>
            </w:r>
          </w:p>
        </w:tc>
      </w:tr>
    </w:tbl>
    <w:p>
      <w:pPr>
        <w:spacing w:line="240" w:lineRule="auto" w:before="2"/>
        <w:rPr>
          <w:rFonts w:ascii="宋体" w:hAnsi="宋体" w:cs="宋体" w:eastAsia="宋体" w:hint="default"/>
          <w:sz w:val="19"/>
          <w:szCs w:val="19"/>
        </w:rPr>
      </w:pPr>
    </w:p>
    <w:p>
      <w:pPr>
        <w:pStyle w:val="Heading3"/>
        <w:spacing w:line="240" w:lineRule="auto" w:before="35"/>
        <w:ind w:left="114" w:right="143"/>
        <w:jc w:val="left"/>
        <w:rPr>
          <w:b w:val="0"/>
          <w:bCs w:val="0"/>
        </w:rPr>
      </w:pPr>
      <w:bookmarkStart w:name="（3）以抵销后净额列示的递延所得税资产或负债" w:id="232"/>
      <w:bookmarkEnd w:id="23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28,894,592.94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18,183,882.71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2,977,318.59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640,262.48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0、其他非流动资产" w:id="233"/>
      <w:bookmarkEnd w:id="23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人才公寓【注】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5,689,596.37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5,689,596.37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预付海外公司开办费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1,784,111.78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7,473,708.15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5,689,596.37</w:t>
            </w: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left="514" w:right="0"/>
        <w:jc w:val="left"/>
      </w:pPr>
      <w:r>
        <w:rPr/>
        <w:t>三级子公司宁波金信通讯技术有限公司以其名义购买了位于宁波市鄞州区的</w:t>
      </w:r>
      <w:r>
        <w:rPr>
          <w:rFonts w:ascii="Times New Roman" w:hAnsi="Times New Roman" w:cs="Times New Roman" w:eastAsia="Times New Roman" w:hint="default"/>
        </w:rPr>
        <w:t>“</w:t>
      </w:r>
      <w:r>
        <w:rPr/>
        <w:t>鄞州区人才公寓</w:t>
      </w:r>
      <w:r>
        <w:rPr>
          <w:rFonts w:ascii="Times New Roman" w:hAnsi="Times New Roman" w:cs="Times New Roman" w:eastAsia="Times New Roman" w:hint="default"/>
        </w:rPr>
        <w:t>”</w:t>
      </w:r>
      <w:r>
        <w:rPr/>
        <w:t>房屋</w:t>
      </w:r>
      <w:r>
        <w:rPr>
          <w:rFonts w:ascii="Times New Roman" w:hAnsi="Times New Roman" w:cs="Times New Roman" w:eastAsia="Times New Roman" w:hint="default"/>
        </w:rPr>
        <w:t>7</w:t>
      </w:r>
      <w:r>
        <w:rPr/>
        <w:t>套及车库</w:t>
      </w:r>
      <w:r>
        <w:rPr>
          <w:rFonts w:ascii="Times New Roman" w:hAnsi="Times New Roman" w:cs="Times New Roman" w:eastAsia="Times New Roman" w:hint="default"/>
        </w:rPr>
        <w:t>3</w:t>
      </w:r>
      <w:r>
        <w:rPr/>
        <w:t>个，该</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w:t>
      </w:r>
      <w:r>
        <w:rPr/>
        <w:t>人才公寓</w:t>
      </w:r>
      <w:r>
        <w:rPr>
          <w:rFonts w:ascii="Times New Roman" w:hAnsi="Times New Roman" w:cs="Times New Roman" w:eastAsia="Times New Roman" w:hint="default"/>
        </w:rPr>
        <w:t>”</w:t>
      </w:r>
      <w:r>
        <w:rPr/>
        <w:t>产权性质为</w:t>
      </w:r>
      <w:r>
        <w:rPr>
          <w:rFonts w:ascii="Times New Roman" w:hAnsi="Times New Roman" w:cs="Times New Roman" w:eastAsia="Times New Roman" w:hint="default"/>
        </w:rPr>
        <w:t>“</w:t>
      </w:r>
      <w:r>
        <w:rPr/>
        <w:t>定向商品住宅</w:t>
      </w:r>
      <w:r>
        <w:rPr>
          <w:rFonts w:ascii="Times New Roman" w:hAnsi="Times New Roman" w:cs="Times New Roman" w:eastAsia="Times New Roman" w:hint="default"/>
        </w:rPr>
        <w:t>”</w:t>
      </w:r>
      <w:r>
        <w:rPr/>
        <w:t>，至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月公司共计支付购买价款</w:t>
      </w:r>
      <w:r>
        <w:rPr>
          <w:rFonts w:ascii="Times New Roman" w:hAnsi="Times New Roman" w:cs="Times New Roman" w:eastAsia="Times New Roman" w:hint="default"/>
        </w:rPr>
        <w:t>5,689,596.37</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31、短期借款" w:id="234"/>
      <w:bookmarkEnd w:id="23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35"/>
      <w:bookmarkEnd w:id="23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应收票据贴现</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66,072,061.00</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25,691,761.00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66,072,061.00</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143,691,761.00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衍生金融负债" w:id="236"/>
      <w:bookmarkEnd w:id="23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34、应付票据" w:id="237"/>
      <w:bookmarkEnd w:id="23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35、应付账款" w:id="238"/>
      <w:bookmarkEnd w:id="23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9"/>
      <w:bookmarkEnd w:id="2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91,374,647.19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77,706,789.83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91,374,647.19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77,706,789.83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6、预收款项" w:id="240"/>
      <w:bookmarkEnd w:id="24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41"/>
      <w:bookmarkEnd w:id="24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43,663,348.61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59,029,097.43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43,663,348.61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59,029,097.43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应付职工薪酬" w:id="242"/>
      <w:bookmarkEnd w:id="24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43"/>
      <w:bookmarkEnd w:id="24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90,318,131.21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591,971,888.30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592,162,110.78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90,127,908.73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1,942,524.21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26,771,842.80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26,691,374.08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2,022,992.93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92,260,655.42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618,743,731.10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618,853,484.86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92,150,901.66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4"/>
      <w:bookmarkEnd w:id="24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86,391,800.33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526,877,058.12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527,613,045.63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85,655,812.82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12,866,512.45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12,866,512.45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1,259,349.94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18,903,983.94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18,783,466.99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1,379,866.89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1,129,393.85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17,021,956.47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16,912,532.58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1,238,817.74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40,808.05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645,265.59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639,946.15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46,127.49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89,148.04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1,236,761.88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94,921.66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2,439,518.96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32,489,473.32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32,084,036.93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2,844,955.35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227,123.98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834,860.47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815,048.78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246,935.67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90,318,131.21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591,971,888.30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592,162,110.78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90,127,908.73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5"/>
      <w:bookmarkEnd w:id="24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14" w:hRule="exact"/>
        </w:trPr>
        <w:tc>
          <w:tcPr>
            <w:tcW w:w="18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1,838,696.69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25,214,620.32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25,139,314.98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1,914,002.03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103,827.52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1,557,222.48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1,552,059.10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108,990.90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1,942,524.21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26,771,842.80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26,691,374.08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2,022,992.93</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38、应交税费" w:id="246"/>
      <w:bookmarkEnd w:id="24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41,175,384.00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9,769,789.17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100,157.47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74,128.67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22,235,199.17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14,712,698.45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11,586,536.44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8,458,221.39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1,705,984.19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1,170,214.65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1,022,588.04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660,047.95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355,979.57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654,380.38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64,437.84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38,447.87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78,246,266.72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35,537,928.53</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39、应付利息" w:id="247"/>
      <w:bookmarkEnd w:id="24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450,900.00</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40、应付股利" w:id="248"/>
      <w:bookmarkEnd w:id="24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41、其他应付款" w:id="249"/>
      <w:bookmarkEnd w:id="24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4" w:right="209"/>
        <w:jc w:val="left"/>
        <w:rPr>
          <w:b w:val="0"/>
          <w:bCs w:val="0"/>
        </w:rPr>
      </w:pPr>
      <w:bookmarkStart w:name="（1）按款项性质列示其他应付款" w:id="250"/>
      <w:bookmarkEnd w:id="25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应付股权收购及增资款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136,037,169.40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10,236,447.87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7,230,389.00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14"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3,388,717.94</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3,511,137.71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21,810,900.32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6,355,463.66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171,473,235.53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143,596,990.37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4" w:right="209"/>
        <w:jc w:val="left"/>
        <w:rPr>
          <w:b w:val="0"/>
          <w:bCs w:val="0"/>
        </w:rPr>
      </w:pPr>
      <w:bookmarkStart w:name="42、划分为持有待售的负债" w:id="251"/>
      <w:bookmarkEnd w:id="25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0"/>
        <w:rPr>
          <w:rFonts w:ascii="宋体" w:hAnsi="宋体" w:cs="宋体" w:eastAsia="宋体" w:hint="default"/>
          <w:b/>
          <w:bCs/>
          <w:sz w:val="25"/>
          <w:szCs w:val="25"/>
        </w:rPr>
      </w:pPr>
    </w:p>
    <w:p>
      <w:pPr>
        <w:pStyle w:val="Heading3"/>
        <w:spacing w:line="240" w:lineRule="auto"/>
        <w:ind w:left="114" w:right="209"/>
        <w:jc w:val="left"/>
        <w:rPr>
          <w:b w:val="0"/>
          <w:bCs w:val="0"/>
        </w:rPr>
      </w:pPr>
      <w:bookmarkStart w:name="43、一年内到期的非流动负债" w:id="252"/>
      <w:bookmarkEnd w:id="25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11,356,687.33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11,356,687.33</w:t>
            </w:r>
          </w:p>
        </w:tc>
      </w:tr>
    </w:tbl>
    <w:p>
      <w:pPr>
        <w:spacing w:line="240" w:lineRule="auto" w:before="6"/>
        <w:rPr>
          <w:rFonts w:ascii="宋体" w:hAnsi="宋体" w:cs="宋体" w:eastAsia="宋体" w:hint="default"/>
          <w:sz w:val="6"/>
          <w:szCs w:val="6"/>
        </w:rPr>
      </w:pPr>
    </w:p>
    <w:p>
      <w:pPr>
        <w:pStyle w:val="BodyText"/>
        <w:spacing w:line="240" w:lineRule="auto" w:before="44"/>
        <w:ind w:left="114" w:right="209"/>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left="113" w:right="105"/>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月公司与中关村发展集团股份有限公司签订协议，中关村发展集团股份有限公司支付给公司知识产权研发项目款</w:t>
      </w:r>
    </w:p>
    <w:p>
      <w:pPr>
        <w:spacing w:line="240" w:lineRule="auto" w:before="9"/>
        <w:rPr>
          <w:rFonts w:ascii="宋体" w:hAnsi="宋体" w:cs="宋体" w:eastAsia="宋体" w:hint="default"/>
          <w:sz w:val="16"/>
          <w:szCs w:val="16"/>
        </w:rPr>
      </w:pPr>
    </w:p>
    <w:p>
      <w:pPr>
        <w:pStyle w:val="BodyText"/>
        <w:spacing w:line="240" w:lineRule="auto"/>
        <w:ind w:left="113" w:right="0"/>
        <w:jc w:val="left"/>
      </w:pPr>
      <w:r>
        <w:rPr>
          <w:rFonts w:ascii="Times New Roman" w:hAnsi="Times New Roman" w:cs="Times New Roman" w:eastAsia="Times New Roman" w:hint="default"/>
        </w:rPr>
        <w:t>11,262,300.00</w:t>
      </w:r>
      <w:r>
        <w:rPr/>
        <w:t>元，规定公司于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日前归还本金及利息。累计计提利息金额为</w:t>
      </w:r>
      <w:r>
        <w:rPr>
          <w:rFonts w:ascii="Times New Roman" w:hAnsi="Times New Roman" w:cs="Times New Roman" w:eastAsia="Times New Roman" w:hint="default"/>
        </w:rPr>
        <w:t>94,387.33</w:t>
      </w:r>
      <w:r>
        <w:rPr/>
        <w:t>元。该款项本息已于</w:t>
      </w:r>
      <w:r>
        <w:rPr>
          <w:rFonts w:ascii="Times New Roman" w:hAnsi="Times New Roman" w:cs="Times New Roman" w:eastAsia="Times New Roman" w:hint="default"/>
        </w:rPr>
        <w:t>2014</w:t>
      </w:r>
      <w:r>
        <w:rPr/>
        <w:t>年</w:t>
      </w:r>
    </w:p>
    <w:p>
      <w:pPr>
        <w:spacing w:line="240" w:lineRule="auto" w:before="10"/>
        <w:rPr>
          <w:rFonts w:ascii="宋体" w:hAnsi="宋体" w:cs="宋体" w:eastAsia="宋体" w:hint="default"/>
          <w:sz w:val="16"/>
          <w:szCs w:val="16"/>
        </w:rPr>
      </w:pPr>
    </w:p>
    <w:p>
      <w:pPr>
        <w:pStyle w:val="BodyText"/>
        <w:spacing w:line="240" w:lineRule="auto"/>
        <w:ind w:left="113" w:right="209"/>
        <w:jc w:val="left"/>
      </w:pPr>
      <w:r>
        <w:rPr>
          <w:rFonts w:ascii="Times New Roman" w:hAnsi="Times New Roman" w:cs="Times New Roman" w:eastAsia="Times New Roman" w:hint="default"/>
        </w:rPr>
        <w:t>1</w:t>
      </w:r>
      <w:r>
        <w:rPr/>
        <w:t>月初归还。</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 w:right="209"/>
        <w:jc w:val="left"/>
        <w:rPr>
          <w:b w:val="0"/>
          <w:bCs w:val="0"/>
        </w:rPr>
      </w:pPr>
      <w:bookmarkStart w:name="44、其他流动负债" w:id="253"/>
      <w:bookmarkEnd w:id="25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30,792,079.20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26,448,852.20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30,792,079.20</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45、长期借款" w:id="254"/>
      <w:bookmarkEnd w:id="25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46、应付债券" w:id="255"/>
      <w:bookmarkEnd w:id="25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47、长期应付款" w:id="256"/>
      <w:bookmarkEnd w:id="25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48、长期应付职工薪酬" w:id="257"/>
      <w:bookmarkEnd w:id="25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49、专项应付款" w:id="258"/>
      <w:bookmarkEnd w:id="2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50、预计负债" w:id="259"/>
      <w:bookmarkEnd w:id="2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15,746,807.01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12,430,727.10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15,746,807.01</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12,430,727.10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递延收益" w:id="260"/>
      <w:bookmarkEnd w:id="2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7,559,805.43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26,811,161.67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17,320,461.19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17,050,505.91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7,559,805.43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26,811,161.67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17,320,461.19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17,050,505.91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涉及政府补助的项目：</w:t>
      </w:r>
    </w:p>
    <w:p>
      <w:pPr>
        <w:spacing w:line="240" w:lineRule="auto" w:before="7"/>
        <w:rPr>
          <w:rFonts w:ascii="宋体" w:hAnsi="宋体" w:cs="宋体" w:eastAsia="宋体" w:hint="default"/>
          <w:sz w:val="11"/>
          <w:szCs w:val="11"/>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31"/>
        <w:gridCol w:w="1001"/>
        <w:gridCol w:w="1280"/>
        <w:gridCol w:w="1540"/>
        <w:gridCol w:w="493"/>
        <w:gridCol w:w="1091"/>
        <w:gridCol w:w="1031"/>
      </w:tblGrid>
      <w:tr>
        <w:trPr>
          <w:trHeight w:val="713"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4" w:right="95"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4" w:right="45" w:hanging="450"/>
              <w:jc w:val="left"/>
              <w:rPr>
                <w:rFonts w:ascii="宋体" w:hAnsi="宋体" w:cs="宋体" w:eastAsia="宋体" w:hint="default"/>
                <w:sz w:val="18"/>
                <w:szCs w:val="18"/>
              </w:rPr>
            </w:pPr>
            <w:r>
              <w:rPr>
                <w:rFonts w:ascii="宋体" w:hAnsi="宋体" w:cs="宋体" w:eastAsia="宋体" w:hint="default"/>
                <w:sz w:val="18"/>
                <w:szCs w:val="18"/>
              </w:rPr>
              <w:t>本期计入营业外收 入金额</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0" w:right="3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6"/>
              <w:jc w:val="left"/>
              <w:rPr>
                <w:rFonts w:ascii="宋体" w:hAnsi="宋体" w:cs="宋体" w:eastAsia="宋体" w:hint="default"/>
                <w:sz w:val="18"/>
                <w:szCs w:val="18"/>
              </w:rPr>
            </w:pPr>
            <w:r>
              <w:rPr>
                <w:rFonts w:ascii="宋体" w:hAnsi="宋体" w:cs="宋体" w:eastAsia="宋体" w:hint="default"/>
                <w:sz w:val="18"/>
                <w:szCs w:val="18"/>
              </w:rPr>
              <w:t>重庆农信涉及信息垂直搜索引擎云平台 升级改造</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349,963.74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349,963.74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三峡地区（重庆）名特水产业关键技术集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成及产业化</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251,075.00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重庆知识产权局专利资助费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13,240.00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13,240.00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智能运维技术北京市工程实验室</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2,450,456.17</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5,799,543.83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下一代精确定位与无线通信系统</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6"/>
              <w:jc w:val="left"/>
              <w:rPr>
                <w:rFonts w:ascii="宋体" w:hAnsi="宋体" w:cs="宋体" w:eastAsia="宋体" w:hint="default"/>
                <w:sz w:val="18"/>
                <w:szCs w:val="18"/>
              </w:rPr>
            </w:pPr>
            <w:r>
              <w:rPr>
                <w:rFonts w:ascii="宋体" w:hAnsi="宋体" w:cs="宋体" w:eastAsia="宋体" w:hint="default"/>
                <w:sz w:val="18"/>
                <w:szCs w:val="18"/>
              </w:rPr>
              <w:t>面向电信行业的大数据分析与管理平台 研发及产业化</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977,495.57</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3,022,504.43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安全服务云中心存储平台研发与应用</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46,339.49</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653,660.51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北京中关村海外科技园公司展位补贴费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北京中关村企业信用促进会中介款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国家知识产权局专利局专利资助金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19,440.00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19,440.00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tbl>
      <w:tblPr>
        <w:tblW w:w="0" w:type="auto"/>
        <w:jc w:val="left"/>
        <w:tblInd w:w="109" w:type="dxa"/>
        <w:tblLayout w:type="fixed"/>
        <w:tblCellMar>
          <w:top w:w="0" w:type="dxa"/>
          <w:left w:w="0" w:type="dxa"/>
          <w:bottom w:w="0" w:type="dxa"/>
          <w:right w:w="0" w:type="dxa"/>
        </w:tblCellMar>
        <w:tblLook w:val="01E0"/>
      </w:tblPr>
      <w:tblGrid>
        <w:gridCol w:w="3231"/>
        <w:gridCol w:w="1001"/>
        <w:gridCol w:w="1280"/>
        <w:gridCol w:w="1540"/>
        <w:gridCol w:w="493"/>
        <w:gridCol w:w="1091"/>
        <w:gridCol w:w="1031"/>
      </w:tblGrid>
      <w:tr>
        <w:trPr>
          <w:trHeight w:val="414" w:hRule="exact"/>
        </w:trPr>
        <w:tc>
          <w:tcPr>
            <w:tcW w:w="32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国家知识产权局北京代办处专利资助金</w:t>
            </w:r>
          </w:p>
        </w:tc>
        <w:tc>
          <w:tcPr>
            <w:tcW w:w="1001" w:type="dxa"/>
            <w:tcBorders>
              <w:top w:val="single" w:sz="10" w:space="0" w:color="000000"/>
              <w:left w:val="single" w:sz="4" w:space="0" w:color="000000"/>
              <w:bottom w:val="single" w:sz="4" w:space="0" w:color="000000"/>
              <w:right w:val="single" w:sz="4" w:space="0" w:color="000000"/>
            </w:tcBorders>
          </w:tcPr>
          <w:p>
            <w:pPr/>
          </w:p>
        </w:tc>
        <w:tc>
          <w:tcPr>
            <w:tcW w:w="12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15,400.00</w:t>
            </w:r>
          </w:p>
        </w:tc>
        <w:tc>
          <w:tcPr>
            <w:tcW w:w="1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15,400.00</w:t>
            </w:r>
          </w:p>
        </w:tc>
        <w:tc>
          <w:tcPr>
            <w:tcW w:w="493" w:type="dxa"/>
            <w:tcBorders>
              <w:top w:val="single" w:sz="10" w:space="0" w:color="000000"/>
              <w:left w:val="single" w:sz="4" w:space="0" w:color="000000"/>
              <w:bottom w:val="single" w:sz="4" w:space="0" w:color="000000"/>
              <w:right w:val="single" w:sz="4" w:space="0" w:color="000000"/>
            </w:tcBorders>
          </w:tcPr>
          <w:p>
            <w:pPr/>
          </w:p>
        </w:tc>
        <w:tc>
          <w:tcPr>
            <w:tcW w:w="1091" w:type="dxa"/>
            <w:tcBorders>
              <w:top w:val="single" w:sz="10" w:space="0" w:color="000000"/>
              <w:left w:val="single" w:sz="4" w:space="0" w:color="000000"/>
              <w:bottom w:val="single" w:sz="4" w:space="0" w:color="000000"/>
              <w:right w:val="single" w:sz="4" w:space="0" w:color="000000"/>
            </w:tcBorders>
          </w:tcPr>
          <w:p>
            <w:pPr/>
          </w:p>
        </w:tc>
        <w:tc>
          <w:tcPr>
            <w:tcW w:w="10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22" w:right="136"/>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国家知识产权局专利局北京代办处专利 资助金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科学技术部条财司付款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中关村科技园区海淀园管理委员会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年海淀区重点培育企业专项奖励款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36"/>
              <w:jc w:val="left"/>
              <w:rPr>
                <w:rFonts w:ascii="宋体" w:hAnsi="宋体" w:cs="宋体" w:eastAsia="宋体" w:hint="default"/>
                <w:sz w:val="18"/>
                <w:szCs w:val="18"/>
              </w:rPr>
            </w:pPr>
            <w:r>
              <w:rPr>
                <w:rFonts w:ascii="宋体" w:hAnsi="宋体" w:cs="宋体" w:eastAsia="宋体" w:hint="default"/>
                <w:sz w:val="18"/>
                <w:szCs w:val="18"/>
              </w:rPr>
              <w:t>海淀区残疾人劳务就业管理服务所岗位 补贴费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22" w:right="93"/>
              <w:jc w:val="left"/>
              <w:rPr>
                <w:rFonts w:ascii="宋体" w:hAnsi="宋体" w:cs="宋体" w:eastAsia="宋体" w:hint="default"/>
                <w:sz w:val="18"/>
                <w:szCs w:val="18"/>
              </w:rPr>
            </w:pPr>
            <w:r>
              <w:rPr>
                <w:rFonts w:ascii="宋体" w:hAnsi="宋体" w:cs="宋体" w:eastAsia="宋体" w:hint="default"/>
                <w:sz w:val="18"/>
                <w:szCs w:val="18"/>
              </w:rPr>
              <w:t>北京中关村海外科技园有限责任公司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年中关村国际化发展专项资金补贴 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年重大专项《面向移动互联网的网 络协同及融合体系与关键技术研究》</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1,071,300.00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基于云计算的综合通信服务平台转化</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年科技服务业促进后补贴专项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补贴资金补贴款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36"/>
              <w:jc w:val="left"/>
              <w:rPr>
                <w:rFonts w:ascii="宋体" w:hAnsi="宋体" w:cs="宋体" w:eastAsia="宋体" w:hint="default"/>
                <w:sz w:val="18"/>
                <w:szCs w:val="18"/>
              </w:rPr>
            </w:pPr>
            <w:r>
              <w:rPr>
                <w:rFonts w:ascii="宋体" w:hAnsi="宋体" w:cs="宋体" w:eastAsia="宋体" w:hint="default"/>
                <w:sz w:val="18"/>
                <w:szCs w:val="18"/>
              </w:rPr>
              <w:t>北京市海淀区残疾人劳动就业管理服务 所</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年残疾人岗位补贴</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国家重点新产品的后补贴款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22" w:right="77"/>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知识 产权处专利商用化专项资金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专利官费返还</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67,630.00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67,630.00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专利扶持资金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4,600.00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4,600.00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46"/>
              <w:ind w:left="22" w:right="-49"/>
              <w:jc w:val="left"/>
              <w:rPr>
                <w:rFonts w:ascii="宋体" w:hAnsi="宋体" w:cs="宋体" w:eastAsia="宋体" w:hint="default"/>
                <w:sz w:val="18"/>
                <w:szCs w:val="18"/>
              </w:rPr>
            </w:pPr>
            <w:r>
              <w:rPr>
                <w:rFonts w:ascii="宋体" w:hAnsi="宋体" w:cs="宋体" w:eastAsia="宋体" w:hint="default"/>
                <w:sz w:val="18"/>
                <w:szCs w:val="18"/>
              </w:rPr>
              <w:t>仓储物流改造补助（海淀区商务委员会）</w:t>
            </w:r>
          </w:p>
        </w:tc>
        <w:tc>
          <w:tcPr>
            <w:tcW w:w="1001" w:type="dxa"/>
            <w:tcBorders>
              <w:top w:val="single" w:sz="4" w:space="0" w:color="000000"/>
              <w:left w:val="single" w:sz="9" w:space="0" w:color="FFFFFF"/>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36"/>
              <w:jc w:val="left"/>
              <w:rPr>
                <w:rFonts w:ascii="宋体" w:hAnsi="宋体" w:cs="宋体" w:eastAsia="宋体" w:hint="default"/>
                <w:sz w:val="18"/>
                <w:szCs w:val="18"/>
              </w:rPr>
            </w:pPr>
            <w:r>
              <w:rPr>
                <w:rFonts w:ascii="宋体" w:hAnsi="宋体" w:cs="宋体" w:eastAsia="宋体" w:hint="default"/>
                <w:sz w:val="18"/>
                <w:szCs w:val="18"/>
              </w:rPr>
              <w:t>科技型中小企业技术创新基金无偿资助 项目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285,833.33</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204,166.67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太仓市科教新企业扶持资金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56,004.93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56,004.93</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PIC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Grant</w:t>
            </w:r>
            <w:r>
              <w:rPr>
                <w:rFonts w:ascii="宋体" w:hAnsi="宋体" w:cs="宋体" w:eastAsia="宋体" w:hint="default"/>
                <w:sz w:val="18"/>
                <w:szCs w:val="18"/>
              </w:rPr>
              <w:t>（政府对小企业的补助）</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147,226.74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147,226.74</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年度宁波市软件产业发展专项资金 第二批补助资金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收科技补助</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8,000.00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中关村企业信用促进会中介资金补贴款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77"/>
              <w:jc w:val="left"/>
              <w:rPr>
                <w:rFonts w:ascii="宋体" w:hAnsi="宋体" w:cs="宋体" w:eastAsia="宋体" w:hint="default"/>
                <w:sz w:val="18"/>
                <w:szCs w:val="18"/>
              </w:rPr>
            </w:pPr>
            <w:r>
              <w:rPr>
                <w:rFonts w:ascii="宋体" w:hAnsi="宋体" w:cs="宋体" w:eastAsia="宋体" w:hint="default"/>
                <w:sz w:val="18"/>
                <w:szCs w:val="18"/>
              </w:rPr>
              <w:t>海淀区残疾人劳动就业管理服务所</w:t>
            </w:r>
            <w:r>
              <w:rPr>
                <w:rFonts w:ascii="Times New Roman" w:hAnsi="Times New Roman" w:cs="Times New Roman" w:eastAsia="Times New Roman" w:hint="default"/>
                <w:sz w:val="18"/>
                <w:szCs w:val="18"/>
              </w:rPr>
              <w:t>-</w:t>
            </w:r>
            <w:r>
              <w:rPr>
                <w:rFonts w:ascii="宋体" w:hAnsi="宋体" w:cs="宋体" w:eastAsia="宋体" w:hint="default"/>
                <w:sz w:val="18"/>
                <w:szCs w:val="18"/>
              </w:rPr>
              <w:t>岗位 补贴</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与资产相关的政府补助</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电动汽车智能交互系统研制及产业化</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1,062,000.00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216,000.00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846,000.00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1" w:footer="1226" w:top="1420" w:bottom="1420" w:left="102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31"/>
        <w:gridCol w:w="1001"/>
        <w:gridCol w:w="1280"/>
        <w:gridCol w:w="1540"/>
        <w:gridCol w:w="493"/>
        <w:gridCol w:w="1091"/>
        <w:gridCol w:w="1031"/>
      </w:tblGrid>
      <w:tr>
        <w:trPr>
          <w:trHeight w:val="726" w:hRule="exact"/>
        </w:trPr>
        <w:tc>
          <w:tcPr>
            <w:tcW w:w="323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136"/>
              <w:jc w:val="left"/>
              <w:rPr>
                <w:rFonts w:ascii="宋体" w:hAnsi="宋体" w:cs="宋体" w:eastAsia="宋体" w:hint="default"/>
                <w:sz w:val="18"/>
                <w:szCs w:val="18"/>
              </w:rPr>
            </w:pPr>
            <w:r>
              <w:rPr>
                <w:rFonts w:ascii="宋体" w:hAnsi="宋体" w:cs="宋体" w:eastAsia="宋体" w:hint="default"/>
                <w:sz w:val="18"/>
                <w:szCs w:val="18"/>
              </w:rPr>
              <w:t>面向精确定位与移动通信的智慧线设备 研制</w:t>
            </w: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80" w:type="dxa"/>
            <w:tcBorders>
              <w:top w:val="single" w:sz="10" w:space="0" w:color="000000"/>
              <w:left w:val="single" w:sz="4" w:space="0" w:color="000000"/>
              <w:bottom w:val="single" w:sz="4" w:space="0" w:color="000000"/>
              <w:right w:val="single" w:sz="4" w:space="0" w:color="000000"/>
            </w:tcBorders>
          </w:tcPr>
          <w:p>
            <w:pPr/>
          </w:p>
        </w:tc>
        <w:tc>
          <w:tcPr>
            <w:tcW w:w="1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493" w:type="dxa"/>
            <w:tcBorders>
              <w:top w:val="single" w:sz="10" w:space="0" w:color="000000"/>
              <w:left w:val="single" w:sz="4" w:space="0" w:color="000000"/>
              <w:bottom w:val="single" w:sz="4" w:space="0" w:color="000000"/>
              <w:right w:val="single" w:sz="4" w:space="0" w:color="000000"/>
            </w:tcBorders>
          </w:tcPr>
          <w:p>
            <w:pPr/>
          </w:p>
        </w:tc>
        <w:tc>
          <w:tcPr>
            <w:tcW w:w="10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0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固定资产装修补贴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北京市商务委员会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纯电动物流车项目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3,876,766.69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828,399.96</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3,048,366.73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7,559,805.43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26,811,161.67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17,320,461.19</w:t>
            </w:r>
          </w:p>
        </w:tc>
        <w:tc>
          <w:tcPr>
            <w:tcW w:w="4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17,050,505.91</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4" w:right="143"/>
        <w:jc w:val="left"/>
        <w:rPr>
          <w:b w:val="0"/>
          <w:bCs w:val="0"/>
        </w:rPr>
      </w:pPr>
      <w:bookmarkStart w:name="52、其他非流动负债" w:id="261"/>
      <w:bookmarkEnd w:id="2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11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143"/>
        <w:jc w:val="left"/>
        <w:rPr>
          <w:b w:val="0"/>
          <w:bCs w:val="0"/>
        </w:rPr>
      </w:pPr>
      <w:bookmarkStart w:name="53、股本" w:id="262"/>
      <w:bookmarkEnd w:id="26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614,841,344.00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97,692,863.00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615,216,384.00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-269,056.00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712,640,191.00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1,327,481,535.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4" w:right="143"/>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left="113" w:right="14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年，公司股权激励计划第一个股票期权行权条件已满足。第一个行权期可行权期权在本报告期内因行权新增股 份</w:t>
      </w:r>
      <w:r>
        <w:rPr>
          <w:rFonts w:ascii="Times New Roman" w:hAnsi="Times New Roman" w:cs="Times New Roman" w:eastAsia="Times New Roman" w:hint="default"/>
        </w:rPr>
        <w:t>723,232</w:t>
      </w:r>
      <w:r>
        <w:rPr/>
        <w:t>股。</w:t>
      </w:r>
    </w:p>
    <w:p>
      <w:pPr>
        <w:pStyle w:val="BodyText"/>
        <w:spacing w:line="240" w:lineRule="auto" w:before="43"/>
        <w:ind w:left="547" w:right="0"/>
        <w:jc w:val="left"/>
      </w:pPr>
      <w:r>
        <w:rPr/>
        <w:t>报告期内，公司股权激励计划第二个股票期权行权条件已满足，截止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日，因行权新增股份</w:t>
      </w:r>
      <w:r>
        <w:rPr>
          <w:rFonts w:ascii="Times New Roman" w:hAnsi="Times New Roman" w:cs="Times New Roman" w:eastAsia="Times New Roman" w:hint="default"/>
        </w:rPr>
        <w:t>4,213,448</w:t>
      </w:r>
      <w:r>
        <w:rPr/>
        <w:t>股。</w:t>
      </w:r>
    </w:p>
    <w:p>
      <w:pPr>
        <w:spacing w:line="240" w:lineRule="auto" w:before="9"/>
        <w:rPr>
          <w:rFonts w:ascii="宋体" w:hAnsi="宋体" w:cs="宋体" w:eastAsia="宋体" w:hint="default"/>
          <w:sz w:val="16"/>
          <w:szCs w:val="16"/>
        </w:rPr>
      </w:pPr>
    </w:p>
    <w:p>
      <w:pPr>
        <w:pStyle w:val="BodyText"/>
        <w:spacing w:line="451" w:lineRule="auto"/>
        <w:ind w:left="113" w:right="143" w:firstLine="360"/>
        <w:jc w:val="left"/>
      </w:pPr>
      <w:r>
        <w:rPr>
          <w:rFonts w:ascii="Times New Roman" w:hAnsi="Times New Roman" w:cs="Times New Roman" w:eastAsia="Times New Roman" w:hint="default"/>
          <w:spacing w:val="-2"/>
        </w:rPr>
        <w:t>2</w:t>
      </w:r>
      <w:r>
        <w:rPr>
          <w:spacing w:val="-2"/>
        </w:rPr>
        <w:t>、报告期内，经中国证券监督委员会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341</w:t>
      </w:r>
      <w:r>
        <w:rPr>
          <w:spacing w:val="-2"/>
        </w:rPr>
        <w:t>号</w:t>
      </w:r>
      <w:r>
        <w:rPr>
          <w:rFonts w:ascii="Times New Roman" w:hAnsi="Times New Roman" w:cs="Times New Roman" w:eastAsia="Times New Roman" w:hint="default"/>
          <w:spacing w:val="-2"/>
        </w:rPr>
        <w:t>”</w:t>
      </w:r>
      <w:r>
        <w:rPr>
          <w:spacing w:val="-2"/>
        </w:rPr>
        <w:t>文《关于核准北京神州泰岳软件股份有限公司向李毅等</w:t>
      </w:r>
      <w:r>
        <w:rPr/>
        <w:t> 发行股份购买资产的批复》的批准，获准向李毅等非公开发行人民币普通股，新增股份</w:t>
      </w:r>
      <w:r>
        <w:rPr>
          <w:rFonts w:ascii="Times New Roman" w:hAnsi="Times New Roman" w:cs="Times New Roman" w:eastAsia="Times New Roman" w:hint="default"/>
        </w:rPr>
        <w:t>92,756,183</w:t>
      </w:r>
      <w:r>
        <w:rPr/>
        <w:t>股。</w:t>
      </w:r>
    </w:p>
    <w:p>
      <w:pPr>
        <w:pStyle w:val="BodyText"/>
        <w:spacing w:line="240" w:lineRule="auto" w:before="43"/>
        <w:ind w:left="473" w:right="143"/>
        <w:jc w:val="left"/>
      </w:pPr>
      <w:r>
        <w:rPr>
          <w:rFonts w:ascii="Times New Roman" w:hAnsi="Times New Roman" w:cs="Times New Roman" w:eastAsia="Times New Roman" w:hint="default"/>
        </w:rPr>
        <w:t>3</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w:t>
      </w:r>
      <w:r>
        <w:rPr>
          <w:rFonts w:ascii="Times New Roman" w:hAnsi="Times New Roman" w:cs="Times New Roman" w:eastAsia="Times New Roman" w:hint="default"/>
        </w:rPr>
        <w:t>615,216,384</w:t>
      </w:r>
      <w:r>
        <w:rPr/>
        <w:t>股。</w:t>
      </w:r>
    </w:p>
    <w:p>
      <w:pPr>
        <w:spacing w:line="240" w:lineRule="auto" w:before="9"/>
        <w:rPr>
          <w:rFonts w:ascii="宋体" w:hAnsi="宋体" w:cs="宋体" w:eastAsia="宋体" w:hint="default"/>
          <w:sz w:val="16"/>
          <w:szCs w:val="16"/>
        </w:rPr>
      </w:pPr>
    </w:p>
    <w:p>
      <w:pPr>
        <w:pStyle w:val="BodyText"/>
        <w:spacing w:line="240" w:lineRule="auto"/>
        <w:ind w:left="473" w:right="14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月，公司回购注销已离职股权激励对象所持有的限制性股票</w:t>
      </w:r>
      <w:r>
        <w:rPr>
          <w:rFonts w:ascii="Times New Roman" w:hAnsi="Times New Roman" w:cs="Times New Roman" w:eastAsia="Times New Roman" w:hint="default"/>
        </w:rPr>
        <w:t>269,056</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 w:right="143"/>
        <w:jc w:val="left"/>
        <w:rPr>
          <w:b w:val="0"/>
          <w:bCs w:val="0"/>
        </w:rPr>
      </w:pPr>
      <w:bookmarkStart w:name="54、其他权益工具" w:id="263"/>
      <w:bookmarkEnd w:id="2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6"/>
          <w:szCs w:val="26"/>
        </w:rPr>
      </w:pPr>
    </w:p>
    <w:p>
      <w:pPr>
        <w:spacing w:before="0"/>
        <w:ind w:left="114"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143"/>
        <w:jc w:val="left"/>
        <w:rPr>
          <w:b w:val="0"/>
          <w:bCs w:val="0"/>
        </w:rPr>
      </w:pPr>
      <w:bookmarkStart w:name="55、资本公积" w:id="264"/>
      <w:bookmarkEnd w:id="26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1,332,905,741.60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705,946,130.68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615,701,525.60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1,423,150,346.68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28,328,301.62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22,027,830.55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5,641,521.05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44,714,611.12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1,361,234,043.22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727,973,961.23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621,343,046.65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1,467,864,957.80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514" w:right="0"/>
        <w:jc w:val="left"/>
      </w:pPr>
      <w:r>
        <w:rPr/>
        <w:t>其他说明，包括本期增减变动情况、变动原因说明：</w:t>
      </w:r>
    </w:p>
    <w:p>
      <w:pPr>
        <w:spacing w:line="240" w:lineRule="auto" w:before="10"/>
        <w:rPr>
          <w:rFonts w:ascii="宋体" w:hAnsi="宋体" w:cs="宋体" w:eastAsia="宋体" w:hint="default"/>
          <w:sz w:val="20"/>
          <w:szCs w:val="20"/>
        </w:rPr>
      </w:pPr>
    </w:p>
    <w:p>
      <w:pPr>
        <w:pStyle w:val="Heading4"/>
        <w:spacing w:line="240" w:lineRule="auto"/>
        <w:ind w:left="515" w:right="0"/>
        <w:jc w:val="left"/>
        <w:rPr>
          <w:b w:val="0"/>
          <w:bCs w:val="0"/>
        </w:rPr>
      </w:pPr>
      <w:r>
        <w:rPr>
          <w:rFonts w:ascii="Times New Roman" w:hAnsi="Times New Roman" w:cs="Times New Roman" w:eastAsia="Times New Roman" w:hint="default"/>
        </w:rPr>
        <w:t>1</w:t>
      </w:r>
      <w:r>
        <w:rPr/>
        <w:t>、股本溢价本期变动为：</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5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年第一次临时股东大会决议通过《北京神州泰岳软件股份有限公司股票期权与限制性股 </w:t>
      </w:r>
      <w:r>
        <w:rPr>
          <w:spacing w:val="-2"/>
        </w:rPr>
        <w:t>票激励计划》，向</w:t>
      </w:r>
      <w:r>
        <w:rPr>
          <w:rFonts w:ascii="Times New Roman" w:hAnsi="Times New Roman" w:cs="Times New Roman" w:eastAsia="Times New Roman" w:hint="default"/>
          <w:spacing w:val="-2"/>
        </w:rPr>
        <w:t>360</w:t>
      </w:r>
      <w:r>
        <w:rPr>
          <w:spacing w:val="-2"/>
        </w:rPr>
        <w:t>名自然人发行股票期权</w:t>
      </w:r>
      <w:r>
        <w:rPr>
          <w:rFonts w:ascii="Times New Roman" w:hAnsi="Times New Roman" w:cs="Times New Roman" w:eastAsia="Times New Roman" w:hint="default"/>
          <w:spacing w:val="-2"/>
        </w:rPr>
        <w:t>8,500,000</w:t>
      </w:r>
      <w:r>
        <w:rPr>
          <w:spacing w:val="-2"/>
        </w:rPr>
        <w:t>股，发行价格为</w:t>
      </w:r>
      <w:r>
        <w:rPr>
          <w:rFonts w:ascii="Times New Roman" w:hAnsi="Times New Roman" w:cs="Times New Roman" w:eastAsia="Times New Roman" w:hint="default"/>
          <w:spacing w:val="-2"/>
        </w:rPr>
        <w:t>11.19</w:t>
      </w:r>
      <w:r>
        <w:rPr>
          <w:spacing w:val="-2"/>
        </w:rPr>
        <w:t>元</w:t>
      </w:r>
      <w:r>
        <w:rPr>
          <w:rFonts w:ascii="Times New Roman" w:hAnsi="Times New Roman" w:cs="Times New Roman" w:eastAsia="Times New Roman" w:hint="default"/>
          <w:spacing w:val="-2"/>
        </w:rPr>
        <w:t>/</w:t>
      </w:r>
      <w:r>
        <w:rPr>
          <w:spacing w:val="-2"/>
        </w:rPr>
        <w:t>股，本期为第二个行权期，自然人行权的股数</w:t>
      </w:r>
      <w:r>
        <w:rPr>
          <w:spacing w:val="-52"/>
        </w:rPr>
        <w:t> </w:t>
      </w:r>
      <w:r>
        <w:rPr>
          <w:spacing w:val="-52"/>
        </w:rPr>
      </w:r>
      <w:r>
        <w:rPr/>
        <w:t>为</w:t>
      </w:r>
      <w:r>
        <w:rPr>
          <w:rFonts w:ascii="Times New Roman" w:hAnsi="Times New Roman" w:cs="Times New Roman" w:eastAsia="Times New Roman" w:hint="default"/>
        </w:rPr>
        <w:t>4,936,680</w:t>
      </w:r>
      <w:r>
        <w:rPr/>
        <w:t>股，其中溢价部分</w:t>
      </w:r>
      <w:r>
        <w:rPr>
          <w:rFonts w:ascii="Times New Roman" w:hAnsi="Times New Roman" w:cs="Times New Roman" w:eastAsia="Times New Roman" w:hint="default"/>
        </w:rPr>
        <w:t>24,212,188.40</w:t>
      </w:r>
      <w:r>
        <w:rPr/>
        <w:t>元记入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w:t>
      </w:r>
    </w:p>
    <w:p>
      <w:pPr>
        <w:pStyle w:val="BodyText"/>
        <w:spacing w:line="456" w:lineRule="auto" w:before="43"/>
        <w:ind w:right="151" w:firstLine="433"/>
        <w:jc w:val="both"/>
      </w:pPr>
      <w:r>
        <w:rPr>
          <w:rFonts w:ascii="Times New Roman" w:hAnsi="Times New Roman" w:cs="Times New Roman" w:eastAsia="Times New Roman" w:hint="default"/>
        </w:rPr>
        <w:t>(2)</w:t>
      </w:r>
      <w:r>
        <w:rPr/>
        <w:t>根据公司第五届董事会第九次会议和</w:t>
      </w:r>
      <w:r>
        <w:rPr>
          <w:rFonts w:ascii="Times New Roman" w:hAnsi="Times New Roman" w:cs="Times New Roman" w:eastAsia="Times New Roman" w:hint="default"/>
        </w:rPr>
        <w:t>2013</w:t>
      </w:r>
      <w:r>
        <w:rPr/>
        <w:t>年第一次临时股东大会审议通过《关于公司发行股份及支付现金购买资产</w:t>
      </w:r>
      <w:r>
        <w:rPr>
          <w:w w:val="99"/>
        </w:rPr>
        <w:t> </w:t>
      </w:r>
      <w:r>
        <w:rPr>
          <w:spacing w:val="-5"/>
          <w:w w:val="99"/>
        </w:rPr>
        <w:t>方案的议案》、公司第五届董事会第十六次会议审议通过《关于调整公司发行股份及支付现金购买资产方案有关内容的议案》</w:t>
      </w:r>
      <w:r>
        <w:rPr>
          <w:spacing w:val="-79"/>
          <w:w w:val="99"/>
        </w:rPr>
        <w:t> </w:t>
      </w:r>
      <w:r>
        <w:rPr>
          <w:spacing w:val="-79"/>
          <w:w w:val="99"/>
        </w:rPr>
      </w:r>
      <w:r>
        <w:rPr/>
        <w:t>的规定、经中国证券监督管理委员会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[2014]341</w:t>
      </w:r>
      <w:r>
        <w:rPr/>
        <w:t>号</w:t>
      </w:r>
      <w:r>
        <w:rPr>
          <w:rFonts w:ascii="Times New Roman" w:hAnsi="Times New Roman" w:cs="Times New Roman" w:eastAsia="Times New Roman" w:hint="default"/>
        </w:rPr>
        <w:t>”</w:t>
      </w:r>
      <w:r>
        <w:rPr/>
        <w:t>文《关于核准北京神州泰岳股份有限公司向李毅等发行股份购</w:t>
      </w:r>
      <w:r>
        <w:rPr>
          <w:spacing w:val="-17"/>
        </w:rPr>
        <w:t> </w:t>
      </w:r>
      <w:r>
        <w:rPr>
          <w:spacing w:val="-17"/>
        </w:rPr>
      </w:r>
      <w:r>
        <w:rPr>
          <w:spacing w:val="4"/>
        </w:rPr>
        <w:t>买资产的批复》的批准，获准向李毅、李章晶及天津骆壳科技信息咨询合伙企业（有限合伙）非公开发行人民币普通股</w:t>
      </w:r>
      <w:r>
        <w:rPr>
          <w:spacing w:val="-56"/>
        </w:rPr>
        <w:t> </w:t>
      </w:r>
      <w:r>
        <w:rPr>
          <w:spacing w:val="-56"/>
        </w:rPr>
      </w:r>
      <w:r>
        <w:rPr>
          <w:rFonts w:ascii="Times New Roman" w:hAnsi="Times New Roman" w:cs="Times New Roman" w:eastAsia="Times New Roman" w:hint="default"/>
        </w:rPr>
        <w:t>45,705,164</w:t>
      </w:r>
      <w:r>
        <w:rPr/>
        <w:t>股，每股面值</w:t>
      </w:r>
      <w:r>
        <w:rPr>
          <w:rFonts w:ascii="Times New Roman" w:hAnsi="Times New Roman" w:cs="Times New Roman" w:eastAsia="Times New Roman" w:hint="default"/>
        </w:rPr>
        <w:t>1</w:t>
      </w:r>
      <w:r>
        <w:rPr/>
        <w:t>元，每股发行价格为</w:t>
      </w:r>
      <w:r>
        <w:rPr>
          <w:rFonts w:ascii="Times New Roman" w:hAnsi="Times New Roman" w:cs="Times New Roman" w:eastAsia="Times New Roman" w:hint="default"/>
        </w:rPr>
        <w:t>17.23</w:t>
      </w:r>
      <w:r>
        <w:rPr/>
        <w:t>元（发行价格按照贵公司第五届董事会第七次会议决议公告日前二十个</w:t>
      </w:r>
      <w:r>
        <w:rPr>
          <w:spacing w:val="-48"/>
        </w:rPr>
        <w:t> </w:t>
      </w:r>
      <w:r>
        <w:rPr>
          <w:spacing w:val="-48"/>
        </w:rPr>
      </w:r>
      <w:r>
        <w:rPr>
          <w:spacing w:val="-1"/>
        </w:rPr>
        <w:t>交易日交易均价确定），申请新增股本人民币</w:t>
      </w:r>
      <w:r>
        <w:rPr>
          <w:rFonts w:ascii="Times New Roman" w:hAnsi="Times New Roman" w:cs="Times New Roman" w:eastAsia="Times New Roman" w:hint="default"/>
          <w:spacing w:val="-1"/>
        </w:rPr>
        <w:t>45,705,164.00</w:t>
      </w:r>
      <w:r>
        <w:rPr>
          <w:spacing w:val="-1"/>
        </w:rPr>
        <w:t>元，由李毅、李章晶及天津骆壳科技信息咨询合伙企业（有限合</w:t>
      </w:r>
      <w:r>
        <w:rPr>
          <w:spacing w:val="-72"/>
        </w:rPr>
        <w:t> </w:t>
      </w:r>
      <w:r>
        <w:rPr>
          <w:spacing w:val="-72"/>
        </w:rPr>
      </w:r>
      <w:r>
        <w:rPr>
          <w:spacing w:val="-2"/>
        </w:rPr>
        <w:t>伙）所持有的天津壳木软件有限责任公司股权作价认购。上述用于认购本次发行新股的股权价值以天津壳木软件有限责任公</w:t>
      </w:r>
      <w:r>
        <w:rPr>
          <w:spacing w:val="-64"/>
        </w:rPr>
        <w:t> </w:t>
      </w:r>
      <w:r>
        <w:rPr>
          <w:spacing w:val="-64"/>
        </w:rPr>
      </w:r>
      <w:r>
        <w:rPr/>
        <w:t>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日经评估之权益价值为准。公司采取非公开发行股份和现金支付相结合的方式支付购买天津壳木软件有限责</w:t>
      </w:r>
      <w:r>
        <w:rPr>
          <w:spacing w:val="-83"/>
        </w:rPr>
        <w:t> </w:t>
      </w:r>
      <w:r>
        <w:rPr>
          <w:spacing w:val="-83"/>
        </w:rPr>
      </w:r>
      <w:r>
        <w:rPr>
          <w:spacing w:val="-1"/>
        </w:rPr>
        <w:t>任公司的对价，其中，李毅、李章晶及天津骆壳科技信息咨询合伙企业（有限合伙）应取得的对价的</w:t>
      </w:r>
      <w:r>
        <w:rPr>
          <w:rFonts w:ascii="Times New Roman" w:hAnsi="Times New Roman" w:cs="Times New Roman" w:eastAsia="Times New Roman" w:hint="default"/>
          <w:spacing w:val="-1"/>
        </w:rPr>
        <w:t>30%</w:t>
      </w:r>
      <w:r>
        <w:rPr>
          <w:spacing w:val="-1"/>
        </w:rPr>
        <w:t>由公司以现金方式</w:t>
      </w:r>
      <w:r>
        <w:rPr/>
        <w:t> </w:t>
      </w:r>
      <w:r>
        <w:rPr>
          <w:spacing w:val="-1"/>
        </w:rPr>
        <w:t>支付，</w:t>
      </w:r>
      <w:r>
        <w:rPr>
          <w:rFonts w:ascii="Times New Roman" w:hAnsi="Times New Roman" w:cs="Times New Roman" w:eastAsia="Times New Roman" w:hint="default"/>
          <w:spacing w:val="-1"/>
        </w:rPr>
        <w:t>70%</w:t>
      </w:r>
      <w:r>
        <w:rPr>
          <w:spacing w:val="-1"/>
        </w:rPr>
        <w:t>由公司以向其非公开发行股份的方式支付；戴志康、高宇扬应取得的对价由公司全部以现金方式支付。李毅以其</w:t>
      </w:r>
      <w:r>
        <w:rPr/>
        <w:t> </w:t>
      </w:r>
      <w:r>
        <w:rPr>
          <w:spacing w:val="-1"/>
        </w:rPr>
        <w:t>拥有的价值为</w:t>
      </w:r>
      <w:r>
        <w:rPr>
          <w:rFonts w:ascii="Times New Roman" w:hAnsi="Times New Roman" w:cs="Times New Roman" w:eastAsia="Times New Roman" w:hint="default"/>
          <w:spacing w:val="-1"/>
        </w:rPr>
        <w:t>12.15</w:t>
      </w:r>
      <w:r>
        <w:rPr>
          <w:spacing w:val="-1"/>
        </w:rPr>
        <w:t>亿元的天津壳木软件有限责任公司</w:t>
      </w:r>
      <w:r>
        <w:rPr>
          <w:rFonts w:ascii="Times New Roman" w:hAnsi="Times New Roman" w:cs="Times New Roman" w:eastAsia="Times New Roman" w:hint="default"/>
          <w:spacing w:val="-1"/>
        </w:rPr>
        <w:t>74%</w:t>
      </w:r>
      <w:r>
        <w:rPr>
          <w:spacing w:val="-1"/>
        </w:rPr>
        <w:t>的股权，按应取得对价</w:t>
      </w:r>
      <w:r>
        <w:rPr>
          <w:rFonts w:ascii="Times New Roman" w:hAnsi="Times New Roman" w:cs="Times New Roman" w:eastAsia="Times New Roman" w:hint="default"/>
          <w:spacing w:val="-1"/>
        </w:rPr>
        <w:t>9.25</w:t>
      </w:r>
      <w:r>
        <w:rPr>
          <w:spacing w:val="-1"/>
        </w:rPr>
        <w:t>亿元的</w:t>
      </w:r>
      <w:r>
        <w:rPr>
          <w:rFonts w:ascii="Times New Roman" w:hAnsi="Times New Roman" w:cs="Times New Roman" w:eastAsia="Times New Roman" w:hint="default"/>
          <w:spacing w:val="-1"/>
        </w:rPr>
        <w:t>70%</w:t>
      </w:r>
      <w:r>
        <w:rPr>
          <w:spacing w:val="-1"/>
        </w:rPr>
        <w:t>作为实际缴纳出资，认缴新</w:t>
      </w:r>
      <w:r>
        <w:rPr>
          <w:spacing w:val="-55"/>
        </w:rPr>
        <w:t> </w:t>
      </w:r>
      <w:r>
        <w:rPr>
          <w:spacing w:val="-55"/>
        </w:rPr>
      </w:r>
      <w:r>
        <w:rPr/>
        <w:t>增股本人民币</w:t>
      </w:r>
      <w:r>
        <w:rPr>
          <w:rFonts w:ascii="Times New Roman" w:hAnsi="Times New Roman" w:cs="Times New Roman" w:eastAsia="Times New Roman" w:hint="default"/>
        </w:rPr>
        <w:t>37,579,802.00</w:t>
      </w:r>
      <w:r>
        <w:rPr/>
        <w:t>元。李章晶以其拥有的价值为</w:t>
      </w:r>
      <w:r>
        <w:rPr>
          <w:rFonts w:ascii="Times New Roman" w:hAnsi="Times New Roman" w:cs="Times New Roman" w:eastAsia="Times New Roman" w:hint="default"/>
        </w:rPr>
        <w:t>12.15</w:t>
      </w:r>
      <w:r>
        <w:rPr/>
        <w:t>亿元的天津壳木软件有限责任公司</w:t>
      </w:r>
      <w:r>
        <w:rPr>
          <w:rFonts w:ascii="Times New Roman" w:hAnsi="Times New Roman" w:cs="Times New Roman" w:eastAsia="Times New Roman" w:hint="default"/>
        </w:rPr>
        <w:t>4%</w:t>
      </w:r>
      <w:r>
        <w:rPr/>
        <w:t>的股权，按应取得对价</w:t>
      </w:r>
      <w:r>
        <w:rPr>
          <w:spacing w:val="-61"/>
        </w:rPr>
        <w:t> </w:t>
      </w:r>
      <w:r>
        <w:rPr>
          <w:spacing w:val="-61"/>
        </w:rPr>
      </w:r>
      <w:r>
        <w:rPr>
          <w:rFonts w:ascii="Times New Roman" w:hAnsi="Times New Roman" w:cs="Times New Roman" w:eastAsia="Times New Roman" w:hint="default"/>
        </w:rPr>
        <w:t>0.5</w:t>
      </w:r>
      <w:r>
        <w:rPr/>
        <w:t>亿元的</w:t>
      </w:r>
      <w:r>
        <w:rPr>
          <w:rFonts w:ascii="Times New Roman" w:hAnsi="Times New Roman" w:cs="Times New Roman" w:eastAsia="Times New Roman" w:hint="default"/>
        </w:rPr>
        <w:t>70%</w:t>
      </w:r>
      <w:r>
        <w:rPr/>
        <w:t>作为实际缴纳出资，认缴新增股本人民币</w:t>
      </w:r>
      <w:r>
        <w:rPr>
          <w:rFonts w:ascii="Times New Roman" w:hAnsi="Times New Roman" w:cs="Times New Roman" w:eastAsia="Times New Roman" w:hint="default"/>
        </w:rPr>
        <w:t>2,031,340.00</w:t>
      </w:r>
      <w:r>
        <w:rPr/>
        <w:t>元。天津骆壳科技信息咨询合伙企业（有限合伙）以其</w:t>
      </w:r>
      <w:r>
        <w:rPr>
          <w:spacing w:val="-58"/>
        </w:rPr>
        <w:t> </w:t>
      </w:r>
      <w:r>
        <w:rPr>
          <w:spacing w:val="-58"/>
        </w:rPr>
      </w:r>
      <w:r>
        <w:rPr/>
        <w:t>拥有的价值为</w:t>
      </w:r>
      <w:r>
        <w:rPr>
          <w:rFonts w:ascii="Times New Roman" w:hAnsi="Times New Roman" w:cs="Times New Roman" w:eastAsia="Times New Roman" w:hint="default"/>
        </w:rPr>
        <w:t>12.15</w:t>
      </w:r>
      <w:r>
        <w:rPr/>
        <w:t>亿元的天津壳木软件有限责任公司</w:t>
      </w:r>
      <w:r>
        <w:rPr>
          <w:rFonts w:ascii="Times New Roman" w:hAnsi="Times New Roman" w:cs="Times New Roman" w:eastAsia="Times New Roman" w:hint="default"/>
        </w:rPr>
        <w:t>12%</w:t>
      </w:r>
      <w:r>
        <w:rPr/>
        <w:t>的股权，按应取得对价</w:t>
      </w:r>
      <w:r>
        <w:rPr>
          <w:rFonts w:ascii="Times New Roman" w:hAnsi="Times New Roman" w:cs="Times New Roman" w:eastAsia="Times New Roman" w:hint="default"/>
        </w:rPr>
        <w:t>1.5</w:t>
      </w:r>
      <w:r>
        <w:rPr/>
        <w:t>亿元的</w:t>
      </w:r>
      <w:r>
        <w:rPr>
          <w:rFonts w:ascii="Times New Roman" w:hAnsi="Times New Roman" w:cs="Times New Roman" w:eastAsia="Times New Roman" w:hint="default"/>
        </w:rPr>
        <w:t>70%</w:t>
      </w:r>
      <w:r>
        <w:rPr/>
        <w:t>作为实际缴纳出资，认缴新</w:t>
      </w:r>
      <w:r>
        <w:rPr>
          <w:spacing w:val="-35"/>
        </w:rPr>
        <w:t> </w:t>
      </w:r>
      <w:r>
        <w:rPr>
          <w:spacing w:val="-35"/>
        </w:rPr>
      </w:r>
      <w:r>
        <w:rPr/>
        <w:t>增股本人民币</w:t>
      </w:r>
      <w:r>
        <w:rPr>
          <w:rFonts w:ascii="Times New Roman" w:hAnsi="Times New Roman" w:cs="Times New Roman" w:eastAsia="Times New Roman" w:hint="default"/>
        </w:rPr>
        <w:t>6,094,022.00</w:t>
      </w:r>
      <w:r>
        <w:rPr/>
        <w:t>元。</w:t>
      </w:r>
    </w:p>
    <w:p>
      <w:pPr>
        <w:pStyle w:val="BodyText"/>
        <w:spacing w:line="451" w:lineRule="auto" w:before="39"/>
        <w:ind w:right="150" w:firstLine="360"/>
        <w:jc w:val="both"/>
      </w:pPr>
      <w:r>
        <w:rPr>
          <w:spacing w:val="-2"/>
        </w:rPr>
        <w:t>根据《关于公司发行股份及支付现金购买资产方案的议案》规定，因实施了</w:t>
      </w:r>
      <w:r>
        <w:rPr>
          <w:rFonts w:ascii="Times New Roman" w:hAnsi="Times New Roman" w:cs="Times New Roman" w:eastAsia="Times New Roman" w:hint="default"/>
          <w:spacing w:val="-2"/>
        </w:rPr>
        <w:t>2013</w:t>
      </w:r>
      <w:r>
        <w:rPr>
          <w:spacing w:val="-2"/>
        </w:rPr>
        <w:t>年度利润分配及资本公积金转增股本方</w:t>
      </w:r>
      <w:r>
        <w:rPr/>
        <w:t> 案，需要对向天津壳木软件有限责任公司股东发行股份的价格由</w:t>
      </w:r>
      <w:r>
        <w:rPr>
          <w:rFonts w:ascii="Times New Roman" w:hAnsi="Times New Roman" w:cs="Times New Roman" w:eastAsia="Times New Roman" w:hint="default"/>
        </w:rPr>
        <w:t>17.23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8.49</w:t>
      </w:r>
      <w:r>
        <w:rPr/>
        <w:t>元</w:t>
      </w:r>
      <w:r>
        <w:rPr>
          <w:rFonts w:ascii="Times New Roman" w:hAnsi="Times New Roman" w:cs="Times New Roman" w:eastAsia="Times New Roman" w:hint="default"/>
        </w:rPr>
        <w:t>/</w:t>
      </w:r>
      <w:r>
        <w:rPr/>
        <w:t>股，股份发行数量由</w:t>
      </w:r>
      <w:r>
        <w:rPr>
          <w:rFonts w:ascii="Times New Roman" w:hAnsi="Times New Roman" w:cs="Times New Roman" w:eastAsia="Times New Roman" w:hint="default"/>
        </w:rPr>
        <w:t>45,705,164</w:t>
      </w:r>
      <w:r>
        <w:rPr/>
        <w:t>股</w:t>
      </w:r>
      <w:r>
        <w:rPr>
          <w:spacing w:val="-15"/>
        </w:rPr>
        <w:t> </w:t>
      </w:r>
      <w:r>
        <w:rPr>
          <w:spacing w:val="-1"/>
        </w:rPr>
        <w:t>相应调整为</w:t>
      </w:r>
      <w:r>
        <w:rPr>
          <w:rFonts w:ascii="Times New Roman" w:hAnsi="Times New Roman" w:cs="Times New Roman" w:eastAsia="Times New Roman" w:hint="default"/>
          <w:spacing w:val="-1"/>
        </w:rPr>
        <w:t>92,756,183</w:t>
      </w:r>
      <w:r>
        <w:rPr>
          <w:rFonts w:ascii="Times New Roman" w:hAnsi="Times New Roman" w:cs="Times New Roman" w:eastAsia="Times New Roman" w:hint="default"/>
          <w:spacing w:val="25"/>
        </w:rPr>
        <w:t> </w:t>
      </w:r>
      <w:r>
        <w:rPr>
          <w:spacing w:val="-2"/>
        </w:rPr>
        <w:t>股，其中向李毅发行的股份数量由</w:t>
      </w:r>
      <w:r>
        <w:rPr>
          <w:rFonts w:ascii="Times New Roman" w:hAnsi="Times New Roman" w:cs="Times New Roman" w:eastAsia="Times New Roman" w:hint="default"/>
          <w:spacing w:val="-2"/>
        </w:rPr>
        <w:t>37,579,802</w:t>
      </w:r>
      <w:r>
        <w:rPr>
          <w:spacing w:val="-2"/>
        </w:rPr>
        <w:t>股相应调整为</w:t>
      </w:r>
      <w:r>
        <w:rPr>
          <w:rFonts w:ascii="Times New Roman" w:hAnsi="Times New Roman" w:cs="Times New Roman" w:eastAsia="Times New Roman" w:hint="default"/>
          <w:spacing w:val="-2"/>
        </w:rPr>
        <w:t>76,266,195</w:t>
      </w:r>
      <w:r>
        <w:rPr>
          <w:spacing w:val="-2"/>
        </w:rPr>
        <w:t>股，向李章晶发行的股份数量由</w:t>
      </w:r>
      <w:r>
        <w:rPr>
          <w:spacing w:val="-81"/>
        </w:rPr>
        <w:t> </w:t>
      </w:r>
      <w:r>
        <w:rPr>
          <w:spacing w:val="-81"/>
        </w:rPr>
      </w:r>
      <w:r>
        <w:rPr>
          <w:rFonts w:ascii="Times New Roman" w:hAnsi="Times New Roman" w:cs="Times New Roman" w:eastAsia="Times New Roman" w:hint="default"/>
          <w:spacing w:val="-2"/>
        </w:rPr>
        <w:t>2,031,340</w:t>
      </w:r>
      <w:r>
        <w:rPr>
          <w:spacing w:val="-2"/>
        </w:rPr>
        <w:t>股相应调整为为</w:t>
      </w:r>
      <w:r>
        <w:rPr>
          <w:rFonts w:ascii="Times New Roman" w:hAnsi="Times New Roman" w:cs="Times New Roman" w:eastAsia="Times New Roman" w:hint="default"/>
          <w:spacing w:val="-2"/>
        </w:rPr>
        <w:t>4,122,497</w:t>
      </w:r>
      <w:r>
        <w:rPr>
          <w:spacing w:val="-2"/>
        </w:rPr>
        <w:t>股，向天津骆壳科技信息咨询合伙企业（有限合伙）发行的股份数量由</w:t>
      </w:r>
      <w:r>
        <w:rPr>
          <w:rFonts w:ascii="Times New Roman" w:hAnsi="Times New Roman" w:cs="Times New Roman" w:eastAsia="Times New Roman" w:hint="default"/>
          <w:spacing w:val="-2"/>
        </w:rPr>
        <w:t>6,094,022</w:t>
      </w:r>
      <w:r>
        <w:rPr>
          <w:spacing w:val="-2"/>
        </w:rPr>
        <w:t>股相应调</w:t>
      </w:r>
      <w:r>
        <w:rPr>
          <w:spacing w:val="-41"/>
        </w:rPr>
        <w:t> </w:t>
      </w:r>
      <w:r>
        <w:rPr/>
        <w:t>整为</w:t>
      </w:r>
      <w:r>
        <w:rPr>
          <w:rFonts w:ascii="Times New Roman" w:hAnsi="Times New Roman" w:cs="Times New Roman" w:eastAsia="Times New Roman" w:hint="default"/>
        </w:rPr>
        <w:t>12,367,491</w:t>
      </w:r>
      <w:r>
        <w:rPr/>
        <w:t>股。调整后公司申请新增股本</w:t>
      </w:r>
      <w:r>
        <w:rPr>
          <w:rFonts w:ascii="Times New Roman" w:hAnsi="Times New Roman" w:cs="Times New Roman" w:eastAsia="Times New Roman" w:hint="default"/>
        </w:rPr>
        <w:t>92,756,183.00</w:t>
      </w:r>
      <w:r>
        <w:rPr/>
        <w:t>元。用于认购本次发行新股的股权价值扣除发行费用后的净额超</w:t>
      </w:r>
      <w:r>
        <w:rPr>
          <w:spacing w:val="-49"/>
        </w:rPr>
        <w:t> </w:t>
      </w:r>
      <w:r>
        <w:rPr/>
        <w:t>过新增股本部分</w:t>
      </w:r>
      <w:r>
        <w:rPr>
          <w:rFonts w:ascii="Times New Roman" w:hAnsi="Times New Roman" w:cs="Times New Roman" w:eastAsia="Times New Roman" w:hint="default"/>
        </w:rPr>
        <w:t>676,092,421.23</w:t>
      </w:r>
      <w:r>
        <w:rPr/>
        <w:t>计入资本公积（股本溢价）。</w:t>
      </w:r>
    </w:p>
    <w:p>
      <w:pPr>
        <w:pStyle w:val="BodyText"/>
        <w:spacing w:line="451" w:lineRule="auto" w:before="43"/>
        <w:ind w:right="150" w:firstLine="360"/>
        <w:jc w:val="both"/>
      </w:pPr>
      <w:r>
        <w:rPr>
          <w:spacing w:val="-1"/>
        </w:rPr>
        <w:t>（</w:t>
      </w:r>
      <w:r>
        <w:rPr>
          <w:rFonts w:ascii="Times New Roman" w:hAnsi="Times New Roman" w:cs="Times New Roman" w:eastAsia="Times New Roman" w:hint="default"/>
          <w:spacing w:val="-1"/>
        </w:rPr>
        <w:t>3</w:t>
      </w:r>
      <w:r>
        <w:rPr>
          <w:spacing w:val="-1"/>
        </w:rPr>
        <w:t>）本年已解锁的限制性股票和已行权的股票期权对应的原记入</w:t>
      </w:r>
      <w:r>
        <w:rPr>
          <w:rFonts w:ascii="Times New Roman" w:hAnsi="Times New Roman" w:cs="Times New Roman" w:eastAsia="Times New Roman" w:hint="default"/>
          <w:spacing w:val="-1"/>
        </w:rPr>
        <w:t>“</w:t>
      </w:r>
      <w:r>
        <w:rPr>
          <w:spacing w:val="-1"/>
        </w:rPr>
        <w:t>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的股权激励费</w:t>
      </w:r>
      <w:r>
        <w:rPr>
          <w:rFonts w:ascii="Times New Roman" w:hAnsi="Times New Roman" w:cs="Times New Roman" w:eastAsia="Times New Roman" w:hint="default"/>
          <w:spacing w:val="-1"/>
        </w:rPr>
        <w:t>5,641,521.05</w:t>
      </w:r>
      <w:r>
        <w:rPr>
          <w:rFonts w:ascii="Times New Roman" w:hAnsi="Times New Roman" w:cs="Times New Roman" w:eastAsia="Times New Roman" w:hint="default"/>
        </w:rPr>
        <w:t> </w:t>
      </w:r>
      <w:r>
        <w:rPr/>
        <w:t>元转至</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240" w:lineRule="auto" w:before="43"/>
        <w:ind w:left="513" w:right="0"/>
        <w:jc w:val="left"/>
      </w:pPr>
      <w:r>
        <w:rPr/>
        <w:t>（</w:t>
      </w:r>
      <w:r>
        <w:rPr>
          <w:spacing w:val="-70"/>
        </w:rPr>
        <w:t> </w:t>
      </w:r>
      <w:r>
        <w:rPr>
          <w:rFonts w:ascii="Times New Roman" w:hAnsi="Times New Roman" w:cs="Times New Roman" w:eastAsia="Times New Roman" w:hint="default"/>
          <w:spacing w:val="7"/>
        </w:rPr>
        <w:t>4</w:t>
      </w:r>
      <w:r>
        <w:rPr>
          <w:spacing w:val="7"/>
        </w:rPr>
        <w:t>）</w:t>
      </w:r>
      <w:r>
        <w:rPr>
          <w:spacing w:val="-70"/>
        </w:rPr>
        <w:t> </w:t>
      </w:r>
      <w:r>
        <w:rPr>
          <w:spacing w:val="11"/>
        </w:rPr>
        <w:t>根据公司</w:t>
      </w:r>
      <w:r>
        <w:rPr>
          <w:spacing w:val="-70"/>
        </w:rPr>
        <w:t> </w:t>
      </w:r>
      <w:r>
        <w:rPr>
          <w:rFonts w:ascii="Times New Roman" w:hAnsi="Times New Roman" w:cs="Times New Roman" w:eastAsia="Times New Roman" w:hint="default"/>
          <w:spacing w:val="10"/>
        </w:rPr>
        <w:t>2013</w:t>
      </w:r>
      <w:r>
        <w:rPr>
          <w:spacing w:val="10"/>
        </w:rPr>
        <w:t>年度股东大会决议和</w:t>
      </w:r>
      <w:r>
        <w:rPr>
          <w:spacing w:val="-67"/>
        </w:rPr>
        <w:t> </w:t>
      </w:r>
      <w:r>
        <w:rPr>
          <w:rFonts w:ascii="Times New Roman" w:hAnsi="Times New Roman" w:cs="Times New Roman" w:eastAsia="Times New Roman" w:hint="default"/>
          <w:spacing w:val="12"/>
        </w:rPr>
        <w:t>2013</w:t>
      </w:r>
      <w:r>
        <w:rPr>
          <w:spacing w:val="12"/>
        </w:rPr>
        <w:t>年度股东大会通过章程修正案的规定，</w:t>
      </w:r>
      <w:r>
        <w:rPr>
          <w:spacing w:val="-71"/>
        </w:rPr>
        <w:t> </w:t>
      </w:r>
      <w:r>
        <w:rPr>
          <w:spacing w:val="14"/>
        </w:rPr>
        <w:t>公司申请增加股本人民币</w:t>
      </w:r>
    </w:p>
    <w:p>
      <w:pPr>
        <w:spacing w:after="0" w:line="240" w:lineRule="auto"/>
        <w:jc w:val="left"/>
        <w:sectPr>
          <w:pgSz w:w="11910" w:h="16840"/>
          <w:pgMar w:header="851" w:footer="1226" w:top="1380" w:bottom="1420" w:left="980" w:right="980"/>
        </w:sectPr>
      </w:pPr>
    </w:p>
    <w:p>
      <w:pPr>
        <w:pStyle w:val="BodyText"/>
        <w:spacing w:line="240" w:lineRule="auto" w:before="141"/>
        <w:ind w:left="154" w:right="93"/>
        <w:jc w:val="left"/>
      </w:pPr>
      <w:r>
        <w:rPr>
          <w:rFonts w:ascii="Times New Roman" w:hAnsi="Times New Roman" w:cs="Times New Roman" w:eastAsia="Times New Roman" w:hint="default"/>
        </w:rPr>
        <w:t>615,216,384.00</w:t>
      </w:r>
      <w:r>
        <w:rPr/>
        <w:t>元，由资本公积转增股本，转增基准日期为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减少</w:t>
      </w:r>
      <w:r>
        <w:rPr>
          <w:rFonts w:ascii="Times New Roman" w:hAnsi="Times New Roman" w:cs="Times New Roman" w:eastAsia="Times New Roman" w:hint="default"/>
        </w:rPr>
        <w:t>615,216,384.00</w:t>
      </w:r>
      <w:r>
        <w:rPr/>
        <w:t>元。</w:t>
      </w:r>
    </w:p>
    <w:p>
      <w:pPr>
        <w:spacing w:line="240" w:lineRule="auto" w:before="9"/>
        <w:rPr>
          <w:rFonts w:ascii="宋体" w:hAnsi="宋体" w:cs="宋体" w:eastAsia="宋体" w:hint="default"/>
          <w:sz w:val="16"/>
          <w:szCs w:val="16"/>
        </w:rPr>
      </w:pPr>
    </w:p>
    <w:p>
      <w:pPr>
        <w:pStyle w:val="BodyText"/>
        <w:spacing w:line="453" w:lineRule="auto"/>
        <w:ind w:right="93" w:firstLine="360"/>
        <w:jc w:val="left"/>
      </w:pPr>
      <w:r>
        <w:rPr/>
        <w:t>（</w:t>
      </w:r>
      <w:r>
        <w:rPr>
          <w:rFonts w:ascii="Times New Roman" w:hAnsi="Times New Roman" w:cs="Times New Roman" w:eastAsia="Times New Roman" w:hint="default"/>
        </w:rPr>
        <w:t>5</w:t>
      </w:r>
      <w:r>
        <w:rPr/>
        <w:t>）根据《北京神州泰岳软件股份有限公司股票期权与限制性股票激励计划（正式稿）》规定，公司前员工毛磊等</w:t>
      </w:r>
      <w:r>
        <w:rPr>
          <w:rFonts w:ascii="Times New Roman" w:hAnsi="Times New Roman" w:cs="Times New Roman" w:eastAsia="Times New Roman" w:hint="default"/>
        </w:rPr>
        <w:t>7 </w:t>
      </w:r>
      <w:r>
        <w:rPr/>
        <w:t>人作为激励对象于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日获授公司限制性股票</w:t>
      </w:r>
      <w:r>
        <w:rPr>
          <w:rFonts w:ascii="Times New Roman" w:hAnsi="Times New Roman" w:cs="Times New Roman" w:eastAsia="Times New Roman" w:hint="default"/>
        </w:rPr>
        <w:t>105,100</w:t>
      </w:r>
      <w:r>
        <w:rPr/>
        <w:t>股，毛磊等</w:t>
      </w:r>
      <w:r>
        <w:rPr>
          <w:rFonts w:ascii="Times New Roman" w:hAnsi="Times New Roman" w:cs="Times New Roman" w:eastAsia="Times New Roman" w:hint="default"/>
        </w:rPr>
        <w:t>7</w:t>
      </w:r>
      <w:r>
        <w:rPr/>
        <w:t>人已按时足额缴纳认购款项，授予股份已于</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日在中国证券登记结算有限责任公司深圳分公司完成股份登记。后毛磊等</w:t>
      </w:r>
      <w:r>
        <w:rPr>
          <w:rFonts w:ascii="Times New Roman" w:hAnsi="Times New Roman" w:cs="Times New Roman" w:eastAsia="Times New Roman" w:hint="default"/>
        </w:rPr>
        <w:t>7</w:t>
      </w:r>
      <w:r>
        <w:rPr/>
        <w:t>人因个人原因向公司提出辞职，公司已</w:t>
      </w:r>
      <w:r>
        <w:rPr>
          <w:spacing w:val="-82"/>
        </w:rPr>
        <w:t> </w:t>
      </w:r>
      <w:r>
        <w:rPr>
          <w:spacing w:val="-82"/>
        </w:rPr>
      </w:r>
      <w:r>
        <w:rPr>
          <w:spacing w:val="-5"/>
        </w:rPr>
        <w:t>经同意其辞职申请，并已办理完成相关离职手续。根据《北京神州泰岳软件股份有限公司股票期权与限制性股票激励计划（正</w:t>
      </w:r>
      <w:r>
        <w:rPr>
          <w:spacing w:val="-82"/>
        </w:rPr>
        <w:t> </w:t>
      </w:r>
      <w:r>
        <w:rPr>
          <w:spacing w:val="-82"/>
        </w:rPr>
      </w:r>
      <w:r>
        <w:rPr>
          <w:spacing w:val="-2"/>
        </w:rPr>
        <w:t>式稿）》规定，因实施了</w:t>
      </w:r>
      <w:r>
        <w:rPr>
          <w:rFonts w:ascii="Times New Roman" w:hAnsi="Times New Roman" w:cs="Times New Roman" w:eastAsia="Times New Roman" w:hint="default"/>
          <w:spacing w:val="-2"/>
        </w:rPr>
        <w:t>2012</w:t>
      </w:r>
      <w:r>
        <w:rPr>
          <w:spacing w:val="-2"/>
        </w:rPr>
        <w:t>年度及</w:t>
      </w:r>
      <w:r>
        <w:rPr>
          <w:rFonts w:ascii="Times New Roman" w:hAnsi="Times New Roman" w:cs="Times New Roman" w:eastAsia="Times New Roman" w:hint="default"/>
          <w:spacing w:val="-2"/>
        </w:rPr>
        <w:t>2013</w:t>
      </w:r>
      <w:r>
        <w:rPr>
          <w:spacing w:val="-2"/>
        </w:rPr>
        <w:t>年度利润分配及资本公积金转增股本方案，需要对尚未解锁的限制性股票的回购价</w:t>
      </w:r>
      <w:r>
        <w:rPr>
          <w:spacing w:val="-58"/>
        </w:rPr>
        <w:t> </w:t>
      </w:r>
      <w:r>
        <w:rPr>
          <w:spacing w:val="-58"/>
        </w:rPr>
      </w:r>
      <w:r>
        <w:rPr/>
        <w:t>格及数量进行相应调整，调整后的回购价格为</w:t>
      </w:r>
      <w:r>
        <w:rPr>
          <w:rFonts w:ascii="Times New Roman" w:hAnsi="Times New Roman" w:cs="Times New Roman" w:eastAsia="Times New Roman" w:hint="default"/>
        </w:rPr>
        <w:t>2.555</w:t>
      </w:r>
      <w:r>
        <w:rPr/>
        <w:t>元</w:t>
      </w:r>
      <w:r>
        <w:rPr>
          <w:rFonts w:ascii="Times New Roman" w:hAnsi="Times New Roman" w:cs="Times New Roman" w:eastAsia="Times New Roman" w:hint="default"/>
        </w:rPr>
        <w:t>/</w:t>
      </w:r>
      <w:r>
        <w:rPr/>
        <w:t>股，调整后的回购数量为</w:t>
      </w:r>
      <w:r>
        <w:rPr>
          <w:rFonts w:ascii="Times New Roman" w:hAnsi="Times New Roman" w:cs="Times New Roman" w:eastAsia="Times New Roman" w:hint="default"/>
        </w:rPr>
        <w:t>269,056</w:t>
      </w:r>
      <w:r>
        <w:rPr/>
        <w:t>股，经公司第五届董事会第三十二次 会议决议、</w:t>
      </w:r>
      <w:r>
        <w:rPr>
          <w:rFonts w:ascii="Times New Roman" w:hAnsi="Times New Roman" w:cs="Times New Roman" w:eastAsia="Times New Roman" w:hint="default"/>
        </w:rPr>
        <w:t>2014</w:t>
      </w:r>
      <w:r>
        <w:rPr/>
        <w:t>年第二次临时股东大会决议和章程修正案的规定，公司决定对毛磊等</w:t>
      </w:r>
      <w:r>
        <w:rPr>
          <w:rFonts w:ascii="Times New Roman" w:hAnsi="Times New Roman" w:cs="Times New Roman" w:eastAsia="Times New Roman" w:hint="default"/>
        </w:rPr>
        <w:t>7</w:t>
      </w:r>
      <w:r>
        <w:rPr/>
        <w:t>人所持有的已获授但尚未解锁的限制</w:t>
      </w:r>
      <w:r>
        <w:rPr>
          <w:spacing w:val="-83"/>
        </w:rPr>
        <w:t> </w:t>
      </w:r>
      <w:r>
        <w:rPr>
          <w:spacing w:val="-83"/>
        </w:rPr>
      </w:r>
      <w:r>
        <w:rPr>
          <w:spacing w:val="-3"/>
        </w:rPr>
        <w:t>性股票</w:t>
      </w:r>
      <w:r>
        <w:rPr>
          <w:rFonts w:ascii="Times New Roman" w:hAnsi="Times New Roman" w:cs="Times New Roman" w:eastAsia="Times New Roman" w:hint="default"/>
          <w:spacing w:val="-3"/>
        </w:rPr>
        <w:t>269,056</w:t>
      </w:r>
      <w:r>
        <w:rPr>
          <w:spacing w:val="-3"/>
        </w:rPr>
        <w:t>股按</w:t>
      </w:r>
      <w:r>
        <w:rPr>
          <w:rFonts w:ascii="Times New Roman" w:hAnsi="Times New Roman" w:cs="Times New Roman" w:eastAsia="Times New Roman" w:hint="default"/>
          <w:spacing w:val="-3"/>
        </w:rPr>
        <w:t>2.555</w:t>
      </w:r>
      <w:r>
        <w:rPr>
          <w:spacing w:val="-3"/>
        </w:rPr>
        <w:t>元</w:t>
      </w:r>
      <w:r>
        <w:rPr>
          <w:rFonts w:ascii="Times New Roman" w:hAnsi="Times New Roman" w:cs="Times New Roman" w:eastAsia="Times New Roman" w:hint="default"/>
          <w:spacing w:val="-3"/>
        </w:rPr>
        <w:t>/</w:t>
      </w:r>
      <w:r>
        <w:rPr>
          <w:spacing w:val="-3"/>
        </w:rPr>
        <w:t>股的价格进行回购注销，公司申请减少股本人民币</w:t>
      </w:r>
      <w:r>
        <w:rPr>
          <w:rFonts w:ascii="Times New Roman" w:hAnsi="Times New Roman" w:cs="Times New Roman" w:eastAsia="Times New Roman" w:hint="default"/>
          <w:spacing w:val="-3"/>
        </w:rPr>
        <w:t>269,056.00</w:t>
      </w:r>
      <w:r>
        <w:rPr>
          <w:spacing w:val="-3"/>
        </w:rPr>
        <w:t>元。由于公司前员工毛磊、宋慧英、</w:t>
      </w:r>
      <w:r>
        <w:rPr>
          <w:spacing w:val="-27"/>
        </w:rPr>
        <w:t> </w:t>
      </w:r>
      <w:r>
        <w:rPr>
          <w:spacing w:val="-27"/>
        </w:rPr>
      </w:r>
      <w:r>
        <w:rPr>
          <w:spacing w:val="-2"/>
        </w:rPr>
        <w:t>孙冬梅、王熙宇、任泽辉、马嘉在</w:t>
      </w:r>
      <w:r>
        <w:rPr>
          <w:rFonts w:ascii="Times New Roman" w:hAnsi="Times New Roman" w:cs="Times New Roman" w:eastAsia="Times New Roman" w:hint="default"/>
          <w:spacing w:val="-2"/>
        </w:rPr>
        <w:t>2013</w:t>
      </w:r>
      <w:r>
        <w:rPr>
          <w:spacing w:val="-2"/>
        </w:rPr>
        <w:t>年度利润分配前已离职，公司按照原缴款金额扣除尚未解禁限制性股票已经分配</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3"/>
        </w:rPr>
        <w:t> </w:t>
      </w:r>
      <w:r>
        <w:rPr>
          <w:spacing w:val="-2"/>
        </w:rPr>
        <w:t>年股利后的余额以货币资金方式归还</w:t>
      </w:r>
      <w:r>
        <w:rPr>
          <w:rFonts w:ascii="Times New Roman" w:hAnsi="Times New Roman" w:cs="Times New Roman" w:eastAsia="Times New Roman" w:hint="default"/>
          <w:spacing w:val="-2"/>
        </w:rPr>
        <w:t>635,804.16</w:t>
      </w:r>
      <w:r>
        <w:rPr>
          <w:spacing w:val="-2"/>
        </w:rPr>
        <w:t>元；张波按扣除尚未解禁限制性股票已经分配</w:t>
      </w:r>
      <w:r>
        <w:rPr>
          <w:rFonts w:ascii="Times New Roman" w:hAnsi="Times New Roman" w:cs="Times New Roman" w:eastAsia="Times New Roman" w:hint="default"/>
          <w:spacing w:val="-2"/>
        </w:rPr>
        <w:t>2012</w:t>
      </w:r>
      <w:r>
        <w:rPr>
          <w:spacing w:val="-2"/>
        </w:rPr>
        <w:t>年及</w:t>
      </w:r>
      <w:r>
        <w:rPr>
          <w:rFonts w:ascii="Times New Roman" w:hAnsi="Times New Roman" w:cs="Times New Roman" w:eastAsia="Times New Roman" w:hint="default"/>
          <w:spacing w:val="-2"/>
        </w:rPr>
        <w:t>2013</w:t>
      </w:r>
      <w:r>
        <w:rPr>
          <w:spacing w:val="-2"/>
        </w:rPr>
        <w:t>年股利后的余额，</w:t>
      </w:r>
      <w:r>
        <w:rPr>
          <w:spacing w:val="-48"/>
        </w:rPr>
        <w:t> </w:t>
      </w:r>
      <w:r>
        <w:rPr>
          <w:spacing w:val="-2"/>
        </w:rPr>
        <w:t>以货币资金方式归还</w:t>
      </w:r>
      <w:r>
        <w:rPr>
          <w:rFonts w:ascii="Times New Roman" w:hAnsi="Times New Roman" w:cs="Times New Roman" w:eastAsia="Times New Roman" w:hint="default"/>
          <w:spacing w:val="-2"/>
        </w:rPr>
        <w:t>21,524.78</w:t>
      </w:r>
      <w:r>
        <w:rPr>
          <w:spacing w:val="-2"/>
        </w:rPr>
        <w:t>元；公司共计以货币资金方式归还</w:t>
      </w:r>
      <w:r>
        <w:rPr>
          <w:rFonts w:ascii="Times New Roman" w:hAnsi="Times New Roman" w:cs="Times New Roman" w:eastAsia="Times New Roman" w:hint="default"/>
          <w:spacing w:val="-2"/>
        </w:rPr>
        <w:t>657,328.94</w:t>
      </w:r>
      <w:r>
        <w:rPr>
          <w:spacing w:val="-2"/>
        </w:rPr>
        <w:t>元，同时减少股本人民币</w:t>
      </w:r>
      <w:r>
        <w:rPr>
          <w:rFonts w:ascii="Times New Roman" w:hAnsi="Times New Roman" w:cs="Times New Roman" w:eastAsia="Times New Roman" w:hint="default"/>
          <w:spacing w:val="-2"/>
        </w:rPr>
        <w:t>269,056.00</w:t>
      </w:r>
      <w:r>
        <w:rPr>
          <w:spacing w:val="-2"/>
        </w:rPr>
        <w:t>元，增加未分</w:t>
      </w:r>
      <w:r>
        <w:rPr>
          <w:spacing w:val="-38"/>
        </w:rPr>
        <w:t> </w:t>
      </w:r>
      <w:r>
        <w:rPr>
          <w:spacing w:val="-38"/>
        </w:rPr>
      </w:r>
      <w:r>
        <w:rPr/>
        <w:t>配利润人民币</w:t>
      </w:r>
      <w:r>
        <w:rPr>
          <w:rFonts w:ascii="Times New Roman" w:hAnsi="Times New Roman" w:cs="Times New Roman" w:eastAsia="Times New Roman" w:hint="default"/>
        </w:rPr>
        <w:t>34,704.00</w:t>
      </w:r>
      <w:r>
        <w:rPr/>
        <w:t>元，减少资本公积人民币</w:t>
      </w:r>
      <w:r>
        <w:rPr>
          <w:rFonts w:ascii="Times New Roman" w:hAnsi="Times New Roman" w:cs="Times New Roman" w:eastAsia="Times New Roman" w:hint="default"/>
        </w:rPr>
        <w:t>485,141.60</w:t>
      </w:r>
      <w:r>
        <w:rPr/>
        <w:t>元。</w:t>
      </w:r>
    </w:p>
    <w:p>
      <w:pPr>
        <w:pStyle w:val="Heading4"/>
        <w:spacing w:line="240" w:lineRule="auto" w:before="41"/>
        <w:ind w:left="515" w:right="93"/>
        <w:jc w:val="left"/>
        <w:rPr>
          <w:b w:val="0"/>
          <w:bCs w:val="0"/>
        </w:rPr>
      </w:pPr>
      <w:r>
        <w:rPr>
          <w:rFonts w:ascii="Times New Roman" w:hAnsi="Times New Roman" w:cs="Times New Roman" w:eastAsia="Times New Roman" w:hint="default"/>
        </w:rPr>
        <w:t>2</w:t>
      </w:r>
      <w:r>
        <w:rPr/>
        <w:t>、其他资本公积本期变动为：</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90" w:firstLine="360"/>
        <w:jc w:val="left"/>
      </w:pPr>
      <w:r>
        <w:rPr>
          <w:spacing w:val="-1"/>
        </w:rPr>
        <w:t>（</w:t>
      </w:r>
      <w:r>
        <w:rPr>
          <w:rFonts w:ascii="Times New Roman" w:hAnsi="Times New Roman" w:cs="Times New Roman" w:eastAsia="Times New Roman" w:hint="default"/>
          <w:spacing w:val="-1"/>
        </w:rPr>
        <w:t>1</w:t>
      </w:r>
      <w:r>
        <w:rPr>
          <w:spacing w:val="-1"/>
        </w:rPr>
        <w:t>）联营企业所有者权益项下除净损益及记入</w:t>
      </w:r>
      <w:r>
        <w:rPr>
          <w:rFonts w:ascii="Times New Roman" w:hAnsi="Times New Roman" w:cs="Times New Roman" w:eastAsia="Times New Roman" w:hint="default"/>
          <w:spacing w:val="-1"/>
        </w:rPr>
        <w:t>“</w:t>
      </w:r>
      <w:r>
        <w:rPr>
          <w:spacing w:val="-1"/>
        </w:rPr>
        <w:t>其他综合收益</w:t>
      </w:r>
      <w:r>
        <w:rPr>
          <w:rFonts w:ascii="Times New Roman" w:hAnsi="Times New Roman" w:cs="Times New Roman" w:eastAsia="Times New Roman" w:hint="default"/>
          <w:spacing w:val="-1"/>
        </w:rPr>
        <w:t>”</w:t>
      </w:r>
      <w:r>
        <w:rPr>
          <w:spacing w:val="-1"/>
        </w:rPr>
        <w:t>以外的所有者权益变动数，公司按持股比例确认</w:t>
      </w:r>
      <w:r>
        <w:rPr>
          <w:rFonts w:ascii="Times New Roman" w:hAnsi="Times New Roman" w:cs="Times New Roman" w:eastAsia="Times New Roman" w:hint="default"/>
          <w:spacing w:val="-1"/>
        </w:rPr>
        <w:t>“</w:t>
      </w:r>
      <w:r>
        <w:rPr>
          <w:spacing w:val="-1"/>
        </w:rPr>
        <w:t>资本公</w:t>
      </w:r>
      <w:r>
        <w:rPr/>
        <w:t> 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8,220,000.00</w:t>
      </w:r>
      <w:r>
        <w:rPr/>
        <w:t>元。</w:t>
      </w:r>
    </w:p>
    <w:p>
      <w:pPr>
        <w:pStyle w:val="BodyText"/>
        <w:spacing w:line="240" w:lineRule="auto" w:before="43"/>
        <w:ind w:left="514" w:right="93"/>
        <w:jc w:val="left"/>
      </w:pPr>
      <w:r>
        <w:rPr/>
        <w:t>（</w:t>
      </w:r>
      <w:r>
        <w:rPr>
          <w:rFonts w:ascii="Times New Roman" w:hAnsi="Times New Roman" w:cs="Times New Roman" w:eastAsia="Times New Roman" w:hint="default"/>
        </w:rPr>
        <w:t>2</w:t>
      </w:r>
      <w:r>
        <w:rPr/>
        <w:t>）本期公司确认股份支付的权益成本</w:t>
      </w:r>
      <w:r>
        <w:rPr>
          <w:rFonts w:ascii="Times New Roman" w:hAnsi="Times New Roman" w:cs="Times New Roman" w:eastAsia="Times New Roman" w:hint="default"/>
        </w:rPr>
        <w:t>6,938,765.06</w:t>
      </w:r>
      <w:r>
        <w:rPr/>
        <w:t>元，详见附注七。</w:t>
      </w:r>
    </w:p>
    <w:p>
      <w:pPr>
        <w:spacing w:line="240" w:lineRule="auto" w:before="9"/>
        <w:rPr>
          <w:rFonts w:ascii="宋体" w:hAnsi="宋体" w:cs="宋体" w:eastAsia="宋体" w:hint="default"/>
          <w:sz w:val="16"/>
          <w:szCs w:val="16"/>
        </w:rPr>
      </w:pPr>
    </w:p>
    <w:p>
      <w:pPr>
        <w:pStyle w:val="BodyText"/>
        <w:spacing w:line="451" w:lineRule="auto"/>
        <w:ind w:left="154" w:right="191" w:firstLine="360"/>
        <w:jc w:val="left"/>
      </w:pPr>
      <w:r>
        <w:rPr/>
        <w:t>（</w:t>
      </w:r>
      <w:r>
        <w:rPr>
          <w:rFonts w:ascii="Times New Roman" w:hAnsi="Times New Roman" w:cs="Times New Roman" w:eastAsia="Times New Roman" w:hint="default"/>
        </w:rPr>
        <w:t>3</w:t>
      </w:r>
      <w:r>
        <w:rPr/>
        <w:t>）根据会计准则的相关规定，预计未来期间股权激励可抵扣的金额超过等待期内确认的成本费用，超出部分形成的 递延所得税资产应直接计入所有者权益，公司确认</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”6,869,065.49</w:t>
      </w:r>
      <w:r>
        <w:rPr/>
        <w:t>元。</w:t>
      </w:r>
    </w:p>
    <w:p>
      <w:pPr>
        <w:pStyle w:val="BodyText"/>
        <w:spacing w:line="240" w:lineRule="auto" w:before="43"/>
        <w:ind w:left="513" w:right="93"/>
        <w:jc w:val="left"/>
      </w:pPr>
      <w:r>
        <w:rPr/>
        <w:t>（</w:t>
      </w:r>
      <w:r>
        <w:rPr>
          <w:spacing w:val="-58"/>
        </w:rPr>
        <w:t> </w:t>
      </w:r>
      <w:r>
        <w:rPr>
          <w:rFonts w:ascii="Times New Roman" w:hAnsi="Times New Roman" w:cs="Times New Roman" w:eastAsia="Times New Roman" w:hint="default"/>
          <w:spacing w:val="14"/>
        </w:rPr>
        <w:t>4</w:t>
      </w:r>
      <w:r>
        <w:rPr>
          <w:spacing w:val="14"/>
        </w:rPr>
        <w:t>）本年已解锁的限制性股票和已行权的股票期权对应的原记入</w:t>
      </w:r>
      <w:r>
        <w:rPr>
          <w:rFonts w:ascii="Times New Roman" w:hAnsi="Times New Roman" w:cs="Times New Roman" w:eastAsia="Times New Roman" w:hint="default"/>
          <w:spacing w:val="14"/>
        </w:rPr>
        <w:t>“</w:t>
      </w:r>
      <w:r>
        <w:rPr>
          <w:spacing w:val="14"/>
        </w:rPr>
        <w:t>资本公积</w:t>
      </w:r>
      <w:r>
        <w:rPr>
          <w:rFonts w:ascii="Times New Roman" w:hAnsi="Times New Roman" w:cs="Times New Roman" w:eastAsia="Times New Roman" w:hint="default"/>
          <w:spacing w:val="14"/>
        </w:rPr>
        <w:t>—</w:t>
      </w:r>
      <w:r>
        <w:rPr>
          <w:rFonts w:ascii="Times New Roman" w:hAnsi="Times New Roman" w:cs="Times New Roman" w:eastAsia="Times New Roman" w:hint="default"/>
          <w:spacing w:val="-13"/>
        </w:rPr>
        <w:t> </w:t>
      </w:r>
      <w:r>
        <w:rPr>
          <w:spacing w:val="14"/>
        </w:rPr>
        <w:t>其他资本公积</w:t>
      </w:r>
      <w:r>
        <w:rPr>
          <w:rFonts w:ascii="Times New Roman" w:hAnsi="Times New Roman" w:cs="Times New Roman" w:eastAsia="Times New Roman" w:hint="default"/>
          <w:spacing w:val="14"/>
        </w:rPr>
        <w:t>”</w:t>
      </w:r>
      <w:r>
        <w:rPr>
          <w:spacing w:val="14"/>
        </w:rPr>
        <w:t>的股权激励费用</w:t>
      </w:r>
      <w:r>
        <w:rPr/>
      </w:r>
    </w:p>
    <w:p>
      <w:pPr>
        <w:spacing w:line="240" w:lineRule="auto" w:before="9"/>
        <w:rPr>
          <w:rFonts w:ascii="宋体" w:hAnsi="宋体" w:cs="宋体" w:eastAsia="宋体" w:hint="default"/>
          <w:sz w:val="16"/>
          <w:szCs w:val="16"/>
        </w:rPr>
      </w:pPr>
    </w:p>
    <w:p>
      <w:pPr>
        <w:pStyle w:val="BodyText"/>
        <w:spacing w:line="240" w:lineRule="auto"/>
        <w:ind w:left="154" w:right="93"/>
        <w:jc w:val="left"/>
      </w:pPr>
      <w:r>
        <w:rPr>
          <w:rFonts w:ascii="Times New Roman" w:hAnsi="Times New Roman" w:cs="Times New Roman" w:eastAsia="Times New Roman" w:hint="default"/>
        </w:rPr>
        <w:t>5,641,521.05</w:t>
      </w:r>
      <w:r>
        <w:rPr/>
        <w:t>元转至</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93"/>
        <w:jc w:val="left"/>
        <w:rPr>
          <w:b w:val="0"/>
          <w:bCs w:val="0"/>
        </w:rPr>
      </w:pPr>
      <w:bookmarkStart w:name="56、库存股" w:id="265"/>
      <w:bookmarkEnd w:id="2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489"/>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具有回购义务的限制性股票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30,792,079.20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r>
    </w:tbl>
    <w:p>
      <w:pPr>
        <w:spacing w:line="240" w:lineRule="auto" w:before="3"/>
        <w:rPr>
          <w:rFonts w:ascii="宋体" w:hAnsi="宋体" w:cs="宋体" w:eastAsia="宋体" w:hint="default"/>
          <w:sz w:val="19"/>
          <w:szCs w:val="19"/>
        </w:rPr>
      </w:pPr>
    </w:p>
    <w:p>
      <w:pPr>
        <w:pStyle w:val="Heading3"/>
        <w:spacing w:line="240" w:lineRule="auto" w:before="35"/>
        <w:ind w:right="93"/>
        <w:jc w:val="left"/>
        <w:rPr>
          <w:b w:val="0"/>
          <w:bCs w:val="0"/>
        </w:rPr>
      </w:pPr>
      <w:bookmarkStart w:name="57、其他综合收益" w:id="266"/>
      <w:bookmarkEnd w:id="2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after="0" w:line="240" w:lineRule="auto"/>
        <w:jc w:val="right"/>
        <w:sectPr>
          <w:pgSz w:w="11910" w:h="16840"/>
          <w:pgMar w:header="851" w:footer="1226" w:top="1380" w:bottom="1420" w:left="980" w:right="94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787"/>
        <w:gridCol w:w="1082"/>
        <w:gridCol w:w="935"/>
        <w:gridCol w:w="1151"/>
        <w:gridCol w:w="935"/>
        <w:gridCol w:w="936"/>
        <w:gridCol w:w="935"/>
        <w:gridCol w:w="797"/>
      </w:tblGrid>
      <w:tr>
        <w:trPr>
          <w:trHeight w:val="409" w:hRule="exact"/>
        </w:trPr>
        <w:tc>
          <w:tcPr>
            <w:tcW w:w="2787" w:type="dxa"/>
            <w:vMerge w:val="restart"/>
            <w:tcBorders>
              <w:top w:val="single" w:sz="10" w:space="0" w:color="000000"/>
              <w:left w:val="single" w:sz="4" w:space="0" w:color="000000"/>
              <w:right w:val="single" w:sz="4" w:space="0" w:color="000000"/>
            </w:tcBorders>
            <w:shd w:val="clear" w:color="auto" w:fill="D2D2D2"/>
          </w:tcPr>
          <w:p>
            <w:pPr/>
          </w:p>
        </w:tc>
        <w:tc>
          <w:tcPr>
            <w:tcW w:w="1082" w:type="dxa"/>
            <w:vMerge w:val="restart"/>
            <w:tcBorders>
              <w:top w:val="single" w:sz="10" w:space="0" w:color="000000"/>
              <w:left w:val="single" w:sz="4" w:space="0" w:color="000000"/>
              <w:right w:val="single" w:sz="4" w:space="0" w:color="000000"/>
            </w:tcBorders>
            <w:shd w:val="clear" w:color="auto" w:fill="D2D2D2"/>
          </w:tcPr>
          <w:p>
            <w:pPr/>
          </w:p>
        </w:tc>
        <w:tc>
          <w:tcPr>
            <w:tcW w:w="4892" w:type="dxa"/>
            <w:gridSpan w:val="5"/>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797" w:type="dxa"/>
            <w:vMerge w:val="restart"/>
            <w:tcBorders>
              <w:top w:val="single" w:sz="10" w:space="0" w:color="000000"/>
              <w:left w:val="single" w:sz="4" w:space="0" w:color="000000"/>
              <w:right w:val="single" w:sz="4" w:space="0" w:color="000000"/>
            </w:tcBorders>
            <w:shd w:val="clear" w:color="auto" w:fill="D2D2D2"/>
          </w:tcPr>
          <w:p>
            <w:pPr/>
          </w:p>
        </w:tc>
      </w:tr>
      <w:tr>
        <w:trPr>
          <w:trHeight w:val="143"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9"/>
              <w:ind w:left="45" w:right="43"/>
              <w:jc w:val="center"/>
              <w:rPr>
                <w:rFonts w:ascii="宋体" w:hAnsi="宋体" w:cs="宋体" w:eastAsia="宋体" w:hint="default"/>
                <w:sz w:val="15"/>
                <w:szCs w:val="15"/>
              </w:rPr>
            </w:pPr>
            <w:r>
              <w:rPr>
                <w:rFonts w:ascii="宋体" w:hAnsi="宋体" w:cs="宋体" w:eastAsia="宋体" w:hint="default"/>
                <w:sz w:val="15"/>
                <w:szCs w:val="15"/>
              </w:rPr>
              <w:t>减：前期计入其 他综合收益当期 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162" w:right="86" w:hanging="76"/>
              <w:jc w:val="left"/>
              <w:rPr>
                <w:rFonts w:ascii="宋体" w:hAnsi="宋体" w:cs="宋体" w:eastAsia="宋体" w:hint="default"/>
                <w:sz w:val="15"/>
                <w:szCs w:val="15"/>
              </w:rPr>
            </w:pPr>
            <w:r>
              <w:rPr>
                <w:rFonts w:ascii="宋体" w:hAnsi="宋体" w:cs="宋体" w:eastAsia="宋体" w:hint="default"/>
                <w:sz w:val="15"/>
                <w:szCs w:val="15"/>
              </w:rPr>
              <w:t>本期所得税 前发生额</w:t>
            </w: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386" w:right="23" w:hanging="364"/>
              <w:jc w:val="left"/>
              <w:rPr>
                <w:rFonts w:ascii="宋体" w:hAnsi="宋体" w:cs="宋体" w:eastAsia="宋体" w:hint="default"/>
                <w:sz w:val="15"/>
                <w:szCs w:val="15"/>
              </w:rPr>
            </w:pPr>
            <w:r>
              <w:rPr>
                <w:rFonts w:ascii="宋体" w:hAnsi="宋体" w:cs="宋体" w:eastAsia="宋体" w:hint="default"/>
                <w:spacing w:val="-4"/>
                <w:sz w:val="15"/>
                <w:szCs w:val="15"/>
              </w:rPr>
              <w:t>减：所得税费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237" w:right="86" w:hanging="150"/>
              <w:jc w:val="left"/>
              <w:rPr>
                <w:rFonts w:ascii="宋体" w:hAnsi="宋体" w:cs="宋体" w:eastAsia="宋体" w:hint="default"/>
                <w:sz w:val="15"/>
                <w:szCs w:val="15"/>
              </w:rPr>
            </w:pPr>
            <w:r>
              <w:rPr>
                <w:rFonts w:ascii="宋体" w:hAnsi="宋体" w:cs="宋体" w:eastAsia="宋体" w:hint="default"/>
                <w:sz w:val="15"/>
                <w:szCs w:val="15"/>
              </w:rPr>
              <w:t>税后归属于 母公司</w:t>
            </w: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96"/>
              <w:ind w:left="161" w:right="86" w:hanging="76"/>
              <w:jc w:val="left"/>
              <w:rPr>
                <w:rFonts w:ascii="宋体" w:hAnsi="宋体" w:cs="宋体" w:eastAsia="宋体" w:hint="default"/>
                <w:sz w:val="15"/>
                <w:szCs w:val="15"/>
              </w:rPr>
            </w:pPr>
            <w:r>
              <w:rPr>
                <w:rFonts w:ascii="宋体" w:hAnsi="宋体" w:cs="宋体" w:eastAsia="宋体" w:hint="default"/>
                <w:sz w:val="15"/>
                <w:szCs w:val="15"/>
              </w:rPr>
              <w:t>税后归属于 少数股东</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58"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-1,385,347.96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Times New Roman"/>
                <w:sz w:val="15"/>
              </w:rPr>
              <w:t>-9,741,799.60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-5,419,587.68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-4,322,211.92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-6,804,935.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64</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二、以后将重分类进损益的其他综合收益</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1" w:right="64"/>
              <w:jc w:val="left"/>
              <w:rPr>
                <w:rFonts w:ascii="宋体" w:hAnsi="宋体" w:cs="宋体" w:eastAsia="宋体" w:hint="default"/>
                <w:sz w:val="15"/>
                <w:szCs w:val="15"/>
              </w:rPr>
            </w:pPr>
            <w:r>
              <w:rPr>
                <w:rFonts w:ascii="宋体" w:hAnsi="宋体" w:cs="宋体" w:eastAsia="宋体" w:hint="default"/>
                <w:sz w:val="15"/>
                <w:szCs w:val="15"/>
              </w:rPr>
              <w:t>其中：权益法下在被投资单位以后将重分 类进损益的其他综合收益中享有的份额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7" w:right="0"/>
              <w:jc w:val="left"/>
              <w:rPr>
                <w:rFonts w:ascii="Times New Roman" w:hAnsi="Times New Roman" w:cs="Times New Roman" w:eastAsia="Times New Roman" w:hint="default"/>
                <w:sz w:val="15"/>
                <w:szCs w:val="15"/>
              </w:rPr>
            </w:pPr>
            <w:r>
              <w:rPr>
                <w:rFonts w:ascii="Times New Roman"/>
                <w:sz w:val="15"/>
              </w:rPr>
              <w:t>-1,012,442.66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0" w:right="0"/>
              <w:jc w:val="left"/>
              <w:rPr>
                <w:rFonts w:ascii="Times New Roman" w:hAnsi="Times New Roman" w:cs="Times New Roman" w:eastAsia="Times New Roman" w:hint="default"/>
                <w:sz w:val="15"/>
                <w:szCs w:val="15"/>
              </w:rPr>
            </w:pPr>
            <w:r>
              <w:rPr>
                <w:rFonts w:ascii="Times New Roman"/>
                <w:sz w:val="15"/>
              </w:rPr>
              <w:t>-87,007.05</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-1,099,449.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71</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6" w:right="0"/>
              <w:jc w:val="left"/>
              <w:rPr>
                <w:rFonts w:ascii="Times New Roman" w:hAnsi="Times New Roman" w:cs="Times New Roman" w:eastAsia="Times New Roman" w:hint="default"/>
                <w:sz w:val="15"/>
                <w:szCs w:val="15"/>
              </w:rPr>
            </w:pPr>
            <w:r>
              <w:rPr>
                <w:rFonts w:ascii="Times New Roman"/>
                <w:sz w:val="15"/>
              </w:rPr>
              <w:t>-372,905.30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Times New Roman"/>
                <w:sz w:val="15"/>
              </w:rPr>
              <w:t>-9,654,792.55</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-5,419,587.68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-4,322,211.92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-5,705,485.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93</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461" w:right="0"/>
              <w:jc w:val="left"/>
              <w:rPr>
                <w:rFonts w:ascii="宋体" w:hAnsi="宋体" w:cs="宋体" w:eastAsia="宋体" w:hint="default"/>
                <w:sz w:val="15"/>
                <w:szCs w:val="15"/>
              </w:rPr>
            </w:pPr>
            <w:r>
              <w:rPr>
                <w:rFonts w:ascii="宋体" w:hAnsi="宋体" w:cs="宋体" w:eastAsia="宋体" w:hint="default"/>
                <w:sz w:val="15"/>
                <w:szCs w:val="15"/>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-1,385,347.96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Times New Roman"/>
                <w:sz w:val="15"/>
              </w:rPr>
              <w:t>-9,741,799.60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-5,419,587.68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-4,322,211.92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-6,804,935.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64</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58、专项储备" w:id="267"/>
      <w:bookmarkEnd w:id="2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spacing w:before="0"/>
        <w:ind w:left="114"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59、盈余公积" w:id="268"/>
      <w:bookmarkEnd w:id="2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141,422,357.47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34,482,441.10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175,904,798.57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141,422,357.47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34,482,441.10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175,904,798.57</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0、未分配利润" w:id="269"/>
      <w:bookmarkEnd w:id="2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1,469,333,950.91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1,144,270,378.06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1,469,333,950.91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1,144,270,378.06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624,405,597.27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517,544,171.71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34,482,441.10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39,197,318.86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153,736,832.00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153,283,280.00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1,905,520,275.08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1,469,333,950.91</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1、营业收入和营业成本" w:id="270"/>
      <w:bookmarkEnd w:id="2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14" w:hRule="exact"/>
        </w:trPr>
        <w:tc>
          <w:tcPr>
            <w:tcW w:w="188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2,531,286,848.54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1,346,731,832.96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1,888,159,083.20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797,169,830.84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17,557,543.94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18,307,425.84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2,548,844,392.48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1,350,813,295.16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1,906,466,509.04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801,251,293.04</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2、营业税金及附加" w:id="271"/>
      <w:bookmarkEnd w:id="27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1,378,191.48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1,888,881.34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3,320,568.21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3,409,794.01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2,370,329.67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2,435,361.44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1,538,734.16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1,538,734.16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10,670.33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10,670.33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8,618,493.85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9,283,441.28</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3、销售费用" w:id="272"/>
      <w:bookmarkEnd w:id="2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42,382,297.24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57,023,004.34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1,113,765.99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884,806.88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7,102,779.74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6,714,058.23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3,967,079.33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3,171,428.72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3,781,709.64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3,041,964.25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广告费、展览费、宣传费、样品、样件 拍摄费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11,558,671.42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1,495,567.39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2,747,290.86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4,749,192.51</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办公费、电信费、水电费、通讯费、会 务费、董事会费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8,154,231.60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6,050,326.73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60,702.00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预计质保费用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2,884,782.11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3,914,184.59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1,970,152.50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2,019,924.98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85,666,954.43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89,125,160.62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64、管理费用" w:id="273"/>
      <w:bookmarkEnd w:id="2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351,497,834.48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335,268,739.17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21,887,490.44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20,804,358.91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16,001,506.32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7,657,025.52</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办公费、电信费、水电费、通讯费、会 务费、董事会费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24,412,555.44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18,040,731.09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20,311,792.88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15,459,293.92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4,287,979.66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3,313,088.13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8,889,471.15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2,067,144.31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31,095.75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16,487,008.56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10,022,724.01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282,586.01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125,818.76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11,766,533.93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9,438,771.82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362,091.71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47,651.21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23,556,840.12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15,808,409.12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3,156,680.72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4,001,049.88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4,951,921.30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3,510,843.09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6,938,765.06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12,292,305.91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47,714,241.07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42,530,985.41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212,128.20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449,060.00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3,891,635.16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4,163,524.15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566,550,113.20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505,369,275.66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274"/>
      <w:bookmarkEnd w:id="27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1,159,616.01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-13,203,693.57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-37,680,202.67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-8,008,379.38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-318.32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430,884.37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690,518.81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14" w:hRule="exact"/>
        </w:trPr>
        <w:tc>
          <w:tcPr>
            <w:tcW w:w="31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63" w:right="0"/>
              <w:jc w:val="left"/>
              <w:rPr>
                <w:rFonts w:ascii="Times New Roman" w:hAnsi="Times New Roman" w:cs="Times New Roman" w:eastAsia="Times New Roman" w:hint="default"/>
                <w:sz w:val="18"/>
                <w:szCs w:val="18"/>
              </w:rPr>
            </w:pPr>
            <w:r>
              <w:rPr>
                <w:rFonts w:ascii="Times New Roman"/>
                <w:sz w:val="18"/>
              </w:rPr>
              <w:t>-17,915,825.84</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63" w:right="0"/>
              <w:jc w:val="left"/>
              <w:rPr>
                <w:rFonts w:ascii="Times New Roman" w:hAnsi="Times New Roman" w:cs="Times New Roman" w:eastAsia="Times New Roman" w:hint="default"/>
                <w:sz w:val="18"/>
                <w:szCs w:val="18"/>
              </w:rPr>
            </w:pPr>
            <w:r>
              <w:rPr>
                <w:rFonts w:ascii="Times New Roman"/>
                <w:sz w:val="18"/>
              </w:rPr>
              <w:t>-35,830,386.17</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6、资产减值损失" w:id="275"/>
      <w:bookmarkEnd w:id="27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17,118,165.08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13,517,897.57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394,268.40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17,118,165.08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13,912,165.97</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7、公允价值变动收益" w:id="276"/>
      <w:bookmarkEnd w:id="27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spacing w:before="0"/>
        <w:ind w:left="113" w:right="2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left="114" w:right="209"/>
        <w:jc w:val="left"/>
        <w:rPr>
          <w:b w:val="0"/>
          <w:bCs w:val="0"/>
        </w:rPr>
      </w:pPr>
      <w:bookmarkStart w:name="68、投资收益" w:id="277"/>
      <w:bookmarkEnd w:id="2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77,051,714.31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950,527.96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3,270,222.20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4,546,339.40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80,321,936.51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5,496,867.36</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69、营业外收入" w:id="278"/>
      <w:bookmarkEnd w:id="27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363,635.35</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37,498.46</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363,635.35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363,635.35</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37,498.46</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363,635.35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31,779,542.39</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34,197,086.05</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17,320,461.22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1,874,493.58</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917,602.71</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1,874,493.58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34,017,671.32</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35,152,187.22</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19,558,590.15</w:t>
            </w:r>
          </w:p>
        </w:tc>
      </w:tr>
    </w:tbl>
    <w:p>
      <w:pPr>
        <w:spacing w:line="240" w:lineRule="auto" w:before="6"/>
        <w:rPr>
          <w:rFonts w:ascii="宋体" w:hAnsi="宋体" w:cs="宋体" w:eastAsia="宋体" w:hint="default"/>
          <w:sz w:val="6"/>
          <w:szCs w:val="6"/>
        </w:rPr>
      </w:pPr>
    </w:p>
    <w:p>
      <w:pPr>
        <w:pStyle w:val="Heading4"/>
        <w:spacing w:line="240" w:lineRule="auto" w:before="44"/>
        <w:ind w:left="114" w:right="209"/>
        <w:jc w:val="left"/>
        <w:rPr>
          <w:b w:val="0"/>
          <w:bCs w:val="0"/>
        </w:rPr>
      </w:pPr>
      <w:r>
        <w:rPr/>
        <w:t>计入当期损益的政府补助：</w:t>
      </w:r>
      <w:r>
        <w:rPr>
          <w:b w:val="0"/>
          <w:bCs w:val="0"/>
        </w:rPr>
      </w:r>
    </w:p>
    <w:p>
      <w:pPr>
        <w:spacing w:line="240" w:lineRule="auto" w:before="7"/>
        <w:rPr>
          <w:rFonts w:ascii="宋体" w:hAnsi="宋体" w:cs="宋体" w:eastAsia="宋体" w:hint="default"/>
          <w:b/>
          <w:bCs/>
          <w:sz w:val="11"/>
          <w:szCs w:val="11"/>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14,459,081.20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20,065,041.16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收到的与资产相关的政府补 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1,259,399.96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1,969,733.31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26" w:hRule="exact"/>
        </w:trPr>
        <w:tc>
          <w:tcPr>
            <w:tcW w:w="239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6"/>
              <w:ind w:left="22" w:right="195"/>
              <w:jc w:val="left"/>
              <w:rPr>
                <w:rFonts w:ascii="宋体" w:hAnsi="宋体" w:cs="宋体" w:eastAsia="宋体" w:hint="default"/>
                <w:sz w:val="18"/>
                <w:szCs w:val="18"/>
              </w:rPr>
            </w:pPr>
            <w:r>
              <w:rPr>
                <w:rFonts w:ascii="宋体" w:hAnsi="宋体" w:cs="宋体" w:eastAsia="宋体" w:hint="default"/>
                <w:sz w:val="18"/>
                <w:szCs w:val="18"/>
              </w:rPr>
              <w:t>收到的与收益相关的政府补 助</w:t>
            </w:r>
          </w:p>
        </w:tc>
        <w:tc>
          <w:tcPr>
            <w:tcW w:w="23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16,061,061.23</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12,162,311.58</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31,779,542.39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34,197,086.05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70、营业外支出" w:id="279"/>
      <w:bookmarkEnd w:id="27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448,265.14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114,024.80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448,265.14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114,024.80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448,265.14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468,769.22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438,218.52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468,769.22</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917,034.36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552,243.32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917,034.36</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71、所得税费用" w:id="280"/>
      <w:bookmarkEnd w:id="28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4" w:right="209"/>
        <w:jc w:val="left"/>
        <w:rPr>
          <w:b w:val="0"/>
          <w:bCs w:val="0"/>
        </w:rPr>
      </w:pPr>
      <w:bookmarkStart w:name="（1）所得税费用表" w:id="281"/>
      <w:bookmarkEnd w:id="28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58,610,894.48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45,281,677.92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-11,316,485.78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3,707,657.71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47,294,408.70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48,989,335.63</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会计利润与所得税费用调整过程" w:id="282"/>
      <w:bookmarkEnd w:id="28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651,415,770.07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54,350,897.87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179,843,367.29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-108,238,783.08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-7,934,989.83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-18,715,085.77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2,055,172.67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-834,242.21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47,294,408.70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72、其他综合收益" w:id="283"/>
      <w:bookmarkEnd w:id="283"/>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495" w:right="8286"/>
        <w:jc w:val="center"/>
      </w:pPr>
      <w:r>
        <w:rPr/>
        <w:t>详见附注</w:t>
      </w:r>
      <w:r>
        <w:rPr>
          <w:spacing w:val="-46"/>
        </w:rPr>
        <w:t> </w:t>
      </w:r>
      <w:r>
        <w:rPr>
          <w:rFonts w:ascii="Times New Roman" w:hAnsi="Times New Roman" w:cs="Times New Roman" w:eastAsia="Times New Roman" w:hint="default"/>
        </w:rPr>
        <w:t>57</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73、现金流量表项目" w:id="284"/>
      <w:bookmarkEnd w:id="284"/>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85"/>
      <w:bookmarkEnd w:id="28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收到各项政府补助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26,811,161.67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10,780,356.46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13,013,446.99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37,636,367.05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3,940,696.23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12,429,342.17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收到个人备用金归还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9,067,811.60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11,799,759.21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收到往来款及零星现金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45,384,324.50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11,048,011.80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98,217,440.99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83,693,836.69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86"/>
      <w:bookmarkEnd w:id="28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支付办公、差旅、房租、招待等费用及 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218,706,571.73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141,323,471.74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5,824,284.57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7,697,516.90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224,530,856.30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149,020,988.64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投资活动有关的现金" w:id="287"/>
      <w:bookmarkEnd w:id="287"/>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支付发行股份及支付现金购买资产费用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8,459,833.33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4,277,603.93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筹建海外公司款项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1,811,990.93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子公司清算支付少数股东款项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1,680,674.89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11,952,499.15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4,277,603.93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收到的其他与筹资活动有关的现金" w:id="288"/>
      <w:bookmarkEnd w:id="288"/>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51" w:footer="1226" w:top="1380" w:bottom="1420" w:left="980" w:right="980"/>
        </w:sectPr>
      </w:pPr>
    </w:p>
    <w:p>
      <w:pPr>
        <w:spacing w:line="240" w:lineRule="auto" w:before="12"/>
        <w:rPr>
          <w:rFonts w:ascii="宋体" w:hAnsi="宋体" w:cs="宋体" w:eastAsia="宋体" w:hint="default"/>
          <w:sz w:val="2"/>
          <w:szCs w:val="2"/>
        </w:rPr>
      </w:pPr>
      <w:r>
        <w:rPr/>
        <w:pict>
          <v:group style="position:absolute;margin-left:223.339996pt;margin-top:679.389954pt;width:151.25pt;height:40.85pt;mso-position-horizontal-relative:page;mso-position-vertical-relative:page;z-index:-1109848" coordorigin="4467,13588" coordsize="3025,817">
            <v:group style="position:absolute;left:4478;top:13599;width:2;height:392" coordorigin="4478,13599" coordsize="2,392">
              <v:shape style="position:absolute;left:4478;top:13599;width:2;height:392" coordorigin="4478,13599" coordsize="0,392" path="m4478,13599l4478,13990e" filled="false" stroked="true" strokeweight="1.140pt" strokecolor="#ffffff">
                <v:path arrowok="t"/>
              </v:shape>
            </v:group>
            <v:group style="position:absolute;left:4490;top:13599;width:3002;height:392" coordorigin="4490,13599" coordsize="3002,392">
              <v:shape style="position:absolute;left:4490;top:13599;width:3002;height:392" coordorigin="4490,13599" coordsize="3002,392" path="m4490,13990l7491,13990,7491,13599,4490,13599,4490,13990xe" filled="true" fillcolor="#ffffff" stroked="false">
                <v:path arrowok="t"/>
                <v:fill type="solid"/>
              </v:shape>
            </v:group>
            <v:group style="position:absolute;left:4478;top:14001;width:2;height:392" coordorigin="4478,14001" coordsize="2,392">
              <v:shape style="position:absolute;left:4478;top:14001;width:2;height:392" coordorigin="4478,14001" coordsize="0,392" path="m4478,14001l4478,14393e" filled="false" stroked="true" strokeweight="1.140pt" strokecolor="#ffffff">
                <v:path arrowok="t"/>
              </v:shape>
            </v:group>
            <v:group style="position:absolute;left:4490;top:14001;width:3002;height:392" coordorigin="4490,14001" coordsize="3002,392">
              <v:shape style="position:absolute;left:4490;top:14001;width:3002;height:392" coordorigin="4490,14001" coordsize="3002,392" path="m4490,14393l7491,14393,7491,14001,4490,14001,4490,14393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9" w:hRule="exact"/>
        </w:trPr>
        <w:tc>
          <w:tcPr>
            <w:tcW w:w="31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439,229.76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代收股票期权个税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14,653,790.72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5,846,202.78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14,953,790.72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6,285,432.54</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5）支付的其他与筹资活动有关的现金" w:id="289"/>
      <w:bookmarkEnd w:id="289"/>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2,692,530.10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1,534,031.39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783,760.94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1,574,235.00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代付股票期权个税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11,887,342.87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5,846,202.78</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付以前年度已纳入合并范围的子公司原 股东股权收购款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29,712,830.60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45,076,464.51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8,954,469.17</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74、现金流量表补充资料" w:id="290"/>
      <w:bookmarkEnd w:id="290"/>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209"/>
        <w:jc w:val="left"/>
        <w:rPr>
          <w:b w:val="0"/>
          <w:bCs w:val="0"/>
        </w:rPr>
      </w:pPr>
      <w:bookmarkStart w:name="（1）现金流量表补充资料" w:id="291"/>
      <w:bookmarkEnd w:id="2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305"/>
        <w:gridCol w:w="1010"/>
        <w:gridCol w:w="205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604,121,361.37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514,463,034.27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17,118,165.09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13,912,165.97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27,365,796.56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26,316,598.07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16,001,506.32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7,657,025.52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2,089,295.47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451,559.98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84,629.79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76,526.34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-4,177,171.55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1,159,616.01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-80,321,936.51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-5,496,867.36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-10,591,041.89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3,707,657.71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-725,443.89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-96,028,625.60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-14,502,282.58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-152,927,267.37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-214,978,841.16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373" w:hRule="exact"/>
        </w:trPr>
        <w:tc>
          <w:tcPr>
            <w:tcW w:w="330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10" w:space="0" w:color="000000"/>
              <w:left w:val="single" w:sz="13" w:space="0" w:color="D2D2D2"/>
              <w:bottom w:val="single" w:sz="4" w:space="0" w:color="000000"/>
              <w:right w:val="single" w:sz="4" w:space="0" w:color="000000"/>
            </w:tcBorders>
          </w:tcPr>
          <w:p>
            <w:pPr/>
          </w:p>
        </w:tc>
        <w:tc>
          <w:tcPr>
            <w:tcW w:w="3184"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13,706,011.10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18,136,084.10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13,807,830.55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12,292,305.91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349,523,109.44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363,194,582.78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1,226,779,835.96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1,478,366,412.00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1,478,366,412.00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1,371,802,148.14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-251,586,576.04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106,564,263.86</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本期支付的取得子公司的现金净额" w:id="292"/>
      <w:bookmarkEnd w:id="2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其中：天津壳木软件有限责任公司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308,250,000.00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北京神州泰岳智能数据有限公司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101,602,907.64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99,422,509.53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北京神州泰岳智能数据有限公司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2,180,398.11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216,847,092.36</w:t>
            </w: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3）现金和现金等价物的构成" w:id="293"/>
      <w:bookmarkEnd w:id="293"/>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1,226,779,835.96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1,478,366,412.00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288,131.87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1,504,258.12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1,224,347,498.00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1,476,862,153.88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2,144,206.09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1,226,779,835.96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1,478,366,412.00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20" w:right="10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75、所有者权益变动表项目注释" w:id="294"/>
      <w:bookmarkEnd w:id="294"/>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76、所有权或使用权受到限制的资产" w:id="295"/>
      <w:bookmarkEnd w:id="295"/>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77、外币货币性项目" w:id="296"/>
      <w:bookmarkEnd w:id="296"/>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97"/>
      <w:bookmarkEnd w:id="29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182,009,371.82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28,643,157.92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175,267,483.31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143,088.68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1,066,811.96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237,660.16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187,490.10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566,834.40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2,629,884.88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2,787,905.97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241,306,473.00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69,795.60</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7,687,501.74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1,028,562.96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6,293,776.75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225,088.21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1,044,319.26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442,902.43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349,405.73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1,919,107.86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12,653.35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405,195.83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1,879,946.57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15,032.49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40,150,637.00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11,475.45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1,521,361.99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688.63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84,550.08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70,841.09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55,886.54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292,924.03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1,359,050.33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74,127,600.00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21,186.41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78、套期" w:id="298"/>
      <w:bookmarkEnd w:id="298"/>
      <w:r>
        <w:rPr>
          <w:b w:val="0"/>
          <w:bCs w:val="0"/>
        </w:rPr>
      </w:r>
      <w:r>
        <w:rPr>
          <w:rFonts w:ascii="Times New Roman" w:hAnsi="Times New Roman" w:cs="Times New Roman" w:eastAsia="Times New Roman" w:hint="default"/>
        </w:rPr>
        <w:t>78</w:t>
      </w:r>
      <w:r>
        <w:rPr/>
        <w:t>、套期</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79、其他" w:id="299"/>
      <w:bookmarkEnd w:id="299"/>
      <w:r>
        <w:rPr>
          <w:b w:val="0"/>
          <w:bCs w:val="0"/>
        </w:rPr>
      </w:r>
      <w:r>
        <w:rPr>
          <w:rFonts w:ascii="Times New Roman" w:hAnsi="Times New Roman" w:cs="Times New Roman" w:eastAsia="Times New Roman" w:hint="default"/>
        </w:rPr>
        <w:t>79</w:t>
      </w:r>
      <w:r>
        <w:rPr/>
        <w:t>、其他</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pStyle w:val="Heading2"/>
        <w:spacing w:line="240" w:lineRule="auto"/>
        <w:ind w:right="0"/>
        <w:jc w:val="left"/>
        <w:rPr>
          <w:b w:val="0"/>
          <w:bCs w:val="0"/>
        </w:rPr>
      </w:pPr>
      <w:bookmarkStart w:name="八、合并范围的变更" w:id="300"/>
      <w:bookmarkEnd w:id="30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01"/>
      <w:bookmarkEnd w:id="30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02"/>
      <w:bookmarkEnd w:id="30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110"/>
        <w:gridCol w:w="780"/>
        <w:gridCol w:w="1316"/>
        <w:gridCol w:w="842"/>
        <w:gridCol w:w="587"/>
        <w:gridCol w:w="780"/>
        <w:gridCol w:w="2324"/>
        <w:gridCol w:w="936"/>
        <w:gridCol w:w="992"/>
      </w:tblGrid>
      <w:tr>
        <w:trPr>
          <w:trHeight w:val="1343" w:hRule="exact"/>
        </w:trPr>
        <w:tc>
          <w:tcPr>
            <w:tcW w:w="11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57" w:right="9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1" w:right="23"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2" w:right="52"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5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6" w:right="103"/>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23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购买日的确定依据</w:t>
            </w:r>
          </w:p>
        </w:tc>
        <w:tc>
          <w:tcPr>
            <w:tcW w:w="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100" w:right="98"/>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 w:right="37"/>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43"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173"/>
              <w:jc w:val="both"/>
              <w:rPr>
                <w:rFonts w:ascii="宋体" w:hAnsi="宋体" w:cs="宋体" w:eastAsia="宋体" w:hint="default"/>
                <w:sz w:val="18"/>
                <w:szCs w:val="18"/>
              </w:rPr>
            </w:pPr>
            <w:r>
              <w:rPr>
                <w:rFonts w:ascii="宋体" w:hAnsi="宋体" w:cs="宋体" w:eastAsia="宋体" w:hint="default"/>
                <w:sz w:val="18"/>
                <w:szCs w:val="18"/>
              </w:rPr>
              <w:t>天津壳木软 件有限责任 公司</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1,215,000,000.00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88"/>
              <w:jc w:val="both"/>
              <w:rPr>
                <w:rFonts w:ascii="宋体" w:hAnsi="宋体" w:cs="宋体" w:eastAsia="宋体" w:hint="default"/>
                <w:sz w:val="18"/>
                <w:szCs w:val="18"/>
              </w:rPr>
            </w:pPr>
            <w:r>
              <w:rPr>
                <w:rFonts w:ascii="宋体" w:hAnsi="宋体" w:cs="宋体" w:eastAsia="宋体" w:hint="default"/>
                <w:sz w:val="18"/>
                <w:szCs w:val="18"/>
              </w:rPr>
              <w:t>股份 支付 加现 金</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18"/>
              <w:jc w:val="left"/>
              <w:rPr>
                <w:rFonts w:ascii="宋体" w:hAnsi="宋体" w:cs="宋体" w:eastAsia="宋体" w:hint="default"/>
                <w:sz w:val="18"/>
                <w:szCs w:val="18"/>
              </w:rPr>
            </w:pPr>
            <w:r>
              <w:rPr>
                <w:rFonts w:ascii="宋体" w:hAnsi="宋体" w:cs="宋体" w:eastAsia="宋体" w:hint="default"/>
                <w:sz w:val="18"/>
                <w:szCs w:val="18"/>
              </w:rPr>
              <w:t>经股东大会、中国证监会审 </w:t>
            </w:r>
            <w:r>
              <w:rPr>
                <w:rFonts w:ascii="宋体" w:hAnsi="宋体" w:cs="宋体" w:eastAsia="宋体" w:hint="default"/>
                <w:spacing w:val="-6"/>
                <w:sz w:val="18"/>
                <w:szCs w:val="18"/>
              </w:rPr>
              <w:t>批，工商变更已完成，双方实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质交接程序完成。</w:t>
            </w:r>
          </w:p>
        </w:tc>
        <w:tc>
          <w:tcPr>
            <w:tcW w:w="93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r>
      <w:tr>
        <w:trPr>
          <w:trHeight w:val="1343" w:hRule="exact"/>
        </w:trPr>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73"/>
              <w:jc w:val="both"/>
              <w:rPr>
                <w:rFonts w:ascii="宋体" w:hAnsi="宋体" w:cs="宋体" w:eastAsia="宋体" w:hint="default"/>
                <w:sz w:val="18"/>
                <w:szCs w:val="18"/>
              </w:rPr>
            </w:pPr>
            <w:r>
              <w:rPr>
                <w:rFonts w:ascii="宋体" w:hAnsi="宋体" w:cs="宋体" w:eastAsia="宋体" w:hint="default"/>
                <w:sz w:val="18"/>
                <w:szCs w:val="18"/>
              </w:rPr>
              <w:t>北京神州泰 岳智能数据 技术有限公 司</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12,750,000.00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 w:right="18"/>
              <w:jc w:val="left"/>
              <w:rPr>
                <w:rFonts w:ascii="宋体" w:hAnsi="宋体" w:cs="宋体" w:eastAsia="宋体" w:hint="default"/>
                <w:sz w:val="18"/>
                <w:szCs w:val="18"/>
              </w:rPr>
            </w:pPr>
            <w:r>
              <w:rPr>
                <w:rFonts w:ascii="宋体" w:hAnsi="宋体" w:cs="宋体" w:eastAsia="宋体" w:hint="default"/>
                <w:spacing w:val="-6"/>
                <w:sz w:val="18"/>
                <w:szCs w:val="18"/>
              </w:rPr>
              <w:t>工商变更已完成，双方实质交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接程序完成，价款已支付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3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03"/>
      <w:bookmarkEnd w:id="30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44"/>
        <w:ind w:left="0" w:right="149"/>
        <w:jc w:val="right"/>
      </w:pPr>
      <w:r>
        <w:rPr/>
        <w:t>单位：万元</w:t>
      </w:r>
    </w:p>
    <w:p>
      <w:pPr>
        <w:spacing w:line="240" w:lineRule="auto" w:before="13"/>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4135"/>
        <w:gridCol w:w="2370"/>
        <w:gridCol w:w="3154"/>
      </w:tblGrid>
      <w:tr>
        <w:trPr>
          <w:trHeight w:val="347" w:hRule="exact"/>
        </w:trPr>
        <w:tc>
          <w:tcPr>
            <w:tcW w:w="4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7"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31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29"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42,750.00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1,275.00</w:t>
            </w: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78,750.00</w:t>
            </w:r>
          </w:p>
        </w:tc>
        <w:tc>
          <w:tcPr>
            <w:tcW w:w="315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370" w:type="dxa"/>
            <w:tcBorders>
              <w:top w:val="single" w:sz="6" w:space="0" w:color="000000"/>
              <w:left w:val="single" w:sz="6" w:space="0" w:color="000000"/>
              <w:bottom w:val="single" w:sz="6" w:space="0" w:color="000000"/>
              <w:right w:val="single" w:sz="6" w:space="0" w:color="000000"/>
            </w:tcBorders>
          </w:tcPr>
          <w:p>
            <w:pPr/>
          </w:p>
        </w:tc>
        <w:tc>
          <w:tcPr>
            <w:tcW w:w="31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121,500.00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1,275.00</w:t>
            </w: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减：至合并日摊销的评估增值无形资产</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490.00</w:t>
            </w:r>
          </w:p>
        </w:tc>
        <w:tc>
          <w:tcPr>
            <w:tcW w:w="315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加：评估增值无形资产相对应的递延所得税负债</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306.25</w:t>
            </w:r>
          </w:p>
        </w:tc>
        <w:tc>
          <w:tcPr>
            <w:tcW w:w="315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12,754.38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-2,027.76</w:t>
            </w:r>
            <w:r>
              <w:rPr>
                <w:rFonts w:ascii="Times New Roman"/>
                <w:sz w:val="18"/>
              </w:rPr>
            </w:r>
          </w:p>
        </w:tc>
      </w:tr>
      <w:tr>
        <w:trPr>
          <w:trHeight w:val="348"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108,561.87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3,302.76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54" w:right="0"/>
        <w:jc w:val="left"/>
      </w:pPr>
      <w:r>
        <w:rPr/>
        <w:t>合并成本公允价值的确定方法、或有对价及其变动的说明：</w:t>
      </w:r>
    </w:p>
    <w:p>
      <w:pPr>
        <w:spacing w:line="240" w:lineRule="auto" w:before="10"/>
        <w:rPr>
          <w:rFonts w:ascii="宋体" w:hAnsi="宋体" w:cs="宋体" w:eastAsia="宋体" w:hint="default"/>
          <w:sz w:val="20"/>
          <w:szCs w:val="20"/>
        </w:rPr>
      </w:pPr>
    </w:p>
    <w:p>
      <w:pPr>
        <w:pStyle w:val="BodyText"/>
        <w:spacing w:line="451" w:lineRule="auto"/>
        <w:ind w:left="513" w:right="0"/>
        <w:jc w:val="left"/>
      </w:pPr>
      <w:r>
        <w:rPr/>
        <w:t>（</w:t>
      </w:r>
      <w:r>
        <w:rPr>
          <w:rFonts w:ascii="Times New Roman" w:hAnsi="Times New Roman" w:cs="Times New Roman" w:eastAsia="Times New Roman" w:hint="default"/>
        </w:rPr>
        <w:t>1</w:t>
      </w:r>
      <w:r>
        <w:rPr/>
        <w:t>）天津壳木软件有限责任公司 </w:t>
      </w:r>
      <w:r>
        <w:rPr>
          <w:spacing w:val="-2"/>
        </w:rPr>
        <w:t>被合并净资产公允价值以经北京京都中新资产评估有限公司于</w:t>
      </w:r>
      <w:r>
        <w:rPr>
          <w:rFonts w:ascii="Times New Roman" w:hAnsi="Times New Roman" w:cs="Times New Roman" w:eastAsia="Times New Roman" w:hint="default"/>
          <w:spacing w:val="-2"/>
        </w:rPr>
        <w:t>2013</w:t>
      </w:r>
      <w:r>
        <w:rPr>
          <w:spacing w:val="-2"/>
        </w:rPr>
        <w:t>年出具的京都中新评报字（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0128</w:t>
      </w:r>
      <w:r>
        <w:rPr>
          <w:spacing w:val="-2"/>
        </w:rPr>
        <w:t>号《北京神</w:t>
      </w:r>
    </w:p>
    <w:p>
      <w:pPr>
        <w:pStyle w:val="BodyText"/>
        <w:spacing w:line="477" w:lineRule="auto" w:before="44"/>
        <w:ind w:right="0"/>
        <w:jc w:val="left"/>
      </w:pPr>
      <w:r>
        <w:rPr>
          <w:spacing w:val="-2"/>
        </w:rPr>
        <w:t>州泰岳软件股份有限公司拟收购天津壳木软件有限责任公司股权项目资产评估报告》采用收益法和资产基础法评估的估值结</w:t>
      </w:r>
      <w:r>
        <w:rPr>
          <w:spacing w:val="-64"/>
        </w:rPr>
        <w:t> </w:t>
      </w:r>
      <w:r>
        <w:rPr>
          <w:spacing w:val="-64"/>
        </w:rPr>
      </w:r>
      <w:r>
        <w:rPr/>
        <w:t>果为基础确定。</w:t>
      </w:r>
    </w:p>
    <w:p>
      <w:pPr>
        <w:pStyle w:val="BodyText"/>
        <w:spacing w:line="463" w:lineRule="auto" w:before="54"/>
        <w:ind w:left="513" w:right="5273"/>
        <w:jc w:val="left"/>
      </w:pPr>
      <w:r>
        <w:rPr/>
        <w:t>（</w:t>
      </w:r>
      <w:r>
        <w:rPr>
          <w:rFonts w:ascii="Times New Roman" w:hAnsi="Times New Roman" w:cs="Times New Roman" w:eastAsia="Times New Roman" w:hint="default"/>
        </w:rPr>
        <w:t>2</w:t>
      </w:r>
      <w:r>
        <w:rPr/>
        <w:t>）北京神州泰岳智能数据技术有限公司 以购买日被合并方净资产的账面价值作为公允价值。 </w:t>
      </w:r>
      <w:r>
        <w:rPr>
          <w:rFonts w:ascii="Times New Roman" w:hAnsi="Times New Roman" w:cs="Times New Roman" w:eastAsia="Times New Roman" w:hint="default"/>
        </w:rPr>
        <w:t>3</w:t>
      </w:r>
      <w:r>
        <w:rPr/>
        <w:t>、被购买方于购买日可辨认资产、负债</w:t>
      </w:r>
    </w:p>
    <w:p>
      <w:pPr>
        <w:pStyle w:val="BodyText"/>
        <w:spacing w:line="240" w:lineRule="auto" w:before="33"/>
        <w:ind w:left="0" w:right="232"/>
        <w:jc w:val="right"/>
      </w:pPr>
      <w:r>
        <w:rPr>
          <w:spacing w:val="-1"/>
        </w:rPr>
        <w:t>单位：万元</w:t>
      </w:r>
    </w:p>
    <w:p>
      <w:pPr>
        <w:spacing w:line="240" w:lineRule="auto" w:before="5"/>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394"/>
        <w:gridCol w:w="1817"/>
        <w:gridCol w:w="1816"/>
        <w:gridCol w:w="1817"/>
        <w:gridCol w:w="1816"/>
      </w:tblGrid>
      <w:tr>
        <w:trPr>
          <w:trHeight w:val="341" w:hRule="exact"/>
        </w:trPr>
        <w:tc>
          <w:tcPr>
            <w:tcW w:w="2394" w:type="dxa"/>
            <w:vMerge w:val="restart"/>
            <w:tcBorders>
              <w:top w:val="single" w:sz="6" w:space="0" w:color="000000"/>
              <w:left w:val="single" w:sz="6" w:space="0" w:color="000000"/>
              <w:right w:val="single" w:sz="6" w:space="0" w:color="000000"/>
            </w:tcBorders>
            <w:shd w:val="clear" w:color="auto" w:fill="D9D9D9"/>
          </w:tcPr>
          <w:p>
            <w:pPr/>
          </w:p>
        </w:tc>
        <w:tc>
          <w:tcPr>
            <w:tcW w:w="363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28"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363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69"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r>
      <w:tr>
        <w:trPr>
          <w:trHeight w:val="347" w:hRule="exact"/>
        </w:trPr>
        <w:tc>
          <w:tcPr>
            <w:tcW w:w="2394" w:type="dxa"/>
            <w:vMerge/>
            <w:tcBorders>
              <w:left w:val="single" w:sz="6" w:space="0" w:color="000000"/>
              <w:bottom w:val="single" w:sz="6" w:space="0" w:color="000000"/>
              <w:right w:val="single" w:sz="6" w:space="0" w:color="000000"/>
            </w:tcBorders>
            <w:shd w:val="clear" w:color="auto" w:fill="D9D9D9"/>
          </w:tcPr>
          <w:p>
            <w:pPr/>
          </w:p>
        </w:tc>
        <w:tc>
          <w:tcPr>
            <w:tcW w:w="18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8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13,778.64</w:t>
            </w:r>
          </w:p>
        </w:tc>
        <w:tc>
          <w:tcPr>
            <w:tcW w:w="18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11,328.64</w:t>
            </w:r>
          </w:p>
        </w:tc>
        <w:tc>
          <w:tcPr>
            <w:tcW w:w="18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456.57</w:t>
            </w:r>
          </w:p>
        </w:tc>
        <w:tc>
          <w:tcPr>
            <w:tcW w:w="18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456.57</w:t>
            </w:r>
          </w:p>
        </w:tc>
      </w:tr>
      <w:tr>
        <w:trPr>
          <w:trHeight w:val="348"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9,942.25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9,942.25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218.04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218.04</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718.95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718.95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164.23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164.23</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106.21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106.21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25.40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25.40</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4.36</w:t>
            </w:r>
          </w:p>
        </w:tc>
      </w:tr>
      <w:tr>
        <w:trPr>
          <w:trHeight w:val="348"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53.16</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14.53</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2,450.00</w:t>
            </w:r>
          </w:p>
        </w:tc>
        <w:tc>
          <w:tcPr>
            <w:tcW w:w="18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471.81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471.81</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19.95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19.95</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1,024.26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1,024.26</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2,842.17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2,842.17</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50.22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50.22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789.30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789.30</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458.45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458.45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172.63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172.63</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82.96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82.96</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55.95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55.95</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333.22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333.22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3.25</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99.40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99.40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1,777.91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1,777.91</w:t>
            </w:r>
          </w:p>
        </w:tc>
      </w:tr>
      <w:tr>
        <w:trPr>
          <w:trHeight w:val="348"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43.13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43.13</w:t>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12,754.38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10,304.38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-2,385.60</w:t>
            </w:r>
            <w:r>
              <w:rPr>
                <w:rFonts w:ascii="Times New Roman"/>
                <w:sz w:val="18"/>
              </w:rPr>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-2,385.60</w:t>
            </w:r>
            <w:r>
              <w:rPr>
                <w:rFonts w:ascii="Times New Roman"/>
                <w:sz w:val="18"/>
              </w:rPr>
            </w:r>
          </w:p>
        </w:tc>
      </w:tr>
      <w:tr>
        <w:trPr>
          <w:trHeight w:val="347"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-357.84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-357.84</w:t>
            </w:r>
          </w:p>
        </w:tc>
      </w:tr>
      <w:tr>
        <w:trPr>
          <w:trHeight w:val="348" w:hRule="exact"/>
        </w:trPr>
        <w:tc>
          <w:tcPr>
            <w:tcW w:w="2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12,754.38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10,304.38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-2,027.76</w:t>
            </w:r>
            <w:r>
              <w:rPr>
                <w:rFonts w:ascii="Times New Roman"/>
                <w:sz w:val="18"/>
              </w:rPr>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-2,027.76</w:t>
            </w:r>
            <w:r>
              <w:rPr>
                <w:rFonts w:ascii="Times New Roman"/>
                <w:sz w:val="18"/>
              </w:rPr>
            </w:r>
          </w:p>
        </w:tc>
      </w:tr>
    </w:tbl>
    <w:p>
      <w:pPr>
        <w:pStyle w:val="BodyText"/>
        <w:spacing w:line="240" w:lineRule="auto" w:before="88"/>
        <w:ind w:left="154" w:right="0"/>
        <w:jc w:val="left"/>
      </w:pPr>
      <w:r>
        <w:rPr/>
        <w:t>注：上表中存在总数与各分项数值之和尾数不符的情况，系按万元列示尾数四舍五入形成。</w:t>
      </w:r>
    </w:p>
    <w:p>
      <w:pPr>
        <w:spacing w:after="0" w:line="240" w:lineRule="auto"/>
        <w:jc w:val="left"/>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其他原因的合并范围变动" w:id="304"/>
      <w:bookmarkEnd w:id="304"/>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54" w:right="0"/>
        <w:jc w:val="left"/>
      </w:pPr>
      <w:r>
        <w:rPr/>
        <w:t>说明其他原因导致的合并范围变动（如，新设子公司、清算子公司等）及其相关情况：</w:t>
      </w:r>
    </w:p>
    <w:p>
      <w:pPr>
        <w:spacing w:line="240" w:lineRule="auto" w:before="12"/>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3394"/>
        <w:gridCol w:w="2088"/>
        <w:gridCol w:w="2088"/>
        <w:gridCol w:w="2088"/>
      </w:tblGrid>
      <w:tr>
        <w:trPr>
          <w:trHeight w:val="347" w:hRule="exact"/>
        </w:trPr>
        <w:tc>
          <w:tcPr>
            <w:tcW w:w="3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060" w:right="0"/>
              <w:jc w:val="left"/>
              <w:rPr>
                <w:rFonts w:ascii="宋体" w:hAnsi="宋体" w:cs="宋体" w:eastAsia="宋体" w:hint="default"/>
                <w:sz w:val="18"/>
                <w:szCs w:val="18"/>
              </w:rPr>
            </w:pPr>
            <w:r>
              <w:rPr>
                <w:rFonts w:ascii="宋体" w:hAnsi="宋体" w:cs="宋体" w:eastAsia="宋体" w:hint="default"/>
                <w:sz w:val="18"/>
                <w:szCs w:val="18"/>
              </w:rPr>
              <w:t>新设子公司名称</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r>
        <w:trPr>
          <w:trHeight w:val="348"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ULTRAPOWER 360</w:t>
            </w:r>
            <w:r>
              <w:rPr>
                <w:rFonts w:ascii="Times New Roman"/>
                <w:spacing w:val="-4"/>
                <w:sz w:val="18"/>
              </w:rPr>
              <w:t> </w:t>
            </w:r>
            <w:r>
              <w:rPr>
                <w:rFonts w:ascii="Times New Roman"/>
                <w:sz w:val="18"/>
              </w:rPr>
              <w:t>PTE.LTD</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Ultrapower Netherlands</w:t>
            </w:r>
            <w:r>
              <w:rPr>
                <w:rFonts w:ascii="Times New Roman"/>
                <w:spacing w:val="-7"/>
                <w:sz w:val="18"/>
              </w:rPr>
              <w:t> </w:t>
            </w:r>
            <w:r>
              <w:rPr>
                <w:rFonts w:ascii="Times New Roman"/>
                <w:sz w:val="18"/>
              </w:rPr>
              <w:t>B.V.</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四级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五级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UQSOF TYUHAN</w:t>
            </w:r>
            <w:r>
              <w:rPr>
                <w:rFonts w:ascii="Times New Roman"/>
                <w:spacing w:val="-5"/>
                <w:sz w:val="18"/>
              </w:rPr>
              <w:t> </w:t>
            </w:r>
            <w:r>
              <w:rPr>
                <w:rFonts w:ascii="Times New Roman"/>
                <w:sz w:val="18"/>
              </w:rPr>
              <w:t>HOESA</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五级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7"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北京骆骆软件科技有限责任公司</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LTD.</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五级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 w:id="305"/>
      <w:bookmarkEnd w:id="305"/>
      <w:r>
        <w:rPr>
          <w:b w:val="0"/>
          <w:bCs w:val="0"/>
        </w:rPr>
      </w: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公司本年因清算减少三级子公司北京千腾网络信息技术有限公司、三级子公司宁波万信移动通信技术研究开发有限公司、</w:t>
      </w:r>
      <w:r>
        <w:rPr/>
        <w:t> 三级子公司宁波普天科技创业服务有限公司。</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九、在其他主体中的权益" w:id="306"/>
      <w:bookmarkEnd w:id="30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07"/>
      <w:bookmarkEnd w:id="30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08"/>
      <w:bookmarkEnd w:id="3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1276"/>
        <w:gridCol w:w="852"/>
        <w:gridCol w:w="1628"/>
        <w:gridCol w:w="701"/>
        <w:gridCol w:w="702"/>
        <w:gridCol w:w="1106"/>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10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同一控制下 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同一控制下 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北京神州泰岳通信技术有限公司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840"/>
        </w:sectPr>
      </w:pPr>
    </w:p>
    <w:tbl>
      <w:tblPr>
        <w:tblW w:w="0" w:type="auto"/>
        <w:jc w:val="left"/>
        <w:tblInd w:w="109" w:type="dxa"/>
        <w:tblLayout w:type="fixed"/>
        <w:tblCellMar>
          <w:top w:w="0" w:type="dxa"/>
          <w:left w:w="0" w:type="dxa"/>
          <w:bottom w:w="0" w:type="dxa"/>
          <w:right w:w="0" w:type="dxa"/>
        </w:tblCellMar>
        <w:tblLook w:val="01E0"/>
      </w:tblPr>
      <w:tblGrid>
        <w:gridCol w:w="3402"/>
        <w:gridCol w:w="1276"/>
        <w:gridCol w:w="852"/>
        <w:gridCol w:w="1628"/>
        <w:gridCol w:w="701"/>
        <w:gridCol w:w="702"/>
        <w:gridCol w:w="1106"/>
      </w:tblGrid>
      <w:tr>
        <w:trPr>
          <w:trHeight w:val="373" w:hRule="exact"/>
        </w:trPr>
        <w:tc>
          <w:tcPr>
            <w:tcW w:w="3402"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1628" w:type="dxa"/>
            <w:tcBorders>
              <w:top w:val="single" w:sz="10" w:space="0" w:color="000000"/>
              <w:left w:val="single" w:sz="4" w:space="0" w:color="000000"/>
              <w:bottom w:val="single" w:sz="4" w:space="0" w:color="000000"/>
              <w:right w:val="single" w:sz="4" w:space="0" w:color="000000"/>
            </w:tcBorders>
          </w:tcPr>
          <w:p>
            <w:pPr/>
          </w:p>
        </w:tc>
        <w:tc>
          <w:tcPr>
            <w:tcW w:w="701" w:type="dxa"/>
            <w:tcBorders>
              <w:top w:val="single" w:sz="10" w:space="0" w:color="000000"/>
              <w:left w:val="single" w:sz="4" w:space="0" w:color="000000"/>
              <w:bottom w:val="single" w:sz="4" w:space="0" w:color="000000"/>
              <w:right w:val="single" w:sz="4" w:space="0" w:color="000000"/>
            </w:tcBorders>
          </w:tcPr>
          <w:p>
            <w:pPr/>
          </w:p>
        </w:tc>
        <w:tc>
          <w:tcPr>
            <w:tcW w:w="702" w:type="dxa"/>
            <w:tcBorders>
              <w:top w:val="single" w:sz="10" w:space="0" w:color="000000"/>
              <w:left w:val="single" w:sz="4" w:space="0" w:color="000000"/>
              <w:bottom w:val="single" w:sz="4" w:space="0" w:color="000000"/>
              <w:right w:val="single" w:sz="4" w:space="0" w:color="000000"/>
            </w:tcBorders>
          </w:tcPr>
          <w:p>
            <w:pPr/>
          </w:p>
        </w:tc>
        <w:tc>
          <w:tcPr>
            <w:tcW w:w="11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宁波金信通信技术有限公司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奇点新源国际技术开发（北京）有限公司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Times New Roman" w:hAnsi="Times New Roman" w:cs="Times New Roman" w:eastAsia="Times New Roman" w:hint="default"/>
                <w:sz w:val="18"/>
                <w:szCs w:val="18"/>
              </w:rPr>
            </w:pPr>
            <w:r>
              <w:rPr>
                <w:rFonts w:ascii="Times New Roman"/>
                <w:sz w:val="18"/>
              </w:rPr>
              <w:t>84.00%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 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85.00%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7"/>
              <w:ind w:left="22" w:right="199"/>
              <w:jc w:val="left"/>
              <w:rPr>
                <w:rFonts w:ascii="Times New Roman" w:hAnsi="Times New Roman" w:cs="Times New Roman" w:eastAsia="Times New Roman" w:hint="default"/>
                <w:sz w:val="18"/>
                <w:szCs w:val="18"/>
              </w:rPr>
            </w:pPr>
            <w:r>
              <w:rPr>
                <w:rFonts w:ascii="Times New Roman"/>
                <w:sz w:val="18"/>
              </w:rPr>
              <w:t>RED TRUST </w:t>
            </w:r>
            <w:r>
              <w:rPr>
                <w:rFonts w:ascii="Times New Roman"/>
                <w:spacing w:val="-3"/>
                <w:sz w:val="18"/>
              </w:rPr>
              <w:t>SOFTWARE </w:t>
            </w:r>
            <w:r>
              <w:rPr>
                <w:rFonts w:ascii="Times New Roman"/>
                <w:sz w:val="18"/>
              </w:rPr>
              <w:t>AND</w:t>
            </w:r>
            <w:r>
              <w:rPr>
                <w:rFonts w:ascii="Times New Roman"/>
                <w:spacing w:val="-7"/>
                <w:sz w:val="18"/>
              </w:rPr>
              <w:t> </w:t>
            </w:r>
            <w:r>
              <w:rPr>
                <w:rFonts w:ascii="Times New Roman"/>
                <w:spacing w:val="-3"/>
                <w:sz w:val="18"/>
              </w:rPr>
              <w:t>SERVICE</w:t>
            </w:r>
            <w:r>
              <w:rPr>
                <w:rFonts w:ascii="Times New Roman"/>
                <w:sz w:val="18"/>
              </w:rPr>
              <w:t> TECHNOLOGY </w:t>
            </w:r>
            <w:r>
              <w:rPr>
                <w:rFonts w:ascii="Times New Roman"/>
                <w:spacing w:val="-3"/>
                <w:sz w:val="18"/>
              </w:rPr>
              <w:t>COMPANY</w:t>
            </w:r>
            <w:r>
              <w:rPr>
                <w:rFonts w:ascii="Times New Roman"/>
                <w:spacing w:val="-15"/>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2"/>
                <w:sz w:val="18"/>
              </w:rPr>
              <w:t> </w:t>
            </w:r>
            <w:r>
              <w:rPr>
                <w:rFonts w:ascii="Times New Roman"/>
                <w:spacing w:val="-6"/>
                <w:sz w:val="18"/>
              </w:rPr>
              <w:t>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55.00%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ULTRAPOWER NETHERLANDS</w:t>
            </w:r>
            <w:r>
              <w:rPr>
                <w:rFonts w:ascii="Times New Roman"/>
                <w:spacing w:val="-22"/>
                <w:sz w:val="18"/>
              </w:rPr>
              <w:t> </w:t>
            </w:r>
            <w:r>
              <w:rPr>
                <w:rFonts w:ascii="Times New Roman"/>
                <w:spacing w:val="-6"/>
                <w:sz w:val="18"/>
              </w:rPr>
              <w:t>B.V.</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55.00%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UQSOFT YUHAN</w:t>
            </w:r>
            <w:r>
              <w:rPr>
                <w:rFonts w:ascii="Times New Roman"/>
                <w:spacing w:val="-13"/>
                <w:sz w:val="18"/>
              </w:rPr>
              <w:t> </w:t>
            </w:r>
            <w:r>
              <w:rPr>
                <w:rFonts w:ascii="Times New Roman"/>
                <w:sz w:val="18"/>
              </w:rPr>
              <w:t>HOESA</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55.00%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北京壳木软件有限责任公司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8"/>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北京骆骆软件科技有限责任公司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8"/>
                <w:sz w:val="18"/>
              </w:rPr>
              <w:t> </w:t>
            </w:r>
            <w:r>
              <w:rPr>
                <w:rFonts w:ascii="Times New Roman"/>
                <w:sz w:val="18"/>
              </w:rPr>
              <w:t>INC.</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5"/>
                <w:sz w:val="18"/>
              </w:rPr>
              <w:t> 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 w:right="0"/>
              <w:jc w:val="center"/>
              <w:rPr>
                <w:rFonts w:ascii="Times New Roman" w:hAnsi="Times New Roman" w:cs="Times New Roman" w:eastAsia="Times New Roman" w:hint="default"/>
                <w:sz w:val="18"/>
                <w:szCs w:val="18"/>
              </w:rPr>
            </w:pPr>
            <w:r>
              <w:rPr>
                <w:rFonts w:ascii="Times New Roman"/>
                <w:sz w:val="18"/>
              </w:rPr>
              <w:t>51.00%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bl>
    <w:p>
      <w:pPr>
        <w:spacing w:after="0" w:line="316" w:lineRule="auto"/>
        <w:jc w:val="left"/>
        <w:rPr>
          <w:rFonts w:ascii="宋体" w:hAnsi="宋体" w:cs="宋体" w:eastAsia="宋体" w:hint="default"/>
          <w:sz w:val="18"/>
          <w:szCs w:val="18"/>
        </w:rPr>
        <w:sectPr>
          <w:pgSz w:w="11910" w:h="16840"/>
          <w:pgMar w:header="851" w:footer="1226" w:top="1420" w:bottom="1420" w:left="1020" w:right="980"/>
        </w:sectPr>
      </w:pPr>
    </w:p>
    <w:p>
      <w:pPr>
        <w:spacing w:line="240" w:lineRule="auto" w:before="7"/>
        <w:rPr>
          <w:rFonts w:ascii="宋体" w:hAnsi="宋体" w:cs="宋体" w:eastAsia="宋体" w:hint="default"/>
          <w:b/>
          <w:bCs/>
          <w:sz w:val="2"/>
          <w:szCs w:val="2"/>
        </w:rPr>
      </w:pPr>
    </w:p>
    <w:tbl>
      <w:tblPr>
        <w:tblW w:w="0" w:type="auto"/>
        <w:jc w:val="left"/>
        <w:tblInd w:w="129" w:type="dxa"/>
        <w:tblLayout w:type="fixed"/>
        <w:tblCellMar>
          <w:top w:w="0" w:type="dxa"/>
          <w:left w:w="0" w:type="dxa"/>
          <w:bottom w:w="0" w:type="dxa"/>
          <w:right w:w="0" w:type="dxa"/>
        </w:tblCellMar>
        <w:tblLook w:val="01E0"/>
      </w:tblPr>
      <w:tblGrid>
        <w:gridCol w:w="3402"/>
        <w:gridCol w:w="1276"/>
        <w:gridCol w:w="852"/>
        <w:gridCol w:w="1628"/>
        <w:gridCol w:w="701"/>
        <w:gridCol w:w="702"/>
        <w:gridCol w:w="1106"/>
      </w:tblGrid>
      <w:tr>
        <w:trPr>
          <w:trHeight w:val="726" w:hRule="exact"/>
        </w:trPr>
        <w:tc>
          <w:tcPr>
            <w:tcW w:w="34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广州短讯神州网络技术有限公司</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62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10" w:space="0" w:color="000000"/>
              <w:left w:val="single" w:sz="4" w:space="0" w:color="000000"/>
              <w:bottom w:val="single" w:sz="4" w:space="0" w:color="000000"/>
              <w:right w:val="single" w:sz="4" w:space="0" w:color="000000"/>
            </w:tcBorders>
          </w:tcPr>
          <w:p>
            <w:pPr/>
          </w:p>
        </w:tc>
        <w:tc>
          <w:tcPr>
            <w:tcW w:w="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苏州短讯神州网络技术有限公司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bl>
    <w:p>
      <w:pPr>
        <w:spacing w:line="240" w:lineRule="auto" w:before="2"/>
        <w:rPr>
          <w:rFonts w:ascii="宋体" w:hAnsi="宋体" w:cs="宋体" w:eastAsia="宋体" w:hint="default"/>
          <w:b/>
          <w:bCs/>
          <w:sz w:val="19"/>
          <w:szCs w:val="19"/>
        </w:rPr>
      </w:pPr>
    </w:p>
    <w:p>
      <w:pPr>
        <w:pStyle w:val="Heading3"/>
        <w:spacing w:line="240" w:lineRule="auto" w:before="35"/>
        <w:ind w:left="134" w:right="0"/>
        <w:jc w:val="left"/>
        <w:rPr>
          <w:b w:val="0"/>
          <w:bCs w:val="0"/>
        </w:rPr>
      </w:pPr>
      <w:bookmarkStart w:name="（2）重要的非全资子公司" w:id="309"/>
      <w:bookmarkEnd w:id="3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
              <w:jc w:val="left"/>
              <w:rPr>
                <w:rFonts w:ascii="Times New Roman" w:hAnsi="Times New Roman" w:cs="Times New Roman" w:eastAsia="Times New Roman" w:hint="default"/>
                <w:sz w:val="18"/>
                <w:szCs w:val="18"/>
              </w:rPr>
            </w:pPr>
            <w:r>
              <w:rPr>
                <w:rFonts w:ascii="Times New Roman"/>
                <w:sz w:val="18"/>
              </w:rPr>
              <w:t>Bridge Minds</w:t>
            </w:r>
            <w:r>
              <w:rPr>
                <w:rFonts w:ascii="Times New Roman"/>
                <w:spacing w:val="-1"/>
                <w:sz w:val="18"/>
              </w:rPr>
              <w:t> </w:t>
            </w:r>
            <w:r>
              <w:rPr>
                <w:rFonts w:ascii="Times New Roman"/>
                <w:sz w:val="18"/>
              </w:rPr>
              <w:t>Consulting</w:t>
            </w:r>
            <w:r>
              <w:rPr>
                <w:rFonts w:ascii="Times New Roman"/>
                <w:sz w:val="18"/>
              </w:rPr>
              <w:t> Pte</w:t>
            </w:r>
            <w:r>
              <w:rPr>
                <w:rFonts w:ascii="Times New Roman"/>
                <w:spacing w:val="-2"/>
                <w:sz w:val="18"/>
              </w:rPr>
              <w:t> </w:t>
            </w:r>
            <w:r>
              <w:rPr>
                <w:rFonts w:ascii="Times New Roman"/>
                <w:sz w:val="18"/>
              </w:rPr>
              <w:t>Ltd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6" w:right="0"/>
              <w:jc w:val="left"/>
              <w:rPr>
                <w:rFonts w:ascii="Times New Roman" w:hAnsi="Times New Roman" w:cs="Times New Roman" w:eastAsia="Times New Roman" w:hint="default"/>
                <w:sz w:val="18"/>
                <w:szCs w:val="18"/>
              </w:rPr>
            </w:pPr>
            <w:r>
              <w:rPr>
                <w:rFonts w:ascii="Times New Roman"/>
                <w:sz w:val="18"/>
              </w:rPr>
              <w:t>-16,947,733.25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66,054,456.30</w:t>
            </w:r>
          </w:p>
        </w:tc>
      </w:tr>
    </w:tbl>
    <w:p>
      <w:pPr>
        <w:spacing w:line="240" w:lineRule="auto" w:before="2"/>
        <w:rPr>
          <w:rFonts w:ascii="宋体" w:hAnsi="宋体" w:cs="宋体" w:eastAsia="宋体" w:hint="default"/>
          <w:sz w:val="19"/>
          <w:szCs w:val="19"/>
        </w:rPr>
      </w:pPr>
    </w:p>
    <w:p>
      <w:pPr>
        <w:pStyle w:val="Heading3"/>
        <w:spacing w:line="240" w:lineRule="auto" w:before="35"/>
        <w:ind w:left="134" w:right="0"/>
        <w:jc w:val="left"/>
        <w:rPr>
          <w:b w:val="0"/>
          <w:bCs w:val="0"/>
        </w:rPr>
      </w:pPr>
      <w:bookmarkStart w:name="3、在合营安排或联营企业中的权益" w:id="310"/>
      <w:bookmarkEnd w:id="31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4" w:right="0"/>
        <w:jc w:val="left"/>
        <w:rPr>
          <w:b w:val="0"/>
          <w:bCs w:val="0"/>
        </w:rPr>
      </w:pPr>
      <w:bookmarkStart w:name="（1）重要的合营企业或联营企业" w:id="311"/>
      <w:bookmarkEnd w:id="31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大连华信计算机 技术股份有限公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6"/>
        <w:rPr>
          <w:rFonts w:ascii="宋体" w:hAnsi="宋体" w:cs="宋体" w:eastAsia="宋体" w:hint="default"/>
          <w:b/>
          <w:bCs/>
          <w:sz w:val="6"/>
          <w:szCs w:val="6"/>
        </w:rPr>
      </w:pPr>
    </w:p>
    <w:p>
      <w:pPr>
        <w:pStyle w:val="BodyText"/>
        <w:spacing w:line="240" w:lineRule="auto" w:before="44"/>
        <w:ind w:left="134" w:right="0"/>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pStyle w:val="BodyText"/>
        <w:spacing w:line="470" w:lineRule="auto"/>
        <w:ind w:left="133" w:right="19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持有</w:t>
      </w:r>
      <w:r>
        <w:rPr>
          <w:rFonts w:ascii="Times New Roman" w:hAnsi="Times New Roman" w:cs="Times New Roman" w:eastAsia="Times New Roman" w:hint="default"/>
        </w:rPr>
        <w:t>20%</w:t>
      </w:r>
      <w:r>
        <w:rPr/>
        <w:t>以下表决权但具有重大影响</w:t>
      </w:r>
      <w:r>
        <w:rPr>
          <w:spacing w:val="-19"/>
        </w:rPr>
        <w:t> </w:t>
      </w:r>
      <w:r>
        <w:rPr/>
        <w:t>：本公司系大连华信计算机技术股份有限公司单一第二大股东并派驻了董事，对其具</w:t>
      </w:r>
      <w:r>
        <w:rPr/>
        <w:t> 有重大影响。</w:t>
      </w:r>
    </w:p>
    <w:p>
      <w:pPr>
        <w:spacing w:line="240" w:lineRule="auto" w:before="9"/>
        <w:rPr>
          <w:rFonts w:ascii="宋体" w:hAnsi="宋体" w:cs="宋体" w:eastAsia="宋体" w:hint="default"/>
          <w:sz w:val="19"/>
          <w:szCs w:val="19"/>
        </w:rPr>
      </w:pPr>
    </w:p>
    <w:p>
      <w:pPr>
        <w:pStyle w:val="Heading3"/>
        <w:spacing w:line="240" w:lineRule="auto"/>
        <w:ind w:left="133" w:right="0"/>
        <w:jc w:val="left"/>
        <w:rPr>
          <w:b w:val="0"/>
          <w:bCs w:val="0"/>
        </w:rPr>
      </w:pPr>
      <w:bookmarkStart w:name="（2）重要合营企业的主要财务信息" w:id="312"/>
      <w:bookmarkEnd w:id="31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49"/>
        <w:jc w:val="right"/>
      </w:pPr>
      <w:r>
        <w:rPr/>
        <w:t>单位：万元</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210"/>
        <w:gridCol w:w="3282"/>
        <w:gridCol w:w="3166"/>
      </w:tblGrid>
      <w:tr>
        <w:trPr>
          <w:trHeight w:val="347" w:hRule="exact"/>
        </w:trPr>
        <w:tc>
          <w:tcPr>
            <w:tcW w:w="3210" w:type="dxa"/>
            <w:vMerge w:val="restart"/>
            <w:tcBorders>
              <w:top w:val="single" w:sz="6" w:space="0" w:color="000000"/>
              <w:left w:val="single" w:sz="6" w:space="0" w:color="000000"/>
              <w:right w:val="single" w:sz="6" w:space="0" w:color="000000"/>
            </w:tcBorders>
            <w:shd w:val="clear" w:color="auto" w:fill="D9D9D9"/>
          </w:tcPr>
          <w:p>
            <w:pPr/>
          </w:p>
        </w:tc>
        <w:tc>
          <w:tcPr>
            <w:tcW w:w="3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3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0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47" w:hRule="exact"/>
        </w:trPr>
        <w:tc>
          <w:tcPr>
            <w:tcW w:w="3210" w:type="dxa"/>
            <w:vMerge/>
            <w:tcBorders>
              <w:left w:val="single" w:sz="6" w:space="0" w:color="000000"/>
              <w:bottom w:val="single" w:sz="6" w:space="0" w:color="000000"/>
              <w:right w:val="single" w:sz="6" w:space="0" w:color="000000"/>
            </w:tcBorders>
            <w:shd w:val="clear" w:color="auto" w:fill="D9D9D9"/>
          </w:tcPr>
          <w:p>
            <w:pPr/>
          </w:p>
        </w:tc>
        <w:tc>
          <w:tcPr>
            <w:tcW w:w="3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31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103,955.77</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100,501.17</w:t>
            </w: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112,380.31</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94,080.54</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216,336.08</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194,581.71</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50,351.74</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37,559.10</w:t>
            </w: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58,440.54</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58,283.01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00" w:right="980"/>
        </w:sectPr>
      </w:pP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10"/>
        <w:gridCol w:w="3282"/>
        <w:gridCol w:w="3166"/>
      </w:tblGrid>
      <w:tr>
        <w:trPr>
          <w:trHeight w:val="361" w:hRule="exact"/>
        </w:trPr>
        <w:tc>
          <w:tcPr>
            <w:tcW w:w="3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108,792.28</w:t>
            </w:r>
          </w:p>
        </w:tc>
        <w:tc>
          <w:tcPr>
            <w:tcW w:w="3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8"/>
                <w:szCs w:val="18"/>
              </w:rPr>
            </w:pPr>
            <w:r>
              <w:rPr>
                <w:rFonts w:ascii="Times New Roman"/>
                <w:sz w:val="18"/>
              </w:rPr>
              <w:t>95,842.11</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4,042.89</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2,276.95</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103,500.91</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96,462.65</w:t>
            </w: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9,220.57</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8,593.58</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2,715.79</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2,715.79</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11,936.36</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11,309.37</w:t>
            </w:r>
          </w:p>
        </w:tc>
      </w:tr>
      <w:tr>
        <w:trPr>
          <w:trHeight w:val="659"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7"/>
                <w:sz w:val="18"/>
                <w:szCs w:val="18"/>
              </w:rPr>
              <w:t>存在公开报价的联营企业权益投资的公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允价值</w:t>
            </w: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124,982.27</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116,878.69</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9,933.27</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9,593.88</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-399.16</w:t>
            </w:r>
            <w:r>
              <w:rPr>
                <w:rFonts w:ascii="Times New Roman"/>
                <w:sz w:val="18"/>
              </w:rPr>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-768.18</w:t>
            </w:r>
            <w:r>
              <w:rPr>
                <w:rFonts w:ascii="Times New Roman"/>
                <w:sz w:val="18"/>
              </w:rPr>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9,845.53</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8,825.70</w:t>
            </w:r>
          </w:p>
        </w:tc>
      </w:tr>
      <w:tr>
        <w:trPr>
          <w:trHeight w:val="347" w:hRule="exact"/>
        </w:trPr>
        <w:tc>
          <w:tcPr>
            <w:tcW w:w="3210" w:type="dxa"/>
            <w:tcBorders>
              <w:top w:val="single" w:sz="6" w:space="0" w:color="000000"/>
              <w:left w:val="single" w:sz="6" w:space="0" w:color="000000"/>
              <w:bottom w:val="single" w:sz="6" w:space="0" w:color="000000"/>
              <w:right w:val="single" w:sz="6" w:space="0" w:color="000000"/>
            </w:tcBorders>
          </w:tcPr>
          <w:p>
            <w:pPr/>
          </w:p>
        </w:tc>
        <w:tc>
          <w:tcPr>
            <w:tcW w:w="3282" w:type="dxa"/>
            <w:tcBorders>
              <w:top w:val="single" w:sz="6" w:space="0" w:color="000000"/>
              <w:left w:val="single" w:sz="6" w:space="0" w:color="000000"/>
              <w:bottom w:val="single" w:sz="6" w:space="0" w:color="000000"/>
              <w:right w:val="single" w:sz="6" w:space="0" w:color="000000"/>
            </w:tcBorders>
          </w:tcPr>
          <w:p>
            <w:pPr/>
          </w:p>
        </w:tc>
        <w:tc>
          <w:tcPr>
            <w:tcW w:w="31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240.00</w:t>
            </w:r>
          </w:p>
        </w:tc>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w:t>
            </w:r>
          </w:p>
        </w:tc>
      </w:tr>
    </w:tbl>
    <w:p>
      <w:pPr>
        <w:spacing w:line="240" w:lineRule="auto" w:before="2"/>
        <w:rPr>
          <w:rFonts w:ascii="宋体" w:hAnsi="宋体" w:cs="宋体" w:eastAsia="宋体" w:hint="default"/>
          <w:sz w:val="19"/>
          <w:szCs w:val="19"/>
        </w:rPr>
      </w:pPr>
    </w:p>
    <w:p>
      <w:pPr>
        <w:pStyle w:val="Heading3"/>
        <w:spacing w:line="240" w:lineRule="auto" w:before="35"/>
        <w:ind w:left="134" w:right="143"/>
        <w:jc w:val="left"/>
        <w:rPr>
          <w:b w:val="0"/>
          <w:bCs w:val="0"/>
        </w:rPr>
      </w:pPr>
      <w:bookmarkStart w:name="（3）上重要的合营企业和联营企业的汇总财务信息" w:id="313"/>
      <w:bookmarkEnd w:id="313"/>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0"/>
        <w:jc w:val="right"/>
      </w:pPr>
      <w:r>
        <w:rPr/>
        <w:t>单位： 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1,196.10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-569.98</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134" w:right="143"/>
        <w:jc w:val="left"/>
        <w:rPr>
          <w:b w:val="0"/>
          <w:bCs w:val="0"/>
        </w:rPr>
      </w:pPr>
      <w:bookmarkStart w:name="十、与金融工具相关的风险" w:id="314"/>
      <w:bookmarkEnd w:id="314"/>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spacing w:before="0"/>
        <w:ind w:left="13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b/>
          <w:bCs/>
          <w:sz w:val="24"/>
          <w:szCs w:val="24"/>
        </w:rPr>
      </w:pPr>
    </w:p>
    <w:p>
      <w:pPr>
        <w:pStyle w:val="Heading2"/>
        <w:spacing w:line="240" w:lineRule="auto"/>
        <w:ind w:left="134" w:right="143"/>
        <w:jc w:val="left"/>
        <w:rPr>
          <w:b w:val="0"/>
          <w:bCs w:val="0"/>
        </w:rPr>
      </w:pPr>
      <w:bookmarkStart w:name="十一、公允价值的披露" w:id="315"/>
      <w:bookmarkEnd w:id="315"/>
      <w:r>
        <w:rPr>
          <w:b w:val="0"/>
          <w:bCs w:val="0"/>
        </w:rPr>
      </w:r>
      <w:r>
        <w:rPr/>
        <w:t>十一、公允价值的披露</w:t>
      </w:r>
      <w:r>
        <w:rPr>
          <w:b w:val="0"/>
          <w:bCs w:val="0"/>
        </w:rPr>
      </w:r>
    </w:p>
    <w:p>
      <w:pPr>
        <w:spacing w:line="240" w:lineRule="auto" w:before="7"/>
        <w:rPr>
          <w:rFonts w:ascii="宋体" w:hAnsi="宋体" w:cs="宋体" w:eastAsia="宋体" w:hint="default"/>
          <w:b/>
          <w:bCs/>
          <w:sz w:val="26"/>
          <w:szCs w:val="26"/>
        </w:rPr>
      </w:pPr>
    </w:p>
    <w:p>
      <w:pPr>
        <w:spacing w:before="0"/>
        <w:ind w:left="13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00" w:right="1000"/>
        </w:sectPr>
      </w:pPr>
    </w:p>
    <w:p>
      <w:pPr>
        <w:pStyle w:val="Heading2"/>
        <w:spacing w:line="240" w:lineRule="auto" w:before="14"/>
        <w:ind w:right="0"/>
        <w:jc w:val="left"/>
        <w:rPr>
          <w:b w:val="0"/>
          <w:bCs w:val="0"/>
        </w:rPr>
      </w:pPr>
      <w:r>
        <w:rPr/>
        <w:pict>
          <v:group style="position:absolute;margin-left:55.200001pt;margin-top:2.23563pt;width:485pt;height:.1pt;mso-position-horizontal-relative:page;mso-position-vertical-relative:paragraph;z-index:-1109704"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十二、关联方及关联交易" w:id="316"/>
      <w:bookmarkEnd w:id="316"/>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17"/>
      <w:bookmarkEnd w:id="31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宁</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84,526,350.00%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力</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169,052,698.00%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253,579,048.00%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w:t>
            </w:r>
          </w:p>
        </w:tc>
      </w:tr>
    </w:tbl>
    <w:p>
      <w:pPr>
        <w:spacing w:line="240" w:lineRule="auto" w:before="6"/>
        <w:rPr>
          <w:rFonts w:ascii="宋体" w:hAnsi="宋体" w:cs="宋体" w:eastAsia="宋体" w:hint="default"/>
          <w:b/>
          <w:bCs/>
          <w:sz w:val="6"/>
          <w:szCs w:val="6"/>
        </w:rPr>
      </w:pPr>
    </w:p>
    <w:p>
      <w:pPr>
        <w:pStyle w:val="BodyText"/>
        <w:spacing w:line="518" w:lineRule="auto" w:before="44"/>
        <w:ind w:left="513" w:right="2753" w:hanging="360"/>
        <w:jc w:val="left"/>
      </w:pPr>
      <w:r>
        <w:rPr/>
        <w:t>本企业的母公司情况的说明： 本公司的实际控制人为王宁先生、李力先生，签定了一致行动协议，为一致行动人。 本企业最终控制方是王宁、李力。</w:t>
      </w:r>
    </w:p>
    <w:p>
      <w:pPr>
        <w:spacing w:line="240" w:lineRule="auto" w:before="10"/>
        <w:rPr>
          <w:rFonts w:ascii="宋体" w:hAnsi="宋体" w:cs="宋体" w:eastAsia="宋体" w:hint="default"/>
          <w:sz w:val="16"/>
          <w:szCs w:val="16"/>
        </w:rPr>
      </w:pPr>
    </w:p>
    <w:p>
      <w:pPr>
        <w:pStyle w:val="Heading3"/>
        <w:spacing w:line="240" w:lineRule="auto"/>
        <w:ind w:left="153" w:right="0"/>
        <w:jc w:val="left"/>
        <w:rPr>
          <w:b w:val="0"/>
          <w:bCs w:val="0"/>
        </w:rPr>
      </w:pPr>
      <w:bookmarkStart w:name="2、本企业的子公司情况" w:id="318"/>
      <w:bookmarkEnd w:id="31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line="595" w:lineRule="auto" w:before="0"/>
        <w:ind w:left="154" w:right="4552"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 </w:t>
      </w:r>
      <w:bookmarkStart w:name="3、本企业合营和联营企业情况" w:id="319"/>
      <w:bookmarkEnd w:id="31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本企业重要的合营或联营企业详见附注九、在其他主体中的权益。</w:t>
      </w:r>
    </w:p>
    <w:p>
      <w:pPr>
        <w:pStyle w:val="BodyText"/>
        <w:spacing w:line="240" w:lineRule="auto" w:before="7"/>
        <w:ind w:right="0"/>
        <w:jc w:val="left"/>
      </w:pPr>
      <w:r>
        <w:rPr/>
        <w:t>本期与本公司发生关联方交易，或前期与本公司发生关联方交易形成余额的其他合营或联营企业情况如下：</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289.857025pt;margin-top:73.833679pt;width:245.05pt;height:15.6pt;mso-position-horizontal-relative:page;mso-position-vertical-relative:paragraph;z-index:-110972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96.079987pt;margin-top:73.833679pt;width:238.85pt;height:35.75pt;mso-position-horizontal-relative:page;mso-position-vertical-relative:paragraph;z-index:-1109680" coordorigin="5922,1477" coordsize="4777,715">
            <v:group style="position:absolute;left:5922;top:1477;width:4777;height:312" coordorigin="5922,1477" coordsize="4777,312">
              <v:shape style="position:absolute;left:5922;top:1477;width:4777;height:312" coordorigin="5922,1477" coordsize="4777,312" path="m5922,1789l10698,1789,10698,1477,5922,1477,5922,1789xe" filled="true" fillcolor="#ffffff" stroked="false">
                <v:path arrowok="t"/>
                <v:fill type="solid"/>
              </v:shape>
            </v:group>
            <v:group style="position:absolute;left:5933;top:1789;width:2;height:392" coordorigin="5933,1789" coordsize="2,392">
              <v:shape style="position:absolute;left:5933;top:1789;width:2;height:392" coordorigin="5933,1789" coordsize="0,392" path="m5933,1789l5933,2180e" filled="false" stroked="true" strokeweight="1.140pt" strokecolor="#ffffff">
                <v:path arrowok="t"/>
              </v:shape>
            </v:group>
            <v:group style="position:absolute;left:5944;top:1789;width:4731;height:392" coordorigin="5944,1789" coordsize="4731,392">
              <v:shape style="position:absolute;left:5944;top:1789;width:4731;height:392" coordorigin="5944,1789" coordsize="4731,392" path="m5944,2180l10675,2180,10675,1789,5944,1789,5944,2180xe" filled="true" fillcolor="#ffffff" stroked="false">
                <v:path arrowok="t"/>
                <v:fill type="solid"/>
              </v:shape>
            </v:group>
            <w10:wrap type="none"/>
          </v:group>
        </w:pict>
      </w:r>
      <w:bookmarkStart w:name="4、其他关联方情况" w:id="320"/>
      <w:bookmarkEnd w:id="32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齐强、黄松浪、李毅【注</w:t>
            </w:r>
            <w:r>
              <w:rPr>
                <w:rFonts w:ascii="宋体" w:hAnsi="宋体" w:cs="宋体" w:eastAsia="宋体" w:hint="default"/>
                <w:spacing w:val="-90"/>
                <w:sz w:val="18"/>
                <w:szCs w:val="18"/>
              </w:rPr>
              <w:t>】</w:t>
            </w:r>
            <w:r>
              <w:rPr>
                <w:rFonts w:ascii="宋体" w:hAnsi="宋体" w:cs="宋体" w:eastAsia="宋体" w:hint="default"/>
                <w:sz w:val="18"/>
                <w:szCs w:val="18"/>
              </w:rPr>
              <w:t>、万能、徐斯平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公司其他主要自然人股东</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3"/>
              <w:jc w:val="both"/>
              <w:rPr>
                <w:rFonts w:ascii="宋体" w:hAnsi="宋体" w:cs="宋体" w:eastAsia="宋体" w:hint="default"/>
                <w:sz w:val="18"/>
                <w:szCs w:val="18"/>
              </w:rPr>
            </w:pPr>
            <w:r>
              <w:rPr>
                <w:rFonts w:ascii="宋体" w:hAnsi="宋体" w:cs="宋体" w:eastAsia="宋体" w:hint="default"/>
                <w:spacing w:val="-12"/>
                <w:sz w:val="18"/>
                <w:szCs w:val="18"/>
              </w:rPr>
              <w:t>翟一兵、江锡如、刘凯湘、蓝伯雄、黄涛【注】、罗建北【注】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刘豪、许芃、高峰、张振鹏、汪铖、朱建松、陶磊、李广刚、</w:t>
            </w:r>
            <w:r>
              <w:rPr>
                <w:rFonts w:ascii="宋体" w:hAnsi="宋体" w:cs="宋体" w:eastAsia="宋体" w:hint="default"/>
                <w:spacing w:val="-32"/>
                <w:sz w:val="18"/>
                <w:szCs w:val="18"/>
              </w:rPr>
              <w:t> </w:t>
            </w:r>
            <w:r>
              <w:rPr>
                <w:rFonts w:ascii="宋体" w:hAnsi="宋体" w:cs="宋体" w:eastAsia="宋体" w:hint="default"/>
                <w:sz w:val="18"/>
                <w:szCs w:val="18"/>
              </w:rPr>
              <w:t>丁彦超、郝岩、孙海粟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关键管理人员（不含主要个人股东）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华信永道科技有限公司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北京光合起缘网络科技有限公司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本企业关键管理人员控制的其他企业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北京漫游兄弟科技有限责任公司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本企业关键管理人员控制的其他企业</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46" w:lineRule="auto" w:before="5"/>
        <w:ind w:right="5723"/>
        <w:jc w:val="left"/>
      </w:pPr>
      <w:r>
        <w:rPr/>
        <w:t>其他说明： 李毅于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月起成为公司其他主要自然人股东； 黄涛于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日不在担任独立董事； 罗建北于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日担任独立董事。</w:t>
      </w:r>
    </w:p>
    <w:p>
      <w:pPr>
        <w:spacing w:line="240" w:lineRule="auto" w:before="10"/>
        <w:rPr>
          <w:rFonts w:ascii="宋体" w:hAnsi="宋体" w:cs="宋体" w:eastAsia="宋体" w:hint="default"/>
          <w:sz w:val="18"/>
          <w:szCs w:val="18"/>
        </w:rPr>
      </w:pPr>
    </w:p>
    <w:p>
      <w:pPr>
        <w:pStyle w:val="Heading3"/>
        <w:spacing w:line="240" w:lineRule="auto"/>
        <w:ind w:left="153" w:right="0"/>
        <w:jc w:val="left"/>
        <w:rPr>
          <w:b w:val="0"/>
          <w:bCs w:val="0"/>
        </w:rPr>
      </w:pPr>
      <w:bookmarkStart w:name="5、关联交易情况" w:id="321"/>
      <w:bookmarkEnd w:id="32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22"/>
      <w:bookmarkEnd w:id="32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神州泰岳顶策科技（北京）有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611,494.73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2,764,568.74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大连华信计算机技术股份有限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4,087,153.00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9,389,468.00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23"/>
      <w:bookmarkEnd w:id="32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947"/>
        <w:gridCol w:w="2393"/>
        <w:gridCol w:w="2393"/>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428,800.00</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神州泰岳顶策科技（北京）有限公 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569,490.80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3,686,096.40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2,730,658.80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华信永道（北京）科技有限公司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1,528,442.71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1,463,890.20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5,518,061.10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226,641.00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246,384.08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北京光合起缘网络科技有限公司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联担保情况" w:id="324"/>
      <w:bookmarkEnd w:id="324"/>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北京新媒传信科技有限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1" w:right="0"/>
              <w:jc w:val="lef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
        <w:ind w:left="154" w:right="93"/>
        <w:jc w:val="left"/>
      </w:pPr>
      <w:r>
        <w:rPr/>
        <w:t>本公司作为被担保方</w:t>
      </w:r>
    </w:p>
    <w:p>
      <w:pPr>
        <w:spacing w:line="240" w:lineRule="auto" w:before="11"/>
        <w:rPr>
          <w:rFonts w:ascii="宋体" w:hAnsi="宋体" w:cs="宋体" w:eastAsia="宋体" w:hint="default"/>
          <w:sz w:val="26"/>
          <w:szCs w:val="26"/>
        </w:rPr>
      </w:pPr>
    </w:p>
    <w:p>
      <w:pPr>
        <w:pStyle w:val="Heading3"/>
        <w:spacing w:line="240" w:lineRule="auto"/>
        <w:ind w:right="93"/>
        <w:jc w:val="left"/>
        <w:rPr>
          <w:b w:val="0"/>
          <w:bCs w:val="0"/>
        </w:rPr>
      </w:pPr>
      <w:bookmarkStart w:name="（4）关联方资金拆借" w:id="325"/>
      <w:bookmarkEnd w:id="325"/>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843"/>
        <w:gridCol w:w="1560"/>
        <w:gridCol w:w="1903"/>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财务资助，尚未归还</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5）关键管理人员报酬" w:id="326"/>
      <w:bookmarkEnd w:id="326"/>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6,563,000.00</w:t>
            </w: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6）其他关联交易" w:id="327"/>
      <w:bookmarkEnd w:id="327"/>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3"/>
        <w:jc w:val="left"/>
      </w:pPr>
      <w:r>
        <w:rPr/>
        <w:t>（</w:t>
      </w:r>
      <w:r>
        <w:rPr>
          <w:rFonts w:ascii="Times New Roman" w:hAnsi="Times New Roman" w:cs="Times New Roman" w:eastAsia="Times New Roman" w:hint="default"/>
        </w:rPr>
        <w:t>1</w:t>
      </w:r>
      <w:r>
        <w:rPr/>
        <w:t>）本公司支付给主要自然人股东的薪酬如下：</w:t>
      </w:r>
    </w:p>
    <w:p>
      <w:pPr>
        <w:pStyle w:val="BodyText"/>
        <w:spacing w:line="240" w:lineRule="auto" w:before="141"/>
        <w:ind w:left="5133" w:right="93"/>
        <w:jc w:val="left"/>
      </w:pPr>
      <w:r>
        <w:rPr/>
        <w:t>（金额单位：人民币万元）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356"/>
        <w:gridCol w:w="3141"/>
        <w:gridCol w:w="3162"/>
      </w:tblGrid>
      <w:tr>
        <w:trPr>
          <w:trHeight w:val="347" w:hRule="exact"/>
        </w:trPr>
        <w:tc>
          <w:tcPr>
            <w:tcW w:w="3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039"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c>
          <w:tcPr>
            <w:tcW w:w="3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55"/>
                <w:sz w:val="18"/>
                <w:szCs w:val="18"/>
              </w:rPr>
              <w:t> </w:t>
            </w:r>
            <w:r>
              <w:rPr>
                <w:rFonts w:ascii="宋体" w:hAnsi="宋体" w:cs="宋体" w:eastAsia="宋体" w:hint="default"/>
                <w:sz w:val="18"/>
                <w:szCs w:val="18"/>
              </w:rPr>
              <w:t>宁</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16.92</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22.83</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力</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16.92</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22.73</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齐</w:t>
            </w:r>
            <w:r>
              <w:rPr>
                <w:rFonts w:ascii="宋体" w:hAnsi="宋体" w:cs="宋体" w:eastAsia="宋体" w:hint="default"/>
                <w:spacing w:val="55"/>
                <w:sz w:val="18"/>
                <w:szCs w:val="18"/>
              </w:rPr>
              <w:t> </w:t>
            </w:r>
            <w:r>
              <w:rPr>
                <w:rFonts w:ascii="宋体" w:hAnsi="宋体" w:cs="宋体" w:eastAsia="宋体" w:hint="default"/>
                <w:sz w:val="18"/>
                <w:szCs w:val="18"/>
              </w:rPr>
              <w:t>强</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15.66</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21.46</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12.85</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毅【注】</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15.29</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55"/>
                <w:sz w:val="18"/>
                <w:szCs w:val="18"/>
              </w:rPr>
              <w:t> </w:t>
            </w:r>
            <w:r>
              <w:rPr>
                <w:rFonts w:ascii="宋体" w:hAnsi="宋体" w:cs="宋体" w:eastAsia="宋体" w:hint="default"/>
                <w:sz w:val="18"/>
                <w:szCs w:val="18"/>
              </w:rPr>
              <w:t>能</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15.18</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21.21</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r>
      <w:tr>
        <w:trPr>
          <w:trHeight w:val="34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79.97</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101.08</w:t>
            </w:r>
          </w:p>
        </w:tc>
      </w:tr>
    </w:tbl>
    <w:p>
      <w:pPr>
        <w:pStyle w:val="BodyText"/>
        <w:spacing w:line="240" w:lineRule="auto" w:before="88"/>
        <w:ind w:left="514" w:right="93"/>
        <w:jc w:val="left"/>
      </w:pPr>
      <w:r>
        <w:rPr/>
        <w:t>注：李毅于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月起成为公司主要自然人股东。</w:t>
      </w:r>
    </w:p>
    <w:p>
      <w:pPr>
        <w:spacing w:line="240" w:lineRule="auto" w:before="9"/>
        <w:rPr>
          <w:rFonts w:ascii="宋体" w:hAnsi="宋体" w:cs="宋体" w:eastAsia="宋体" w:hint="default"/>
          <w:sz w:val="16"/>
          <w:szCs w:val="16"/>
        </w:rPr>
      </w:pPr>
    </w:p>
    <w:p>
      <w:pPr>
        <w:pStyle w:val="BodyText"/>
        <w:spacing w:line="451" w:lineRule="auto"/>
        <w:ind w:right="191" w:firstLine="360"/>
        <w:jc w:val="both"/>
      </w:pPr>
      <w:r>
        <w:rPr>
          <w:spacing w:val="-1"/>
        </w:rPr>
        <w:t>（</w:t>
      </w:r>
      <w:r>
        <w:rPr>
          <w:rFonts w:ascii="Times New Roman" w:hAnsi="Times New Roman" w:cs="Times New Roman" w:eastAsia="Times New Roman" w:hint="default"/>
          <w:spacing w:val="-1"/>
        </w:rPr>
        <w:t>2</w:t>
      </w:r>
      <w:r>
        <w:rPr>
          <w:spacing w:val="-1"/>
        </w:rPr>
        <w:t>）报告期内，公司与关联方北京启天同信科技有限公司共同出资</w:t>
      </w:r>
      <w:r>
        <w:rPr>
          <w:rFonts w:ascii="Times New Roman" w:hAnsi="Times New Roman" w:cs="Times New Roman" w:eastAsia="Times New Roman" w:hint="default"/>
          <w:spacing w:val="-1"/>
        </w:rPr>
        <w:t>3,500</w:t>
      </w:r>
      <w:r>
        <w:rPr>
          <w:spacing w:val="-1"/>
        </w:rPr>
        <w:t>万元用于收购及增资北京神州泰岳智能数据技</w:t>
      </w:r>
      <w:r>
        <w:rPr/>
        <w:t> 术有限公司。其中公司出资</w:t>
      </w:r>
      <w:r>
        <w:rPr>
          <w:rFonts w:ascii="Times New Roman" w:hAnsi="Times New Roman" w:cs="Times New Roman" w:eastAsia="Times New Roman" w:hint="default"/>
        </w:rPr>
        <w:t>2,975</w:t>
      </w:r>
      <w:r>
        <w:rPr/>
        <w:t>万元，占北京神州泰岳智能数据技术有限公司的</w:t>
      </w:r>
      <w:r>
        <w:rPr>
          <w:rFonts w:ascii="Times New Roman" w:hAnsi="Times New Roman" w:cs="Times New Roman" w:eastAsia="Times New Roman" w:hint="default"/>
        </w:rPr>
        <w:t>85%</w:t>
      </w:r>
      <w:r>
        <w:rPr/>
        <w:t>股份。截至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日止，该收</w:t>
      </w:r>
      <w:r>
        <w:rPr>
          <w:spacing w:val="-18"/>
        </w:rPr>
        <w:t> </w:t>
      </w:r>
      <w:r>
        <w:rPr>
          <w:spacing w:val="-18"/>
        </w:rPr>
      </w:r>
      <w:r>
        <w:rPr/>
        <w:t>购及增资事项已完成。</w:t>
      </w:r>
    </w:p>
    <w:p>
      <w:pPr>
        <w:pStyle w:val="BodyText"/>
        <w:spacing w:line="451" w:lineRule="auto" w:before="74"/>
        <w:ind w:right="102" w:firstLine="360"/>
        <w:jc w:val="both"/>
      </w:pPr>
      <w:r>
        <w:rPr>
          <w:spacing w:val="-3"/>
        </w:rPr>
        <w:t>（</w:t>
      </w:r>
      <w:r>
        <w:rPr>
          <w:rFonts w:ascii="Times New Roman" w:hAnsi="Times New Roman" w:cs="Times New Roman" w:eastAsia="Times New Roman" w:hint="default"/>
          <w:spacing w:val="-3"/>
        </w:rPr>
        <w:t>3</w:t>
      </w:r>
      <w:r>
        <w:rPr>
          <w:spacing w:val="-3"/>
        </w:rPr>
        <w:t>）报告期内，公司与关联方北京漫游兄弟科技有限责任公司共同出资</w:t>
      </w:r>
      <w:r>
        <w:rPr>
          <w:rFonts w:ascii="Times New Roman" w:hAnsi="Times New Roman" w:cs="Times New Roman" w:eastAsia="Times New Roman" w:hint="default"/>
          <w:spacing w:val="-3"/>
        </w:rPr>
        <w:t>1,500</w:t>
      </w:r>
      <w:r>
        <w:rPr>
          <w:spacing w:val="-3"/>
        </w:rPr>
        <w:t>万元用于设立天津泰岳小漫科技有限公司。</w:t>
      </w:r>
      <w:r>
        <w:rPr/>
        <w:t> 其中公司出资</w:t>
      </w:r>
      <w:r>
        <w:rPr>
          <w:rFonts w:ascii="Times New Roman" w:hAnsi="Times New Roman" w:cs="Times New Roman" w:eastAsia="Times New Roman" w:hint="default"/>
        </w:rPr>
        <w:t>765</w:t>
      </w:r>
      <w:r>
        <w:rPr/>
        <w:t>万元，占天津泰岳小漫科技有限公司</w:t>
      </w:r>
      <w:r>
        <w:rPr>
          <w:rFonts w:ascii="Times New Roman" w:hAnsi="Times New Roman" w:cs="Times New Roman" w:eastAsia="Times New Roman" w:hint="default"/>
        </w:rPr>
        <w:t>51%</w:t>
      </w:r>
      <w:r>
        <w:rPr/>
        <w:t>股份。</w:t>
      </w:r>
    </w:p>
    <w:p>
      <w:pPr>
        <w:spacing w:after="0" w:line="451" w:lineRule="auto"/>
        <w:jc w:val="both"/>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6、关联方应收应付款项" w:id="328"/>
      <w:bookmarkEnd w:id="32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29"/>
      <w:bookmarkEnd w:id="32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57,465.20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2,873.26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北京华泰德丰技术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华信永道（北京）科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309,334.15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15,466.70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2,734,082.20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238,895.89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2,043,835.62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102,191.78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宁波泰岳梧桐投资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30"/>
      <w:bookmarkEnd w:id="33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996"/>
        <w:gridCol w:w="1790"/>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2,264,342.00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611,494.73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1,705,634.29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北京华信永道（北京）科技公司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北京光合起缘网络科技有限公司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北京华信永道（北京）科技公司</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124,790.64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294,358.50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132,696.47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北京光合起缘网络科技有限公司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331"/>
      <w:bookmarkEnd w:id="331"/>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332"/>
      <w:bookmarkEnd w:id="33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7,434,664.00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870,656.00</w:t>
            </w:r>
          </w:p>
        </w:tc>
      </w:tr>
      <w:tr>
        <w:trPr>
          <w:trHeight w:val="196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w:t>
            </w:r>
            <w:r>
              <w:rPr>
                <w:rFonts w:ascii="宋体" w:hAnsi="宋体" w:cs="宋体" w:eastAsia="宋体" w:hint="default"/>
                <w:spacing w:val="1"/>
                <w:sz w:val="18"/>
                <w:szCs w:val="18"/>
              </w:rPr>
              <w:t>润</w:t>
            </w:r>
            <w:r>
              <w:rPr>
                <w:rFonts w:ascii="宋体" w:hAnsi="宋体" w:cs="宋体" w:eastAsia="宋体" w:hint="default"/>
                <w:sz w:val="18"/>
                <w:szCs w:val="18"/>
              </w:rPr>
              <w:t>分配方案</w:t>
            </w:r>
            <w:r>
              <w:rPr>
                <w:rFonts w:ascii="宋体" w:hAnsi="宋体" w:cs="宋体" w:eastAsia="宋体" w:hint="default"/>
                <w:spacing w:val="-82"/>
                <w:sz w:val="18"/>
                <w:szCs w:val="18"/>
              </w:rPr>
              <w:t>，</w:t>
            </w:r>
            <w:r>
              <w:rPr>
                <w:rFonts w:ascii="宋体" w:hAnsi="宋体" w:cs="宋体" w:eastAsia="宋体" w:hint="default"/>
                <w:sz w:val="18"/>
                <w:szCs w:val="18"/>
              </w:rPr>
              <w:t>行权价格调整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年已实施每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元的利润分配方案，行权价格</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96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元的利润分配方案</w:t>
            </w:r>
            <w:r>
              <w:rPr>
                <w:rFonts w:ascii="宋体" w:hAnsi="宋体" w:cs="宋体" w:eastAsia="宋体" w:hint="default"/>
                <w:spacing w:val="-82"/>
                <w:sz w:val="18"/>
                <w:szCs w:val="18"/>
              </w:rPr>
              <w:t>，</w:t>
            </w:r>
            <w:r>
              <w:rPr>
                <w:rFonts w:ascii="宋体" w:hAnsi="宋体" w:cs="宋体" w:eastAsia="宋体" w:hint="default"/>
                <w:sz w:val="18"/>
                <w:szCs w:val="18"/>
              </w:rPr>
              <w:t>行权价格调整为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分配现金股利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元的利润分配方案，行权价格调整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0"/>
          <w:szCs w:val="20"/>
        </w:rPr>
      </w:pPr>
    </w:p>
    <w:p>
      <w:pPr>
        <w:pStyle w:val="BodyText"/>
        <w:spacing w:line="451" w:lineRule="auto"/>
        <w:ind w:right="148" w:firstLine="360"/>
        <w:jc w:val="both"/>
      </w:pPr>
      <w:r>
        <w:rPr/>
        <w:t>北京神州泰岳软件股份有限公司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日召开的第四届董事会第二十九次会议审议通过了《关于公司股权激励计 划所涉股票期权与限制性股票授予的议案》，股权激励计划规定的授予条件已经满足，公司董事会同意授予</w:t>
      </w:r>
      <w:r>
        <w:rPr>
          <w:rFonts w:ascii="Times New Roman" w:hAnsi="Times New Roman" w:cs="Times New Roman" w:eastAsia="Times New Roman" w:hint="default"/>
        </w:rPr>
        <w:t>360</w:t>
      </w:r>
      <w:r>
        <w:rPr/>
        <w:t>名激励对象</w:t>
      </w:r>
      <w:r>
        <w:rPr>
          <w:spacing w:val="-81"/>
        </w:rPr>
        <w:t> </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日。剔除</w:t>
      </w:r>
      <w:r>
        <w:rPr>
          <w:rFonts w:ascii="Times New Roman" w:hAnsi="Times New Roman" w:cs="Times New Roman" w:eastAsia="Times New Roman" w:hint="default"/>
        </w:rPr>
        <w:t>2012</w:t>
      </w:r>
      <w:r>
        <w:rPr/>
        <w:t>年度员工未认购的</w:t>
      </w:r>
      <w:r>
        <w:rPr>
          <w:rFonts w:ascii="Times New Roman" w:hAnsi="Times New Roman" w:cs="Times New Roman" w:eastAsia="Times New Roman" w:hint="default"/>
        </w:rPr>
        <w:t>316300</w:t>
      </w:r>
      <w:r>
        <w:rPr/>
        <w:t>份限制性股票，</w:t>
      </w:r>
      <w:r>
        <w:rPr>
          <w:rFonts w:ascii="Times New Roman" w:hAnsi="Times New Roman" w:cs="Times New Roman" w:eastAsia="Times New Roman" w:hint="default"/>
        </w:rPr>
        <w:t>2012</w:t>
      </w:r>
      <w:r>
        <w:rPr>
          <w:rFonts w:ascii="Times New Roman" w:hAnsi="Times New Roman" w:cs="Times New Roman" w:eastAsia="Times New Roman" w:hint="default"/>
          <w:spacing w:val="-38"/>
        </w:rPr>
        <w:t> </w:t>
      </w:r>
      <w:r>
        <w:rPr>
          <w:spacing w:val="-1"/>
        </w:rPr>
        <w:t>年度授予的各项期权工具总额为</w:t>
      </w:r>
      <w:r>
        <w:rPr>
          <w:rFonts w:ascii="Times New Roman" w:hAnsi="Times New Roman" w:cs="Times New Roman" w:eastAsia="Times New Roman" w:hint="default"/>
          <w:spacing w:val="-1"/>
        </w:rPr>
        <w:t>12,683,700</w:t>
      </w:r>
      <w:r>
        <w:rPr>
          <w:spacing w:val="-1"/>
        </w:rPr>
        <w:t>股，其中股票期权</w:t>
      </w:r>
      <w:r>
        <w:rPr>
          <w:rFonts w:ascii="Times New Roman" w:hAnsi="Times New Roman" w:cs="Times New Roman" w:eastAsia="Times New Roman" w:hint="default"/>
          <w:spacing w:val="-1"/>
        </w:rPr>
        <w:t>850</w:t>
      </w:r>
      <w:r>
        <w:rPr>
          <w:spacing w:val="-1"/>
        </w:rPr>
        <w:t>万份，限制性股票</w:t>
      </w:r>
      <w:r>
        <w:rPr>
          <w:rFonts w:ascii="Times New Roman" w:hAnsi="Times New Roman" w:cs="Times New Roman" w:eastAsia="Times New Roman" w:hint="default"/>
          <w:spacing w:val="-1"/>
        </w:rPr>
        <w:t>418.37</w:t>
      </w:r>
      <w:r>
        <w:rPr>
          <w:spacing w:val="-1"/>
        </w:rPr>
        <w:t>万股。因</w:t>
      </w:r>
      <w:r>
        <w:rPr>
          <w:rFonts w:ascii="Times New Roman" w:hAnsi="Times New Roman" w:cs="Times New Roman" w:eastAsia="Times New Roman" w:hint="default"/>
          <w:spacing w:val="-1"/>
        </w:rPr>
        <w:t>2012</w:t>
      </w:r>
      <w:r>
        <w:rPr>
          <w:spacing w:val="-1"/>
        </w:rPr>
        <w:t>年度股东大会决议通</w:t>
      </w:r>
      <w:r>
        <w:rPr>
          <w:spacing w:val="-65"/>
        </w:rPr>
        <w:t> </w:t>
      </w:r>
      <w:r>
        <w:rPr/>
        <w:t>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6</w:t>
      </w:r>
      <w:r>
        <w:rPr/>
        <w:t>股的股利分配政策，相应的各项期权工具总额变为</w:t>
      </w:r>
      <w:r>
        <w:rPr>
          <w:rFonts w:ascii="Times New Roman" w:hAnsi="Times New Roman" w:cs="Times New Roman" w:eastAsia="Times New Roman" w:hint="default"/>
        </w:rPr>
        <w:t>20,293,920</w:t>
      </w:r>
      <w:r>
        <w:rPr/>
        <w:t>股，其中股票期权</w:t>
      </w:r>
      <w:r>
        <w:rPr>
          <w:rFonts w:ascii="Times New Roman" w:hAnsi="Times New Roman" w:cs="Times New Roman" w:eastAsia="Times New Roman" w:hint="default"/>
        </w:rPr>
        <w:t>1360</w:t>
      </w:r>
      <w:r>
        <w:rPr/>
        <w:t>万份，限制性股票</w:t>
      </w:r>
      <w:r>
        <w:rPr>
          <w:rFonts w:ascii="Times New Roman" w:hAnsi="Times New Roman" w:cs="Times New Roman" w:eastAsia="Times New Roman" w:hint="default"/>
        </w:rPr>
        <w:t>669.392</w:t>
      </w:r>
      <w:r>
        <w:rPr/>
        <w:t>万</w:t>
      </w:r>
      <w:r>
        <w:rPr>
          <w:spacing w:val="-47"/>
        </w:rPr>
        <w:t> </w:t>
      </w:r>
      <w:r>
        <w:rPr>
          <w:spacing w:val="-1"/>
        </w:rPr>
        <w:t>股。因</w:t>
      </w:r>
      <w:r>
        <w:rPr>
          <w:rFonts w:ascii="Times New Roman" w:hAnsi="Times New Roman" w:cs="Times New Roman" w:eastAsia="Times New Roman" w:hint="default"/>
          <w:spacing w:val="-1"/>
        </w:rPr>
        <w:t>2013</w:t>
      </w:r>
      <w:r>
        <w:rPr>
          <w:spacing w:val="-1"/>
        </w:rPr>
        <w:t>年度股东大会决议通过</w:t>
      </w:r>
      <w:r>
        <w:rPr>
          <w:rFonts w:ascii="Times New Roman" w:hAnsi="Times New Roman" w:cs="Times New Roman" w:eastAsia="Times New Roman" w:hint="default"/>
          <w:spacing w:val="-1"/>
        </w:rPr>
        <w:t>10</w:t>
      </w:r>
      <w:r>
        <w:rPr>
          <w:spacing w:val="-1"/>
        </w:rPr>
        <w:t>股转</w:t>
      </w:r>
      <w:r>
        <w:rPr>
          <w:rFonts w:ascii="Times New Roman" w:hAnsi="Times New Roman" w:cs="Times New Roman" w:eastAsia="Times New Roman" w:hint="default"/>
          <w:spacing w:val="-1"/>
        </w:rPr>
        <w:t>10</w:t>
      </w:r>
      <w:r>
        <w:rPr>
          <w:spacing w:val="-1"/>
        </w:rPr>
        <w:t>股的股利分配政策，相应的各项期权工具总额变为</w:t>
      </w:r>
      <w:r>
        <w:rPr>
          <w:rFonts w:ascii="Times New Roman" w:hAnsi="Times New Roman" w:cs="Times New Roman" w:eastAsia="Times New Roman" w:hint="default"/>
          <w:spacing w:val="-1"/>
        </w:rPr>
        <w:t>40,587,840.00</w:t>
      </w:r>
      <w:r>
        <w:rPr>
          <w:spacing w:val="-1"/>
        </w:rPr>
        <w:t>股，其中股票期</w:t>
      </w:r>
      <w:r>
        <w:rPr>
          <w:spacing w:val="-68"/>
        </w:rPr>
        <w:t> </w:t>
      </w:r>
      <w:r>
        <w:rPr>
          <w:spacing w:val="-68"/>
        </w:rPr>
      </w:r>
      <w:r>
        <w:rPr/>
        <w:t>权</w:t>
      </w:r>
      <w:r>
        <w:rPr>
          <w:rFonts w:ascii="Times New Roman" w:hAnsi="Times New Roman" w:cs="Times New Roman" w:eastAsia="Times New Roman" w:hint="default"/>
        </w:rPr>
        <w:t>2720</w:t>
      </w:r>
      <w:r>
        <w:rPr/>
        <w:t>万份，限制性股票</w:t>
      </w:r>
      <w:r>
        <w:rPr>
          <w:rFonts w:ascii="Times New Roman" w:hAnsi="Times New Roman" w:cs="Times New Roman" w:eastAsia="Times New Roman" w:hint="default"/>
        </w:rPr>
        <w:t>1,338.78</w:t>
      </w:r>
      <w:r>
        <w:rPr/>
        <w:t>万股。</w:t>
      </w:r>
    </w:p>
    <w:p>
      <w:pPr>
        <w:pStyle w:val="BodyText"/>
        <w:spacing w:line="240" w:lineRule="auto" w:before="43"/>
        <w:ind w:left="513" w:right="0"/>
        <w:jc w:val="left"/>
      </w:pPr>
      <w:r>
        <w:rPr/>
        <w:t>本期因离职失效股份期权数为</w:t>
      </w:r>
      <w:r>
        <w:rPr>
          <w:rFonts w:ascii="Times New Roman" w:hAnsi="Times New Roman" w:cs="Times New Roman" w:eastAsia="Times New Roman" w:hint="default"/>
        </w:rPr>
        <w:t>688,800.00</w:t>
      </w:r>
      <w:r>
        <w:rPr/>
        <w:t>股，本期因离职失效限制性股票数为</w:t>
      </w:r>
      <w:r>
        <w:rPr>
          <w:rFonts w:ascii="Times New Roman" w:hAnsi="Times New Roman" w:cs="Times New Roman" w:eastAsia="Times New Roman" w:hint="default"/>
        </w:rPr>
        <w:t>181,856.00</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3" w:right="0"/>
        <w:jc w:val="left"/>
        <w:rPr>
          <w:b w:val="0"/>
          <w:bCs w:val="0"/>
        </w:rPr>
      </w:pPr>
      <w:bookmarkStart w:name="2、以权益结算的股份支付情况" w:id="333"/>
      <w:bookmarkEnd w:id="33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权益工具的数量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53,507,881.46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14" w:hRule="exact"/>
        </w:trPr>
        <w:tc>
          <w:tcPr>
            <w:tcW w:w="498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6,938,765.06</w:t>
            </w:r>
          </w:p>
        </w:tc>
      </w:tr>
    </w:tbl>
    <w:p>
      <w:pPr>
        <w:spacing w:line="240" w:lineRule="auto" w:before="6"/>
        <w:rPr>
          <w:rFonts w:ascii="宋体" w:hAnsi="宋体" w:cs="宋体" w:eastAsia="宋体" w:hint="default"/>
          <w:sz w:val="6"/>
          <w:szCs w:val="6"/>
        </w:rPr>
      </w:pPr>
    </w:p>
    <w:p>
      <w:pPr>
        <w:pStyle w:val="BodyText"/>
        <w:spacing w:line="240" w:lineRule="auto" w:before="44"/>
        <w:ind w:left="114" w:right="112"/>
        <w:jc w:val="left"/>
      </w:pPr>
      <w:r>
        <w:rPr/>
        <w:t>其他说明：</w:t>
      </w:r>
    </w:p>
    <w:p>
      <w:pPr>
        <w:spacing w:line="240" w:lineRule="auto" w:before="10"/>
        <w:rPr>
          <w:rFonts w:ascii="宋体" w:hAnsi="宋体" w:cs="宋体" w:eastAsia="宋体" w:hint="default"/>
          <w:sz w:val="20"/>
          <w:szCs w:val="20"/>
        </w:rPr>
      </w:pPr>
    </w:p>
    <w:p>
      <w:pPr>
        <w:pStyle w:val="BodyText"/>
        <w:spacing w:line="451" w:lineRule="auto"/>
        <w:ind w:left="113" w:right="289" w:firstLine="360"/>
        <w:jc w:val="both"/>
      </w:pPr>
      <w:r>
        <w:rPr/>
        <w:t>经本公司</w:t>
      </w:r>
      <w:r>
        <w:rPr>
          <w:rFonts w:ascii="Times New Roman" w:hAnsi="Times New Roman" w:cs="Times New Roman" w:eastAsia="Times New Roman" w:hint="default"/>
        </w:rPr>
        <w:t>2012</w:t>
      </w:r>
      <w:r>
        <w:rPr/>
        <w:t>年度第一次临时股东大会于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日审议批准，本公司于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日起实行一项股份期权计划。 据此，本公司董事会获授权酌情授予本公司</w:t>
      </w:r>
    </w:p>
    <w:p>
      <w:pPr>
        <w:pStyle w:val="BodyText"/>
        <w:spacing w:line="451" w:lineRule="auto" w:before="74"/>
        <w:ind w:left="113" w:right="290" w:firstLine="360"/>
        <w:jc w:val="both"/>
      </w:pPr>
      <w:r>
        <w:rPr/>
        <w:t>中层管理人员、核心技术（业务）人员共</w:t>
      </w:r>
      <w:r>
        <w:rPr>
          <w:rFonts w:ascii="Times New Roman" w:hAnsi="Times New Roman" w:cs="Times New Roman" w:eastAsia="Times New Roman" w:hint="default"/>
        </w:rPr>
        <w:t>370</w:t>
      </w:r>
      <w:r>
        <w:rPr/>
        <w:t>人</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万份限制性股票。经本公司第四届董事会第三十 </w:t>
      </w:r>
      <w:r>
        <w:rPr>
          <w:spacing w:val="-2"/>
        </w:rPr>
        <w:t>次会议于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日审议批准，同意取消</w:t>
      </w:r>
      <w:r>
        <w:rPr>
          <w:rFonts w:ascii="Times New Roman" w:hAnsi="Times New Roman" w:cs="Times New Roman" w:eastAsia="Times New Roman" w:hint="default"/>
          <w:spacing w:val="-2"/>
        </w:rPr>
        <w:t>25</w:t>
      </w:r>
      <w:r>
        <w:rPr>
          <w:spacing w:val="-2"/>
        </w:rPr>
        <w:t>名限制性股票授予人因资金原因自愿全部或部分放弃认购获授份额，本次限</w:t>
      </w:r>
      <w:r>
        <w:rPr>
          <w:spacing w:val="-54"/>
        </w:rPr>
        <w:t> </w:t>
      </w:r>
      <w:r>
        <w:rPr>
          <w:spacing w:val="-54"/>
        </w:rPr>
      </w:r>
      <w:r>
        <w:rPr/>
        <w:t>制性股票最终授予及认购的情况为：限制性股票激励计划激励对象</w:t>
      </w:r>
      <w:r>
        <w:rPr>
          <w:rFonts w:ascii="Times New Roman" w:hAnsi="Times New Roman" w:cs="Times New Roman" w:eastAsia="Times New Roman" w:hint="default"/>
        </w:rPr>
        <w:t>185</w:t>
      </w:r>
      <w:r>
        <w:rPr/>
        <w:t>人，限制性股票数量</w:t>
      </w:r>
      <w:r>
        <w:rPr>
          <w:rFonts w:ascii="Times New Roman" w:hAnsi="Times New Roman" w:cs="Times New Roman" w:eastAsia="Times New Roman" w:hint="default"/>
        </w:rPr>
        <w:t>418.37</w:t>
      </w:r>
      <w:r>
        <w:rPr/>
        <w:t>万份。</w:t>
      </w:r>
    </w:p>
    <w:p>
      <w:pPr>
        <w:pStyle w:val="BodyText"/>
        <w:spacing w:line="451" w:lineRule="auto" w:before="43"/>
        <w:ind w:left="113" w:right="290" w:firstLine="360"/>
        <w:jc w:val="both"/>
      </w:pPr>
      <w:r>
        <w:rPr/>
        <w:t>本次限制性股票授予日为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日，授予价格为</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股。公司授予激励对象的限制性股票自授予之日起</w:t>
      </w:r>
      <w:r>
        <w:rPr>
          <w:rFonts w:ascii="Times New Roman" w:hAnsi="Times New Roman" w:cs="Times New Roman" w:eastAsia="Times New Roman" w:hint="default"/>
        </w:rPr>
        <w:t>12</w:t>
      </w:r>
      <w:r>
        <w:rPr/>
        <w:t>个月</w:t>
      </w:r>
      <w:r>
        <w:rPr>
          <w:spacing w:val="1"/>
        </w:rPr>
        <w:t> </w:t>
      </w:r>
      <w:r>
        <w:rPr>
          <w:spacing w:val="-2"/>
        </w:rPr>
        <w:t>为锁定期；锁定期内，激励对象通过本计划持有的限制性股票将被锁定不得转让、用于担保或偿还债务。锁定期后</w:t>
      </w:r>
      <w:r>
        <w:rPr>
          <w:rFonts w:ascii="Times New Roman" w:hAnsi="Times New Roman" w:cs="Times New Roman" w:eastAsia="Times New Roman" w:hint="default"/>
          <w:spacing w:val="-2"/>
        </w:rPr>
        <w:t>48</w:t>
      </w:r>
      <w:r>
        <w:rPr>
          <w:spacing w:val="-2"/>
        </w:rPr>
        <w:t>个月为</w:t>
      </w:r>
      <w:r>
        <w:rPr>
          <w:spacing w:val="-64"/>
        </w:rPr>
        <w:t> </w:t>
      </w:r>
      <w:r>
        <w:rPr>
          <w:spacing w:val="-2"/>
        </w:rPr>
        <w:t>解锁期，在解锁期内，在满足本激励计划规定的解锁条件时，激励对象可分四次申请标的股票解锁，分别自授予日起</w:t>
      </w:r>
      <w:r>
        <w:rPr>
          <w:rFonts w:ascii="Times New Roman" w:hAnsi="Times New Roman" w:cs="Times New Roman" w:eastAsia="Times New Roman" w:hint="default"/>
          <w:spacing w:val="-2"/>
        </w:rPr>
        <w:t>12</w:t>
      </w:r>
      <w:r>
        <w:rPr>
          <w:spacing w:val="-2"/>
        </w:rPr>
        <w:t>个月</w:t>
      </w:r>
      <w:r>
        <w:rPr>
          <w:spacing w:val="-64"/>
        </w:rPr>
        <w:t> </w:t>
      </w:r>
      <w:r>
        <w:rPr/>
        <w:t>后、</w:t>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个月及</w:t>
      </w:r>
      <w:r>
        <w:rPr>
          <w:rFonts w:ascii="Times New Roman" w:hAnsi="Times New Roman" w:cs="Times New Roman" w:eastAsia="Times New Roman" w:hint="default"/>
        </w:rPr>
        <w:t>48</w:t>
      </w:r>
      <w:r>
        <w:rPr/>
        <w:t>个月后后分别申请解锁所获授限制性股票总量的</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pStyle w:val="BodyText"/>
        <w:spacing w:line="451" w:lineRule="auto" w:before="43"/>
        <w:ind w:left="113" w:right="292" w:firstLine="360"/>
        <w:jc w:val="both"/>
      </w:pPr>
      <w:r>
        <w:rPr>
          <w:spacing w:val="-2"/>
        </w:rPr>
        <w:t>本次股份期权授予日为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日，行权价格为</w:t>
      </w:r>
      <w:r>
        <w:rPr>
          <w:rFonts w:ascii="Times New Roman" w:hAnsi="Times New Roman" w:cs="Times New Roman" w:eastAsia="Times New Roman" w:hint="default"/>
          <w:spacing w:val="-2"/>
        </w:rPr>
        <w:t>18.30</w:t>
      </w:r>
      <w:r>
        <w:rPr>
          <w:spacing w:val="-2"/>
        </w:rPr>
        <w:t>元</w:t>
      </w:r>
      <w:r>
        <w:rPr>
          <w:rFonts w:ascii="Times New Roman" w:hAnsi="Times New Roman" w:cs="Times New Roman" w:eastAsia="Times New Roman" w:hint="default"/>
          <w:spacing w:val="-2"/>
        </w:rPr>
        <w:t>/</w:t>
      </w:r>
      <w:r>
        <w:rPr>
          <w:spacing w:val="-2"/>
        </w:rPr>
        <w:t>股。本次股份期权的权利自首次授权日起满</w:t>
      </w:r>
      <w:r>
        <w:rPr>
          <w:rFonts w:ascii="Times New Roman" w:hAnsi="Times New Roman" w:cs="Times New Roman" w:eastAsia="Times New Roman" w:hint="default"/>
          <w:spacing w:val="-2"/>
        </w:rPr>
        <w:t>12</w:t>
      </w:r>
      <w:r>
        <w:rPr>
          <w:spacing w:val="-2"/>
        </w:rPr>
        <w:t>个月后，股权</w:t>
      </w:r>
      <w:r>
        <w:rPr/>
        <w:t> 授予对象应在未来</w:t>
      </w:r>
      <w:r>
        <w:rPr>
          <w:rFonts w:ascii="Times New Roman" w:hAnsi="Times New Roman" w:cs="Times New Roman" w:eastAsia="Times New Roman" w:hint="default"/>
        </w:rPr>
        <w:t>48</w:t>
      </w:r>
      <w:r>
        <w:rPr/>
        <w:t>个月内分四期行权</w:t>
      </w:r>
      <w:r>
        <w:rPr>
          <w:rFonts w:ascii="Times New Roman" w:hAnsi="Times New Roman" w:cs="Times New Roman" w:eastAsia="Times New Roman" w:hint="default"/>
        </w:rPr>
        <w:t>, </w:t>
      </w:r>
      <w:r>
        <w:rPr>
          <w:spacing w:val="-3"/>
        </w:rPr>
        <w:t>可行权数量占获授期权数量比例依次为</w:t>
      </w:r>
      <w:r>
        <w:rPr>
          <w:rFonts w:ascii="Times New Roman" w:hAnsi="Times New Roman" w:cs="Times New Roman" w:eastAsia="Times New Roman" w:hint="default"/>
          <w:spacing w:val="-3"/>
        </w:rPr>
        <w:t>20%</w:t>
      </w:r>
      <w:r>
        <w:rPr>
          <w:spacing w:val="-3"/>
        </w:rPr>
        <w:t>、</w:t>
      </w:r>
      <w:r>
        <w:rPr>
          <w:rFonts w:ascii="Times New Roman" w:hAnsi="Times New Roman" w:cs="Times New Roman" w:eastAsia="Times New Roman" w:hint="default"/>
          <w:spacing w:val="-3"/>
        </w:rPr>
        <w:t>20%</w:t>
      </w:r>
      <w:r>
        <w:rPr>
          <w:spacing w:val="-3"/>
        </w:rPr>
        <w:t>、</w:t>
      </w: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30%</w:t>
      </w:r>
      <w:r>
        <w:rPr>
          <w:spacing w:val="-3"/>
        </w:rPr>
        <w:t>。每份股份期权赋予</w:t>
      </w:r>
      <w:r>
        <w:rPr>
          <w:spacing w:val="-72"/>
        </w:rPr>
        <w:t> </w:t>
      </w:r>
      <w:r>
        <w:rPr>
          <w:spacing w:val="-72"/>
        </w:rPr>
      </w:r>
      <w:r>
        <w:rPr/>
        <w:t>持有人认购</w:t>
      </w:r>
      <w:r>
        <w:rPr>
          <w:rFonts w:ascii="Times New Roman" w:hAnsi="Times New Roman" w:cs="Times New Roman" w:eastAsia="Times New Roman" w:hint="default"/>
        </w:rPr>
        <w:t>1</w:t>
      </w:r>
      <w:r>
        <w:rPr/>
        <w:t>股本公司普通股的权利。</w:t>
      </w:r>
    </w:p>
    <w:p>
      <w:pPr>
        <w:pStyle w:val="BodyText"/>
        <w:spacing w:line="451" w:lineRule="auto" w:before="43"/>
        <w:ind w:left="113" w:right="112" w:firstLine="360"/>
        <w:jc w:val="left"/>
      </w:pPr>
      <w:r>
        <w:rPr/>
        <w:t>公司</w:t>
      </w:r>
      <w:r>
        <w:rPr>
          <w:rFonts w:ascii="Times New Roman" w:hAnsi="Times New Roman" w:cs="Times New Roman" w:eastAsia="Times New Roman" w:hint="default"/>
        </w:rPr>
        <w:t>2012</w:t>
      </w:r>
      <w:r>
        <w:rPr/>
        <w:t>年已授予的权益工具数量为</w:t>
      </w:r>
      <w:r>
        <w:rPr>
          <w:rFonts w:ascii="Times New Roman" w:hAnsi="Times New Roman" w:cs="Times New Roman" w:eastAsia="Times New Roman" w:hint="default"/>
        </w:rPr>
        <w:t>12,683,700</w:t>
      </w:r>
      <w:r>
        <w:rPr/>
        <w:t>股，至报告期末因</w:t>
      </w:r>
      <w:r>
        <w:rPr>
          <w:rFonts w:ascii="Times New Roman" w:hAnsi="Times New Roman" w:cs="Times New Roman" w:eastAsia="Times New Roman" w:hint="default"/>
        </w:rPr>
        <w:t>8</w:t>
      </w:r>
      <w:r>
        <w:rPr/>
        <w:t>名激励对象离职不符合激励条件，获授的</w:t>
      </w:r>
      <w:r>
        <w:rPr>
          <w:rFonts w:ascii="Times New Roman" w:hAnsi="Times New Roman" w:cs="Times New Roman" w:eastAsia="Times New Roman" w:hint="default"/>
        </w:rPr>
        <w:t>15,000</w:t>
      </w:r>
      <w:r>
        <w:rPr/>
        <w:t>股限</w:t>
      </w:r>
      <w:r>
        <w:rPr>
          <w:spacing w:val="-2"/>
        </w:rPr>
        <w:t> </w:t>
      </w:r>
      <w:r>
        <w:rPr>
          <w:spacing w:val="-1"/>
        </w:rPr>
        <w:t>制性股票及</w:t>
      </w:r>
      <w:r>
        <w:rPr>
          <w:rFonts w:ascii="Times New Roman" w:hAnsi="Times New Roman" w:cs="Times New Roman" w:eastAsia="Times New Roman" w:hint="default"/>
          <w:spacing w:val="-1"/>
        </w:rPr>
        <w:t>210,000</w:t>
      </w:r>
      <w:r>
        <w:rPr>
          <w:spacing w:val="-1"/>
        </w:rPr>
        <w:t>份股票期权失效。公司按授予日的公允价值确认本次激励的限制性股票及股份期权总成本为</w:t>
      </w:r>
      <w:r>
        <w:rPr>
          <w:rFonts w:ascii="Times New Roman" w:hAnsi="Times New Roman" w:cs="Times New Roman" w:eastAsia="Times New Roman" w:hint="default"/>
          <w:spacing w:val="-1"/>
        </w:rPr>
        <w:t>3,438.16</w:t>
      </w:r>
      <w:r>
        <w:rPr>
          <w:spacing w:val="-1"/>
        </w:rPr>
        <w:t>万元，</w:t>
      </w:r>
      <w:r>
        <w:rPr>
          <w:spacing w:val="-67"/>
        </w:rPr>
        <w:t> </w:t>
      </w:r>
      <w:r>
        <w:rPr/>
        <w:t>并将在激励计划实施期间内进行分摊，本期分摊的成本</w:t>
      </w:r>
      <w:r>
        <w:rPr>
          <w:rFonts w:ascii="Times New Roman" w:hAnsi="Times New Roman" w:cs="Times New Roman" w:eastAsia="Times New Roman" w:hint="default"/>
        </w:rPr>
        <w:t>544.38</w:t>
      </w:r>
      <w:r>
        <w:rPr/>
        <w:t>万元已计入当期管理费用并作为经常性损益列支，同时计入资 本公积</w:t>
      </w:r>
      <w:r>
        <w:rPr>
          <w:rFonts w:ascii="Times New Roman" w:hAnsi="Times New Roman" w:cs="Times New Roman" w:eastAsia="Times New Roman" w:hint="default"/>
        </w:rPr>
        <w:t>-</w:t>
      </w:r>
      <w:r>
        <w:rPr/>
        <w:t>其他资本公积。</w:t>
      </w:r>
    </w:p>
    <w:p>
      <w:pPr>
        <w:pStyle w:val="BodyText"/>
        <w:spacing w:line="451" w:lineRule="auto" w:before="43"/>
        <w:ind w:left="473" w:right="112"/>
        <w:jc w:val="left"/>
      </w:pPr>
      <w:r>
        <w:rPr/>
        <w:t>因</w:t>
      </w:r>
      <w:r>
        <w:rPr>
          <w:rFonts w:ascii="Times New Roman" w:hAnsi="Times New Roman" w:cs="Times New Roman" w:eastAsia="Times New Roman" w:hint="default"/>
        </w:rPr>
        <w:t>2012</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6</w:t>
      </w:r>
      <w:r>
        <w:rPr/>
        <w:t>股的股利分配政策，相应的各项期权工具总额变为</w:t>
      </w:r>
      <w:r>
        <w:rPr>
          <w:rFonts w:ascii="Times New Roman" w:hAnsi="Times New Roman" w:cs="Times New Roman" w:eastAsia="Times New Roman" w:hint="default"/>
        </w:rPr>
        <w:t>20,293,920</w:t>
      </w:r>
      <w:r>
        <w:rPr/>
        <w:t>股。 本年度公司因</w:t>
      </w:r>
      <w:r>
        <w:rPr>
          <w:rFonts w:ascii="Times New Roman" w:hAnsi="Times New Roman" w:cs="Times New Roman" w:eastAsia="Times New Roman" w:hint="default"/>
        </w:rPr>
        <w:t>39</w:t>
      </w:r>
      <w:r>
        <w:rPr/>
        <w:t>名激励对象离职不符合激励条件，获授的</w:t>
      </w:r>
      <w:r>
        <w:rPr>
          <w:rFonts w:ascii="Times New Roman" w:hAnsi="Times New Roman" w:cs="Times New Roman" w:eastAsia="Times New Roman" w:hint="default"/>
        </w:rPr>
        <w:t>338,800</w:t>
      </w:r>
      <w:r>
        <w:rPr/>
        <w:t>股限制性股票及</w:t>
      </w:r>
      <w:r>
        <w:rPr>
          <w:rFonts w:ascii="Times New Roman" w:hAnsi="Times New Roman" w:cs="Times New Roman" w:eastAsia="Times New Roman" w:hint="default"/>
        </w:rPr>
        <w:t>1,391,200</w:t>
      </w:r>
      <w:r>
        <w:rPr/>
        <w:t>份股票期权失效。公司按授</w:t>
      </w:r>
    </w:p>
    <w:p>
      <w:pPr>
        <w:pStyle w:val="BodyText"/>
        <w:spacing w:line="451" w:lineRule="auto" w:before="43"/>
        <w:ind w:left="114" w:right="291"/>
        <w:jc w:val="left"/>
      </w:pPr>
      <w:r>
        <w:rPr/>
        <w:t>予日的公允价值确认本次激励的限制性股票及股份期权总成本为</w:t>
      </w:r>
      <w:r>
        <w:rPr>
          <w:rFonts w:ascii="Times New Roman" w:hAnsi="Times New Roman" w:cs="Times New Roman" w:eastAsia="Times New Roman" w:hint="default"/>
        </w:rPr>
        <w:t>3,129.89</w:t>
      </w:r>
      <w:r>
        <w:rPr/>
        <w:t>万元，并将在激励计划实施期间内进行分摊，本期</w:t>
      </w:r>
      <w:r>
        <w:rPr>
          <w:spacing w:val="-84"/>
        </w:rPr>
        <w:t> </w:t>
      </w:r>
      <w:r>
        <w:rPr>
          <w:spacing w:val="-84"/>
        </w:rPr>
      </w:r>
      <w:r>
        <w:rPr/>
        <w:t>分摊的成本</w:t>
      </w:r>
      <w:r>
        <w:rPr>
          <w:rFonts w:ascii="Times New Roman" w:hAnsi="Times New Roman" w:cs="Times New Roman" w:eastAsia="Times New Roman" w:hint="default"/>
        </w:rPr>
        <w:t>1,229.23</w:t>
      </w:r>
      <w:r>
        <w:rPr/>
        <w:t>万元已计入当期管理费用并作为经常性损益列支，同时计入资本公积</w:t>
      </w:r>
      <w:r>
        <w:rPr>
          <w:rFonts w:ascii="Times New Roman" w:hAnsi="Times New Roman" w:cs="Times New Roman" w:eastAsia="Times New Roman" w:hint="default"/>
        </w:rPr>
        <w:t>-</w:t>
      </w:r>
      <w:r>
        <w:rPr/>
        <w:t>其他资本公积。</w:t>
      </w:r>
    </w:p>
    <w:p>
      <w:pPr>
        <w:pStyle w:val="BodyText"/>
        <w:spacing w:line="451" w:lineRule="auto" w:before="43"/>
        <w:ind w:left="473" w:right="112"/>
        <w:jc w:val="left"/>
      </w:pPr>
      <w:r>
        <w:rPr/>
        <w:t>因</w:t>
      </w:r>
      <w:r>
        <w:rPr>
          <w:rFonts w:ascii="Times New Roman" w:hAnsi="Times New Roman" w:cs="Times New Roman" w:eastAsia="Times New Roman" w:hint="default"/>
        </w:rPr>
        <w:t>2013</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10</w:t>
      </w:r>
      <w:r>
        <w:rPr/>
        <w:t>股的股利分配政策，相应的各项期权工具总额变为</w:t>
      </w:r>
      <w:r>
        <w:rPr>
          <w:rFonts w:ascii="Times New Roman" w:hAnsi="Times New Roman" w:cs="Times New Roman" w:eastAsia="Times New Roman" w:hint="default"/>
        </w:rPr>
        <w:t>40,587,840</w:t>
      </w:r>
      <w:r>
        <w:rPr/>
        <w:t>股。 </w:t>
      </w:r>
      <w:r>
        <w:rPr>
          <w:spacing w:val="-2"/>
        </w:rPr>
        <w:t>本年度公司因</w:t>
      </w:r>
      <w:r>
        <w:rPr>
          <w:rFonts w:ascii="Times New Roman" w:hAnsi="Times New Roman" w:cs="Times New Roman" w:eastAsia="Times New Roman" w:hint="default"/>
          <w:spacing w:val="-2"/>
        </w:rPr>
        <w:t>7</w:t>
      </w:r>
      <w:r>
        <w:rPr>
          <w:spacing w:val="-2"/>
        </w:rPr>
        <w:t>名激励对象离职不符合激励条件，获授的</w:t>
      </w:r>
      <w:r>
        <w:rPr>
          <w:rFonts w:ascii="Times New Roman" w:hAnsi="Times New Roman" w:cs="Times New Roman" w:eastAsia="Times New Roman" w:hint="default"/>
          <w:spacing w:val="-2"/>
        </w:rPr>
        <w:t>181,856</w:t>
      </w:r>
      <w:r>
        <w:rPr>
          <w:spacing w:val="-2"/>
        </w:rPr>
        <w:t>股限制性股票及</w:t>
      </w:r>
      <w:r>
        <w:rPr>
          <w:rFonts w:ascii="Times New Roman" w:hAnsi="Times New Roman" w:cs="Times New Roman" w:eastAsia="Times New Roman" w:hint="default"/>
          <w:spacing w:val="-2"/>
        </w:rPr>
        <w:t>688,800</w:t>
      </w:r>
      <w:r>
        <w:rPr>
          <w:spacing w:val="-2"/>
        </w:rPr>
        <w:t>份股票期权失效。公司按授予日</w:t>
      </w:r>
    </w:p>
    <w:p>
      <w:pPr>
        <w:pStyle w:val="BodyText"/>
        <w:spacing w:line="451" w:lineRule="auto" w:before="43"/>
        <w:ind w:left="114" w:right="291"/>
        <w:jc w:val="left"/>
      </w:pPr>
      <w:r>
        <w:rPr/>
        <w:t>的公允价值确认本次激励的限制性股票及股份期权总成本为</w:t>
      </w:r>
      <w:r>
        <w:rPr>
          <w:rFonts w:ascii="Times New Roman" w:hAnsi="Times New Roman" w:cs="Times New Roman" w:eastAsia="Times New Roman" w:hint="default"/>
        </w:rPr>
        <w:t>3,052.56</w:t>
      </w:r>
      <w:r>
        <w:rPr/>
        <w:t>万元，并将在激励计划实施期间内进行分摊，本期分摊</w:t>
      </w:r>
      <w:r>
        <w:rPr>
          <w:spacing w:val="-85"/>
        </w:rPr>
        <w:t> </w:t>
      </w:r>
      <w:r>
        <w:rPr>
          <w:spacing w:val="-85"/>
        </w:rPr>
      </w:r>
      <w:r>
        <w:rPr/>
        <w:t>的成本</w:t>
      </w:r>
      <w:r>
        <w:rPr>
          <w:rFonts w:ascii="Times New Roman" w:hAnsi="Times New Roman" w:cs="Times New Roman" w:eastAsia="Times New Roman" w:hint="default"/>
        </w:rPr>
        <w:t>693.88</w:t>
      </w:r>
      <w:r>
        <w:rPr/>
        <w:t>万元已计入当期管理费用并作为经常性损益列支，同时计入资本公积</w:t>
      </w:r>
      <w:r>
        <w:rPr>
          <w:rFonts w:ascii="Times New Roman" w:hAnsi="Times New Roman" w:cs="Times New Roman" w:eastAsia="Times New Roman" w:hint="default"/>
        </w:rPr>
        <w:t>-</w:t>
      </w:r>
      <w:r>
        <w:rPr/>
        <w:t>其他资本公积。</w:t>
      </w:r>
    </w:p>
    <w:p>
      <w:pPr>
        <w:spacing w:line="240" w:lineRule="auto" w:before="6"/>
        <w:rPr>
          <w:rFonts w:ascii="宋体" w:hAnsi="宋体" w:cs="宋体" w:eastAsia="宋体" w:hint="default"/>
          <w:sz w:val="18"/>
          <w:szCs w:val="18"/>
        </w:rPr>
      </w:pPr>
    </w:p>
    <w:p>
      <w:pPr>
        <w:pStyle w:val="Heading3"/>
        <w:spacing w:line="240" w:lineRule="auto"/>
        <w:ind w:left="114" w:right="112"/>
        <w:jc w:val="left"/>
        <w:rPr>
          <w:b w:val="0"/>
          <w:bCs w:val="0"/>
        </w:rPr>
      </w:pPr>
      <w:bookmarkStart w:name="3、以现金结算的股份支付情况" w:id="334"/>
      <w:bookmarkEnd w:id="33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4" w:right="1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1020" w:right="84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4、股份支付的修改、终止情况" w:id="335"/>
      <w:bookmarkEnd w:id="33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b/>
          <w:bCs/>
          <w:sz w:val="24"/>
          <w:szCs w:val="24"/>
        </w:rPr>
      </w:pPr>
    </w:p>
    <w:p>
      <w:pPr>
        <w:pStyle w:val="Heading2"/>
        <w:spacing w:line="240" w:lineRule="auto"/>
        <w:ind w:right="0"/>
        <w:jc w:val="left"/>
        <w:rPr>
          <w:b w:val="0"/>
          <w:bCs w:val="0"/>
        </w:rPr>
      </w:pPr>
      <w:bookmarkStart w:name="十四、承诺及或有事项" w:id="336"/>
      <w:bookmarkEnd w:id="336"/>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37"/>
      <w:bookmarkEnd w:id="33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54" w:right="0"/>
        <w:jc w:val="left"/>
      </w:pPr>
      <w:r>
        <w:rPr/>
        <w:t>资产负债表日存在的重要承诺</w:t>
      </w:r>
    </w:p>
    <w:p>
      <w:pPr>
        <w:spacing w:line="240" w:lineRule="auto" w:before="1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908"/>
        <w:gridCol w:w="1622"/>
        <w:gridCol w:w="1274"/>
        <w:gridCol w:w="1276"/>
        <w:gridCol w:w="1277"/>
      </w:tblGrid>
      <w:tr>
        <w:trPr>
          <w:trHeight w:val="347" w:hRule="exact"/>
        </w:trPr>
        <w:tc>
          <w:tcPr>
            <w:tcW w:w="39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49" w:val="left" w:leader="none"/>
              </w:tabs>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502" w:right="0"/>
              <w:jc w:val="left"/>
              <w:rPr>
                <w:rFonts w:ascii="宋体" w:hAnsi="宋体" w:cs="宋体" w:eastAsia="宋体" w:hint="default"/>
                <w:sz w:val="15"/>
                <w:szCs w:val="15"/>
              </w:rPr>
            </w:pPr>
            <w:r>
              <w:rPr>
                <w:rFonts w:ascii="宋体" w:hAnsi="宋体" w:cs="宋体" w:eastAsia="宋体" w:hint="default"/>
                <w:sz w:val="15"/>
                <w:szCs w:val="15"/>
              </w:rPr>
              <w:t>开户银行</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104" w:right="0"/>
              <w:jc w:val="left"/>
              <w:rPr>
                <w:rFonts w:ascii="宋体" w:hAnsi="宋体" w:cs="宋体" w:eastAsia="宋体" w:hint="default"/>
                <w:sz w:val="15"/>
                <w:szCs w:val="15"/>
              </w:rPr>
            </w:pPr>
            <w:r>
              <w:rPr>
                <w:rFonts w:ascii="宋体" w:hAnsi="宋体" w:cs="宋体" w:eastAsia="宋体" w:hint="default"/>
                <w:sz w:val="15"/>
                <w:szCs w:val="15"/>
              </w:rPr>
              <w:t>保函金额（元）</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保证金比例</w:t>
            </w:r>
            <w:r>
              <w:rPr>
                <w:rFonts w:ascii="Times New Roman" w:hAnsi="Times New Roman" w:cs="Times New Roman" w:eastAsia="Times New Roman" w:hint="default"/>
                <w:sz w:val="15"/>
                <w:szCs w:val="15"/>
              </w:rPr>
              <w:t>(%)</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29"/>
              <w:jc w:val="right"/>
              <w:rPr>
                <w:rFonts w:ascii="宋体" w:hAnsi="宋体" w:cs="宋体" w:eastAsia="宋体" w:hint="default"/>
                <w:sz w:val="15"/>
                <w:szCs w:val="15"/>
              </w:rPr>
            </w:pPr>
            <w:r>
              <w:rPr>
                <w:rFonts w:ascii="宋体" w:hAnsi="宋体" w:cs="宋体" w:eastAsia="宋体" w:hint="default"/>
                <w:sz w:val="15"/>
                <w:szCs w:val="15"/>
              </w:rPr>
              <w:t>保证金金额（元）</w:t>
            </w: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4"/>
              <w:ind w:left="2" w:right="138"/>
              <w:jc w:val="left"/>
              <w:rPr>
                <w:rFonts w:ascii="宋体" w:hAnsi="宋体" w:cs="宋体" w:eastAsia="宋体" w:hint="default"/>
                <w:sz w:val="15"/>
                <w:szCs w:val="15"/>
              </w:rPr>
            </w:pPr>
            <w:r>
              <w:rPr>
                <w:rFonts w:ascii="宋体" w:hAnsi="宋体" w:cs="宋体" w:eastAsia="宋体" w:hint="default"/>
                <w:sz w:val="15"/>
                <w:szCs w:val="15"/>
              </w:rPr>
              <w:t>中国移动通信有限公司</w:t>
            </w:r>
            <w:r>
              <w:rPr>
                <w:rFonts w:ascii="Times New Roman" w:hAnsi="Times New Roman" w:cs="Times New Roman" w:eastAsia="Times New Roman" w:hint="default"/>
                <w:sz w:val="15"/>
                <w:szCs w:val="15"/>
              </w:rPr>
              <w:t>2013</w:t>
            </w:r>
            <w:r>
              <w:rPr>
                <w:rFonts w:ascii="宋体" w:hAnsi="宋体" w:cs="宋体" w:eastAsia="宋体" w:hint="default"/>
                <w:sz w:val="15"/>
                <w:szCs w:val="15"/>
              </w:rPr>
              <w:t>年室内自动测试前端设备集中 采购供货框架协议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200,000.00</w:t>
            </w: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2013</w:t>
            </w:r>
            <w:r>
              <w:rPr>
                <w:rFonts w:ascii="宋体" w:hAnsi="宋体" w:cs="宋体" w:eastAsia="宋体" w:hint="default"/>
                <w:sz w:val="15"/>
                <w:szCs w:val="15"/>
              </w:rPr>
              <w:t>年集团</w:t>
            </w:r>
            <w:r>
              <w:rPr>
                <w:rFonts w:ascii="Times New Roman" w:hAnsi="Times New Roman" w:cs="Times New Roman" w:eastAsia="Times New Roman" w:hint="default"/>
                <w:sz w:val="15"/>
                <w:szCs w:val="15"/>
              </w:rPr>
              <w:t>NOC</w:t>
            </w:r>
            <w:r>
              <w:rPr>
                <w:rFonts w:ascii="宋体" w:hAnsi="宋体" w:cs="宋体" w:eastAsia="宋体" w:hint="default"/>
                <w:sz w:val="15"/>
                <w:szCs w:val="15"/>
              </w:rPr>
              <w:t>集中操作维护平台建设工程</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20,000.00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中国移动信息安全集中管控平台互联网业务信息安全监控 子系统项目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90,000.00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90,000.00</w:t>
            </w: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中国移动</w:t>
            </w:r>
            <w:r>
              <w:rPr>
                <w:rFonts w:ascii="Times New Roman" w:hAnsi="Times New Roman" w:cs="Times New Roman" w:eastAsia="Times New Roman" w:hint="default"/>
                <w:sz w:val="15"/>
                <w:szCs w:val="15"/>
              </w:rPr>
              <w:t>WLAN</w:t>
            </w:r>
            <w:r>
              <w:rPr>
                <w:rFonts w:ascii="宋体" w:hAnsi="宋体" w:cs="宋体" w:eastAsia="宋体" w:hint="default"/>
                <w:sz w:val="15"/>
                <w:szCs w:val="15"/>
              </w:rPr>
              <w:t>认证中心九期工程入侵防护设备采购</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中国移动个人融合通信系统一期工程业务接入模块及标准 功能平台</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中国移动故障管理系统一期项目系统软件与集成设备采购 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3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4G</w:t>
            </w:r>
            <w:r>
              <w:rPr>
                <w:rFonts w:ascii="宋体" w:hAnsi="宋体" w:cs="宋体" w:eastAsia="宋体" w:hint="default"/>
                <w:sz w:val="15"/>
                <w:szCs w:val="15"/>
              </w:rPr>
              <w:t>无线网综合网管系统建设工程</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250,000.00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3"/>
              <w:ind w:left="2" w:right="15"/>
              <w:jc w:val="left"/>
              <w:rPr>
                <w:rFonts w:ascii="宋体" w:hAnsi="宋体" w:cs="宋体" w:eastAsia="宋体" w:hint="default"/>
                <w:sz w:val="15"/>
                <w:szCs w:val="15"/>
              </w:rPr>
            </w:pPr>
            <w:r>
              <w:rPr>
                <w:rFonts w:ascii="宋体" w:hAnsi="宋体" w:cs="宋体" w:eastAsia="宋体" w:hint="default"/>
                <w:sz w:val="15"/>
                <w:szCs w:val="15"/>
              </w:rPr>
              <w:t>中国移动</w:t>
            </w:r>
            <w:r>
              <w:rPr>
                <w:rFonts w:ascii="Times New Roman" w:hAnsi="Times New Roman" w:cs="Times New Roman" w:eastAsia="Times New Roman" w:hint="default"/>
                <w:sz w:val="15"/>
                <w:szCs w:val="15"/>
              </w:rPr>
              <w:t>2015</w:t>
            </w:r>
            <w:r>
              <w:rPr>
                <w:rFonts w:ascii="宋体" w:hAnsi="宋体" w:cs="宋体" w:eastAsia="宋体" w:hint="default"/>
                <w:sz w:val="15"/>
                <w:szCs w:val="15"/>
              </w:rPr>
              <w:t>年负载均衡器集中采购第</w:t>
            </w:r>
            <w:r>
              <w:rPr>
                <w:rFonts w:ascii="Times New Roman" w:hAnsi="Times New Roman" w:cs="Times New Roman" w:eastAsia="Times New Roman" w:hint="default"/>
                <w:sz w:val="15"/>
                <w:szCs w:val="15"/>
              </w:rPr>
              <w:t>1</w:t>
            </w:r>
            <w:r>
              <w:rPr>
                <w:rFonts w:ascii="宋体" w:hAnsi="宋体" w:cs="宋体" w:eastAsia="宋体" w:hint="default"/>
                <w:sz w:val="15"/>
                <w:szCs w:val="15"/>
              </w:rPr>
              <w:t>标段</w:t>
            </w:r>
            <w:r>
              <w:rPr>
                <w:rFonts w:ascii="Times New Roman" w:hAnsi="Times New Roman" w:cs="Times New Roman" w:eastAsia="Times New Roman" w:hint="default"/>
                <w:sz w:val="15"/>
                <w:szCs w:val="15"/>
              </w:rPr>
              <w:t>-</w:t>
            </w:r>
            <w:r>
              <w:rPr>
                <w:rFonts w:ascii="宋体" w:hAnsi="宋体" w:cs="宋体" w:eastAsia="宋体" w:hint="default"/>
                <w:sz w:val="15"/>
                <w:szCs w:val="15"/>
              </w:rPr>
              <w:t>高端负载均衡 器、第</w:t>
            </w:r>
            <w:r>
              <w:rPr>
                <w:rFonts w:ascii="Times New Roman" w:hAnsi="Times New Roman" w:cs="Times New Roman" w:eastAsia="Times New Roman" w:hint="default"/>
                <w:sz w:val="15"/>
                <w:szCs w:val="15"/>
              </w:rPr>
              <w:t>2</w:t>
            </w:r>
            <w:r>
              <w:rPr>
                <w:rFonts w:ascii="宋体" w:hAnsi="宋体" w:cs="宋体" w:eastAsia="宋体" w:hint="default"/>
                <w:sz w:val="15"/>
                <w:szCs w:val="15"/>
              </w:rPr>
              <w:t>标段</w:t>
            </w:r>
            <w:r>
              <w:rPr>
                <w:rFonts w:ascii="Times New Roman" w:hAnsi="Times New Roman" w:cs="Times New Roman" w:eastAsia="Times New Roman" w:hint="default"/>
                <w:sz w:val="15"/>
                <w:szCs w:val="15"/>
              </w:rPr>
              <w:t>-</w:t>
            </w:r>
            <w:r>
              <w:rPr>
                <w:rFonts w:ascii="宋体" w:hAnsi="宋体" w:cs="宋体" w:eastAsia="宋体" w:hint="default"/>
                <w:sz w:val="15"/>
                <w:szCs w:val="15"/>
              </w:rPr>
              <w:t>中端负载均衡器、第</w:t>
            </w:r>
            <w:r>
              <w:rPr>
                <w:rFonts w:ascii="Times New Roman" w:hAnsi="Times New Roman" w:cs="Times New Roman" w:eastAsia="Times New Roman" w:hint="default"/>
                <w:sz w:val="15"/>
                <w:szCs w:val="15"/>
              </w:rPr>
              <w:t>3</w:t>
            </w:r>
            <w:r>
              <w:rPr>
                <w:rFonts w:ascii="宋体" w:hAnsi="宋体" w:cs="宋体" w:eastAsia="宋体" w:hint="default"/>
                <w:sz w:val="15"/>
                <w:szCs w:val="15"/>
              </w:rPr>
              <w:t>标段</w:t>
            </w:r>
            <w:r>
              <w:rPr>
                <w:rFonts w:ascii="Times New Roman" w:hAnsi="Times New Roman" w:cs="Times New Roman" w:eastAsia="Times New Roman" w:hint="default"/>
                <w:sz w:val="15"/>
                <w:szCs w:val="15"/>
              </w:rPr>
              <w:t>-</w:t>
            </w:r>
            <w:r>
              <w:rPr>
                <w:rFonts w:ascii="宋体" w:hAnsi="宋体" w:cs="宋体" w:eastAsia="宋体" w:hint="default"/>
                <w:sz w:val="15"/>
                <w:szCs w:val="15"/>
              </w:rPr>
              <w:t>低端负载均衡器</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200,000.00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200,000.00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中国移动通信集团湖北有限公司互联网渠道集中运营子系 统采购招标项目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30,000.00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4"/>
              <w:ind w:left="2" w:right="147"/>
              <w:jc w:val="left"/>
              <w:rPr>
                <w:rFonts w:ascii="宋体" w:hAnsi="宋体" w:cs="宋体" w:eastAsia="宋体" w:hint="default"/>
                <w:sz w:val="15"/>
                <w:szCs w:val="15"/>
              </w:rPr>
            </w:pPr>
            <w:r>
              <w:rPr>
                <w:rFonts w:ascii="宋体" w:hAnsi="宋体" w:cs="宋体" w:eastAsia="宋体" w:hint="default"/>
                <w:sz w:val="15"/>
                <w:szCs w:val="15"/>
              </w:rPr>
              <w:t>中国人寿保险股份有限公司</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服务管理平台流程引擎浮动 许可证软件采购合同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2,938,000.00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146,900.00</w:t>
            </w: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国家统计局综合网络运维管理系统集成项目实施服务合同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1,162,000.00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116,200.00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9"/>
              <w:jc w:val="left"/>
              <w:rPr>
                <w:rFonts w:ascii="宋体" w:hAnsi="宋体" w:cs="宋体" w:eastAsia="宋体" w:hint="default"/>
                <w:sz w:val="15"/>
                <w:szCs w:val="15"/>
              </w:rPr>
            </w:pPr>
            <w:r>
              <w:rPr>
                <w:rFonts w:ascii="宋体" w:hAnsi="宋体" w:cs="宋体" w:eastAsia="宋体" w:hint="default"/>
                <w:sz w:val="15"/>
                <w:szCs w:val="15"/>
              </w:rPr>
              <w:t>中国人寿保险股份有限公司数据中心零星设备（堡垒主机） 采购项目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1,584,000.00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79,200.00</w:t>
            </w: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中国电信二〇一一年业务平台综合网管系统升级扩容工程 软件开发合同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4,599,900.00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459,990.00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3"/>
              <w:ind w:left="2" w:right="138"/>
              <w:jc w:val="left"/>
              <w:rPr>
                <w:rFonts w:ascii="宋体" w:hAnsi="宋体" w:cs="宋体" w:eastAsia="宋体" w:hint="default"/>
                <w:sz w:val="15"/>
                <w:szCs w:val="15"/>
              </w:rPr>
            </w:pPr>
            <w:r>
              <w:rPr>
                <w:rFonts w:ascii="宋体" w:hAnsi="宋体" w:cs="宋体" w:eastAsia="宋体" w:hint="default"/>
                <w:sz w:val="15"/>
                <w:szCs w:val="15"/>
              </w:rPr>
              <w:t>辽宁电信</w:t>
            </w:r>
            <w:r>
              <w:rPr>
                <w:rFonts w:ascii="Times New Roman" w:hAnsi="Times New Roman" w:cs="Times New Roman" w:eastAsia="Times New Roman" w:hint="default"/>
                <w:sz w:val="15"/>
                <w:szCs w:val="15"/>
              </w:rPr>
              <w:t>2011</w:t>
            </w:r>
            <w:r>
              <w:rPr>
                <w:rFonts w:ascii="宋体" w:hAnsi="宋体" w:cs="宋体" w:eastAsia="宋体" w:hint="default"/>
                <w:sz w:val="15"/>
                <w:szCs w:val="15"/>
              </w:rPr>
              <w:t>年业务网综合网管扩容工程设备及相关服务 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pacing w:val="-1"/>
                <w:sz w:val="15"/>
              </w:rPr>
              <w:t>2,156,316.00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pacing w:val="-1"/>
                <w:sz w:val="15"/>
              </w:rPr>
              <w:t>215,632.00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中国电信二〇一一年业务平台综合网管系统升级扩容工程 软件许可协议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994,638.00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99,463.00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中国电信二〇一一年业务平台综合网管系统升级扩容工程 系统集成合同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99,750.00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z w:val="15"/>
              </w:rPr>
              <w:t>9,975.00</w:t>
            </w: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2" w:right="139"/>
              <w:jc w:val="left"/>
              <w:rPr>
                <w:rFonts w:ascii="宋体" w:hAnsi="宋体" w:cs="宋体" w:eastAsia="宋体" w:hint="default"/>
                <w:sz w:val="15"/>
                <w:szCs w:val="15"/>
              </w:rPr>
            </w:pPr>
            <w:r>
              <w:rPr>
                <w:rFonts w:ascii="宋体" w:hAnsi="宋体" w:cs="宋体" w:eastAsia="宋体" w:hint="default"/>
                <w:sz w:val="15"/>
                <w:szCs w:val="15"/>
              </w:rPr>
              <w:t>中国电信二〇一一年业务平台综合网管系统升级扩容工程 设备及相关服务采购合同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57,600.00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z w:val="15"/>
              </w:rPr>
              <w:t>5,760.00</w:t>
            </w:r>
          </w:p>
        </w:tc>
      </w:tr>
      <w:tr>
        <w:trPr>
          <w:trHeight w:val="3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中国人寿保险股份有限公司</w:t>
            </w:r>
            <w:r>
              <w:rPr>
                <w:rFonts w:ascii="Times New Roman" w:hAnsi="Times New Roman" w:cs="Times New Roman" w:eastAsia="Times New Roman" w:hint="default"/>
                <w:sz w:val="15"/>
                <w:szCs w:val="15"/>
              </w:rPr>
              <w:t>SDMS</w:t>
            </w:r>
            <w:r>
              <w:rPr>
                <w:rFonts w:ascii="宋体" w:hAnsi="宋体" w:cs="宋体" w:eastAsia="宋体" w:hint="default"/>
                <w:sz w:val="15"/>
                <w:szCs w:val="15"/>
              </w:rPr>
              <w:t>系统维保服务采购合同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3,350,000.00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167,500.00</w:t>
            </w:r>
          </w:p>
        </w:tc>
      </w:tr>
    </w:tbl>
    <w:p>
      <w:pPr>
        <w:spacing w:after="0" w:line="240" w:lineRule="auto"/>
        <w:jc w:val="right"/>
        <w:rPr>
          <w:rFonts w:ascii="Times New Roman" w:hAnsi="Times New Roman" w:cs="Times New Roman" w:eastAsia="Times New Roman" w:hint="default"/>
          <w:sz w:val="15"/>
          <w:szCs w:val="15"/>
        </w:rPr>
        <w:sectPr>
          <w:headerReference w:type="default" r:id="rId25"/>
          <w:pgSz w:w="11910" w:h="16840"/>
          <w:pgMar w:header="851" w:footer="1226" w:top="1380" w:bottom="1420" w:left="980" w:right="980"/>
        </w:sectPr>
      </w:pPr>
    </w:p>
    <w:tbl>
      <w:tblPr>
        <w:tblW w:w="0" w:type="auto"/>
        <w:jc w:val="left"/>
        <w:tblInd w:w="106" w:type="dxa"/>
        <w:tblLayout w:type="fixed"/>
        <w:tblCellMar>
          <w:top w:w="0" w:type="dxa"/>
          <w:left w:w="0" w:type="dxa"/>
          <w:bottom w:w="0" w:type="dxa"/>
          <w:right w:w="0" w:type="dxa"/>
        </w:tblCellMar>
        <w:tblLook w:val="01E0"/>
      </w:tblPr>
      <w:tblGrid>
        <w:gridCol w:w="3908"/>
        <w:gridCol w:w="1622"/>
        <w:gridCol w:w="1274"/>
        <w:gridCol w:w="1276"/>
        <w:gridCol w:w="1277"/>
        <w:gridCol w:w="312"/>
      </w:tblGrid>
      <w:tr>
        <w:trPr>
          <w:trHeight w:val="673" w:hRule="exact"/>
        </w:trPr>
        <w:tc>
          <w:tcPr>
            <w:tcW w:w="3908" w:type="dxa"/>
            <w:tcBorders>
              <w:top w:val="single" w:sz="12" w:space="0" w:color="000000"/>
              <w:left w:val="single" w:sz="6" w:space="0" w:color="000000"/>
              <w:bottom w:val="single" w:sz="6" w:space="0" w:color="000000"/>
              <w:right w:val="single" w:sz="6" w:space="0" w:color="000000"/>
            </w:tcBorders>
          </w:tcPr>
          <w:p>
            <w:pPr>
              <w:pStyle w:val="TableParagraph"/>
              <w:spacing w:line="360" w:lineRule="auto" w:before="44"/>
              <w:ind w:left="2" w:right="3"/>
              <w:jc w:val="left"/>
              <w:rPr>
                <w:rFonts w:ascii="宋体" w:hAnsi="宋体" w:cs="宋体" w:eastAsia="宋体" w:hint="default"/>
                <w:sz w:val="15"/>
                <w:szCs w:val="15"/>
              </w:rPr>
            </w:pPr>
            <w:r>
              <w:rPr>
                <w:rFonts w:ascii="宋体" w:hAnsi="宋体" w:cs="宋体" w:eastAsia="宋体" w:hint="default"/>
                <w:spacing w:val="-1"/>
                <w:sz w:val="15"/>
                <w:szCs w:val="15"/>
              </w:rPr>
              <w:t>中国电信内蒙古分公司（网资）</w:t>
            </w:r>
            <w:r>
              <w:rPr>
                <w:rFonts w:ascii="Times New Roman" w:hAnsi="Times New Roman" w:cs="Times New Roman" w:eastAsia="Times New Roman" w:hint="default"/>
                <w:spacing w:val="-1"/>
                <w:sz w:val="15"/>
                <w:szCs w:val="15"/>
              </w:rPr>
              <w:t>2012</w:t>
            </w:r>
            <w:r>
              <w:rPr>
                <w:rFonts w:ascii="宋体" w:hAnsi="宋体" w:cs="宋体" w:eastAsia="宋体" w:hint="default"/>
                <w:spacing w:val="-1"/>
                <w:sz w:val="15"/>
                <w:szCs w:val="15"/>
              </w:rPr>
              <w:t>年业务平台集中监控系</w:t>
            </w:r>
            <w:r>
              <w:rPr>
                <w:rFonts w:ascii="宋体" w:hAnsi="宋体" w:cs="宋体" w:eastAsia="宋体" w:hint="default"/>
                <w:spacing w:val="-62"/>
                <w:sz w:val="15"/>
                <w:szCs w:val="15"/>
              </w:rPr>
              <w:t> </w:t>
            </w:r>
            <w:r>
              <w:rPr>
                <w:rFonts w:ascii="宋体" w:hAnsi="宋体" w:cs="宋体" w:eastAsia="宋体" w:hint="default"/>
                <w:sz w:val="15"/>
                <w:szCs w:val="15"/>
              </w:rPr>
              <w:t>统五期扩容工程设备及相关服务采购合同</w:t>
            </w:r>
          </w:p>
        </w:tc>
        <w:tc>
          <w:tcPr>
            <w:tcW w:w="16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1,287,400.00</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128,740.00</w:t>
            </w:r>
          </w:p>
        </w:tc>
        <w:tc>
          <w:tcPr>
            <w:tcW w:w="312" w:type="dxa"/>
            <w:vMerge w:val="restart"/>
            <w:tcBorders>
              <w:top w:val="single" w:sz="6" w:space="0" w:color="000000"/>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宋体" w:hAnsi="宋体" w:cs="宋体" w:eastAsia="宋体" w:hint="default"/>
                <w:sz w:val="15"/>
                <w:szCs w:val="15"/>
              </w:rPr>
              <w:t>年第二批信息化设备</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84,000.00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z w:val="15"/>
              </w:rPr>
              <w:t>4,200.00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服务器采购合同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262,150.00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13,107.50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新核心</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服务运营支撑平台（一期）项目技术开发合同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1,230,000.00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61,500.00</w:t>
            </w:r>
          </w:p>
        </w:tc>
        <w:tc>
          <w:tcPr>
            <w:tcW w:w="312" w:type="dxa"/>
            <w:vMerge/>
            <w:tcBorders>
              <w:left w:val="single" w:sz="6" w:space="0" w:color="000000"/>
              <w:right w:val="nil" w:sz="6" w:space="0" w:color="auto"/>
            </w:tcBorders>
          </w:tcPr>
          <w:p>
            <w:pPr/>
          </w:p>
        </w:tc>
      </w:tr>
      <w:tr>
        <w:trPr>
          <w:trHeight w:val="3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BMC</w:t>
            </w:r>
            <w:r>
              <w:rPr>
                <w:rFonts w:ascii="宋体" w:hAnsi="宋体" w:cs="宋体" w:eastAsia="宋体" w:hint="default"/>
                <w:sz w:val="15"/>
                <w:szCs w:val="15"/>
              </w:rPr>
              <w:t>软件维护服务采购合同书</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3,140,000.00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157,000.00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服务器买卖合同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61,475.00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z w:val="15"/>
              </w:rPr>
              <w:t>3,073.75</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银联数据软硬件采购合同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850,000.00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85,000.00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5"/>
              <w:jc w:val="left"/>
              <w:rPr>
                <w:rFonts w:ascii="宋体" w:hAnsi="宋体" w:cs="宋体" w:eastAsia="宋体" w:hint="default"/>
                <w:sz w:val="15"/>
                <w:szCs w:val="15"/>
              </w:rPr>
            </w:pPr>
            <w:r>
              <w:rPr>
                <w:rFonts w:ascii="宋体" w:hAnsi="宋体" w:cs="宋体" w:eastAsia="宋体" w:hint="default"/>
                <w:sz w:val="15"/>
                <w:szCs w:val="15"/>
              </w:rPr>
              <w:t>中国移动数据网综合网管系统二期工程黑龙江省自建</w:t>
            </w:r>
            <w:r>
              <w:rPr>
                <w:rFonts w:ascii="Times New Roman" w:hAnsi="Times New Roman" w:cs="Times New Roman" w:eastAsia="Times New Roman" w:hint="default"/>
                <w:sz w:val="15"/>
                <w:szCs w:val="15"/>
              </w:rPr>
              <w:t>BMC</w:t>
            </w:r>
            <w:r>
              <w:rPr>
                <w:rFonts w:ascii="Times New Roman" w:hAnsi="Times New Roman" w:cs="Times New Roman" w:eastAsia="Times New Roman" w:hint="default"/>
                <w:w w:val="99"/>
                <w:sz w:val="15"/>
                <w:szCs w:val="15"/>
              </w:rPr>
              <w:t> </w:t>
            </w:r>
            <w:r>
              <w:rPr>
                <w:rFonts w:ascii="宋体" w:hAnsi="宋体" w:cs="宋体" w:eastAsia="宋体" w:hint="default"/>
                <w:sz w:val="15"/>
                <w:szCs w:val="15"/>
              </w:rPr>
              <w:t>主机代理软件</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214,812.00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21,481.20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中国移动数据网全国中心综合网管系统二期工程黑龙江两 级共管</w:t>
            </w:r>
            <w:r>
              <w:rPr>
                <w:rFonts w:ascii="Times New Roman" w:hAnsi="Times New Roman" w:cs="Times New Roman" w:eastAsia="Times New Roman" w:hint="default"/>
                <w:sz w:val="15"/>
                <w:szCs w:val="15"/>
              </w:rPr>
              <w:t>BMC</w:t>
            </w:r>
            <w:r>
              <w:rPr>
                <w:rFonts w:ascii="宋体" w:hAnsi="宋体" w:cs="宋体" w:eastAsia="宋体" w:hint="default"/>
                <w:sz w:val="15"/>
                <w:szCs w:val="15"/>
              </w:rPr>
              <w:t>主机代理软件采购合同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101,088.00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10,108.80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北京六捷科技有限公司</w:t>
            </w:r>
            <w:r>
              <w:rPr>
                <w:rFonts w:ascii="Times New Roman" w:hAnsi="Times New Roman" w:cs="Times New Roman" w:eastAsia="Times New Roman" w:hint="default"/>
                <w:sz w:val="15"/>
                <w:szCs w:val="15"/>
              </w:rPr>
              <w:t>IBM</w:t>
            </w:r>
            <w:r>
              <w:rPr>
                <w:rFonts w:ascii="宋体" w:hAnsi="宋体" w:cs="宋体" w:eastAsia="宋体" w:hint="default"/>
                <w:sz w:val="15"/>
                <w:szCs w:val="15"/>
              </w:rPr>
              <w:t>刀片服务器采购</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1,083,000.00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108,300.00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38"/>
              <w:jc w:val="left"/>
              <w:rPr>
                <w:rFonts w:ascii="宋体" w:hAnsi="宋体" w:cs="宋体" w:eastAsia="宋体" w:hint="default"/>
                <w:sz w:val="15"/>
                <w:szCs w:val="15"/>
              </w:rPr>
            </w:pPr>
            <w:r>
              <w:rPr>
                <w:rFonts w:ascii="宋体" w:hAnsi="宋体" w:cs="宋体" w:eastAsia="宋体" w:hint="default"/>
                <w:sz w:val="15"/>
                <w:szCs w:val="15"/>
              </w:rPr>
              <w:t>辽宁电信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年业务网综合网管扩容工程设备及相关服务 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2,399,288.00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239,928.00</w:t>
            </w:r>
          </w:p>
        </w:tc>
        <w:tc>
          <w:tcPr>
            <w:tcW w:w="312" w:type="dxa"/>
            <w:vMerge/>
            <w:tcBorders>
              <w:left w:val="single" w:sz="6" w:space="0" w:color="000000"/>
              <w:right w:val="nil" w:sz="6" w:space="0" w:color="auto"/>
            </w:tcBorders>
          </w:tcPr>
          <w:p>
            <w:pP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38"/>
              <w:jc w:val="left"/>
              <w:rPr>
                <w:rFonts w:ascii="宋体" w:hAnsi="宋体" w:cs="宋体" w:eastAsia="宋体" w:hint="default"/>
                <w:sz w:val="15"/>
                <w:szCs w:val="15"/>
              </w:rPr>
            </w:pPr>
            <w:r>
              <w:rPr>
                <w:rFonts w:ascii="宋体" w:hAnsi="宋体" w:cs="宋体" w:eastAsia="宋体" w:hint="default"/>
                <w:sz w:val="15"/>
                <w:szCs w:val="15"/>
              </w:rPr>
              <w:t>中国人寿保险股份有限公司上海数据中心</w:t>
            </w:r>
            <w:r>
              <w:rPr>
                <w:rFonts w:ascii="Times New Roman" w:hAnsi="Times New Roman" w:cs="Times New Roman" w:eastAsia="Times New Roman" w:hint="default"/>
                <w:sz w:val="15"/>
                <w:szCs w:val="15"/>
              </w:rPr>
              <w:t>2014</w:t>
            </w:r>
            <w:r>
              <w:rPr>
                <w:rFonts w:ascii="宋体" w:hAnsi="宋体" w:cs="宋体" w:eastAsia="宋体" w:hint="default"/>
                <w:sz w:val="15"/>
                <w:szCs w:val="15"/>
              </w:rPr>
              <w:t>年度电销系 统维护服务采购项目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508,000.00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25,400.00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6"/>
              <w:ind w:left="2" w:right="138"/>
              <w:jc w:val="left"/>
              <w:rPr>
                <w:rFonts w:ascii="宋体" w:hAnsi="宋体" w:cs="宋体" w:eastAsia="宋体" w:hint="default"/>
                <w:sz w:val="15"/>
                <w:szCs w:val="15"/>
              </w:rPr>
            </w:pPr>
            <w:r>
              <w:rPr>
                <w:rFonts w:ascii="宋体" w:hAnsi="宋体" w:cs="宋体" w:eastAsia="宋体" w:hint="default"/>
                <w:sz w:val="15"/>
                <w:szCs w:val="15"/>
              </w:rPr>
              <w:t>中国电信信息化验证实验室</w:t>
            </w:r>
            <w:r>
              <w:rPr>
                <w:rFonts w:ascii="Times New Roman" w:hAnsi="Times New Roman" w:cs="Times New Roman" w:eastAsia="Times New Roman" w:hint="default"/>
                <w:sz w:val="15"/>
                <w:szCs w:val="15"/>
              </w:rPr>
              <w:t>2009</w:t>
            </w:r>
            <w:r>
              <w:rPr>
                <w:rFonts w:ascii="宋体" w:hAnsi="宋体" w:cs="宋体" w:eastAsia="宋体" w:hint="default"/>
                <w:sz w:val="15"/>
                <w:szCs w:val="15"/>
              </w:rPr>
              <w:t>年升级改造工程业务流程 监控软件使用权许可协议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1,031,841.00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103,184.10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5"/>
              <w:jc w:val="left"/>
              <w:rPr>
                <w:rFonts w:ascii="宋体" w:hAnsi="宋体" w:cs="宋体" w:eastAsia="宋体" w:hint="default"/>
                <w:sz w:val="15"/>
                <w:szCs w:val="15"/>
              </w:rPr>
            </w:pPr>
            <w:r>
              <w:rPr>
                <w:rFonts w:ascii="宋体" w:hAnsi="宋体" w:cs="宋体" w:eastAsia="宋体" w:hint="default"/>
                <w:sz w:val="15"/>
                <w:szCs w:val="15"/>
              </w:rPr>
              <w:t>中国移动数据网管三期一阶段奥运扩容工程河北节点</w:t>
            </w:r>
            <w:r>
              <w:rPr>
                <w:rFonts w:ascii="Times New Roman" w:hAnsi="Times New Roman" w:cs="Times New Roman" w:eastAsia="Times New Roman" w:hint="default"/>
                <w:sz w:val="15"/>
                <w:szCs w:val="15"/>
              </w:rPr>
              <w:t>BMC</w:t>
            </w:r>
            <w:r>
              <w:rPr>
                <w:rFonts w:ascii="Times New Roman" w:hAnsi="Times New Roman" w:cs="Times New Roman" w:eastAsia="Times New Roman" w:hint="default"/>
                <w:w w:val="99"/>
                <w:sz w:val="15"/>
                <w:szCs w:val="15"/>
              </w:rPr>
              <w:t> </w:t>
            </w:r>
            <w:r>
              <w:rPr>
                <w:rFonts w:ascii="宋体" w:hAnsi="宋体" w:cs="宋体" w:eastAsia="宋体" w:hint="default"/>
                <w:sz w:val="15"/>
                <w:szCs w:val="15"/>
              </w:rPr>
              <w:t>主机代理软件采购合同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147,000.00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14,700.00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信通公司数据通信网网管系统生菜技术改造数据设备网管 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4,878,900.00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487,890.00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中国移动数据网全国中心综合网管系统二期工程河北两级 共管</w:t>
            </w:r>
            <w:r>
              <w:rPr>
                <w:rFonts w:ascii="Times New Roman" w:hAnsi="Times New Roman" w:cs="Times New Roman" w:eastAsia="Times New Roman" w:hint="default"/>
                <w:sz w:val="15"/>
                <w:szCs w:val="15"/>
              </w:rPr>
              <w:t>BMC</w:t>
            </w:r>
            <w:r>
              <w:rPr>
                <w:rFonts w:ascii="宋体" w:hAnsi="宋体" w:cs="宋体" w:eastAsia="宋体" w:hint="default"/>
                <w:sz w:val="15"/>
                <w:szCs w:val="15"/>
              </w:rPr>
              <w:t>主机代理软件采购合同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185,328.00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18,532.80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6"/>
              <w:jc w:val="left"/>
              <w:rPr>
                <w:rFonts w:ascii="宋体" w:hAnsi="宋体" w:cs="宋体" w:eastAsia="宋体" w:hint="default"/>
                <w:sz w:val="15"/>
                <w:szCs w:val="15"/>
              </w:rPr>
            </w:pPr>
            <w:r>
              <w:rPr>
                <w:rFonts w:ascii="宋体" w:hAnsi="宋体" w:cs="宋体" w:eastAsia="宋体" w:hint="default"/>
                <w:sz w:val="15"/>
                <w:szCs w:val="15"/>
              </w:rPr>
              <w:t>中国移动数据网综合网管系统二期工程河北省自建</w:t>
            </w:r>
            <w:r>
              <w:rPr>
                <w:rFonts w:ascii="Times New Roman" w:hAnsi="Times New Roman" w:cs="Times New Roman" w:eastAsia="Times New Roman" w:hint="default"/>
                <w:sz w:val="15"/>
                <w:szCs w:val="15"/>
              </w:rPr>
              <w:t>BMC</w:t>
            </w:r>
            <w:r>
              <w:rPr>
                <w:rFonts w:ascii="宋体" w:hAnsi="宋体" w:cs="宋体" w:eastAsia="宋体" w:hint="default"/>
                <w:sz w:val="15"/>
                <w:szCs w:val="15"/>
              </w:rPr>
              <w:t>主 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223,236.00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22,324.00</w:t>
            </w:r>
          </w:p>
        </w:tc>
        <w:tc>
          <w:tcPr>
            <w:tcW w:w="312" w:type="dxa"/>
            <w:vMerge/>
            <w:tcBorders>
              <w:left w:val="single" w:sz="6" w:space="0" w:color="000000"/>
              <w:right w:val="nil" w:sz="6" w:space="0" w:color="auto"/>
            </w:tcBorders>
          </w:tcPr>
          <w:p>
            <w:pPr/>
          </w:p>
        </w:tc>
      </w:tr>
      <w:tr>
        <w:trPr>
          <w:trHeight w:val="972"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中国移动计费支撑网河北业务支撑网运营管理系统</w:t>
            </w:r>
          </w:p>
          <w:p>
            <w:pPr>
              <w:pStyle w:val="TableParagraph"/>
              <w:spacing w:line="360" w:lineRule="auto" w:before="115"/>
              <w:ind w:left="2" w:right="3"/>
              <w:jc w:val="left"/>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NGBOSS3.0</w:t>
            </w:r>
            <w:r>
              <w:rPr>
                <w:rFonts w:ascii="宋体" w:hAnsi="宋体" w:cs="宋体" w:eastAsia="宋体" w:hint="default"/>
                <w:spacing w:val="-2"/>
                <w:sz w:val="15"/>
                <w:szCs w:val="15"/>
              </w:rPr>
              <w:t>）扩容改造工程应用软件开发和集成服务采购</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4,150,000.00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207,500.00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6"/>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中国移动数据网管三期二阶扩容工程海南节点泰岳主机代 理软件、采集层软件、应用层软件及供货合同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502,400.00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50,240.00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5"/>
              <w:jc w:val="left"/>
              <w:rPr>
                <w:rFonts w:ascii="宋体" w:hAnsi="宋体" w:cs="宋体" w:eastAsia="宋体" w:hint="default"/>
                <w:sz w:val="15"/>
                <w:szCs w:val="15"/>
              </w:rPr>
            </w:pPr>
            <w:r>
              <w:rPr>
                <w:rFonts w:ascii="宋体" w:hAnsi="宋体" w:cs="宋体" w:eastAsia="宋体" w:hint="default"/>
                <w:sz w:val="15"/>
                <w:szCs w:val="15"/>
              </w:rPr>
              <w:t>中国移动数据网管三期一阶段奥运扩容工程辽宁节点</w:t>
            </w:r>
            <w:r>
              <w:rPr>
                <w:rFonts w:ascii="Times New Roman" w:hAnsi="Times New Roman" w:cs="Times New Roman" w:eastAsia="Times New Roman" w:hint="default"/>
                <w:sz w:val="15"/>
                <w:szCs w:val="15"/>
              </w:rPr>
              <w:t>BMC</w:t>
            </w:r>
            <w:r>
              <w:rPr>
                <w:rFonts w:ascii="Times New Roman" w:hAnsi="Times New Roman" w:cs="Times New Roman" w:eastAsia="Times New Roman" w:hint="default"/>
                <w:w w:val="99"/>
                <w:sz w:val="15"/>
                <w:szCs w:val="15"/>
              </w:rPr>
              <w:t> </w:t>
            </w:r>
            <w:r>
              <w:rPr>
                <w:rFonts w:ascii="宋体" w:hAnsi="宋体" w:cs="宋体" w:eastAsia="宋体" w:hint="default"/>
                <w:sz w:val="15"/>
                <w:szCs w:val="15"/>
              </w:rPr>
              <w:t>主机代理软件采购合同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140,000.00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14,000.00</w:t>
            </w:r>
          </w:p>
        </w:tc>
        <w:tc>
          <w:tcPr>
            <w:tcW w:w="312" w:type="dxa"/>
            <w:vMerge/>
            <w:tcBorders>
              <w:left w:val="single" w:sz="6" w:space="0" w:color="000000"/>
              <w:right w:val="nil" w:sz="6" w:space="0" w:color="auto"/>
            </w:tcBorders>
          </w:tcPr>
          <w:p>
            <w:pPr/>
          </w:p>
        </w:tc>
      </w:tr>
      <w:tr>
        <w:trPr>
          <w:trHeight w:val="971"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71"/>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年第二批</w:t>
            </w:r>
            <w:r>
              <w:rPr>
                <w:rFonts w:ascii="Times New Roman" w:hAnsi="Times New Roman" w:cs="Times New Roman" w:eastAsia="Times New Roman" w:hint="default"/>
                <w:sz w:val="15"/>
                <w:szCs w:val="15"/>
              </w:rPr>
              <w:t>IT</w:t>
            </w:r>
            <w:r>
              <w:rPr>
                <w:rFonts w:ascii="宋体" w:hAnsi="宋体" w:cs="宋体" w:eastAsia="宋体" w:hint="default"/>
                <w:sz w:val="15"/>
                <w:szCs w:val="15"/>
              </w:rPr>
              <w:t>设备集中采购设备及相关服务采 购合同（</w:t>
            </w:r>
            <w:r>
              <w:rPr>
                <w:rFonts w:ascii="Times New Roman" w:hAnsi="Times New Roman" w:cs="Times New Roman" w:eastAsia="Times New Roman" w:hint="default"/>
                <w:sz w:val="15"/>
                <w:szCs w:val="15"/>
              </w:rPr>
              <w:t>IBM</w:t>
            </w:r>
            <w:r>
              <w:rPr>
                <w:rFonts w:ascii="宋体" w:hAnsi="宋体" w:cs="宋体" w:eastAsia="宋体" w:hint="default"/>
                <w:sz w:val="15"/>
                <w:szCs w:val="15"/>
              </w:rPr>
              <w:t>设备部分</w:t>
            </w:r>
            <w:r>
              <w:rPr>
                <w:rFonts w:ascii="Times New Roman" w:hAnsi="Times New Roman" w:cs="Times New Roman" w:eastAsia="Times New Roman" w:hint="default"/>
                <w:sz w:val="15"/>
                <w:szCs w:val="15"/>
              </w:rPr>
              <w:t>/</w:t>
            </w:r>
            <w:r>
              <w:rPr>
                <w:rFonts w:ascii="宋体" w:hAnsi="宋体" w:cs="宋体" w:eastAsia="宋体" w:hint="default"/>
                <w:sz w:val="15"/>
                <w:szCs w:val="15"/>
              </w:rPr>
              <w:t>神州泰岳代理）（分省</w:t>
            </w:r>
            <w:r>
              <w:rPr>
                <w:rFonts w:ascii="Times New Roman" w:hAnsi="Times New Roman" w:cs="Times New Roman" w:eastAsia="Times New Roman" w:hint="default"/>
                <w:sz w:val="15"/>
                <w:szCs w:val="15"/>
              </w:rPr>
              <w:t>/</w:t>
            </w:r>
            <w:r>
              <w:rPr>
                <w:rFonts w:ascii="宋体" w:hAnsi="宋体" w:cs="宋体" w:eastAsia="宋体" w:hint="default"/>
                <w:sz w:val="15"/>
                <w:szCs w:val="15"/>
              </w:rPr>
              <w:t>网资）（集 团）</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1,219,298.00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121,929.80</w:t>
            </w:r>
          </w:p>
        </w:tc>
        <w:tc>
          <w:tcPr>
            <w:tcW w:w="312" w:type="dxa"/>
            <w:vMerge/>
            <w:tcBorders>
              <w:left w:val="single" w:sz="6" w:space="0" w:color="000000"/>
              <w:right w:val="nil" w:sz="6" w:space="0" w:color="auto"/>
            </w:tcBorders>
          </w:tcPr>
          <w:p>
            <w:pPr/>
          </w:p>
        </w:tc>
      </w:tr>
      <w:tr>
        <w:trPr>
          <w:trHeight w:val="972"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71"/>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年第二批</w:t>
            </w:r>
            <w:r>
              <w:rPr>
                <w:rFonts w:ascii="Times New Roman" w:hAnsi="Times New Roman" w:cs="Times New Roman" w:eastAsia="Times New Roman" w:hint="default"/>
                <w:sz w:val="15"/>
                <w:szCs w:val="15"/>
              </w:rPr>
              <w:t>IT</w:t>
            </w:r>
            <w:r>
              <w:rPr>
                <w:rFonts w:ascii="宋体" w:hAnsi="宋体" w:cs="宋体" w:eastAsia="宋体" w:hint="default"/>
                <w:sz w:val="15"/>
                <w:szCs w:val="15"/>
              </w:rPr>
              <w:t>设备集中采购设备及相关服务采 购合同（</w:t>
            </w:r>
            <w:r>
              <w:rPr>
                <w:rFonts w:ascii="Times New Roman" w:hAnsi="Times New Roman" w:cs="Times New Roman" w:eastAsia="Times New Roman" w:hint="default"/>
                <w:sz w:val="15"/>
                <w:szCs w:val="15"/>
              </w:rPr>
              <w:t>IBM</w:t>
            </w:r>
            <w:r>
              <w:rPr>
                <w:rFonts w:ascii="宋体" w:hAnsi="宋体" w:cs="宋体" w:eastAsia="宋体" w:hint="default"/>
                <w:sz w:val="15"/>
                <w:szCs w:val="15"/>
              </w:rPr>
              <w:t>设备部分</w:t>
            </w:r>
            <w:r>
              <w:rPr>
                <w:rFonts w:ascii="Times New Roman" w:hAnsi="Times New Roman" w:cs="Times New Roman" w:eastAsia="Times New Roman" w:hint="default"/>
                <w:sz w:val="15"/>
                <w:szCs w:val="15"/>
              </w:rPr>
              <w:t>/</w:t>
            </w:r>
            <w:r>
              <w:rPr>
                <w:rFonts w:ascii="宋体" w:hAnsi="宋体" w:cs="宋体" w:eastAsia="宋体" w:hint="default"/>
                <w:sz w:val="15"/>
                <w:szCs w:val="15"/>
              </w:rPr>
              <w:t>神州泰岳代理）（分省</w:t>
            </w:r>
            <w:r>
              <w:rPr>
                <w:rFonts w:ascii="Times New Roman" w:hAnsi="Times New Roman" w:cs="Times New Roman" w:eastAsia="Times New Roman" w:hint="default"/>
                <w:sz w:val="15"/>
                <w:szCs w:val="15"/>
              </w:rPr>
              <w:t>/</w:t>
            </w:r>
            <w:r>
              <w:rPr>
                <w:rFonts w:ascii="宋体" w:hAnsi="宋体" w:cs="宋体" w:eastAsia="宋体" w:hint="default"/>
                <w:sz w:val="15"/>
                <w:szCs w:val="15"/>
              </w:rPr>
              <w:t>网资）（集 团）</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149,922.00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14,992.20</w:t>
            </w:r>
          </w:p>
        </w:tc>
        <w:tc>
          <w:tcPr>
            <w:tcW w:w="312" w:type="dxa"/>
            <w:vMerge/>
            <w:tcBorders>
              <w:left w:val="single" w:sz="6" w:space="0" w:color="000000"/>
              <w:bottom w:val="nil" w:sz="6" w:space="0" w:color="auto"/>
              <w:right w:val="nil" w:sz="6" w:space="0" w:color="auto"/>
            </w:tcBorders>
          </w:tcPr>
          <w:p>
            <w:pPr/>
          </w:p>
        </w:tc>
      </w:tr>
    </w:tbl>
    <w:p>
      <w:pPr>
        <w:spacing w:after="0"/>
        <w:sectPr>
          <w:pgSz w:w="11910" w:h="16840"/>
          <w:pgMar w:header="851" w:footer="1226" w:top="1420" w:bottom="1420" w:left="1020" w:right="1000"/>
        </w:sectPr>
      </w:pPr>
    </w:p>
    <w:tbl>
      <w:tblPr>
        <w:tblW w:w="0" w:type="auto"/>
        <w:jc w:val="left"/>
        <w:tblInd w:w="106" w:type="dxa"/>
        <w:tblLayout w:type="fixed"/>
        <w:tblCellMar>
          <w:top w:w="0" w:type="dxa"/>
          <w:left w:w="0" w:type="dxa"/>
          <w:bottom w:w="0" w:type="dxa"/>
          <w:right w:w="0" w:type="dxa"/>
        </w:tblCellMar>
        <w:tblLook w:val="01E0"/>
      </w:tblPr>
      <w:tblGrid>
        <w:gridCol w:w="3908"/>
        <w:gridCol w:w="1622"/>
        <w:gridCol w:w="1274"/>
        <w:gridCol w:w="1276"/>
        <w:gridCol w:w="1277"/>
        <w:gridCol w:w="312"/>
      </w:tblGrid>
      <w:tr>
        <w:trPr>
          <w:trHeight w:val="673" w:hRule="exact"/>
        </w:trPr>
        <w:tc>
          <w:tcPr>
            <w:tcW w:w="3908" w:type="dxa"/>
            <w:tcBorders>
              <w:top w:val="single" w:sz="12" w:space="0" w:color="000000"/>
              <w:left w:val="single" w:sz="6" w:space="0" w:color="000000"/>
              <w:bottom w:val="single" w:sz="6" w:space="0" w:color="000000"/>
              <w:right w:val="single" w:sz="6" w:space="0" w:color="000000"/>
            </w:tcBorders>
          </w:tcPr>
          <w:p>
            <w:pPr>
              <w:pStyle w:val="TableParagraph"/>
              <w:spacing w:line="360" w:lineRule="auto" w:before="44"/>
              <w:ind w:left="2" w:right="138"/>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年集团业务平台综合网管系统升级扩容工程 软件开发合同</w:t>
            </w:r>
          </w:p>
        </w:tc>
        <w:tc>
          <w:tcPr>
            <w:tcW w:w="16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5,270,380.28</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20</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1,054,076.06</w:t>
            </w:r>
          </w:p>
        </w:tc>
        <w:tc>
          <w:tcPr>
            <w:tcW w:w="312" w:type="dxa"/>
            <w:vMerge w:val="restart"/>
            <w:tcBorders>
              <w:top w:val="single" w:sz="6" w:space="0" w:color="000000"/>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38"/>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年集团业务平台综合网管系统升级扩容工程 系统集成合同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129,200.00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25,840.00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河北联通</w:t>
            </w:r>
            <w:r>
              <w:rPr>
                <w:rFonts w:ascii="Times New Roman" w:hAnsi="Times New Roman" w:cs="Times New Roman" w:eastAsia="Times New Roman" w:hint="default"/>
                <w:sz w:val="15"/>
                <w:szCs w:val="15"/>
              </w:rPr>
              <w:t>2012</w:t>
            </w:r>
            <w:r>
              <w:rPr>
                <w:rFonts w:ascii="宋体" w:hAnsi="宋体" w:cs="宋体" w:eastAsia="宋体" w:hint="default"/>
                <w:sz w:val="15"/>
                <w:szCs w:val="15"/>
              </w:rPr>
              <w:t>年增值业务平台网管系统代理软件采购合同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135,247.00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13,524.70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宋体" w:hAnsi="宋体" w:cs="宋体" w:eastAsia="宋体" w:hint="default"/>
                <w:sz w:val="15"/>
                <w:szCs w:val="15"/>
              </w:rPr>
              <w:t>年增值业务平台网管系统代理软件采购合同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23,767.00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z w:val="15"/>
              </w:rPr>
              <w:t>2,376.70</w:t>
            </w:r>
          </w:p>
        </w:tc>
        <w:tc>
          <w:tcPr>
            <w:tcW w:w="312" w:type="dxa"/>
            <w:vMerge/>
            <w:tcBorders>
              <w:left w:val="single" w:sz="6" w:space="0" w:color="000000"/>
              <w:right w:val="nil" w:sz="6" w:space="0" w:color="auto"/>
            </w:tcBorders>
          </w:tcPr>
          <w:p>
            <w:pP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2"/>
              <w:jc w:val="left"/>
              <w:rPr>
                <w:rFonts w:ascii="宋体" w:hAnsi="宋体" w:cs="宋体" w:eastAsia="宋体" w:hint="default"/>
                <w:sz w:val="15"/>
                <w:szCs w:val="15"/>
              </w:rPr>
            </w:pPr>
            <w:r>
              <w:rPr>
                <w:rFonts w:ascii="宋体" w:hAnsi="宋体" w:cs="宋体" w:eastAsia="宋体" w:hint="default"/>
                <w:spacing w:val="-1"/>
                <w:sz w:val="15"/>
                <w:szCs w:val="15"/>
              </w:rPr>
              <w:t>中国移动数据网管四期工程湖南节点泰岳应用软件开发、主</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机代理软件及系统集成服务合同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1,707,930.00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170,793.00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6"/>
              <w:ind w:left="2" w:right="147"/>
              <w:jc w:val="left"/>
              <w:rPr>
                <w:rFonts w:ascii="Times New Roman" w:hAnsi="Times New Roman" w:cs="Times New Roman" w:eastAsia="Times New Roman"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2012</w:t>
            </w:r>
            <w:r>
              <w:rPr>
                <w:rFonts w:ascii="宋体" w:hAnsi="宋体" w:cs="宋体" w:eastAsia="宋体" w:hint="default"/>
                <w:sz w:val="15"/>
                <w:szCs w:val="15"/>
              </w:rPr>
              <w:t>年第一批</w:t>
            </w:r>
            <w:r>
              <w:rPr>
                <w:rFonts w:ascii="Times New Roman" w:hAnsi="Times New Roman" w:cs="Times New Roman" w:eastAsia="Times New Roman" w:hint="default"/>
                <w:sz w:val="15"/>
                <w:szCs w:val="15"/>
              </w:rPr>
              <w:t>IT</w:t>
            </w:r>
            <w:r>
              <w:rPr>
                <w:rFonts w:ascii="宋体" w:hAnsi="宋体" w:cs="宋体" w:eastAsia="宋体" w:hint="default"/>
                <w:sz w:val="15"/>
                <w:szCs w:val="15"/>
              </w:rPr>
              <w:t>设备集中采购设备及相关服务采 购</w:t>
            </w:r>
            <w:r>
              <w:rPr>
                <w:rFonts w:ascii="Times New Roman" w:hAnsi="Times New Roman" w:cs="Times New Roman" w:eastAsia="Times New Roman" w:hint="default"/>
                <w:sz w:val="15"/>
                <w:szCs w:val="15"/>
              </w:rPr>
              <w:t>(IBM</w:t>
            </w:r>
            <w:r>
              <w:rPr>
                <w:rFonts w:ascii="宋体" w:hAnsi="宋体" w:cs="宋体" w:eastAsia="宋体" w:hint="default"/>
                <w:sz w:val="15"/>
                <w:szCs w:val="15"/>
              </w:rPr>
              <w:t>设备部分</w:t>
            </w:r>
            <w:r>
              <w:rPr>
                <w:rFonts w:ascii="Times New Roman" w:hAnsi="Times New Roman" w:cs="Times New Roman" w:eastAsia="Times New Roman" w:hint="default"/>
                <w:sz w:val="15"/>
                <w:szCs w:val="15"/>
              </w:rPr>
              <w:t>/</w:t>
            </w:r>
            <w:r>
              <w:rPr>
                <w:rFonts w:ascii="宋体" w:hAnsi="宋体" w:cs="宋体" w:eastAsia="宋体" w:hint="default"/>
                <w:sz w:val="15"/>
                <w:szCs w:val="15"/>
              </w:rPr>
              <w:t>神州泰岳代理</w:t>
            </w:r>
            <w:r>
              <w:rPr>
                <w:rFonts w:ascii="Times New Roman" w:hAnsi="Times New Roman" w:cs="Times New Roman" w:eastAsia="Times New Roman" w:hint="default"/>
                <w:sz w:val="15"/>
                <w:szCs w:val="15"/>
              </w:rPr>
              <w:t>)(</w:t>
            </w:r>
            <w:r>
              <w:rPr>
                <w:rFonts w:ascii="宋体" w:hAnsi="宋体" w:cs="宋体" w:eastAsia="宋体" w:hint="default"/>
                <w:sz w:val="15"/>
                <w:szCs w:val="15"/>
              </w:rPr>
              <w:t>分省</w:t>
            </w:r>
            <w:r>
              <w:rPr>
                <w:rFonts w:ascii="Times New Roman" w:hAnsi="Times New Roman" w:cs="Times New Roman" w:eastAsia="Times New Roman" w:hint="default"/>
                <w:sz w:val="15"/>
                <w:szCs w:val="15"/>
              </w:rPr>
              <w:t>/</w:t>
            </w:r>
            <w:r>
              <w:rPr>
                <w:rFonts w:ascii="宋体" w:hAnsi="宋体" w:cs="宋体" w:eastAsia="宋体" w:hint="default"/>
                <w:sz w:val="15"/>
                <w:szCs w:val="15"/>
              </w:rPr>
              <w:t>网资</w:t>
            </w:r>
            <w:r>
              <w:rPr>
                <w:rFonts w:ascii="Times New Roman" w:hAnsi="Times New Roman" w:cs="Times New Roman" w:eastAsia="Times New Roman" w:hint="default"/>
                <w:sz w:val="15"/>
                <w:szCs w:val="15"/>
              </w:rPr>
              <w:t>)(</w:t>
            </w:r>
            <w:r>
              <w:rPr>
                <w:rFonts w:ascii="宋体" w:hAnsi="宋体" w:cs="宋体" w:eastAsia="宋体" w:hint="default"/>
                <w:sz w:val="15"/>
                <w:szCs w:val="15"/>
              </w:rPr>
              <w:t>集团</w:t>
            </w:r>
            <w:r>
              <w:rPr>
                <w:rFonts w:ascii="Times New Roman" w:hAnsi="Times New Roman" w:cs="Times New Roman" w:eastAsia="Times New Roman" w:hint="default"/>
                <w:sz w:val="15"/>
                <w:szCs w:val="15"/>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181,123.00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18,112.30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6"/>
              <w:jc w:val="left"/>
              <w:rPr>
                <w:rFonts w:ascii="宋体" w:hAnsi="宋体" w:cs="宋体" w:eastAsia="宋体" w:hint="default"/>
                <w:sz w:val="15"/>
                <w:szCs w:val="15"/>
              </w:rPr>
            </w:pPr>
            <w:r>
              <w:rPr>
                <w:rFonts w:ascii="宋体" w:hAnsi="宋体" w:cs="宋体" w:eastAsia="宋体" w:hint="default"/>
                <w:sz w:val="15"/>
                <w:szCs w:val="15"/>
              </w:rPr>
              <w:t>中国移动数据网综合网管系统二期工程广西省自建</w:t>
            </w:r>
            <w:r>
              <w:rPr>
                <w:rFonts w:ascii="Times New Roman" w:hAnsi="Times New Roman" w:cs="Times New Roman" w:eastAsia="Times New Roman" w:hint="default"/>
                <w:sz w:val="15"/>
                <w:szCs w:val="15"/>
              </w:rPr>
              <w:t>BMC</w:t>
            </w:r>
            <w:r>
              <w:rPr>
                <w:rFonts w:ascii="宋体" w:hAnsi="宋体" w:cs="宋体" w:eastAsia="宋体" w:hint="default"/>
                <w:sz w:val="15"/>
                <w:szCs w:val="15"/>
              </w:rPr>
              <w:t>主 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1,318,356.00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131,835.60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2011</w:t>
            </w:r>
            <w:r>
              <w:rPr>
                <w:rFonts w:ascii="宋体" w:hAnsi="宋体" w:cs="宋体" w:eastAsia="宋体" w:hint="default"/>
                <w:sz w:val="15"/>
                <w:szCs w:val="15"/>
              </w:rPr>
              <w:t>年三期集采</w:t>
            </w:r>
            <w:r>
              <w:rPr>
                <w:rFonts w:ascii="Times New Roman" w:hAnsi="Times New Roman" w:cs="Times New Roman" w:eastAsia="Times New Roman" w:hint="default"/>
                <w:sz w:val="15"/>
                <w:szCs w:val="15"/>
              </w:rPr>
              <w:t>IBM</w:t>
            </w:r>
            <w:r>
              <w:rPr>
                <w:rFonts w:ascii="宋体" w:hAnsi="宋体" w:cs="宋体" w:eastAsia="宋体" w:hint="default"/>
                <w:sz w:val="15"/>
                <w:szCs w:val="15"/>
              </w:rPr>
              <w:t>部分</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77,092.00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z w:val="15"/>
              </w:rPr>
              <w:t>7,709.20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中国移动数据网全国中心综合网管系统二期工程广西两级 共管</w:t>
            </w:r>
            <w:r>
              <w:rPr>
                <w:rFonts w:ascii="Times New Roman" w:hAnsi="Times New Roman" w:cs="Times New Roman" w:eastAsia="Times New Roman" w:hint="default"/>
                <w:sz w:val="15"/>
                <w:szCs w:val="15"/>
              </w:rPr>
              <w:t>BMC</w:t>
            </w:r>
            <w:r>
              <w:rPr>
                <w:rFonts w:ascii="宋体" w:hAnsi="宋体" w:cs="宋体" w:eastAsia="宋体" w:hint="default"/>
                <w:sz w:val="15"/>
                <w:szCs w:val="15"/>
              </w:rPr>
              <w:t>主机代理软件采购合同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75,816.00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z w:val="15"/>
              </w:rPr>
              <w:t>7,581.60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47"/>
              <w:jc w:val="left"/>
              <w:rPr>
                <w:rFonts w:ascii="宋体" w:hAnsi="宋体" w:cs="宋体" w:eastAsia="宋体" w:hint="default"/>
                <w:sz w:val="15"/>
                <w:szCs w:val="15"/>
              </w:rPr>
            </w:pPr>
            <w:r>
              <w:rPr>
                <w:rFonts w:ascii="宋体" w:hAnsi="宋体" w:cs="宋体" w:eastAsia="宋体" w:hint="default"/>
                <w:sz w:val="15"/>
                <w:szCs w:val="15"/>
              </w:rPr>
              <w:t>中国电信</w:t>
            </w:r>
            <w:r>
              <w:rPr>
                <w:rFonts w:ascii="Times New Roman" w:hAnsi="Times New Roman" w:cs="Times New Roman" w:eastAsia="Times New Roman" w:hint="default"/>
                <w:sz w:val="15"/>
                <w:szCs w:val="15"/>
              </w:rPr>
              <w:t>2013</w:t>
            </w:r>
            <w:r>
              <w:rPr>
                <w:rFonts w:ascii="宋体" w:hAnsi="宋体" w:cs="宋体" w:eastAsia="宋体" w:hint="default"/>
                <w:sz w:val="15"/>
                <w:szCs w:val="15"/>
              </w:rPr>
              <w:t>年第一批</w:t>
            </w:r>
            <w:r>
              <w:rPr>
                <w:rFonts w:ascii="Times New Roman" w:hAnsi="Times New Roman" w:cs="Times New Roman" w:eastAsia="Times New Roman" w:hint="default"/>
                <w:sz w:val="15"/>
                <w:szCs w:val="15"/>
              </w:rPr>
              <w:t>IT</w:t>
            </w:r>
            <w:r>
              <w:rPr>
                <w:rFonts w:ascii="宋体" w:hAnsi="宋体" w:cs="宋体" w:eastAsia="宋体" w:hint="default"/>
                <w:sz w:val="15"/>
                <w:szCs w:val="15"/>
              </w:rPr>
              <w:t>设备集中采购设备及相关服务采 购框架合同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459,916.80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45,991.68</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中国移动数据网全国中心综合网管系统二期工程重庆两级 共管</w:t>
            </w:r>
            <w:r>
              <w:rPr>
                <w:rFonts w:ascii="Times New Roman" w:hAnsi="Times New Roman" w:cs="Times New Roman" w:eastAsia="Times New Roman" w:hint="default"/>
                <w:sz w:val="15"/>
                <w:szCs w:val="15"/>
              </w:rPr>
              <w:t>BMC</w:t>
            </w:r>
            <w:r>
              <w:rPr>
                <w:rFonts w:ascii="宋体" w:hAnsi="宋体" w:cs="宋体" w:eastAsia="宋体" w:hint="default"/>
                <w:sz w:val="15"/>
                <w:szCs w:val="15"/>
              </w:rPr>
              <w:t>主机代理商软件采购合同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92,664.00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z w:val="15"/>
              </w:rPr>
              <w:t>9,266.40</w:t>
            </w:r>
          </w:p>
        </w:tc>
        <w:tc>
          <w:tcPr>
            <w:tcW w:w="312" w:type="dxa"/>
            <w:vMerge/>
            <w:tcBorders>
              <w:left w:val="single" w:sz="6" w:space="0" w:color="000000"/>
              <w:right w:val="nil" w:sz="6" w:space="0" w:color="auto"/>
            </w:tcBorders>
          </w:tcPr>
          <w:p>
            <w:pP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7"/>
              <w:ind w:left="2" w:right="106"/>
              <w:jc w:val="left"/>
              <w:rPr>
                <w:rFonts w:ascii="宋体" w:hAnsi="宋体" w:cs="宋体" w:eastAsia="宋体" w:hint="default"/>
                <w:sz w:val="15"/>
                <w:szCs w:val="15"/>
              </w:rPr>
            </w:pPr>
            <w:r>
              <w:rPr>
                <w:rFonts w:ascii="宋体" w:hAnsi="宋体" w:cs="宋体" w:eastAsia="宋体" w:hint="default"/>
                <w:sz w:val="15"/>
                <w:szCs w:val="15"/>
              </w:rPr>
              <w:t>中国移动数据网综合网管系统二期工程重庆省自建</w:t>
            </w:r>
            <w:r>
              <w:rPr>
                <w:rFonts w:ascii="Times New Roman" w:hAnsi="Times New Roman" w:cs="Times New Roman" w:eastAsia="Times New Roman" w:hint="default"/>
                <w:sz w:val="15"/>
                <w:szCs w:val="15"/>
              </w:rPr>
              <w:t>BMC</w:t>
            </w:r>
            <w:r>
              <w:rPr>
                <w:rFonts w:ascii="宋体" w:hAnsi="宋体" w:cs="宋体" w:eastAsia="宋体" w:hint="default"/>
                <w:sz w:val="15"/>
                <w:szCs w:val="15"/>
              </w:rPr>
              <w:t>主 机代理软件采购合同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484,380.00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48,438.00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6"/>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中国移动数据网全国中心综合网管系统二期工程重庆应用 层软件及系统集成部分采购合同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701,224.00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70,122.00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中国移动数据网管四期工程序主机广东节点代理软件供货 及集成服务合同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3,549,000.00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354,900.00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7"/>
              <w:ind w:left="2" w:right="139"/>
              <w:jc w:val="left"/>
              <w:rPr>
                <w:rFonts w:ascii="宋体" w:hAnsi="宋体" w:cs="宋体" w:eastAsia="宋体" w:hint="default"/>
                <w:sz w:val="15"/>
                <w:szCs w:val="15"/>
              </w:rPr>
            </w:pPr>
            <w:r>
              <w:rPr>
                <w:rFonts w:ascii="宋体" w:hAnsi="宋体" w:cs="宋体" w:eastAsia="宋体" w:hint="default"/>
                <w:sz w:val="15"/>
                <w:szCs w:val="15"/>
              </w:rPr>
              <w:t>中国移动数据网管二期二阶段扩容工程湖南节点泰岳主机 代理软件、采集层软件、应用层软件及集成供货合同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1,540,852.00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154,086.00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4A</w:t>
            </w:r>
            <w:r>
              <w:rPr>
                <w:rFonts w:ascii="宋体" w:hAnsi="宋体" w:cs="宋体" w:eastAsia="宋体" w:hint="default"/>
                <w:sz w:val="15"/>
                <w:szCs w:val="15"/>
              </w:rPr>
              <w:t>硬件维保服务采购合同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690,000.00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34,500.00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2014-2015</w:t>
            </w:r>
            <w:r>
              <w:rPr>
                <w:rFonts w:ascii="宋体" w:hAnsi="宋体" w:cs="宋体" w:eastAsia="宋体" w:hint="default"/>
                <w:sz w:val="15"/>
                <w:szCs w:val="15"/>
              </w:rPr>
              <w:t>年</w:t>
            </w:r>
            <w:r>
              <w:rPr>
                <w:rFonts w:ascii="Times New Roman" w:hAnsi="Times New Roman" w:cs="Times New Roman" w:eastAsia="Times New Roman" w:hint="default"/>
                <w:sz w:val="15"/>
                <w:szCs w:val="15"/>
              </w:rPr>
              <w:t>139</w:t>
            </w:r>
            <w:r>
              <w:rPr>
                <w:rFonts w:ascii="宋体" w:hAnsi="宋体" w:cs="宋体" w:eastAsia="宋体" w:hint="default"/>
                <w:sz w:val="15"/>
                <w:szCs w:val="15"/>
              </w:rPr>
              <w:t>邮箱业务运营支撑服务公开招标项目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北京银行上地支行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800,000.00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800,000.00</w:t>
            </w:r>
          </w:p>
        </w:tc>
        <w:tc>
          <w:tcPr>
            <w:tcW w:w="312" w:type="dxa"/>
            <w:vMerge/>
            <w:tcBorders>
              <w:left w:val="single" w:sz="6" w:space="0" w:color="000000"/>
              <w:right w:val="nil" w:sz="6" w:space="0" w:color="auto"/>
            </w:tcBorders>
          </w:tcPr>
          <w:p>
            <w:pPr/>
          </w:p>
        </w:tc>
      </w:tr>
      <w:tr>
        <w:trPr>
          <w:trHeight w:val="66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中国移动通信集团终端有限公司</w:t>
            </w:r>
            <w:r>
              <w:rPr>
                <w:rFonts w:ascii="Times New Roman" w:hAnsi="Times New Roman" w:cs="Times New Roman" w:eastAsia="Times New Roman" w:hint="default"/>
                <w:sz w:val="15"/>
                <w:szCs w:val="15"/>
              </w:rPr>
              <w:t>2013</w:t>
            </w:r>
            <w:r>
              <w:rPr>
                <w:rFonts w:ascii="宋体" w:hAnsi="宋体" w:cs="宋体" w:eastAsia="宋体" w:hint="default"/>
                <w:sz w:val="15"/>
                <w:szCs w:val="15"/>
              </w:rPr>
              <w:t>年终端仪表采购合同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建设银行宁波西郊支行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25,800.00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25,800.00</w:t>
            </w:r>
          </w:p>
        </w:tc>
        <w:tc>
          <w:tcPr>
            <w:tcW w:w="312" w:type="dxa"/>
            <w:vMerge/>
            <w:tcBorders>
              <w:left w:val="single" w:sz="6" w:space="0" w:color="000000"/>
              <w:right w:val="nil" w:sz="6" w:space="0" w:color="auto"/>
            </w:tcBorders>
          </w:tcPr>
          <w:p>
            <w:pPr/>
          </w:p>
        </w:tc>
      </w:tr>
      <w:tr>
        <w:trPr>
          <w:trHeight w:val="65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36"/>
              <w:ind w:left="2" w:right="130"/>
              <w:jc w:val="left"/>
              <w:rPr>
                <w:rFonts w:ascii="宋体" w:hAnsi="宋体" w:cs="宋体" w:eastAsia="宋体" w:hint="default"/>
                <w:sz w:val="15"/>
                <w:szCs w:val="15"/>
              </w:rPr>
            </w:pPr>
            <w:r>
              <w:rPr>
                <w:rFonts w:ascii="宋体" w:hAnsi="宋体" w:cs="宋体" w:eastAsia="宋体" w:hint="default"/>
                <w:sz w:val="15"/>
                <w:szCs w:val="15"/>
              </w:rPr>
              <w:t>广东移动</w:t>
            </w:r>
            <w:r>
              <w:rPr>
                <w:rFonts w:ascii="Times New Roman" w:hAnsi="Times New Roman" w:cs="Times New Roman" w:eastAsia="Times New Roman" w:hint="default"/>
                <w:sz w:val="15"/>
                <w:szCs w:val="15"/>
              </w:rPr>
              <w:t>2014</w:t>
            </w:r>
            <w:r>
              <w:rPr>
                <w:rFonts w:ascii="宋体" w:hAnsi="宋体" w:cs="宋体" w:eastAsia="宋体" w:hint="default"/>
                <w:sz w:val="15"/>
                <w:szCs w:val="15"/>
              </w:rPr>
              <w:t>年互联网质量提升项目联通</w:t>
            </w:r>
            <w:r>
              <w:rPr>
                <w:rFonts w:ascii="Times New Roman" w:hAnsi="Times New Roman" w:cs="Times New Roman" w:eastAsia="Times New Roman" w:hint="default"/>
                <w:sz w:val="15"/>
                <w:szCs w:val="15"/>
              </w:rPr>
              <w:t>NAT</w:t>
            </w:r>
            <w:r>
              <w:rPr>
                <w:rFonts w:ascii="宋体" w:hAnsi="宋体" w:cs="宋体" w:eastAsia="宋体" w:hint="default"/>
                <w:sz w:val="15"/>
                <w:szCs w:val="15"/>
              </w:rPr>
              <w:t>子项框架标 的合同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6"/>
              <w:ind w:left="2" w:right="103"/>
              <w:jc w:val="left"/>
              <w:rPr>
                <w:rFonts w:ascii="宋体" w:hAnsi="宋体" w:cs="宋体" w:eastAsia="宋体" w:hint="default"/>
                <w:sz w:val="15"/>
                <w:szCs w:val="15"/>
              </w:rPr>
            </w:pPr>
            <w:r>
              <w:rPr>
                <w:rFonts w:ascii="宋体" w:hAnsi="宋体" w:cs="宋体" w:eastAsia="宋体" w:hint="default"/>
                <w:sz w:val="15"/>
                <w:szCs w:val="15"/>
              </w:rPr>
              <w:t>中国工商银行北京海淀 西区支行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right"/>
              <w:rPr>
                <w:rFonts w:ascii="Times New Roman" w:hAnsi="Times New Roman" w:cs="Times New Roman" w:eastAsia="Times New Roman" w:hint="default"/>
                <w:sz w:val="15"/>
                <w:szCs w:val="15"/>
              </w:rPr>
            </w:pPr>
            <w:r>
              <w:rPr>
                <w:rFonts w:ascii="Times New Roman"/>
                <w:spacing w:val="-1"/>
                <w:sz w:val="15"/>
              </w:rPr>
              <w:t>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15"/>
                <w:szCs w:val="15"/>
              </w:rPr>
            </w:pPr>
            <w:r>
              <w:rPr>
                <w:rFonts w:ascii="Times New Roman"/>
                <w:sz w:val="15"/>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right"/>
              <w:rPr>
                <w:rFonts w:ascii="Times New Roman" w:hAnsi="Times New Roman" w:cs="Times New Roman" w:eastAsia="Times New Roman" w:hint="default"/>
                <w:sz w:val="15"/>
                <w:szCs w:val="15"/>
              </w:rPr>
            </w:pPr>
            <w:r>
              <w:rPr>
                <w:rFonts w:ascii="Times New Roman"/>
                <w:spacing w:val="-1"/>
                <w:sz w:val="15"/>
              </w:rPr>
              <w:t>500,000.00</w:t>
            </w:r>
          </w:p>
        </w:tc>
        <w:tc>
          <w:tcPr>
            <w:tcW w:w="312" w:type="dxa"/>
            <w:vMerge/>
            <w:tcBorders>
              <w:left w:val="single" w:sz="6" w:space="0" w:color="000000"/>
              <w:right w:val="nil" w:sz="6" w:space="0" w:color="auto"/>
            </w:tcBorders>
          </w:tcPr>
          <w:p>
            <w:pPr/>
          </w:p>
        </w:tc>
      </w:tr>
      <w:tr>
        <w:trPr>
          <w:trHeight w:val="34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62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7,808,705.39</w:t>
            </w:r>
          </w:p>
        </w:tc>
        <w:tc>
          <w:tcPr>
            <w:tcW w:w="312" w:type="dxa"/>
            <w:vMerge/>
            <w:tcBorders>
              <w:left w:val="single" w:sz="6" w:space="0" w:color="000000"/>
              <w:bottom w:val="nil" w:sz="6" w:space="0" w:color="auto"/>
              <w:right w:val="nil" w:sz="6" w:space="0" w:color="auto"/>
            </w:tcBorders>
          </w:tcPr>
          <w:p>
            <w:pPr/>
          </w:p>
        </w:tc>
      </w:tr>
    </w:tbl>
    <w:p>
      <w:pPr>
        <w:spacing w:line="240" w:lineRule="auto" w:before="8"/>
        <w:rPr>
          <w:rFonts w:ascii="宋体" w:hAnsi="宋体" w:cs="宋体" w:eastAsia="宋体" w:hint="default"/>
          <w:sz w:val="18"/>
          <w:szCs w:val="18"/>
        </w:rPr>
      </w:pPr>
    </w:p>
    <w:p>
      <w:pPr>
        <w:pStyle w:val="Heading3"/>
        <w:spacing w:line="240" w:lineRule="auto" w:before="35"/>
        <w:ind w:left="114" w:right="0"/>
        <w:jc w:val="left"/>
        <w:rPr>
          <w:b w:val="0"/>
          <w:bCs w:val="0"/>
        </w:rPr>
      </w:pPr>
      <w:bookmarkStart w:name="2、或有事项" w:id="338"/>
      <w:bookmarkEnd w:id="33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4" w:right="0"/>
        <w:jc w:val="left"/>
        <w:rPr>
          <w:b w:val="0"/>
          <w:bCs w:val="0"/>
        </w:rPr>
      </w:pPr>
      <w:bookmarkStart w:name="（1）资产负债表日存在的重要或有事项" w:id="339"/>
      <w:bookmarkEnd w:id="33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7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日，公司无未决诉讼或仲裁形成的或有负债。</w:t>
      </w:r>
    </w:p>
    <w:p>
      <w:pPr>
        <w:spacing w:after="0" w:line="240" w:lineRule="auto"/>
        <w:jc w:val="left"/>
        <w:sectPr>
          <w:pgSz w:w="11910" w:h="16840"/>
          <w:pgMar w:header="851" w:footer="1226" w:top="1420" w:bottom="1420" w:left="1020" w:right="10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left="513" w:right="2933"/>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日，公司无为关联方及其他单位提供债务担保形成的或有负债。 本公司无需披露的其他或有负债。</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2）公司没有需要披露的重要或有事项，也应予以说明" w:id="340"/>
      <w:bookmarkEnd w:id="34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53" w:right="0"/>
        <w:jc w:val="left"/>
        <w:rPr>
          <w:b w:val="0"/>
          <w:bCs w:val="0"/>
        </w:rPr>
      </w:pPr>
      <w:bookmarkStart w:name="3、其他" w:id="341"/>
      <w:bookmarkEnd w:id="341"/>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32"/>
          <w:szCs w:val="32"/>
        </w:rPr>
      </w:pPr>
    </w:p>
    <w:p>
      <w:pPr>
        <w:pStyle w:val="BodyText"/>
        <w:spacing w:line="463" w:lineRule="auto"/>
        <w:ind w:left="514" w:right="473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前期会计差错更正</w:t>
      </w:r>
      <w:r>
        <w:rPr>
          <w:w w:val="99"/>
        </w:rPr>
        <w:t> </w:t>
      </w:r>
      <w:r>
        <w:rPr/>
        <w:t>本报告期未发生采用未来适用法的前期会计差错更正事项。</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经营租赁租出</w:t>
      </w:r>
    </w:p>
    <w:p>
      <w:pPr>
        <w:pStyle w:val="BodyText"/>
        <w:spacing w:line="240" w:lineRule="auto" w:before="33"/>
        <w:ind w:left="514" w:right="0"/>
        <w:jc w:val="left"/>
      </w:pPr>
      <w:r>
        <w:rPr/>
        <w:t>公司将北辰泰岳大厦部分楼层及停车位用于经营租赁租出，本年共取得租赁收入</w:t>
      </w:r>
      <w:r>
        <w:rPr>
          <w:rFonts w:ascii="Times New Roman" w:hAnsi="Times New Roman" w:cs="Times New Roman" w:eastAsia="Times New Roman" w:hint="default"/>
        </w:rPr>
        <w:t>1,710.58</w:t>
      </w:r>
      <w:r>
        <w:rPr/>
        <w:t>万元。</w:t>
      </w:r>
    </w:p>
    <w:p>
      <w:pPr>
        <w:spacing w:line="240" w:lineRule="auto" w:before="9"/>
        <w:rPr>
          <w:rFonts w:ascii="宋体" w:hAnsi="宋体" w:cs="宋体" w:eastAsia="宋体" w:hint="default"/>
          <w:sz w:val="16"/>
          <w:szCs w:val="16"/>
        </w:rPr>
      </w:pPr>
    </w:p>
    <w:p>
      <w:pPr>
        <w:pStyle w:val="BodyText"/>
        <w:spacing w:line="451" w:lineRule="auto"/>
        <w:ind w:left="51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重大合同</w:t>
      </w:r>
      <w:r>
        <w:rPr>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月，公司全资子公司</w:t>
      </w:r>
      <w:r>
        <w:rPr>
          <w:rFonts w:ascii="Times New Roman" w:hAnsi="Times New Roman" w:cs="Times New Roman" w:eastAsia="Times New Roman" w:hint="default"/>
        </w:rPr>
        <w:t>—</w:t>
      </w:r>
      <w:r>
        <w:rPr/>
        <w:t>北京新媒传信科技有限公司（下称</w:t>
      </w:r>
      <w:r>
        <w:rPr>
          <w:rFonts w:ascii="Times New Roman" w:hAnsi="Times New Roman" w:cs="Times New Roman" w:eastAsia="Times New Roman" w:hint="default"/>
        </w:rPr>
        <w:t>“</w:t>
      </w:r>
      <w:r>
        <w:rPr/>
        <w:t>新媒传信</w:t>
      </w:r>
      <w:r>
        <w:rPr>
          <w:rFonts w:ascii="Times New Roman" w:hAnsi="Times New Roman" w:cs="Times New Roman" w:eastAsia="Times New Roman" w:hint="default"/>
        </w:rPr>
        <w:t>”</w:t>
      </w:r>
      <w:r>
        <w:rPr/>
        <w:t>）与中国移动通信集团广东有限公司（下</w:t>
      </w:r>
    </w:p>
    <w:p>
      <w:pPr>
        <w:pStyle w:val="BodyText"/>
        <w:spacing w:line="451" w:lineRule="auto" w:before="43"/>
        <w:ind w:right="0"/>
        <w:jc w:val="left"/>
      </w:pPr>
      <w:r>
        <w:rPr/>
        <w:t>称</w:t>
      </w:r>
      <w:r>
        <w:rPr>
          <w:rFonts w:ascii="Times New Roman" w:hAnsi="Times New Roman" w:cs="Times New Roman" w:eastAsia="Times New Roman" w:hint="default"/>
        </w:rPr>
        <w:t>“</w:t>
      </w:r>
      <w:r>
        <w:rPr/>
        <w:t>广东移动</w:t>
      </w:r>
      <w:r>
        <w:rPr>
          <w:rFonts w:ascii="Times New Roman" w:hAnsi="Times New Roman" w:cs="Times New Roman" w:eastAsia="Times New Roman" w:hint="default"/>
        </w:rPr>
        <w:t>”</w:t>
      </w:r>
      <w:r>
        <w:rPr/>
        <w:t>）就</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月期间的飞信系统开发与支撑签署了相关合同，签订补充协议，补充协议规定</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6</w:t>
      </w:r>
      <w:r>
        <w:rPr/>
        <w:t>月飞信业务中</w:t>
      </w:r>
      <w:r>
        <w:rPr>
          <w:rFonts w:ascii="Times New Roman" w:hAnsi="Times New Roman" w:cs="Times New Roman" w:eastAsia="Times New Roman" w:hint="default"/>
        </w:rPr>
        <w:t>“</w:t>
      </w:r>
      <w:r>
        <w:rPr/>
        <w:t>基础服务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公共服务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飞信同窗</w:t>
      </w:r>
      <w:r>
        <w:rPr>
          <w:rFonts w:ascii="Times New Roman" w:hAnsi="Times New Roman" w:cs="Times New Roman" w:eastAsia="Times New Roman" w:hint="default"/>
        </w:rPr>
        <w:t>”</w:t>
      </w:r>
      <w:r>
        <w:rPr/>
        <w:t>三个子项目的实施与支撑合同的封顶价金额合计为</w:t>
      </w:r>
      <w:r>
        <w:rPr>
          <w:rFonts w:ascii="Times New Roman" w:hAnsi="Times New Roman" w:cs="Times New Roman" w:eastAsia="Times New Roman" w:hint="default"/>
        </w:rPr>
        <w:t>0.32</w:t>
      </w:r>
      <w:r>
        <w:rPr/>
        <w:t>亿元。</w:t>
      </w:r>
    </w:p>
    <w:p>
      <w:pPr>
        <w:pStyle w:val="BodyText"/>
        <w:spacing w:line="451" w:lineRule="auto" w:before="44"/>
        <w:ind w:right="0" w:firstLine="360"/>
        <w:jc w:val="left"/>
      </w:pPr>
      <w:r>
        <w:rPr/>
        <w:t>新媒传信另于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月与广东移动续签了飞信业务中</w:t>
      </w:r>
      <w:r>
        <w:rPr>
          <w:rFonts w:ascii="Times New Roman" w:hAnsi="Times New Roman" w:cs="Times New Roman" w:eastAsia="Times New Roman" w:hint="default"/>
        </w:rPr>
        <w:t>“</w:t>
      </w:r>
      <w:r>
        <w:rPr/>
        <w:t>基础服务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公共服务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飞信同窗</w:t>
      </w:r>
      <w:r>
        <w:rPr>
          <w:rFonts w:ascii="Times New Roman" w:hAnsi="Times New Roman" w:cs="Times New Roman" w:eastAsia="Times New Roman" w:hint="default"/>
        </w:rPr>
        <w:t>”</w:t>
      </w:r>
      <w:r>
        <w:rPr/>
        <w:t>三个子项目的实施与支撑 合同，此三个合同的有效期均为：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月，结算封顶金额合计为</w:t>
      </w:r>
      <w:r>
        <w:rPr>
          <w:rFonts w:ascii="Times New Roman" w:hAnsi="Times New Roman" w:cs="Times New Roman" w:eastAsia="Times New Roman" w:hint="default"/>
        </w:rPr>
        <w:t>3.84</w:t>
      </w:r>
      <w:r>
        <w:rPr/>
        <w:t>亿元。</w:t>
      </w:r>
    </w:p>
    <w:p>
      <w:pPr>
        <w:pStyle w:val="BodyText"/>
        <w:spacing w:line="451" w:lineRule="auto" w:before="43"/>
        <w:ind w:left="514"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上年度发行股份及支付现金购买资产进展</w:t>
      </w:r>
      <w:r>
        <w:rPr>
          <w:w w:val="99"/>
        </w:rPr>
        <w:t> </w:t>
      </w:r>
      <w:r>
        <w:rPr>
          <w:rFonts w:ascii="Times New Roman" w:hAnsi="Times New Roman" w:cs="Times New Roman" w:eastAsia="Times New Roman" w:hint="default"/>
        </w:rPr>
        <w:t>2013</w:t>
      </w:r>
      <w:r>
        <w:rPr/>
        <w:t>年度，公司计划采取发行股份及支付现金购买天津壳木软件有限责任公司（简称</w:t>
      </w:r>
      <w:r>
        <w:rPr>
          <w:rFonts w:ascii="Times New Roman" w:hAnsi="Times New Roman" w:cs="Times New Roman" w:eastAsia="Times New Roman" w:hint="default"/>
        </w:rPr>
        <w:t>“</w:t>
      </w:r>
      <w:r>
        <w:rPr/>
        <w:t>天津壳木</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股权，本次交</w:t>
      </w:r>
    </w:p>
    <w:p>
      <w:pPr>
        <w:pStyle w:val="BodyText"/>
        <w:spacing w:line="240" w:lineRule="auto" w:before="43"/>
        <w:ind w:right="0"/>
        <w:jc w:val="left"/>
      </w:pPr>
      <w:r>
        <w:rPr/>
        <w:t>易作价</w:t>
      </w:r>
      <w:r>
        <w:rPr>
          <w:rFonts w:ascii="Times New Roman" w:hAnsi="Times New Roman" w:cs="Times New Roman" w:eastAsia="Times New Roman" w:hint="default"/>
        </w:rPr>
        <w:t>12.15</w:t>
      </w:r>
      <w:r>
        <w:rPr/>
        <w:t>亿元，天津壳木</w:t>
      </w:r>
      <w:r>
        <w:rPr>
          <w:rFonts w:ascii="Times New Roman" w:hAnsi="Times New Roman" w:cs="Times New Roman" w:eastAsia="Times New Roman" w:hint="default"/>
        </w:rPr>
        <w:t>2013</w:t>
      </w:r>
      <w:r>
        <w:rPr/>
        <w:t>年度至</w:t>
      </w:r>
      <w:r>
        <w:rPr>
          <w:rFonts w:ascii="Times New Roman" w:hAnsi="Times New Roman" w:cs="Times New Roman" w:eastAsia="Times New Roman" w:hint="default"/>
        </w:rPr>
        <w:t>2016</w:t>
      </w:r>
      <w:r>
        <w:rPr/>
        <w:t>年度的承诺净利润分别为</w:t>
      </w:r>
      <w:r>
        <w:rPr>
          <w:rFonts w:ascii="Times New Roman" w:hAnsi="Times New Roman" w:cs="Times New Roman" w:eastAsia="Times New Roman" w:hint="default"/>
        </w:rPr>
        <w:t>0.8</w:t>
      </w:r>
      <w:r>
        <w:rPr/>
        <w:t>亿元、</w:t>
      </w:r>
      <w:r>
        <w:rPr>
          <w:rFonts w:ascii="Times New Roman" w:hAnsi="Times New Roman" w:cs="Times New Roman" w:eastAsia="Times New Roman" w:hint="default"/>
        </w:rPr>
        <w:t>1.1</w:t>
      </w:r>
      <w:r>
        <w:rPr/>
        <w:t>亿元、</w:t>
      </w:r>
      <w:r>
        <w:rPr>
          <w:rFonts w:ascii="Times New Roman" w:hAnsi="Times New Roman" w:cs="Times New Roman" w:eastAsia="Times New Roman" w:hint="default"/>
        </w:rPr>
        <w:t>1.5</w:t>
      </w:r>
      <w:r>
        <w:rPr/>
        <w:t>亿元、</w:t>
      </w:r>
      <w:r>
        <w:rPr>
          <w:rFonts w:ascii="Times New Roman" w:hAnsi="Times New Roman" w:cs="Times New Roman" w:eastAsia="Times New Roman" w:hint="default"/>
        </w:rPr>
        <w:t>2.0</w:t>
      </w:r>
      <w:r>
        <w:rPr/>
        <w:t>亿元。</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日，经中国证券监督管理委员会上市公司并购重组委员会</w:t>
      </w:r>
      <w:r>
        <w:rPr>
          <w:rFonts w:ascii="Times New Roman" w:hAnsi="Times New Roman" w:cs="Times New Roman" w:eastAsia="Times New Roman" w:hint="default"/>
          <w:spacing w:val="-2"/>
        </w:rPr>
        <w:t>2014</w:t>
      </w:r>
      <w:r>
        <w:rPr>
          <w:spacing w:val="-2"/>
        </w:rPr>
        <w:t>年第</w:t>
      </w:r>
      <w:r>
        <w:rPr>
          <w:rFonts w:ascii="Times New Roman" w:hAnsi="Times New Roman" w:cs="Times New Roman" w:eastAsia="Times New Roman" w:hint="default"/>
          <w:spacing w:val="-2"/>
        </w:rPr>
        <w:t>4</w:t>
      </w:r>
      <w:r>
        <w:rPr>
          <w:spacing w:val="-2"/>
        </w:rPr>
        <w:t>次工作会议审核，该事项获得有条件通</w:t>
      </w:r>
      <w:r>
        <w:rPr/>
        <w:t> 过。</w:t>
      </w:r>
    </w:p>
    <w:p>
      <w:pPr>
        <w:pStyle w:val="BodyText"/>
        <w:spacing w:line="451" w:lineRule="auto" w:before="74"/>
        <w:ind w:left="154" w:right="14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日，公司接到中国证券监督管理委员会《关于核准北京神州泰岳软件股份有限公司向李毅等发行股份购买 资产的批复》（证监许可【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341</w:t>
      </w:r>
      <w:r>
        <w:rPr/>
        <w:t>号），核准公司向李毅等发行股份购买相关资产。</w:t>
      </w:r>
    </w:p>
    <w:p>
      <w:pPr>
        <w:pStyle w:val="BodyText"/>
        <w:spacing w:line="451" w:lineRule="auto" w:before="43"/>
        <w:ind w:left="514"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壳木业绩承诺补偿</w:t>
      </w:r>
      <w:r>
        <w:rPr>
          <w:w w:val="99"/>
        </w:rPr>
        <w:t> </w:t>
      </w:r>
      <w:r>
        <w:rPr>
          <w:spacing w:val="-2"/>
        </w:rPr>
        <w:t>本报告期天津壳木软件有限责任公司未完成《发行股份及支付现金购买资产协议》约定的业绩承诺，李毅、李章晶与天</w:t>
      </w:r>
    </w:p>
    <w:p>
      <w:pPr>
        <w:pStyle w:val="BodyText"/>
        <w:spacing w:line="240" w:lineRule="auto" w:before="74"/>
        <w:ind w:left="154" w:right="0"/>
        <w:jc w:val="left"/>
      </w:pPr>
      <w:r>
        <w:rPr/>
        <w:t>津骆壳科技信息咨询合伙企业（有限合伙）需以其各自认购的股份在锁定期内承担业绩补偿责任。</w:t>
      </w:r>
    </w:p>
    <w:p>
      <w:pPr>
        <w:spacing w:after="0" w:line="240" w:lineRule="auto"/>
        <w:jc w:val="left"/>
        <w:sectPr>
          <w:pgSz w:w="11910" w:h="16840"/>
          <w:pgMar w:header="851" w:footer="1226" w:top="1380" w:bottom="1420" w:left="980" w:right="980"/>
        </w:sectPr>
      </w:pPr>
    </w:p>
    <w:p>
      <w:pPr>
        <w:pStyle w:val="Heading2"/>
        <w:spacing w:line="240" w:lineRule="auto" w:before="15"/>
        <w:ind w:right="93"/>
        <w:jc w:val="left"/>
        <w:rPr>
          <w:b w:val="0"/>
          <w:bCs w:val="0"/>
        </w:rPr>
      </w:pPr>
      <w:r>
        <w:rPr/>
        <w:pict>
          <v:group style="position:absolute;margin-left:55.200001pt;margin-top:2.225632pt;width:485pt;height:.1pt;mso-position-horizontal-relative:page;mso-position-vertical-relative:paragraph;z-index:-1109512"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十五、资产负债表日后事项" w:id="342"/>
      <w:bookmarkEnd w:id="342"/>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重要的非调整事项" w:id="343"/>
      <w:bookmarkEnd w:id="34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32"/>
        <w:gridCol w:w="5095"/>
        <w:gridCol w:w="1556"/>
      </w:tblGrid>
      <w:tr>
        <w:trPr>
          <w:trHeight w:val="161" w:hRule="exact"/>
        </w:trPr>
        <w:tc>
          <w:tcPr>
            <w:tcW w:w="3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32"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r>
      <w:tr>
        <w:trPr>
          <w:trHeight w:val="391" w:hRule="exact"/>
        </w:trPr>
        <w:tc>
          <w:tcPr>
            <w:tcW w:w="30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0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56" w:type="dxa"/>
            <w:vMerge/>
            <w:tcBorders>
              <w:left w:val="single" w:sz="4" w:space="0" w:color="000000"/>
              <w:right w:val="single" w:sz="4" w:space="0" w:color="000000"/>
            </w:tcBorders>
            <w:shd w:val="clear" w:color="auto" w:fill="D2D2D2"/>
          </w:tcPr>
          <w:p>
            <w:pPr/>
          </w:p>
        </w:tc>
      </w:tr>
      <w:tr>
        <w:trPr>
          <w:trHeight w:val="161" w:hRule="exact"/>
        </w:trPr>
        <w:tc>
          <w:tcPr>
            <w:tcW w:w="3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r>
      <w:tr>
        <w:trPr>
          <w:trHeight w:val="630" w:hRule="exact"/>
        </w:trPr>
        <w:tc>
          <w:tcPr>
            <w:tcW w:w="3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5" w:type="dxa"/>
            <w:vMerge w:val="restart"/>
            <w:tcBorders>
              <w:top w:val="single" w:sz="4" w:space="0" w:color="000000"/>
              <w:left w:val="single" w:sz="9" w:space="0" w:color="D2D2D2"/>
              <w:right w:val="single" w:sz="4" w:space="0" w:color="000000"/>
            </w:tcBorders>
          </w:tcPr>
          <w:p>
            <w:pPr>
              <w:pStyle w:val="TableParagraph"/>
              <w:spacing w:line="309" w:lineRule="auto" w:before="52"/>
              <w:ind w:left="17" w:right="22"/>
              <w:jc w:val="left"/>
              <w:rPr>
                <w:rFonts w:ascii="宋体" w:hAnsi="宋体" w:cs="宋体" w:eastAsia="宋体" w:hint="default"/>
                <w:sz w:val="18"/>
                <w:szCs w:val="18"/>
              </w:rPr>
            </w:pPr>
            <w:r>
              <w:rPr>
                <w:rFonts w:ascii="宋体" w:hAnsi="宋体" w:cs="宋体" w:eastAsia="宋体" w:hint="default"/>
                <w:sz w:val="18"/>
                <w:szCs w:val="18"/>
              </w:rPr>
              <w:t>报告期内，公司计划采取发行股份及支付现金购买北京市天元网 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股份、北京神州祥升软件有限公司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股权。经中国证监会上市公司并购重组委员会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5"/>
              <w:ind w:left="1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次工作会议审核，公司发行股份及支付</w:t>
            </w:r>
            <w:r>
              <w:rPr>
                <w:rFonts w:ascii="宋体" w:hAnsi="宋体" w:cs="宋体" w:eastAsia="宋体" w:hint="default"/>
                <w:sz w:val="18"/>
                <w:szCs w:val="18"/>
              </w:rPr>
              <w:t> 现金购买资产暨关联交易事项未获通过。</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对财务状况和经营</w:t>
            </w:r>
          </w:p>
          <w:p>
            <w:pPr>
              <w:pStyle w:val="TableParagraph"/>
              <w:spacing w:line="240" w:lineRule="auto" w:before="76"/>
              <w:ind w:left="623" w:right="0"/>
              <w:jc w:val="left"/>
              <w:rPr>
                <w:rFonts w:ascii="宋体" w:hAnsi="宋体" w:cs="宋体" w:eastAsia="宋体" w:hint="default"/>
                <w:sz w:val="18"/>
                <w:szCs w:val="18"/>
              </w:rPr>
            </w:pPr>
            <w:r>
              <w:rPr>
                <w:rFonts w:ascii="宋体" w:hAnsi="宋体" w:cs="宋体" w:eastAsia="宋体" w:hint="default"/>
                <w:sz w:val="18"/>
                <w:szCs w:val="18"/>
              </w:rPr>
              <w:t>成果无影响</w:t>
            </w:r>
          </w:p>
        </w:tc>
      </w:tr>
      <w:tr>
        <w:trPr>
          <w:trHeight w:val="391" w:hRule="exact"/>
        </w:trPr>
        <w:tc>
          <w:tcPr>
            <w:tcW w:w="30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5095" w:type="dxa"/>
            <w:vMerge/>
            <w:tcBorders>
              <w:left w:val="single" w:sz="9" w:space="0" w:color="D2D2D2"/>
              <w:right w:val="single" w:sz="4" w:space="0" w:color="000000"/>
            </w:tcBorders>
          </w:tcPr>
          <w:p>
            <w:pPr/>
          </w:p>
        </w:tc>
        <w:tc>
          <w:tcPr>
            <w:tcW w:w="1556" w:type="dxa"/>
            <w:vMerge/>
            <w:tcBorders>
              <w:left w:val="single" w:sz="4" w:space="0" w:color="000000"/>
              <w:right w:val="single" w:sz="4" w:space="0" w:color="000000"/>
            </w:tcBorders>
          </w:tcPr>
          <w:p>
            <w:pPr/>
          </w:p>
        </w:tc>
      </w:tr>
      <w:tr>
        <w:trPr>
          <w:trHeight w:val="630" w:hRule="exact"/>
        </w:trPr>
        <w:tc>
          <w:tcPr>
            <w:tcW w:w="3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5" w:type="dxa"/>
            <w:vMerge/>
            <w:tcBorders>
              <w:left w:val="single" w:sz="9" w:space="0" w:color="D2D2D2"/>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3"/>
        <w:jc w:val="left"/>
        <w:rPr>
          <w:b w:val="0"/>
          <w:bCs w:val="0"/>
        </w:rPr>
      </w:pPr>
      <w:bookmarkStart w:name="2、利润分配情况" w:id="344"/>
      <w:bookmarkEnd w:id="34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5"/>
        </w:rPr>
        <w:t>经立信会计师事务所（特殊普通合伙）审计，公司</w:t>
      </w:r>
      <w:r>
        <w:rPr>
          <w:rFonts w:ascii="宋体" w:hAnsi="宋体" w:cs="宋体" w:eastAsia="宋体" w:hint="default"/>
          <w:spacing w:val="-5"/>
        </w:rPr>
        <w:t>2014</w:t>
      </w:r>
      <w:r>
        <w:rPr>
          <w:spacing w:val="-5"/>
        </w:rPr>
        <w:t>年度实现归属于上市公司股东的净利润</w:t>
      </w:r>
      <w:r>
        <w:rPr>
          <w:rFonts w:ascii="宋体" w:hAnsi="宋体" w:cs="宋体" w:eastAsia="宋体" w:hint="default"/>
          <w:spacing w:val="-5"/>
        </w:rPr>
        <w:t>624,405,597.27</w:t>
      </w:r>
      <w:r>
        <w:rPr>
          <w:spacing w:val="-5"/>
        </w:rPr>
        <w:t>元，其中，</w:t>
      </w:r>
      <w:r>
        <w:rPr/>
        <w:t> 母公司实现净利润</w:t>
      </w:r>
      <w:r>
        <w:rPr>
          <w:rFonts w:ascii="宋体" w:hAnsi="宋体" w:cs="宋体" w:eastAsia="宋体" w:hint="default"/>
        </w:rPr>
        <w:t>344,824,410.96</w:t>
      </w:r>
      <w:r>
        <w:rPr/>
        <w:t>元。根据《公司法》和《公司章程》的有关规定，按</w:t>
      </w:r>
      <w:r>
        <w:rPr>
          <w:rFonts w:ascii="宋体" w:hAnsi="宋体" w:cs="宋体" w:eastAsia="宋体" w:hint="default"/>
        </w:rPr>
        <w:t>2014</w:t>
      </w:r>
      <w:r>
        <w:rPr/>
        <w:t>年度母公司实现净利润的</w:t>
      </w:r>
      <w:r>
        <w:rPr>
          <w:rFonts w:ascii="宋体" w:hAnsi="宋体" w:cs="宋体" w:eastAsia="宋体" w:hint="default"/>
        </w:rPr>
        <w:t>10%</w:t>
      </w:r>
      <w:r>
        <w:rPr/>
        <w:t>提</w:t>
      </w:r>
      <w:r>
        <w:rPr>
          <w:spacing w:val="-84"/>
        </w:rPr>
        <w:t> </w:t>
      </w:r>
      <w:r>
        <w:rPr>
          <w:spacing w:val="-2"/>
        </w:rPr>
        <w:t>取法定盈余公积金</w:t>
      </w:r>
      <w:r>
        <w:rPr>
          <w:rFonts w:ascii="宋体" w:hAnsi="宋体" w:cs="宋体" w:eastAsia="宋体" w:hint="default"/>
          <w:spacing w:val="-2"/>
        </w:rPr>
        <w:t>34,482,441.10</w:t>
      </w:r>
      <w:r>
        <w:rPr>
          <w:spacing w:val="-2"/>
        </w:rPr>
        <w:t>元后，截至</w:t>
      </w:r>
      <w:r>
        <w:rPr>
          <w:rFonts w:ascii="宋体" w:hAnsi="宋体" w:cs="宋体" w:eastAsia="宋体" w:hint="default"/>
          <w:spacing w:val="-2"/>
        </w:rPr>
        <w:t>2014</w:t>
      </w:r>
      <w:r>
        <w:rPr>
          <w:rFonts w:ascii="宋体" w:hAnsi="宋体" w:cs="宋体" w:eastAsia="宋体" w:hint="default"/>
          <w:spacing w:val="17"/>
        </w:rPr>
        <w:t> </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日公司可供股东分配的利润为</w:t>
      </w:r>
      <w:r>
        <w:rPr>
          <w:rFonts w:ascii="宋体" w:hAnsi="宋体" w:cs="宋体" w:eastAsia="宋体" w:hint="default"/>
          <w:spacing w:val="-1"/>
        </w:rPr>
        <w:t>863,119,122.46</w:t>
      </w:r>
      <w:r>
        <w:rPr>
          <w:spacing w:val="-1"/>
        </w:rPr>
        <w:t>元，资本公积金余</w:t>
      </w:r>
      <w:r>
        <w:rPr/>
        <w:t> 额为</w:t>
      </w:r>
      <w:r>
        <w:rPr>
          <w:rFonts w:ascii="宋体" w:hAnsi="宋体" w:cs="宋体" w:eastAsia="宋体" w:hint="default"/>
        </w:rPr>
        <w:t>1,461,847,899.81</w:t>
      </w:r>
      <w:r>
        <w:rPr/>
        <w:t>元。</w:t>
      </w:r>
    </w:p>
    <w:p>
      <w:pPr>
        <w:pStyle w:val="BodyText"/>
        <w:spacing w:line="477" w:lineRule="auto" w:before="54"/>
        <w:ind w:right="190" w:firstLine="360"/>
        <w:jc w:val="both"/>
      </w:pPr>
      <w:r>
        <w:rPr>
          <w:spacing w:val="-3"/>
        </w:rPr>
        <w:t>公司现拟定如下分配方案：以公司</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1,327,841,494</w:t>
      </w:r>
      <w:r>
        <w:rPr>
          <w:spacing w:val="-3"/>
        </w:rPr>
        <w:t>股为基数，向全体股东以每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1.2</w:t>
      </w:r>
      <w:r>
        <w:rPr>
          <w:rFonts w:ascii="宋体" w:hAnsi="宋体" w:cs="宋体" w:eastAsia="宋体" w:hint="default"/>
        </w:rPr>
        <w:t> </w:t>
      </w:r>
      <w:r>
        <w:rPr>
          <w:spacing w:val="-2"/>
        </w:rPr>
        <w:t>元（含税），共分配现金红利</w:t>
      </w:r>
      <w:r>
        <w:rPr>
          <w:rFonts w:ascii="宋体" w:hAnsi="宋体" w:cs="宋体" w:eastAsia="宋体" w:hint="default"/>
          <w:spacing w:val="-2"/>
        </w:rPr>
        <w:t>159,340,979.28</w:t>
      </w:r>
      <w:r>
        <w:rPr>
          <w:spacing w:val="-2"/>
        </w:rPr>
        <w:t>元（含税），剩余未分配利润结转以后年度。同时，截止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日，母</w:t>
      </w:r>
      <w:r>
        <w:rPr>
          <w:spacing w:val="-47"/>
        </w:rPr>
        <w:t> </w:t>
      </w:r>
      <w:r>
        <w:rPr>
          <w:spacing w:val="-47"/>
        </w:rPr>
      </w:r>
      <w:r>
        <w:rPr/>
        <w:t>公司资本公积金为</w:t>
      </w:r>
      <w:r>
        <w:rPr>
          <w:rFonts w:ascii="宋体" w:hAnsi="宋体" w:cs="宋体" w:eastAsia="宋体" w:hint="default"/>
        </w:rPr>
        <w:t>1,461,847,899.81</w:t>
      </w:r>
      <w:r>
        <w:rPr/>
        <w:t>元，以</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日总股本</w:t>
      </w:r>
      <w:r>
        <w:rPr>
          <w:rFonts w:ascii="宋体" w:hAnsi="宋体" w:cs="宋体" w:eastAsia="宋体" w:hint="default"/>
        </w:rPr>
        <w:t>1,327,841,494</w:t>
      </w:r>
      <w:r>
        <w:rPr/>
        <w:t>股为基数，由资本公积金向全体股东每</w:t>
      </w:r>
      <w:r>
        <w:rPr>
          <w:rFonts w:ascii="宋体" w:hAnsi="宋体" w:cs="宋体" w:eastAsia="宋体" w:hint="default"/>
        </w:rPr>
        <w:t>10</w:t>
      </w:r>
      <w:r>
        <w:rPr>
          <w:rFonts w:ascii="宋体" w:hAnsi="宋体" w:cs="宋体" w:eastAsia="宋体" w:hint="default"/>
          <w:spacing w:val="-5"/>
        </w:rPr>
        <w:t> </w:t>
      </w:r>
      <w:r>
        <w:rPr/>
        <w:t>股转增</w:t>
      </w:r>
      <w:r>
        <w:rPr>
          <w:rFonts w:ascii="宋体" w:hAnsi="宋体" w:cs="宋体" w:eastAsia="宋体" w:hint="default"/>
        </w:rPr>
        <w:t>5</w:t>
      </w:r>
      <w:r>
        <w:rPr/>
        <w:t>股，共计转增</w:t>
      </w:r>
      <w:r>
        <w:rPr>
          <w:rFonts w:ascii="宋体" w:hAnsi="宋体" w:cs="宋体" w:eastAsia="宋体" w:hint="default"/>
        </w:rPr>
        <w:t>663,920,747.00</w:t>
      </w:r>
      <w:r>
        <w:rPr/>
        <w:t>股。</w:t>
      </w:r>
    </w:p>
    <w:p>
      <w:pPr>
        <w:spacing w:line="240" w:lineRule="auto" w:before="7"/>
        <w:rPr>
          <w:rFonts w:ascii="宋体" w:hAnsi="宋体" w:cs="宋体" w:eastAsia="宋体" w:hint="default"/>
          <w:sz w:val="17"/>
          <w:szCs w:val="17"/>
        </w:rPr>
      </w:pPr>
    </w:p>
    <w:p>
      <w:pPr>
        <w:pStyle w:val="Heading2"/>
        <w:spacing w:line="240" w:lineRule="auto"/>
        <w:ind w:left="153" w:right="93"/>
        <w:jc w:val="left"/>
        <w:rPr>
          <w:b w:val="0"/>
          <w:bCs w:val="0"/>
        </w:rPr>
      </w:pPr>
      <w:bookmarkStart w:name="十六、其他重要事项" w:id="345"/>
      <w:bookmarkEnd w:id="34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分部信息" w:id="346"/>
      <w:bookmarkEnd w:id="34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3"/>
        <w:jc w:val="left"/>
        <w:rPr>
          <w:b w:val="0"/>
          <w:bCs w:val="0"/>
        </w:rPr>
      </w:pPr>
      <w:bookmarkStart w:name="（1）报告分部的确定依据与会计政策" w:id="347"/>
      <w:bookmarkEnd w:id="34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2"/>
          <w:szCs w:val="32"/>
        </w:rPr>
      </w:pPr>
    </w:p>
    <w:p>
      <w:pPr>
        <w:pStyle w:val="BodyText"/>
        <w:spacing w:line="468" w:lineRule="auto"/>
        <w:ind w:left="154" w:right="92" w:firstLine="360"/>
        <w:jc w:val="left"/>
      </w:pPr>
      <w:r>
        <w:rPr/>
        <w:t>根据本公司的内部组织结构、管理要求及内部报告制度确定了</w:t>
      </w:r>
      <w:r>
        <w:rPr>
          <w:rFonts w:ascii="Times New Roman" w:hAnsi="Times New Roman" w:cs="Times New Roman" w:eastAsia="Times New Roman" w:hint="default"/>
        </w:rPr>
        <w:t>3</w:t>
      </w:r>
      <w:r>
        <w:rPr/>
        <w:t>个报告分部，分别为</w:t>
      </w:r>
      <w:r>
        <w:rPr>
          <w:rFonts w:ascii="Times New Roman" w:hAnsi="Times New Roman" w:cs="Times New Roman" w:eastAsia="Times New Roman" w:hint="default"/>
        </w:rPr>
        <w:t>IT</w:t>
      </w:r>
      <w:r>
        <w:rPr/>
        <w:t>运维管理业务分部、互联网及移 动互联网分部和其他分部。本公司的各个报告分部分别提供不同的产品或服务。由于每个分部需要不同的技术或市场策略，</w:t>
      </w:r>
      <w:r>
        <w:rPr>
          <w:spacing w:val="-85"/>
        </w:rPr>
        <w:t> </w:t>
      </w:r>
      <w:r>
        <w:rPr>
          <w:spacing w:val="-85"/>
        </w:rPr>
      </w:r>
      <w:r>
        <w:rPr>
          <w:spacing w:val="-2"/>
        </w:rPr>
        <w:t>本公司管理层分别单独管理各个报告分部的经营活动，定期评价这些报告分部的经营成果，以决定向其分配资源及评价其业</w:t>
      </w:r>
      <w:r>
        <w:rPr>
          <w:spacing w:val="-64"/>
        </w:rPr>
        <w:t> </w:t>
      </w:r>
      <w:r>
        <w:rPr>
          <w:spacing w:val="-64"/>
        </w:rPr>
      </w:r>
      <w:r>
        <w:rPr/>
        <w:t>绩。</w:t>
      </w:r>
    </w:p>
    <w:p>
      <w:pPr>
        <w:pStyle w:val="BodyText"/>
        <w:spacing w:line="477" w:lineRule="auto" w:before="62"/>
        <w:ind w:left="154" w:right="191"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after="0" w:line="477" w:lineRule="auto"/>
        <w:jc w:val="both"/>
        <w:sectPr>
          <w:pgSz w:w="11910" w:h="16840"/>
          <w:pgMar w:header="851" w:footer="1226" w:top="1380" w:bottom="142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报告分部的财务信息" w:id="348"/>
      <w:bookmarkEnd w:id="34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132"/>
        <w:gridCol w:w="1506"/>
        <w:gridCol w:w="1630"/>
        <w:gridCol w:w="1256"/>
        <w:gridCol w:w="1505"/>
        <w:gridCol w:w="1630"/>
      </w:tblGrid>
      <w:tr>
        <w:trPr>
          <w:trHeight w:val="658" w:hRule="exact"/>
        </w:trPr>
        <w:tc>
          <w:tcPr>
            <w:tcW w:w="213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45"/>
                <w:sz w:val="15"/>
                <w:szCs w:val="15"/>
              </w:rPr>
              <w:t> </w:t>
            </w:r>
            <w:r>
              <w:rPr>
                <w:rFonts w:ascii="宋体" w:hAnsi="宋体" w:cs="宋体" w:eastAsia="宋体" w:hint="default"/>
                <w:sz w:val="15"/>
                <w:szCs w:val="15"/>
              </w:rPr>
              <w:t>目</w:t>
            </w:r>
          </w:p>
        </w:tc>
        <w:tc>
          <w:tcPr>
            <w:tcW w:w="15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72"/>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IT</w:t>
            </w:r>
            <w:r>
              <w:rPr>
                <w:rFonts w:ascii="宋体" w:hAnsi="宋体" w:cs="宋体" w:eastAsia="宋体" w:hint="default"/>
                <w:spacing w:val="-1"/>
                <w:sz w:val="15"/>
                <w:szCs w:val="15"/>
              </w:rPr>
              <w:t>运维管理业务分部</w:t>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732" w:right="57" w:hanging="675"/>
              <w:jc w:val="left"/>
              <w:rPr>
                <w:rFonts w:ascii="宋体" w:hAnsi="宋体" w:cs="宋体" w:eastAsia="宋体" w:hint="default"/>
                <w:sz w:val="15"/>
                <w:szCs w:val="15"/>
              </w:rPr>
            </w:pPr>
            <w:r>
              <w:rPr>
                <w:rFonts w:ascii="宋体" w:hAnsi="宋体" w:cs="宋体" w:eastAsia="宋体" w:hint="default"/>
                <w:sz w:val="15"/>
                <w:szCs w:val="15"/>
              </w:rPr>
              <w:t>互联网及移动互联网分 部</w:t>
            </w:r>
          </w:p>
        </w:tc>
        <w:tc>
          <w:tcPr>
            <w:tcW w:w="1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pacing w:val="30"/>
                <w:sz w:val="15"/>
                <w:szCs w:val="15"/>
              </w:rPr>
              <w:t> </w:t>
            </w:r>
            <w:r>
              <w:rPr>
                <w:rFonts w:ascii="宋体" w:hAnsi="宋体" w:cs="宋体" w:eastAsia="宋体" w:hint="default"/>
                <w:sz w:val="15"/>
                <w:szCs w:val="15"/>
              </w:rPr>
              <w:t>他</w:t>
            </w:r>
          </w:p>
        </w:tc>
        <w:tc>
          <w:tcPr>
            <w:tcW w:w="15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69"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5"/>
                <w:sz w:val="15"/>
                <w:szCs w:val="15"/>
              </w:rPr>
              <w:t> </w:t>
            </w:r>
            <w:r>
              <w:rPr>
                <w:rFonts w:ascii="宋体" w:hAnsi="宋体" w:cs="宋体" w:eastAsia="宋体" w:hint="default"/>
                <w:sz w:val="15"/>
                <w:szCs w:val="15"/>
              </w:rPr>
              <w:t>计</w:t>
            </w:r>
          </w:p>
        </w:tc>
      </w:tr>
      <w:tr>
        <w:trPr>
          <w:trHeight w:val="347" w:hRule="exact"/>
        </w:trPr>
        <w:tc>
          <w:tcPr>
            <w:tcW w:w="2132" w:type="dxa"/>
            <w:vMerge/>
            <w:tcBorders>
              <w:left w:val="single" w:sz="6" w:space="0" w:color="000000"/>
              <w:bottom w:val="single" w:sz="6" w:space="0" w:color="000000"/>
              <w:right w:val="single" w:sz="6" w:space="0" w:color="000000"/>
            </w:tcBorders>
            <w:shd w:val="clear" w:color="auto" w:fill="D9D9D9"/>
          </w:tcPr>
          <w:p>
            <w:pPr/>
          </w:p>
        </w:tc>
        <w:tc>
          <w:tcPr>
            <w:tcW w:w="15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46"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507"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2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320"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5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45"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507" w:right="0"/>
              <w:jc w:val="left"/>
              <w:rPr>
                <w:rFonts w:ascii="宋体" w:hAnsi="宋体" w:cs="宋体" w:eastAsia="宋体" w:hint="default"/>
                <w:sz w:val="15"/>
                <w:szCs w:val="15"/>
              </w:rPr>
            </w:pPr>
            <w:r>
              <w:rPr>
                <w:rFonts w:ascii="宋体" w:hAnsi="宋体" w:cs="宋体" w:eastAsia="宋体" w:hint="default"/>
                <w:sz w:val="15"/>
                <w:szCs w:val="15"/>
              </w:rPr>
              <w:t>本期金额</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一、对外交易主营收入</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1,774,127,487.42</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757,101,540.27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57,820.85</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2,531,286,848.54</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分部间交易主营收入</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5,970,000.00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12,677,938.79</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18,647,938.79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二、对外交易主营成本</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1,110,240,451.90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236,598,703.06</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52,341.85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159,663.85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1,346,731,832.96</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分部间交易主营成本</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12,677,938.79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5,970,000.00</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18,647,938.79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59"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983" w:right="6" w:hanging="975"/>
              <w:jc w:val="left"/>
              <w:rPr>
                <w:rFonts w:ascii="宋体" w:hAnsi="宋体" w:cs="宋体" w:eastAsia="宋体" w:hint="default"/>
                <w:sz w:val="15"/>
                <w:szCs w:val="15"/>
              </w:rPr>
            </w:pPr>
            <w:r>
              <w:rPr>
                <w:rFonts w:ascii="宋体" w:hAnsi="宋体" w:cs="宋体" w:eastAsia="宋体" w:hint="default"/>
                <w:sz w:val="15"/>
                <w:szCs w:val="15"/>
              </w:rPr>
              <w:t>三、对联营和合营企业的投资收 益</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80,321,936.51</w:t>
            </w:r>
          </w:p>
        </w:tc>
        <w:tc>
          <w:tcPr>
            <w:tcW w:w="16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80,321,936.51</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四、资产减值损失</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28,873,857.04</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20,448,054.84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1,041.05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32,204,787.85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17,118,165.08</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五、折旧和摊销费用</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18,492,394.81</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8,873,401.75</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27,365,796.56</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六、利润总额（亏损总额）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451,588,088.85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163,557,808.38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-312,032.43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-36,581,905.27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651,415,770.07</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七、所得税费用</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32,719,222.47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10,816,894.43</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-3,758,291.80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47,294,408.70</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八、净利润（净亏损）</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418,868,866.38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152,740,913.95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pacing w:val="-1"/>
                <w:sz w:val="15"/>
              </w:rPr>
              <w:t>-312,032.43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-32,823,613.47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spacing w:val="-1"/>
                <w:sz w:val="15"/>
              </w:rPr>
              <w:t>604,121,361.37</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九、资产总额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5,094,515,964.93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1,535,254,584.98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14,978,508.42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1,107,775,660.38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5,536,973,397.95</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十、负债总额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1,080,773,036.69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228,966,633.51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290,540.85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704,826,266.63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605,203,944.42</w:t>
            </w:r>
          </w:p>
        </w:tc>
      </w:tr>
      <w:tr>
        <w:trPr>
          <w:trHeight w:val="347"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十一、其他重要的非现金项目</w:t>
            </w:r>
          </w:p>
        </w:tc>
        <w:tc>
          <w:tcPr>
            <w:tcW w:w="1506"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59"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908" w:right="6" w:hanging="901"/>
              <w:jc w:val="left"/>
              <w:rPr>
                <w:rFonts w:ascii="宋体" w:hAnsi="宋体" w:cs="宋体" w:eastAsia="宋体" w:hint="default"/>
                <w:sz w:val="15"/>
                <w:szCs w:val="15"/>
              </w:rPr>
            </w:pPr>
            <w:r>
              <w:rPr>
                <w:rFonts w:ascii="宋体" w:hAnsi="宋体" w:cs="宋体" w:eastAsia="宋体" w:hint="default"/>
                <w:sz w:val="15"/>
                <w:szCs w:val="15"/>
              </w:rPr>
              <w:t>折旧和摊销费以外的其他非现金 费用</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6,938,765.06</w:t>
            </w:r>
          </w:p>
        </w:tc>
        <w:tc>
          <w:tcPr>
            <w:tcW w:w="16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6,938,765.06</w:t>
            </w:r>
          </w:p>
        </w:tc>
      </w:tr>
      <w:tr>
        <w:trPr>
          <w:trHeight w:val="66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4"/>
              <w:ind w:left="833" w:right="6" w:hanging="825"/>
              <w:jc w:val="left"/>
              <w:rPr>
                <w:rFonts w:ascii="宋体" w:hAnsi="宋体" w:cs="宋体" w:eastAsia="宋体" w:hint="default"/>
                <w:sz w:val="15"/>
                <w:szCs w:val="15"/>
              </w:rPr>
            </w:pPr>
            <w:r>
              <w:rPr>
                <w:rFonts w:ascii="宋体" w:hAnsi="宋体" w:cs="宋体" w:eastAsia="宋体" w:hint="default"/>
                <w:sz w:val="15"/>
                <w:szCs w:val="15"/>
              </w:rPr>
              <w:t>对联营企业和合营企业的长期股 权投资</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418,004,622.91</w:t>
            </w:r>
          </w:p>
        </w:tc>
        <w:tc>
          <w:tcPr>
            <w:tcW w:w="16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418,004,622.91</w:t>
            </w:r>
          </w:p>
        </w:tc>
      </w:tr>
      <w:tr>
        <w:trPr>
          <w:trHeight w:val="659"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683" w:right="6" w:hanging="675"/>
              <w:jc w:val="left"/>
              <w:rPr>
                <w:rFonts w:ascii="宋体" w:hAnsi="宋体" w:cs="宋体" w:eastAsia="宋体" w:hint="default"/>
                <w:sz w:val="15"/>
                <w:szCs w:val="15"/>
              </w:rPr>
            </w:pPr>
            <w:r>
              <w:rPr>
                <w:rFonts w:ascii="宋体" w:hAnsi="宋体" w:cs="宋体" w:eastAsia="宋体" w:hint="default"/>
                <w:sz w:val="15"/>
                <w:szCs w:val="15"/>
              </w:rPr>
              <w:t>长期股权投资以外的其他非流动 资产增加额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35,601,976.69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119,072,208.88</w:t>
            </w:r>
          </w:p>
        </w:tc>
        <w:tc>
          <w:tcPr>
            <w:tcW w:w="1256"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-1,106,688,541.92</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1,261,362,727.49</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3" w:right="0"/>
        <w:jc w:val="left"/>
        <w:rPr>
          <w:b w:val="0"/>
          <w:bCs w:val="0"/>
        </w:rPr>
      </w:pPr>
      <w:bookmarkStart w:name="十七、母公司财务报表主要项目注释" w:id="349"/>
      <w:bookmarkEnd w:id="34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50"/>
      <w:bookmarkEnd w:id="35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51"/>
      <w:bookmarkEnd w:id="35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4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5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6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0"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3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7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7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25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61"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11" w:right="88"/>
              <w:jc w:val="left"/>
              <w:rPr>
                <w:rFonts w:ascii="宋体" w:hAnsi="宋体" w:cs="宋体" w:eastAsia="宋体" w:hint="default"/>
                <w:sz w:val="15"/>
                <w:szCs w:val="15"/>
              </w:rPr>
            </w:pPr>
            <w:r>
              <w:rPr>
                <w:rFonts w:ascii="宋体" w:hAnsi="宋体" w:cs="宋体" w:eastAsia="宋体" w:hint="default"/>
                <w:sz w:val="15"/>
                <w:szCs w:val="15"/>
              </w:rPr>
              <w:t>按信用风险特征组合计 提坏账准备的应收账款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55" w:right="0"/>
              <w:jc w:val="left"/>
              <w:rPr>
                <w:rFonts w:ascii="Times New Roman" w:hAnsi="Times New Roman" w:cs="Times New Roman" w:eastAsia="Times New Roman" w:hint="default"/>
                <w:sz w:val="15"/>
                <w:szCs w:val="15"/>
              </w:rPr>
            </w:pPr>
            <w:r>
              <w:rPr>
                <w:rFonts w:ascii="Times New Roman"/>
                <w:sz w:val="15"/>
              </w:rPr>
              <w:t>580,980,89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66" w:right="0"/>
              <w:jc w:val="left"/>
              <w:rPr>
                <w:rFonts w:ascii="Times New Roman" w:hAnsi="Times New Roman" w:cs="Times New Roman" w:eastAsia="Times New Roman" w:hint="default"/>
                <w:sz w:val="15"/>
                <w:szCs w:val="15"/>
              </w:rPr>
            </w:pPr>
            <w:r>
              <w:rPr>
                <w:rFonts w:ascii="Times New Roman"/>
                <w:sz w:val="15"/>
              </w:rPr>
              <w:t>7.40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64,532,690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8" w:right="0"/>
              <w:jc w:val="left"/>
              <w:rPr>
                <w:rFonts w:ascii="Times New Roman" w:hAnsi="Times New Roman" w:cs="Times New Roman" w:eastAsia="Times New Roman" w:hint="default"/>
                <w:sz w:val="15"/>
                <w:szCs w:val="15"/>
              </w:rPr>
            </w:pPr>
            <w:r>
              <w:rPr>
                <w:rFonts w:ascii="Times New Roman"/>
                <w:sz w:val="15"/>
              </w:rPr>
              <w:t>11.11%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2" w:right="0"/>
              <w:jc w:val="left"/>
              <w:rPr>
                <w:rFonts w:ascii="Times New Roman" w:hAnsi="Times New Roman" w:cs="Times New Roman" w:eastAsia="Times New Roman" w:hint="default"/>
                <w:sz w:val="15"/>
                <w:szCs w:val="15"/>
              </w:rPr>
            </w:pPr>
            <w:r>
              <w:rPr>
                <w:rFonts w:ascii="Times New Roman"/>
                <w:sz w:val="15"/>
              </w:rPr>
              <w:t>516,448,20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6.99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391,606,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916.96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42,354,399.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7" w:right="0"/>
              <w:jc w:val="left"/>
              <w:rPr>
                <w:rFonts w:ascii="Times New Roman" w:hAnsi="Times New Roman" w:cs="Times New Roman" w:eastAsia="Times New Roman" w:hint="default"/>
                <w:sz w:val="15"/>
                <w:szCs w:val="15"/>
              </w:rPr>
            </w:pPr>
            <w:r>
              <w:rPr>
                <w:rFonts w:ascii="Times New Roman"/>
                <w:sz w:val="15"/>
              </w:rPr>
              <w:t>10.82%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349,252,517.1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08"/>
              <w:ind w:left="60" w:right="0"/>
              <w:jc w:val="left"/>
              <w:rPr>
                <w:rFonts w:ascii="Times New Roman" w:hAnsi="Times New Roman" w:cs="Times New Roman" w:eastAsia="Times New Roman" w:hint="default"/>
                <w:sz w:val="15"/>
                <w:szCs w:val="15"/>
              </w:rPr>
            </w:pPr>
            <w:r>
              <w:rPr>
                <w:rFonts w:ascii="Times New Roman"/>
                <w:sz w:val="15"/>
              </w:rPr>
              <w:t>580,980,89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72" w:right="0"/>
              <w:jc w:val="left"/>
              <w:rPr>
                <w:rFonts w:ascii="Times New Roman" w:hAnsi="Times New Roman" w:cs="Times New Roman" w:eastAsia="Times New Roman" w:hint="default"/>
                <w:sz w:val="15"/>
                <w:szCs w:val="15"/>
              </w:rPr>
            </w:pPr>
            <w:r>
              <w:rPr>
                <w:rFonts w:ascii="Times New Roman"/>
                <w:sz w:val="15"/>
              </w:rPr>
              <w:t>7.40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64,532,690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.41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8"/>
              <w:ind w:left="82" w:right="0"/>
              <w:jc w:val="left"/>
              <w:rPr>
                <w:rFonts w:ascii="Times New Roman" w:hAnsi="Times New Roman" w:cs="Times New Roman" w:eastAsia="Times New Roman" w:hint="default"/>
                <w:sz w:val="15"/>
                <w:szCs w:val="15"/>
              </w:rPr>
            </w:pPr>
            <w:r>
              <w:rPr>
                <w:rFonts w:ascii="Times New Roman"/>
                <w:sz w:val="15"/>
              </w:rPr>
              <w:t>516,448,20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6.99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391,606,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3" w:right="0"/>
              <w:jc w:val="center"/>
              <w:rPr>
                <w:rFonts w:ascii="Times New Roman" w:hAnsi="Times New Roman" w:cs="Times New Roman" w:eastAsia="Times New Roman" w:hint="default"/>
                <w:sz w:val="15"/>
                <w:szCs w:val="15"/>
              </w:rPr>
            </w:pPr>
            <w:r>
              <w:rPr>
                <w:rFonts w:ascii="Times New Roman"/>
                <w:sz w:val="15"/>
              </w:rPr>
              <w:t>916.96</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42,354,399.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349,252,517.1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54"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489" w:lineRule="auto"/>
        <w:ind w:left="154"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组合中，按账龄分析法计提坏账准备的应收账款：</w:t>
      </w:r>
    </w:p>
    <w:p>
      <w:pPr>
        <w:spacing w:before="86"/>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413,199,963.33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20,659,998.17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112,967,577.73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11,296,757.77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21,839,172.81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6,551,751.84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5,169,345.20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2,584,672.60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21,826,641.50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17,461,313.20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5,978,196.80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5,978,196.83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580,980,897.40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64,532,690.41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组合中，采用余额百分比法计提坏账准备的应收账款：</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right="0"/>
        <w:jc w:val="left"/>
        <w:rPr>
          <w:b w:val="0"/>
          <w:bCs w:val="0"/>
        </w:rPr>
      </w:pPr>
      <w:bookmarkStart w:name="（2）本期计提、收回或转回的坏账准备情况" w:id="352"/>
      <w:bookmarkEnd w:id="35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22,178,290.63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按欠款方归集的期末余额前五吊的应收账款情况" w:id="353"/>
      <w:bookmarkEnd w:id="3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21"/>
        <w:gridCol w:w="1920"/>
        <w:gridCol w:w="1840"/>
        <w:gridCol w:w="2320"/>
      </w:tblGrid>
      <w:tr>
        <w:trPr>
          <w:trHeight w:val="348" w:hRule="exact"/>
        </w:trPr>
        <w:tc>
          <w:tcPr>
            <w:tcW w:w="332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8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8" w:hRule="exact"/>
        </w:trPr>
        <w:tc>
          <w:tcPr>
            <w:tcW w:w="3321" w:type="dxa"/>
            <w:vMerge/>
            <w:tcBorders>
              <w:left w:val="single" w:sz="6" w:space="0" w:color="000000"/>
              <w:bottom w:val="single" w:sz="6" w:space="0" w:color="000000"/>
              <w:right w:val="single" w:sz="6" w:space="0" w:color="000000"/>
            </w:tcBorders>
            <w:shd w:val="clear" w:color="auto" w:fill="D9D9D9"/>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87" w:right="11"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中国移动通信集团重庆有限公司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54,457,085.99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9.37</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6,245,559.21</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中国移动通信集团湖南有限公司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41,632,325.84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7.17</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7,749,096.21</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40,782,356.56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7.02</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2,450,807.01</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中国移动通信集团天津有限公司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32,862,323.00</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5.66</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2,293,972.63</w:t>
            </w:r>
          </w:p>
        </w:tc>
      </w:tr>
      <w:tr>
        <w:trPr>
          <w:trHeight w:val="348"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中国移动通信集团设计院有限公司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31,072,204.45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5.35</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1,658,588.55</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200,806,295.84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34.57</w:t>
            </w:r>
          </w:p>
        </w:tc>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20,398,023.61</w:t>
            </w:r>
          </w:p>
        </w:tc>
      </w:tr>
    </w:tbl>
    <w:p>
      <w:pPr>
        <w:spacing w:after="0" w:line="240" w:lineRule="auto"/>
        <w:jc w:val="right"/>
        <w:rPr>
          <w:rFonts w:ascii="Times New Roman" w:hAnsi="Times New Roman" w:cs="Times New Roman" w:eastAsia="Times New Roman" w:hint="default"/>
          <w:sz w:val="20"/>
          <w:szCs w:val="20"/>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其他应收款" w:id="354"/>
      <w:bookmarkEnd w:id="35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55"/>
      <w:bookmarkEnd w:id="35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45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4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4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5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9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6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196" w:hRule="exact"/>
        </w:trPr>
        <w:tc>
          <w:tcPr>
            <w:tcW w:w="1635"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22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7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17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25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161"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22" w:right="100"/>
              <w:jc w:val="both"/>
              <w:rPr>
                <w:rFonts w:ascii="宋体" w:hAnsi="宋体" w:cs="宋体" w:eastAsia="宋体" w:hint="default"/>
                <w:sz w:val="15"/>
                <w:szCs w:val="15"/>
              </w:rPr>
            </w:pPr>
            <w:r>
              <w:rPr>
                <w:rFonts w:ascii="宋体" w:hAnsi="宋体" w:cs="宋体" w:eastAsia="宋体" w:hint="default"/>
                <w:sz w:val="15"/>
                <w:szCs w:val="15"/>
              </w:rPr>
              <w:t>按信用风险特征组合计 提坏账准备的其他应收 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362,888,77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54" w:right="0"/>
              <w:jc w:val="left"/>
              <w:rPr>
                <w:rFonts w:ascii="Times New Roman" w:hAnsi="Times New Roman" w:cs="Times New Roman" w:eastAsia="Times New Roman" w:hint="default"/>
                <w:sz w:val="15"/>
                <w:szCs w:val="15"/>
              </w:rPr>
            </w:pPr>
            <w:r>
              <w:rPr>
                <w:rFonts w:ascii="Times New Roman"/>
                <w:sz w:val="15"/>
              </w:rPr>
              <w:t>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19,766,217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5"/>
                <w:szCs w:val="15"/>
              </w:rPr>
            </w:pPr>
            <w:r>
              <w:rPr>
                <w:rFonts w:ascii="Times New Roman"/>
                <w:sz w:val="15"/>
              </w:rPr>
              <w:t>5.45%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2" w:right="0"/>
              <w:jc w:val="left"/>
              <w:rPr>
                <w:rFonts w:ascii="Times New Roman" w:hAnsi="Times New Roman" w:cs="Times New Roman" w:eastAsia="Times New Roman" w:hint="default"/>
                <w:sz w:val="15"/>
                <w:szCs w:val="15"/>
              </w:rPr>
            </w:pPr>
            <w:r>
              <w:rPr>
                <w:rFonts w:ascii="Times New Roman"/>
                <w:sz w:val="15"/>
              </w:rPr>
              <w:t>343,122,55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8.82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77,220,3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92.15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4,441,318.2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2" w:right="0"/>
              <w:jc w:val="left"/>
              <w:rPr>
                <w:rFonts w:ascii="Times New Roman" w:hAnsi="Times New Roman" w:cs="Times New Roman" w:eastAsia="Times New Roman" w:hint="default"/>
                <w:sz w:val="15"/>
                <w:szCs w:val="15"/>
              </w:rPr>
            </w:pPr>
            <w:r>
              <w:rPr>
                <w:rFonts w:ascii="Times New Roman"/>
                <w:sz w:val="15"/>
              </w:rPr>
              <w:t>5.75%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72,779,073.91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22" w:right="100"/>
              <w:jc w:val="both"/>
              <w:rPr>
                <w:rFonts w:ascii="宋体" w:hAnsi="宋体" w:cs="宋体" w:eastAsia="宋体" w:hint="default"/>
                <w:sz w:val="15"/>
                <w:szCs w:val="15"/>
              </w:rPr>
            </w:pPr>
            <w:r>
              <w:rPr>
                <w:rFonts w:ascii="宋体" w:hAnsi="宋体" w:cs="宋体" w:eastAsia="宋体" w:hint="default"/>
                <w:sz w:val="15"/>
                <w:szCs w:val="15"/>
              </w:rPr>
              <w:t>单项金额不重大但单独 计提坏账准备的其他应 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2,974,989.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2,974,989.2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553,345.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0.71%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553,345.50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08"/>
              <w:ind w:left="48" w:right="0"/>
              <w:jc w:val="left"/>
              <w:rPr>
                <w:rFonts w:ascii="Times New Roman" w:hAnsi="Times New Roman" w:cs="Times New Roman" w:eastAsia="Times New Roman" w:hint="default"/>
                <w:sz w:val="15"/>
                <w:szCs w:val="15"/>
              </w:rPr>
            </w:pPr>
            <w:r>
              <w:rPr>
                <w:rFonts w:ascii="Times New Roman"/>
                <w:sz w:val="15"/>
              </w:rPr>
              <w:t>365,863,76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60" w:right="0"/>
              <w:jc w:val="left"/>
              <w:rPr>
                <w:rFonts w:ascii="Times New Roman" w:hAnsi="Times New Roman" w:cs="Times New Roman" w:eastAsia="Times New Roman" w:hint="default"/>
                <w:sz w:val="15"/>
                <w:szCs w:val="15"/>
              </w:rPr>
            </w:pPr>
            <w:r>
              <w:rPr>
                <w:rFonts w:ascii="Times New Roman"/>
                <w:sz w:val="15"/>
              </w:rPr>
              <w:t>5.05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0" w:right="0"/>
              <w:jc w:val="left"/>
              <w:rPr>
                <w:rFonts w:ascii="Times New Roman" w:hAnsi="Times New Roman" w:cs="Times New Roman" w:eastAsia="Times New Roman" w:hint="default"/>
                <w:sz w:val="15"/>
                <w:szCs w:val="15"/>
              </w:rPr>
            </w:pPr>
            <w:r>
              <w:rPr>
                <w:rFonts w:ascii="Times New Roman"/>
                <w:sz w:val="15"/>
              </w:rPr>
              <w:t>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19,766,217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z w:val="15"/>
              </w:rPr>
              <w:t>.03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2" w:right="0"/>
              <w:jc w:val="left"/>
              <w:rPr>
                <w:rFonts w:ascii="Times New Roman" w:hAnsi="Times New Roman" w:cs="Times New Roman" w:eastAsia="Times New Roman" w:hint="default"/>
                <w:sz w:val="15"/>
                <w:szCs w:val="15"/>
              </w:rPr>
            </w:pPr>
            <w:r>
              <w:rPr>
                <w:rFonts w:ascii="Times New Roman"/>
                <w:sz w:val="15"/>
              </w:rPr>
              <w:t>0.05%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08"/>
              <w:ind w:left="82" w:right="0"/>
              <w:jc w:val="left"/>
              <w:rPr>
                <w:rFonts w:ascii="Times New Roman" w:hAnsi="Times New Roman" w:cs="Times New Roman" w:eastAsia="Times New Roman" w:hint="default"/>
                <w:sz w:val="15"/>
                <w:szCs w:val="15"/>
              </w:rPr>
            </w:pPr>
            <w:r>
              <w:rPr>
                <w:rFonts w:ascii="Times New Roman"/>
                <w:sz w:val="15"/>
              </w:rPr>
              <w:t>346,097,54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94" w:right="0"/>
              <w:jc w:val="left"/>
              <w:rPr>
                <w:rFonts w:ascii="Times New Roman" w:hAnsi="Times New Roman" w:cs="Times New Roman" w:eastAsia="Times New Roman" w:hint="default"/>
                <w:sz w:val="15"/>
                <w:szCs w:val="15"/>
              </w:rPr>
            </w:pPr>
            <w:r>
              <w:rPr>
                <w:rFonts w:ascii="Times New Roman"/>
                <w:sz w:val="15"/>
              </w:rPr>
              <w:t>8.02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77,773,7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59" w:right="0"/>
              <w:jc w:val="center"/>
              <w:rPr>
                <w:rFonts w:ascii="Times New Roman" w:hAnsi="Times New Roman" w:cs="Times New Roman" w:eastAsia="Times New Roman" w:hint="default"/>
                <w:sz w:val="15"/>
                <w:szCs w:val="15"/>
              </w:rPr>
            </w:pPr>
            <w:r>
              <w:rPr>
                <w:rFonts w:ascii="Times New Roman"/>
                <w:sz w:val="15"/>
              </w:rPr>
              <w:t>37.65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0" w:right="0"/>
              <w:jc w:val="left"/>
              <w:rPr>
                <w:rFonts w:ascii="Times New Roman" w:hAnsi="Times New Roman" w:cs="Times New Roman" w:eastAsia="Times New Roman" w:hint="default"/>
                <w:sz w:val="15"/>
                <w:szCs w:val="15"/>
              </w:rPr>
            </w:pPr>
            <w:r>
              <w:rPr>
                <w:rFonts w:ascii="Times New Roman"/>
                <w:sz w:val="15"/>
              </w:rPr>
              <w:t>1.00%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4,441,318.2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12" w:right="0"/>
              <w:jc w:val="left"/>
              <w:rPr>
                <w:rFonts w:ascii="Times New Roman" w:hAnsi="Times New Roman" w:cs="Times New Roman" w:eastAsia="Times New Roman" w:hint="default"/>
                <w:sz w:val="15"/>
                <w:szCs w:val="15"/>
              </w:rPr>
            </w:pPr>
            <w:r>
              <w:rPr>
                <w:rFonts w:ascii="Times New Roman"/>
                <w:sz w:val="15"/>
              </w:rPr>
              <w:t>0.06%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73,332,419.41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154"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组合中，按账龄分析法计提坏账准备的其他应收款：</w:t>
      </w:r>
    </w:p>
    <w:p>
      <w:pPr>
        <w:spacing w:before="86"/>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346,318,635.16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17,315,931.76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14,543,090.62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1,454,309.06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1,358,863.37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407,659.01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126,139.00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63,069.50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458,047.70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458,047.70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362,888,775.85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19,766,217.03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54" w:right="0"/>
        <w:jc w:val="left"/>
      </w:pPr>
      <w:r>
        <w:rPr/>
        <w:t>组合中，采用余额百分比法计提坏账准备的其他应收款：</w:t>
      </w:r>
    </w:p>
    <w:p>
      <w:pPr>
        <w:spacing w:line="240" w:lineRule="auto" w:before="10"/>
        <w:rPr>
          <w:rFonts w:ascii="宋体" w:hAnsi="宋体" w:cs="宋体" w:eastAsia="宋体" w:hint="default"/>
          <w:sz w:val="20"/>
          <w:szCs w:val="20"/>
        </w:rPr>
      </w:pPr>
    </w:p>
    <w:p>
      <w:pPr>
        <w:pStyle w:val="BodyText"/>
        <w:spacing w:line="489" w:lineRule="auto"/>
        <w:ind w:left="154"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组合中，采用其他方法计提坏账准备的其他应收款：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1226" w:top="1380" w:bottom="14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2）本期计提、收回或转回的坏账准备情况" w:id="356"/>
      <w:bookmarkEnd w:id="35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15,324,898.79</w:t>
      </w:r>
      <w:r>
        <w:rPr>
          <w:rFonts w:ascii="Times New Roman" w:hAnsi="Times New Roman" w:cs="Times New Roman" w:eastAsia="Times New Roman" w:hint="default"/>
          <w:spacing w:val="-1"/>
        </w:rPr>
        <w:t> </w:t>
      </w:r>
      <w:r>
        <w:rPr/>
        <w:t>元；本期收回或转回坏账准备金额元。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4）其他应收款按款项性质分类情况" w:id="357"/>
      <w:bookmarkEnd w:id="3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355,160,599.96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70,820,770.00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4,789,315.19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4,241,008.03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3,179,767.70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668,124.00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2,734,082.20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2,043,835.62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365,863,765.05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77,773,737.65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358"/>
      <w:bookmarkEnd w:id="3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87"/>
        <w:gridCol w:w="940"/>
        <w:gridCol w:w="1181"/>
        <w:gridCol w:w="3371"/>
        <w:gridCol w:w="1622"/>
        <w:gridCol w:w="1267"/>
      </w:tblGrid>
      <w:tr>
        <w:trPr>
          <w:trHeight w:val="714" w:hRule="exact"/>
        </w:trPr>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4" w:right="103"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7" w:right="89"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1026"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北京神州泰岳 系统集成有限 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224,300,000.00</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11,215,000.00</w:t>
            </w:r>
          </w:p>
        </w:tc>
      </w:tr>
      <w:tr>
        <w:trPr>
          <w:trHeight w:val="71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神州泰岳</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90,841,329.96</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4,542,066.50</w:t>
            </w:r>
          </w:p>
        </w:tc>
      </w:tr>
      <w:tr>
        <w:trPr>
          <w:trHeight w:val="71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奇点新源国际 技术开发公司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宁波普金通信 设备有限公司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5"/>
              <w:jc w:val="right"/>
              <w:rPr>
                <w:rFonts w:ascii="宋体" w:hAnsi="宋体" w:cs="宋体" w:eastAsia="宋体" w:hint="default"/>
                <w:sz w:val="18"/>
                <w:szCs w:val="18"/>
              </w:rPr>
            </w:pPr>
            <w:r>
              <w:rPr>
                <w:rFonts w:ascii="宋体" w:hAnsi="宋体" w:cs="宋体" w:eastAsia="宋体" w:hint="default"/>
                <w:sz w:val="18"/>
                <w:szCs w:val="18"/>
              </w:rPr>
              <w:t>往来款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13,019,270.00</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9,098,500.00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3,920,770.00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847,002.00</w:t>
            </w:r>
          </w:p>
        </w:tc>
      </w:tr>
      <w:tr>
        <w:trPr>
          <w:trHeight w:val="1026"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员工股权 激励相关 款项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2,974,989.20</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03"/>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358,135,589.16</w:t>
            </w:r>
          </w:p>
        </w:tc>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18,604,068.50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59"/>
      <w:bookmarkEnd w:id="35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2,048,054,243.01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2,048,054,243.01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727,804,243.01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727,804,243.01</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26" w:hRule="exact"/>
        </w:trPr>
        <w:tc>
          <w:tcPr>
            <w:tcW w:w="135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418,004,622.91</w:t>
            </w: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418,004,622.91</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323,419,915.64</w:t>
            </w: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323,419,915.64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2,466,058,865.92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2,466,058,865.92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1,051,224,158.65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1,051,224,158.65</w:t>
            </w: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1）对子公司投资" w:id="360"/>
      <w:bookmarkEnd w:id="36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北京新媒传信科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12,348,720.16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12,348,720.16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北京神州泰岳通 信技术有限公司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北京神州泰岳信 息安全技术有限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重庆新媒农信科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北京互联时代通 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6,977,459.86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6,977,459.86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北京神州泰岳系 统集成有限公司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宁波普天通信技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宁波普金通讯设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15,800,065.45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15,800,065.45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奇点新源国际技 </w:t>
            </w:r>
            <w:r>
              <w:rPr>
                <w:rFonts w:ascii="宋体" w:hAnsi="宋体" w:cs="宋体" w:eastAsia="宋体" w:hint="default"/>
                <w:spacing w:val="-7"/>
                <w:sz w:val="18"/>
                <w:szCs w:val="18"/>
              </w:rPr>
              <w:t>术开发（北京）有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北京神州泰岳良 品电子商务有限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神州泰岳（香港）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66,567,197.54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66,567,197.54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北京广通神州网 络技术有限公司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北京神州泰岳智 能数据技术有限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26" w:hRule="exact"/>
        </w:trPr>
        <w:tc>
          <w:tcPr>
            <w:tcW w:w="1448"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153"/>
              <w:jc w:val="left"/>
              <w:rPr>
                <w:rFonts w:ascii="宋体" w:hAnsi="宋体" w:cs="宋体" w:eastAsia="宋体" w:hint="default"/>
                <w:sz w:val="18"/>
                <w:szCs w:val="18"/>
              </w:rPr>
            </w:pPr>
            <w:r>
              <w:rPr>
                <w:rFonts w:ascii="宋体" w:hAnsi="宋体" w:cs="宋体" w:eastAsia="宋体" w:hint="default"/>
                <w:sz w:val="18"/>
                <w:szCs w:val="18"/>
              </w:rPr>
              <w:t>天津壳木软件有 限责任公司</w:t>
            </w:r>
          </w:p>
        </w:tc>
        <w:tc>
          <w:tcPr>
            <w:tcW w:w="1336" w:type="dxa"/>
            <w:tcBorders>
              <w:top w:val="single" w:sz="10" w:space="0" w:color="000000"/>
              <w:left w:val="single" w:sz="4" w:space="0" w:color="000000"/>
              <w:bottom w:val="single" w:sz="4" w:space="0" w:color="000000"/>
              <w:right w:val="single" w:sz="4" w:space="0" w:color="000000"/>
            </w:tcBorders>
          </w:tcPr>
          <w:p>
            <w:pPr/>
          </w:p>
        </w:tc>
        <w:tc>
          <w:tcPr>
            <w:tcW w:w="13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1,210,100,000.00</w:t>
            </w:r>
          </w:p>
        </w:tc>
        <w:tc>
          <w:tcPr>
            <w:tcW w:w="1334" w:type="dxa"/>
            <w:tcBorders>
              <w:top w:val="single" w:sz="10" w:space="0" w:color="000000"/>
              <w:left w:val="single" w:sz="4" w:space="0" w:color="000000"/>
              <w:bottom w:val="single" w:sz="4" w:space="0" w:color="000000"/>
              <w:right w:val="single" w:sz="4" w:space="0" w:color="000000"/>
            </w:tcBorders>
          </w:tcPr>
          <w:p>
            <w:pPr/>
          </w:p>
        </w:tc>
        <w:tc>
          <w:tcPr>
            <w:tcW w:w="13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1,210,100,000.00</w:t>
            </w:r>
          </w:p>
        </w:tc>
        <w:tc>
          <w:tcPr>
            <w:tcW w:w="1389" w:type="dxa"/>
            <w:tcBorders>
              <w:top w:val="single" w:sz="10" w:space="0" w:color="000000"/>
              <w:left w:val="single" w:sz="4" w:space="0" w:color="000000"/>
              <w:bottom w:val="single" w:sz="4" w:space="0" w:color="000000"/>
              <w:right w:val="single" w:sz="4" w:space="0" w:color="000000"/>
            </w:tcBorders>
          </w:tcPr>
          <w:p>
            <w:pPr/>
          </w:p>
        </w:tc>
        <w:tc>
          <w:tcPr>
            <w:tcW w:w="1390"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天津泰岳小漫科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727,804,243.01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2,048,054,243.01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4" w:right="209"/>
        <w:jc w:val="left"/>
        <w:rPr>
          <w:b w:val="0"/>
          <w:bCs w:val="0"/>
        </w:rPr>
      </w:pPr>
      <w:bookmarkStart w:name="（2）对联营、合营企业投资" w:id="361"/>
      <w:bookmarkEnd w:id="36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84" w:lineRule="auto"/>
              <w:ind w:left="93" w:right="92"/>
              <w:jc w:val="left"/>
              <w:rPr>
                <w:rFonts w:ascii="宋体" w:hAnsi="宋体" w:cs="宋体" w:eastAsia="宋体" w:hint="default"/>
                <w:sz w:val="15"/>
                <w:szCs w:val="15"/>
              </w:rPr>
            </w:pPr>
            <w:r>
              <w:rPr>
                <w:rFonts w:ascii="宋体" w:hAnsi="宋体" w:cs="宋体" w:eastAsia="宋体" w:hint="default"/>
                <w:sz w:val="15"/>
                <w:szCs w:val="15"/>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93" w:right="93"/>
              <w:jc w:val="both"/>
              <w:rPr>
                <w:rFonts w:ascii="宋体" w:hAnsi="宋体" w:cs="宋体" w:eastAsia="宋体" w:hint="default"/>
                <w:sz w:val="15"/>
                <w:szCs w:val="15"/>
              </w:rPr>
            </w:pPr>
            <w:r>
              <w:rPr>
                <w:rFonts w:ascii="宋体" w:hAnsi="宋体" w:cs="宋体" w:eastAsia="宋体" w:hint="default"/>
                <w:sz w:val="15"/>
                <w:szCs w:val="15"/>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93" w:right="92"/>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43" w:right="92" w:hanging="150"/>
              <w:jc w:val="left"/>
              <w:rPr>
                <w:rFonts w:ascii="宋体" w:hAnsi="宋体" w:cs="宋体" w:eastAsia="宋体" w:hint="default"/>
                <w:sz w:val="15"/>
                <w:szCs w:val="15"/>
              </w:rPr>
            </w:pPr>
            <w:r>
              <w:rPr>
                <w:rFonts w:ascii="宋体" w:hAnsi="宋体" w:cs="宋体" w:eastAsia="宋体" w:hint="default"/>
                <w:sz w:val="15"/>
                <w:szCs w:val="15"/>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5"/>
              <w:ind w:left="93" w:right="92"/>
              <w:jc w:val="both"/>
              <w:rPr>
                <w:rFonts w:ascii="宋体" w:hAnsi="宋体" w:cs="宋体" w:eastAsia="宋体" w:hint="default"/>
                <w:sz w:val="15"/>
                <w:szCs w:val="15"/>
              </w:rPr>
            </w:pPr>
            <w:r>
              <w:rPr>
                <w:rFonts w:ascii="宋体" w:hAnsi="宋体" w:cs="宋体" w:eastAsia="宋体" w:hint="default"/>
                <w:sz w:val="15"/>
                <w:szCs w:val="15"/>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43" w:right="93" w:hanging="150"/>
              <w:jc w:val="left"/>
              <w:rPr>
                <w:rFonts w:ascii="宋体" w:hAnsi="宋体" w:cs="宋体" w:eastAsia="宋体" w:hint="default"/>
                <w:sz w:val="15"/>
                <w:szCs w:val="15"/>
              </w:rPr>
            </w:pPr>
            <w:r>
              <w:rPr>
                <w:rFonts w:ascii="宋体" w:hAnsi="宋体" w:cs="宋体" w:eastAsia="宋体" w:hint="default"/>
                <w:sz w:val="15"/>
                <w:szCs w:val="15"/>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大连华信 计算机技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113,093,68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1.85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8,848,911.6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-178,980.42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2,400,000.0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119,363,61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3.10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5"/>
              <w:ind w:left="22" w:right="161"/>
              <w:jc w:val="left"/>
              <w:rPr>
                <w:rFonts w:ascii="宋体" w:hAnsi="宋体" w:cs="宋体" w:eastAsia="宋体" w:hint="default"/>
                <w:sz w:val="15"/>
                <w:szCs w:val="15"/>
              </w:rPr>
            </w:pPr>
            <w:r>
              <w:rPr>
                <w:rFonts w:ascii="宋体" w:hAnsi="宋体" w:cs="宋体" w:eastAsia="宋体" w:hint="default"/>
                <w:sz w:val="15"/>
                <w:szCs w:val="15"/>
              </w:rPr>
              <w:t>神州泰岳 顶策科技</w:t>
            </w:r>
          </w:p>
          <w:p>
            <w:pPr>
              <w:pStyle w:val="TableParagraph"/>
              <w:spacing w:line="384" w:lineRule="auto" w:before="29"/>
              <w:ind w:left="22" w:right="21"/>
              <w:jc w:val="left"/>
              <w:rPr>
                <w:rFonts w:ascii="宋体" w:hAnsi="宋体" w:cs="宋体" w:eastAsia="宋体" w:hint="default"/>
                <w:sz w:val="15"/>
                <w:szCs w:val="15"/>
              </w:rPr>
            </w:pPr>
            <w:r>
              <w:rPr>
                <w:rFonts w:ascii="宋体" w:hAnsi="宋体" w:cs="宋体" w:eastAsia="宋体" w:hint="default"/>
                <w:spacing w:val="-2"/>
                <w:sz w:val="15"/>
                <w:szCs w:val="15"/>
              </w:rPr>
              <w:t>（北京）有</w:t>
            </w:r>
            <w:r>
              <w:rPr>
                <w:rFonts w:ascii="宋体" w:hAnsi="宋体" w:cs="宋体" w:eastAsia="宋体" w:hint="default"/>
                <w:sz w:val="15"/>
                <w:szCs w:val="15"/>
              </w:rPr>
              <w:t>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9,081,547.4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-55,363.42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9,026,184.0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北京盈海 益讯科技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1,992,482.5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26,775.27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2,019,257.8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北京华泰 德丰技术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5"/>
                <w:szCs w:val="15"/>
              </w:rPr>
            </w:pPr>
            <w:r>
              <w:rPr>
                <w:rFonts w:ascii="Times New Roman"/>
                <w:sz w:val="15"/>
              </w:rPr>
              <w:t>886,938.70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3,800,000.0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-2,076,975.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2,609,963.6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宁波泰岳 梧桐投资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-638,858.02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7,361,141.9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1" w:right="0"/>
              <w:jc w:val="left"/>
              <w:rPr>
                <w:rFonts w:ascii="Times New Roman" w:hAnsi="Times New Roman" w:cs="Times New Roman" w:eastAsia="Times New Roman" w:hint="default"/>
                <w:sz w:val="15"/>
                <w:szCs w:val="15"/>
              </w:rPr>
            </w:pPr>
            <w:r>
              <w:rPr>
                <w:rFonts w:ascii="Times New Roman"/>
                <w:sz w:val="15"/>
              </w:rPr>
              <w:t>125,054,65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11,800,000.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6,104,490.4</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-178,980.42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2,400,000.0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0" w:right="0"/>
              <w:jc w:val="left"/>
              <w:rPr>
                <w:rFonts w:ascii="Times New Roman" w:hAnsi="Times New Roman" w:cs="Times New Roman" w:eastAsia="Times New Roman" w:hint="default"/>
                <w:sz w:val="15"/>
                <w:szCs w:val="15"/>
              </w:rPr>
            </w:pPr>
            <w:r>
              <w:rPr>
                <w:rFonts w:ascii="Times New Roman"/>
                <w:sz w:val="15"/>
              </w:rPr>
              <w:t>140,380,16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0.62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4" w:right="209"/>
        <w:jc w:val="left"/>
        <w:rPr>
          <w:b w:val="0"/>
          <w:bCs w:val="0"/>
        </w:rPr>
      </w:pPr>
      <w:bookmarkStart w:name="4、营业收入和营业成本" w:id="362"/>
      <w:bookmarkEnd w:id="36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5"/>
        <w:gridCol w:w="3750"/>
        <w:gridCol w:w="381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51" w:footer="1226" w:top="1380" w:bottom="1420" w:left="1020" w:right="1020"/>
        </w:sectPr>
      </w:pP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14" w:hRule="exact"/>
        </w:trPr>
        <w:tc>
          <w:tcPr>
            <w:tcW w:w="1971"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85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774,478,417.42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251,715,432.83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816,586,466.79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300,446,495.23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17,124,922.44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18,837,461.29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791,603,339.86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255,796,895.03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835,423,928.08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304,527,957.43</w:t>
            </w:r>
          </w:p>
        </w:tc>
      </w:tr>
    </w:tbl>
    <w:p>
      <w:pPr>
        <w:spacing w:line="240" w:lineRule="auto" w:before="2"/>
        <w:rPr>
          <w:rFonts w:ascii="宋体" w:hAnsi="宋体" w:cs="宋体" w:eastAsia="宋体" w:hint="default"/>
          <w:sz w:val="19"/>
          <w:szCs w:val="19"/>
        </w:rPr>
      </w:pPr>
    </w:p>
    <w:p>
      <w:pPr>
        <w:pStyle w:val="Heading3"/>
        <w:spacing w:line="240" w:lineRule="auto" w:before="35"/>
        <w:ind w:left="134" w:right="0"/>
        <w:jc w:val="left"/>
        <w:rPr>
          <w:b w:val="0"/>
          <w:bCs w:val="0"/>
        </w:rPr>
      </w:pPr>
      <w:bookmarkStart w:name="5、投资收益" w:id="363"/>
      <w:bookmarkEnd w:id="36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77,051,714.32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950,527.96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3,270,222.20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4,546,339.40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80,321,936.52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70,496,867.36</w:t>
            </w:r>
          </w:p>
        </w:tc>
      </w:tr>
    </w:tbl>
    <w:p>
      <w:pPr>
        <w:spacing w:line="240" w:lineRule="auto" w:before="2"/>
        <w:rPr>
          <w:rFonts w:ascii="宋体" w:hAnsi="宋体" w:cs="宋体" w:eastAsia="宋体" w:hint="default"/>
          <w:sz w:val="18"/>
          <w:szCs w:val="18"/>
        </w:rPr>
      </w:pPr>
    </w:p>
    <w:p>
      <w:pPr>
        <w:pStyle w:val="Heading2"/>
        <w:spacing w:line="240" w:lineRule="auto" w:before="26"/>
        <w:ind w:left="134" w:right="0"/>
        <w:jc w:val="left"/>
        <w:rPr>
          <w:b w:val="0"/>
          <w:bCs w:val="0"/>
        </w:rPr>
      </w:pPr>
      <w:bookmarkStart w:name="十八、补充资料" w:id="364"/>
      <w:bookmarkEnd w:id="36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3" w:right="0"/>
        <w:jc w:val="left"/>
        <w:rPr>
          <w:b w:val="0"/>
          <w:bCs w:val="0"/>
        </w:rPr>
      </w:pPr>
      <w:bookmarkStart w:name="1、当期非经常性损益明细表" w:id="365"/>
      <w:bookmarkEnd w:id="36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026"/>
        <w:gridCol w:w="4657"/>
      </w:tblGrid>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-84,629.79</w:t>
            </w:r>
            <w:r>
              <w:rPr>
                <w:rFonts w:ascii="Times New Roman"/>
                <w:sz w:val="18"/>
              </w:rPr>
            </w:r>
          </w:p>
        </w:tc>
      </w:tr>
      <w:tr>
        <w:trPr>
          <w:trHeight w:val="714"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标准定额或定量享受的政府补助除外）</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17,320,461.88</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190,246.58</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1,405,723.67</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1,715,838.12</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197,007.35</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16,918,956.87</w:t>
            </w:r>
          </w:p>
        </w:tc>
      </w:tr>
    </w:tbl>
    <w:p>
      <w:pPr>
        <w:spacing w:line="240" w:lineRule="auto" w:before="2"/>
        <w:rPr>
          <w:rFonts w:ascii="宋体" w:hAnsi="宋体" w:cs="宋体" w:eastAsia="宋体" w:hint="default"/>
          <w:sz w:val="19"/>
          <w:szCs w:val="19"/>
        </w:rPr>
      </w:pPr>
    </w:p>
    <w:p>
      <w:pPr>
        <w:pStyle w:val="Heading3"/>
        <w:spacing w:line="240" w:lineRule="auto" w:before="35"/>
        <w:ind w:left="134" w:right="0"/>
        <w:jc w:val="left"/>
        <w:rPr>
          <w:b w:val="0"/>
          <w:bCs w:val="0"/>
        </w:rPr>
      </w:pPr>
      <w:bookmarkStart w:name="2、净资产收益率及每股收益" w:id="366"/>
      <w:bookmarkEnd w:id="36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0.4820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0.4689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100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3、会计政策变更相关补充资料" w:id="367"/>
      <w:bookmarkEnd w:id="367"/>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pStyle w:val="BodyText"/>
        <w:spacing w:line="240" w:lineRule="auto"/>
        <w:ind w:left="0" w:right="159"/>
        <w:jc w:val="righ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w:t>
      </w:r>
    </w:p>
    <w:p>
      <w:pPr>
        <w:spacing w:line="240" w:lineRule="auto" w:before="11"/>
        <w:rPr>
          <w:rFonts w:ascii="宋体" w:hAnsi="宋体" w:cs="宋体" w:eastAsia="宋体" w:hint="default"/>
          <w:sz w:val="16"/>
          <w:szCs w:val="16"/>
        </w:rPr>
      </w:pPr>
    </w:p>
    <w:p>
      <w:pPr>
        <w:pStyle w:val="BodyText"/>
        <w:spacing w:line="240" w:lineRule="auto"/>
        <w:ind w:left="154" w:right="0"/>
        <w:jc w:val="left"/>
      </w:pPr>
      <w:r>
        <w:rPr/>
        <w:t>较财务报表进行了追溯重述，重述后的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spacing w:line="240" w:lineRule="auto" w:before="10"/>
        <w:rPr>
          <w:rFonts w:ascii="宋体" w:hAnsi="宋体" w:cs="宋体" w:eastAsia="宋体" w:hint="default"/>
          <w:sz w:val="13"/>
          <w:szCs w:val="1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1,376,172,702.71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1,483,831,768.20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1,234,637,722.26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1,507,900.00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119,872,954.49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128,617,963.00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714,213,558.83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751,270,747.88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914,606,410.60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37,860,788.27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94,932,638.97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56,438,611.67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5,714,446.72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9,363,991.68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16,243,435.49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105,353,266.75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119,461,280.92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215,795,462.07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27,554,777.13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32,240,492.10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33,458,730.73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2,268,377,440.41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2,610,973,874.24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2,599,798,335.82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131,446,741.75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323,419,915.64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418,004,622.91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180,362,188.92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176,306,416.52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172,224,954.32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337,281,080.45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325,845,421.72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354,145,848.14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19,948,464.33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29,784,002.93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27,523,320.41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60,861,714.20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81,915,984.32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147,942,494.41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8,970,061.05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49,218,576.74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252,764,848.33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345,251,320.56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1,463,897,670.45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489,811.17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861,025.55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1,845,068.29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21,891,540.42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18,183,882.71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28,894,592.94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5,689,596.37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5,689,596.37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7,473,708.15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1,275,735,985.94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1,581,227,627.37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2,937,175,062.13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3,544,113,426.35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4,192,201,501.61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5,536,973,397.95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143,691,761.00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66,072,061.00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64,048,420.28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77,706,789.83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91,374,647.19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80,858,212.40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59,029,097.43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43,663,348.61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1226" w:top="1380" w:bottom="142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515.1pt;mso-position-horizontal-relative:page;mso-position-vertical-relative:page;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3"/>
                    <w:gridCol w:w="2466"/>
                    <w:gridCol w:w="2454"/>
                    <w:gridCol w:w="2454"/>
                  </w:tblGrid>
                  <w:tr>
                    <w:trPr>
                      <w:trHeight w:val="414" w:hRule="exact"/>
                    </w:trPr>
                    <w:tc>
                      <w:tcPr>
                        <w:tcW w:w="218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88,313,399.71</w:t>
                        </w:r>
                      </w:p>
                    </w:tc>
                    <w:tc>
                      <w:tcPr>
                        <w:tcW w:w="24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92,260,655.42</w:t>
                        </w:r>
                      </w:p>
                    </w:tc>
                    <w:tc>
                      <w:tcPr>
                        <w:tcW w:w="24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92,150,901.66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2,162,606.20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35,537,928.53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78,246,266.72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63,874,133.22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143,596,990.37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171,473,235.53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11,326,432.54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11,356,687.33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30,792,079.20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310,583,204.35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594,422,889.11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569,429,312.91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8,516,542.51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12,430,727.10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15,746,807.01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11,404,103.86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7,559,805.43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17,050,505.91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640,262.48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640,262.48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2,977,318.59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20,560,908.85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20,630,795.01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35,774,631.51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331,144,113.20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615,053,684.12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605,203,944.42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383,383,700.00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614,841,344.00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1,327,481,535.00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1,562,858,589.75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1,361,234,043.22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1,467,864,957.80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30,792,079.20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-364,047.45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-1,385,347.96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-6,804,935.64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102,225,038.61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141,422,357.47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175,904,798.57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1,144,270,378.06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1,469,333,950.91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1,905,520,275.08</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3,192,373,658.97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3,554,654,268.44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4,843,517,778.61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20,595,654.18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22,493,549.05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88,251,674.92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3,212,969,313.15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3,577,147,817.49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4,931,769,453.53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3,544,113,426.35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4,192,201,501.61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5,536,973,397.95</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1226" w:top="1440" w:bottom="1420" w:left="1040" w:right="102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81"/>
        <w:ind w:right="495"/>
        <w:jc w:val="center"/>
        <w:rPr>
          <w:b w:val="0"/>
          <w:bCs w:val="0"/>
        </w:rPr>
      </w:pPr>
      <w:bookmarkStart w:name="第十节 备查文件目录" w:id="368"/>
      <w:bookmarkEnd w:id="368"/>
      <w:r>
        <w:rPr>
          <w:b w:val="0"/>
          <w:bCs w:val="0"/>
        </w:rPr>
      </w:r>
      <w:bookmarkStart w:name="_bookmark9" w:id="369"/>
      <w:bookmarkEnd w:id="369"/>
      <w:r>
        <w:rPr>
          <w:b w:val="0"/>
          <w:bCs w:val="0"/>
        </w:rPr>
      </w:r>
      <w:r>
        <w:rPr/>
        <w:t>第十节</w:t>
      </w:r>
      <w:r>
        <w:rPr>
          <w:spacing w:val="-7"/>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5"/>
        <w:ind w:left="154" w:right="952"/>
        <w:jc w:val="left"/>
      </w:pPr>
      <w:r>
        <w:rPr/>
        <w:t>一、载有法定代表人王宁先生、主管会计工作负责人万能先生、会计机构负责人林红女士签名并盖章的财务报表 二、载有会计师事务所盖章、注册会计师签名并盖章的审计报告原件； 三、报告期内在中国证监会指定报纸上公开披露过的所有公司文件的正本及公告的原稿；</w:t>
      </w:r>
    </w:p>
    <w:p>
      <w:pPr>
        <w:pStyle w:val="BodyText"/>
        <w:spacing w:line="477" w:lineRule="auto" w:before="54"/>
        <w:ind w:left="514" w:right="5812" w:hanging="360"/>
        <w:jc w:val="left"/>
      </w:pPr>
      <w:r>
        <w:rPr/>
        <w:t>四、其他相关资料。 以上备查文件的备置地点：公司董事会办公室</w:t>
      </w:r>
    </w:p>
    <w:sectPr>
      <w:pgSz w:w="11910" w:h="16840"/>
      <w:pgMar w:header="851" w:footer="1226" w:top="1380" w:bottom="14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83.217896pt;width:6.5pt;height:11pt;mso-position-horizontal-relative:page;mso-position-vertical-relative:page;z-index:-1111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69.5979pt;width:13pt;height:11pt;mso-position-horizontal-relative:page;mso-position-vertical-relative:page;z-index:-111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69.5979pt;width:13pt;height:11pt;mso-position-horizontal-relative:page;mso-position-vertical-relative:page;z-index:-1111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69.5979pt;width:17.5pt;height:11pt;mso-position-horizontal-relative:page;mso-position-vertical-relative:page;z-index:-1111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60002pt;margin-top:751.405579pt;width:96.8pt;height:11.5pt;mso-position-horizontal-relative:page;mso-position-vertical-relative:page;z-index:-111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sz w:val="18"/>
                    <w:szCs w:val="18"/>
                  </w:rPr>
                </w:r>
              </w:p>
            </w:txbxContent>
          </v:textbox>
          <w10:wrap type="none"/>
        </v:shape>
      </w:pict>
    </w:r>
    <w:r>
      <w:rPr/>
      <w:pict>
        <v:shape style="position:absolute;margin-left:523.539978pt;margin-top:769.5979pt;width:17.150pt;height:11pt;mso-position-horizontal-relative:page;mso-position-vertical-relative:page;z-index:-1111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39978pt;margin-top:769.5979pt;width:17.150pt;height:11pt;mso-position-horizontal-relative:page;mso-position-vertical-relative:page;z-index:-1111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39978pt;margin-top:769.5979pt;width:17.150pt;height:11pt;mso-position-horizontal-relative:page;mso-position-vertical-relative:page;z-index:-1111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4.345581pt;width:416pt;height:11pt;mso-position-horizontal-relative:page;mso-position-vertical-relative:page;z-index:-1111576" type="#_x0000_t202" filled="false" stroked="false">
          <v:textbox inset="0,0,0,0">
            <w:txbxContent>
              <w:p>
                <w:pPr>
                  <w:pStyle w:val="BodyText"/>
                  <w:spacing w:line="200" w:lineRule="exact"/>
                  <w:ind w:left="20" w:right="0"/>
                  <w:jc w:val="left"/>
                </w:pPr>
                <w:r>
                  <w:rPr/>
                  <w:t>间计入当期营业外收入；用于补偿本公司已发生的相关费用或损失的，取得时直接计入当期营业外收入。</w:t>
                </w:r>
              </w:p>
            </w:txbxContent>
          </v:textbox>
          <w10:wrap type="none"/>
        </v:shape>
      </w:pict>
    </w:r>
    <w:r>
      <w:rPr/>
      <w:pict>
        <v:shape style="position:absolute;margin-left:523.539978pt;margin-top:769.5979pt;width:17.150pt;height:11pt;mso-position-horizontal-relative:page;mso-position-vertical-relative:page;z-index:-1111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69.5979pt;width:17.5pt;height:11pt;mso-position-horizontal-relative:page;mso-position-vertical-relative:page;z-index:-1111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4.739990pt;margin-top:52.76561pt;width:213.5pt;height:11.5pt;mso-position-horizontal-relative:page;mso-position-vertical-relative:page;z-index:-1112008"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936" type="#_x0000_t75" stroked="false">
          <v:imagedata r:id="rId1" o:title=""/>
        </v:shape>
      </w:pict>
    </w:r>
    <w:r>
      <w:rPr/>
      <w:pict>
        <v:group style="position:absolute;margin-left:55.200001pt;margin-top:72.059982pt;width:485pt;height:.1pt;mso-position-horizontal-relative:page;mso-position-vertical-relative:page;z-index:-1111912" coordorigin="1104,1441" coordsize="9700,2">
          <v:shape style="position:absolute;left:1104;top:1441;width:9700;height:2" coordorigin="1104,1441" coordsize="9700,0" path="m1104,1441l10804,1441e" filled="false" stroked="true" strokeweight=".72pt" strokecolor="#000000">
            <v:path arrowok="t"/>
          </v:shape>
          <w10:wrap type="none"/>
        </v:group>
      </w:pict>
    </w:r>
    <w:r>
      <w:rPr/>
      <w:pict>
        <v:shape style="position:absolute;margin-left:304.739990pt;margin-top:59.305607pt;width:213.5pt;height:11.5pt;mso-position-horizontal-relative:page;mso-position-vertical-relative:page;z-index:-1111888"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864" type="#_x0000_t75" stroked="false">
          <v:imagedata r:id="rId1" o:title=""/>
        </v:shape>
      </w:pict>
    </w:r>
    <w:r>
      <w:rPr/>
      <w:pict>
        <v:shape style="position:absolute;margin-left:304.739990pt;margin-top:59.305607pt;width:213.5pt;height:11.5pt;mso-position-horizontal-relative:page;mso-position-vertical-relative:page;z-index:-1111840"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792" type="#_x0000_t75" stroked="false">
          <v:imagedata r:id="rId1" o:title=""/>
        </v:shape>
      </w:pict>
    </w:r>
    <w:r>
      <w:rPr/>
      <w:pict>
        <v:shape style="position:absolute;margin-left:304.739990pt;margin-top:59.305607pt;width:213.5pt;height:11.5pt;mso-position-horizontal-relative:page;mso-position-vertical-relative:page;z-index:-1111768"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744" type="#_x0000_t75" stroked="false">
          <v:imagedata r:id="rId1" o:title=""/>
        </v:shape>
      </w:pict>
    </w:r>
    <w:r>
      <w:rPr/>
      <w:pict>
        <v:shape style="position:absolute;margin-left:304.739990pt;margin-top:59.305607pt;width:213.5pt;height:11.5pt;mso-position-horizontal-relative:page;mso-position-vertical-relative:page;z-index:-1111720"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504" type="#_x0000_t75" stroked="false">
          <v:imagedata r:id="rId1" o:title=""/>
        </v:shape>
      </w:pict>
    </w:r>
    <w:r>
      <w:rPr/>
      <w:pict>
        <v:shape style="position:absolute;margin-left:304.739990pt;margin-top:59.305607pt;width:213.5pt;height:11.5pt;mso-position-horizontal-relative:page;mso-position-vertical-relative:page;z-index:-1111480"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99997pt;margin-top:42.549988pt;width:90.75pt;height:25.5pt;mso-position-horizontal-relative:page;mso-position-vertical-relative:page;z-index:-1111456" type="#_x0000_t75" stroked="false">
          <v:imagedata r:id="rId1" o:title=""/>
        </v:shape>
      </w:pict>
    </w:r>
    <w:r>
      <w:rPr/>
      <w:pict>
        <v:shape style="position:absolute;margin-left:304.739990pt;margin-top:59.305607pt;width:213.5pt;height:11.5pt;mso-position-horizontal-relative:page;mso-position-vertical-relative:page;z-index:-1111432"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3"/>
    </w:pPr>
    <w:rPr>
      <w:rFonts w:ascii="宋体" w:hAnsi="宋体" w:eastAsia="宋体"/>
      <w:sz w:val="21"/>
      <w:szCs w:val="21"/>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ultrapower.com.cn/" TargetMode="External"/><Relationship Id="rId11" Type="http://schemas.openxmlformats.org/officeDocument/2006/relationships/hyperlink" Target="mailto:IRM@ultrapower.com.cn" TargetMode="External"/><Relationship Id="rId12" Type="http://schemas.openxmlformats.org/officeDocument/2006/relationships/hyperlink" Target="http://www.cninfo.com.cn/"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6.xml"/><Relationship Id="rId25"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2020-05-06T18:23:38Z</dcterms:created>
  <dcterms:modified xsi:type="dcterms:W3CDTF">2020-05-06T18:23:38Z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