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60.899994pt;margin-top:35.999985pt;width:90.699997pt;height:25.5pt;mso-position-horizontal-relative:page;mso-position-vertical-relative:page;z-index:0" type="#_x0000_t75" stroked="false">
            <v:imagedata r:id="rId7"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line="460" w:lineRule="exact" w:before="0"/>
        <w:ind w:left="1114" w:right="1114" w:firstLine="0"/>
        <w:jc w:val="center"/>
        <w:rPr>
          <w:rFonts w:ascii="宋体" w:hAnsi="宋体" w:cs="宋体" w:eastAsia="宋体" w:hint="default"/>
          <w:sz w:val="36"/>
          <w:szCs w:val="36"/>
        </w:rPr>
      </w:pPr>
      <w:r>
        <w:rPr/>
        <w:pict>
          <v:group style="position:absolute;margin-left:55.200001pt;margin-top:-74.171249pt;width:485pt;height:.1pt;mso-position-horizontal-relative:page;mso-position-vertical-relative:paragraph;z-index:1048" coordorigin="1104,-1483" coordsize="9700,2">
            <v:shape style="position:absolute;left:1104;top:-1483;width:9700;height:2" coordorigin="1104,-1483" coordsize="9700,0" path="m1104,-1483l10804,-1483e" filled="false" stroked="true" strokeweight=".72pt" strokecolor="#000000">
              <v:path arrowok="t"/>
            </v:shape>
            <w10:wrap type="none"/>
          </v:group>
        </w:pict>
      </w:r>
      <w:r>
        <w:rPr>
          <w:rFonts w:ascii="宋体" w:hAnsi="宋体" w:cs="宋体" w:eastAsia="宋体" w:hint="default"/>
          <w:b/>
          <w:bCs/>
          <w:sz w:val="36"/>
          <w:szCs w:val="36"/>
        </w:rPr>
        <w:t>北京神州泰岳软件股份有限公司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114" w:right="111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114" w:right="11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1075" w:footer="979" w:top="1380" w:bottom="1160" w:left="0" w:right="0"/>
        </w:sectPr>
      </w:pPr>
    </w:p>
    <w:p>
      <w:pPr>
        <w:spacing w:line="240" w:lineRule="auto" w:before="12"/>
        <w:rPr>
          <w:rFonts w:ascii="宋体" w:hAnsi="宋体" w:cs="宋体" w:eastAsia="宋体" w:hint="default"/>
          <w:b/>
          <w:bCs/>
          <w:sz w:val="2"/>
          <w:szCs w:val="2"/>
        </w:rPr>
      </w:pPr>
      <w:r>
        <w:rPr/>
        <w:pict>
          <v:shape style="position:absolute;margin-left:60.899994pt;margin-top:42.549988pt;width:90.699997pt;height:25.5pt;mso-position-horizontal-relative:page;mso-position-vertical-relative:page;z-index:1096" type="#_x0000_t75" stroked="false">
            <v:imagedata r:id="rId7" o:title=""/>
          </v:shape>
        </w:pict>
      </w: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6"/>
          <w:szCs w:val="46"/>
        </w:rPr>
      </w:pPr>
    </w:p>
    <w:p>
      <w:pPr>
        <w:pStyle w:val="Heading3"/>
        <w:spacing w:line="408" w:lineRule="auto"/>
        <w:ind w:left="1133" w:right="0" w:firstLine="422"/>
        <w:jc w:val="left"/>
        <w:rPr>
          <w:b w:val="0"/>
          <w:bCs w:val="0"/>
        </w:rPr>
      </w:pPr>
      <w:r>
        <w:rPr>
          <w:spacing w:val="-1"/>
          <w:w w:val="95"/>
        </w:rPr>
        <w:t>本公司董事会、监事会及董事、监事、高级管理人员保证年度报告内容的真实、准确、完整，不存在</w:t>
      </w:r>
      <w:r>
        <w:rPr>
          <w:spacing w:val="-84"/>
          <w:w w:val="95"/>
        </w:rPr>
        <w:t> </w:t>
      </w:r>
      <w:r>
        <w:rPr>
          <w:spacing w:val="-84"/>
          <w:w w:val="95"/>
        </w:rPr>
      </w:r>
      <w:r>
        <w:rPr/>
        <w:t>虚假记载、误导性陈述或重大遗漏，并承担个别和连带的法律责任。</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3"/>
        <w:spacing w:line="386" w:lineRule="auto"/>
        <w:ind w:right="0" w:firstLine="422"/>
        <w:jc w:val="left"/>
        <w:rPr>
          <w:b w:val="0"/>
          <w:bCs w:val="0"/>
        </w:rPr>
      </w:pPr>
      <w:r>
        <w:rPr>
          <w:spacing w:val="-2"/>
          <w:w w:val="99"/>
        </w:rPr>
        <w:t>公司负责人王宁先生、主管会计工作负责人万能先生及会计机构负责人</w:t>
      </w:r>
      <w:r>
        <w:rPr>
          <w:rFonts w:ascii="Times New Roman" w:hAnsi="Times New Roman" w:cs="Times New Roman" w:eastAsia="Times New Roman" w:hint="default"/>
          <w:spacing w:val="-2"/>
          <w:w w:val="99"/>
        </w:rPr>
        <w:t>(</w:t>
      </w:r>
      <w:r>
        <w:rPr>
          <w:spacing w:val="-2"/>
          <w:w w:val="99"/>
        </w:rPr>
        <w:t>会计主管人员</w:t>
      </w:r>
      <w:r>
        <w:rPr>
          <w:rFonts w:ascii="Times New Roman" w:hAnsi="Times New Roman" w:cs="Times New Roman" w:eastAsia="Times New Roman" w:hint="default"/>
          <w:spacing w:val="-2"/>
          <w:w w:val="99"/>
        </w:rPr>
        <w:t>)</w:t>
      </w:r>
      <w:r>
        <w:rPr>
          <w:spacing w:val="-2"/>
          <w:w w:val="99"/>
        </w:rPr>
        <w:t>林红女士声明：</w:t>
      </w:r>
      <w:r>
        <w:rPr>
          <w:w w:val="99"/>
        </w:rPr>
        <w:t> </w:t>
      </w:r>
      <w:r>
        <w:rPr/>
        <w:t>保证年度报告中财务报告的真实、准确、完整。</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3"/>
        <w:spacing w:line="240" w:lineRule="auto"/>
        <w:ind w:left="1556" w:right="0"/>
        <w:jc w:val="left"/>
        <w:rPr>
          <w:b w:val="0"/>
          <w:bCs w:val="0"/>
        </w:rPr>
      </w:pPr>
      <w:r>
        <w:rPr/>
        <w:t>所有董事均已出席了审议本报告的董事会会议。</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408" w:lineRule="auto" w:before="137"/>
        <w:ind w:right="0" w:firstLine="422"/>
        <w:jc w:val="left"/>
        <w:rPr>
          <w:b w:val="0"/>
          <w:bCs w:val="0"/>
        </w:rPr>
      </w:pPr>
      <w:r>
        <w:rPr>
          <w:spacing w:val="-1"/>
          <w:w w:val="95"/>
        </w:rPr>
        <w:t>本报告中如有涉及未来的计划、业绩预测等方面的内容，均不构成本公司对任何投资者及相关人士的</w:t>
      </w:r>
      <w:r>
        <w:rPr>
          <w:spacing w:val="-80"/>
          <w:w w:val="95"/>
        </w:rPr>
        <w:t> </w:t>
      </w:r>
      <w:r>
        <w:rPr>
          <w:spacing w:val="-80"/>
          <w:w w:val="95"/>
        </w:rPr>
      </w:r>
      <w:r>
        <w:rPr/>
        <w:t>承诺，投资者及相关人士均应对此保持足够的风险认识，并且应当理解计划、预测与承诺之间的差异。</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3"/>
        <w:spacing w:line="408" w:lineRule="auto"/>
        <w:ind w:right="0" w:firstLine="422"/>
        <w:jc w:val="left"/>
        <w:rPr>
          <w:b w:val="0"/>
          <w:bCs w:val="0"/>
        </w:rPr>
      </w:pPr>
      <w:r>
        <w:rPr>
          <w:spacing w:val="-1"/>
          <w:w w:val="95"/>
        </w:rPr>
        <w:t>随着公司资产规模、业务规模的扩大，在战略规划、组织机构设置、企业文化建设、资源配置、运营</w:t>
      </w:r>
      <w:r>
        <w:rPr>
          <w:spacing w:val="-84"/>
          <w:w w:val="95"/>
        </w:rPr>
        <w:t> </w:t>
      </w:r>
      <w:r>
        <w:rPr>
          <w:spacing w:val="-84"/>
          <w:w w:val="95"/>
        </w:rPr>
      </w:r>
      <w:r>
        <w:rPr/>
        <w:t>管理，特别是资金管理、人才管理、内部控制等方面，都将对管理水平提出更大的挑战。</w:t>
      </w:r>
      <w:r>
        <w:rPr>
          <w:b w:val="0"/>
          <w:bCs w:val="0"/>
        </w:rPr>
      </w:r>
    </w:p>
    <w:p>
      <w:pPr>
        <w:pStyle w:val="Heading3"/>
        <w:spacing w:line="408" w:lineRule="auto" w:before="46"/>
        <w:ind w:right="1135" w:firstLine="422"/>
        <w:jc w:val="both"/>
        <w:rPr>
          <w:b w:val="0"/>
          <w:bCs w:val="0"/>
        </w:rPr>
      </w:pPr>
      <w:r>
        <w:rPr>
          <w:spacing w:val="-1"/>
          <w:w w:val="95"/>
        </w:rPr>
        <w:t>游戏产品具有更新快、可模仿性较高、玩家喜好转换快、市场竞争激励等特点，如果公司无法持续推</w:t>
      </w:r>
      <w:r>
        <w:rPr>
          <w:spacing w:val="-84"/>
          <w:w w:val="95"/>
        </w:rPr>
        <w:t> </w:t>
      </w:r>
      <w:r>
        <w:rPr>
          <w:spacing w:val="-84"/>
          <w:w w:val="95"/>
        </w:rPr>
      </w:r>
      <w:r>
        <w:rPr>
          <w:spacing w:val="-1"/>
          <w:w w:val="95"/>
        </w:rPr>
        <w:t>出受玩家认可的成功的游戏产品，或由于游戏研发周期延长、推广时间延长等原因造成游戏无法按计划推</w:t>
      </w:r>
      <w:r>
        <w:rPr>
          <w:spacing w:val="59"/>
          <w:w w:val="95"/>
        </w:rPr>
        <w:t> </w:t>
      </w:r>
      <w:r>
        <w:rPr>
          <w:spacing w:val="59"/>
          <w:w w:val="95"/>
        </w:rPr>
      </w:r>
      <w:r>
        <w:rPr>
          <w:spacing w:val="-1"/>
          <w:w w:val="95"/>
        </w:rPr>
        <w:t>出，从而造成老游戏盈利能力出现下滑时，新游戏无法成功按时推出难以弥补老游戏收入的下滑，则将对</w:t>
      </w:r>
      <w:r>
        <w:rPr>
          <w:spacing w:val="61"/>
          <w:w w:val="95"/>
        </w:rPr>
        <w:t> </w:t>
      </w:r>
      <w:r>
        <w:rPr>
          <w:spacing w:val="61"/>
          <w:w w:val="95"/>
        </w:rPr>
      </w:r>
      <w:r>
        <w:rPr/>
        <w:t>公司的运营产生不利影响。</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3"/>
        <w:spacing w:line="408" w:lineRule="auto"/>
        <w:ind w:right="1072" w:firstLine="422"/>
        <w:jc w:val="both"/>
        <w:rPr>
          <w:b w:val="0"/>
          <w:bCs w:val="0"/>
        </w:rPr>
      </w:pPr>
      <w:r>
        <w:rPr/>
        <w:t>公司经本次董事会审议通过的利润分配预案为：以未来实施分配方案时股权登记日的总股本为基数，</w:t>
      </w:r>
      <w:r>
        <w:rPr>
          <w:w w:val="99"/>
        </w:rPr>
        <w:t> 向全体股东每</w:t>
      </w:r>
      <w:r>
        <w:rPr>
          <w:spacing w:val="-48"/>
          <w:w w:val="9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w w:val="99"/>
        </w:rPr>
        <w:t>股派发现金红利</w:t>
      </w:r>
      <w:r>
        <w:rPr>
          <w:spacing w:val="-50"/>
          <w:w w:val="99"/>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spacing w:val="-12"/>
          <w:w w:val="99"/>
        </w:rPr>
        <w:t>元（含税），送红股</w:t>
      </w:r>
      <w:r>
        <w:rPr>
          <w:spacing w:val="-49"/>
          <w:w w:val="99"/>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6"/>
          <w:w w:val="99"/>
        </w:rPr>
        <w:t>股（含税），以资本公积金向全体股东每</w:t>
      </w:r>
      <w:r>
        <w:rPr>
          <w:spacing w:val="-48"/>
          <w:w w:val="9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w w:val="99"/>
        </w:rPr>
        <w:t>股</w:t>
      </w:r>
      <w:r>
        <w:rPr>
          <w:b w:val="0"/>
          <w:bCs w:val="0"/>
        </w:rPr>
      </w:r>
    </w:p>
    <w:p>
      <w:pPr>
        <w:pStyle w:val="Heading3"/>
        <w:spacing w:line="240" w:lineRule="auto" w:before="14"/>
        <w:ind w:right="0"/>
        <w:jc w:val="left"/>
        <w:rPr>
          <w:b w:val="0"/>
          <w:bCs w:val="0"/>
        </w:rPr>
      </w:pPr>
      <w:r>
        <w:rPr/>
        <w:t>转增</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w:t>
      </w:r>
      <w:r>
        <w:rPr>
          <w:b w:val="0"/>
          <w:bCs w:val="0"/>
        </w:rPr>
      </w:r>
    </w:p>
    <w:p>
      <w:pPr>
        <w:spacing w:after="0" w:line="240" w:lineRule="auto"/>
        <w:jc w:val="left"/>
        <w:sectPr>
          <w:footerReference w:type="default" r:id="rId8"/>
          <w:pgSz w:w="11910" w:h="16840"/>
          <w:pgMar w:footer="979" w:header="1075" w:top="1380" w:bottom="1160" w:left="0" w:right="0"/>
          <w:pgNumType w:start="2"/>
        </w:sectPr>
      </w:pPr>
    </w:p>
    <w:p>
      <w:pPr>
        <w:spacing w:line="240" w:lineRule="auto" w:before="12"/>
        <w:rPr>
          <w:rFonts w:ascii="宋体" w:hAnsi="宋体" w:cs="宋体" w:eastAsia="宋体" w:hint="default"/>
          <w:b/>
          <w:bCs/>
          <w:sz w:val="2"/>
          <w:szCs w:val="2"/>
        </w:rPr>
      </w:pPr>
      <w:r>
        <w:rPr/>
        <w:pict>
          <v:shape style="position:absolute;margin-left:60.899994pt;margin-top:42.549988pt;width:90.699997pt;height:25.5pt;mso-position-horizontal-relative:page;mso-position-vertical-relative:page;z-index:1144" type="#_x0000_t75" stroked="false">
            <v:imagedata r:id="rId7" o:title=""/>
          </v:shape>
        </w:pict>
      </w: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before="1"/>
        <w:ind w:left="1114" w:right="1114" w:firstLine="0"/>
        <w:jc w:val="center"/>
        <w:rPr>
          <w:rFonts w:ascii="宋体" w:hAnsi="宋体" w:cs="宋体" w:eastAsia="宋体" w:hint="default"/>
          <w:sz w:val="32"/>
          <w:szCs w:val="32"/>
        </w:rPr>
      </w:pPr>
      <w:r>
        <w:rPr>
          <w:rFonts w:ascii="宋体" w:hAnsi="宋体" w:cs="宋体" w:eastAsia="宋体" w:hint="default"/>
          <w:b/>
          <w:bCs/>
          <w:sz w:val="32"/>
          <w:szCs w:val="32"/>
        </w:rPr>
        <w:t>目</w:t>
      </w:r>
      <w:r>
        <w:rPr>
          <w:rFonts w:ascii="宋体" w:hAnsi="宋体" w:cs="宋体" w:eastAsia="宋体" w:hint="default"/>
          <w:b/>
          <w:bCs/>
          <w:spacing w:val="-2"/>
          <w:sz w:val="32"/>
          <w:szCs w:val="32"/>
        </w:rPr>
        <w:t> </w:t>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sdt>
      <w:sdtPr>
        <w:docPartObj>
          <w:docPartGallery w:val="Table of Contents"/>
          <w:docPartUnique/>
        </w:docPartObj>
      </w:sdtPr>
      <w:sdtEndPr/>
      <w:sdtContent>
        <w:p>
          <w:pPr>
            <w:pStyle w:val="TOC1"/>
            <w:tabs>
              <w:tab w:pos="10763" w:val="right" w:leader="dot"/>
            </w:tabs>
            <w:spacing w:line="240" w:lineRule="auto" w:before="28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10763" w:val="right" w:leader="dot"/>
            </w:tabs>
            <w:spacing w:line="240" w:lineRule="auto" w:before="62"/>
            <w:ind w:right="0"/>
            <w:jc w:val="left"/>
            <w:rPr>
              <w:rFonts w:ascii="Times New Roman" w:hAnsi="Times New Roman" w:cs="Times New Roman" w:eastAsia="Times New Roman" w:hint="default"/>
            </w:rPr>
          </w:pPr>
          <w:hyperlink w:history="true" w:anchor="_bookmark3">
            <w:r>
              <w:rPr/>
              <w:t>第四节 管理层讨论与分析</w:t>
            </w:r>
            <w:r>
              <w:rPr>
                <w:rFonts w:ascii="Times New Roman" w:hAnsi="Times New Roman" w:cs="Times New Roman" w:eastAsia="Times New Roman" w:hint="default"/>
              </w:rPr>
              <w:tab/>
              <w:t>15</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36</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58</w:t>
            </w:r>
          </w:hyperlink>
        </w:p>
        <w:p>
          <w:pPr>
            <w:pStyle w:val="TOC1"/>
            <w:tabs>
              <w:tab w:pos="10763" w:val="right" w:leader="dot"/>
            </w:tabs>
            <w:spacing w:line="240" w:lineRule="auto" w:before="62"/>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64</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65</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75</w:t>
            </w:r>
          </w:hyperlink>
        </w:p>
        <w:p>
          <w:pPr>
            <w:pStyle w:val="TOC1"/>
            <w:tabs>
              <w:tab w:pos="10763" w:val="right" w:leader="dot"/>
            </w:tabs>
            <w:spacing w:line="240" w:lineRule="auto" w:before="62"/>
            <w:ind w:right="0"/>
            <w:jc w:val="left"/>
            <w:rPr>
              <w:rFonts w:ascii="Times New Roman" w:hAnsi="Times New Roman" w:cs="Times New Roman" w:eastAsia="Times New Roman" w:hint="default"/>
            </w:rPr>
          </w:pPr>
          <w:hyperlink w:history="true" w:anchor="_bookmark9">
            <w:r>
              <w:rPr/>
              <w:t>第十节 财务报告</w:t>
            </w:r>
            <w:r>
              <w:rPr>
                <w:rFonts w:ascii="Times New Roman" w:hAnsi="Times New Roman" w:cs="Times New Roman" w:eastAsia="Times New Roman" w:hint="default"/>
              </w:rPr>
              <w:tab/>
              <w:t>82</w:t>
            </w:r>
          </w:hyperlink>
        </w:p>
        <w:p>
          <w:pPr>
            <w:pStyle w:val="TOC1"/>
            <w:tabs>
              <w:tab w:pos="10763"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3"/>
              </w:rPr>
              <w:t>211</w:t>
            </w:r>
          </w:hyperlink>
        </w:p>
        <w:p>
          <w:pPr/>
          <w:r>
            <w:fldChar w:fldCharType="end"/>
          </w:r>
        </w:p>
      </w:sdtContent>
    </w:sdt>
    <w:p>
      <w:pPr>
        <w:spacing w:after="0"/>
        <w:sectPr>
          <w:pgSz w:w="11910" w:h="16840"/>
          <w:pgMar w:header="1075" w:footer="979" w:top="1380" w:bottom="1160" w:left="0" w:right="0"/>
        </w:sectPr>
      </w:pPr>
    </w:p>
    <w:p>
      <w:pPr>
        <w:tabs>
          <w:tab w:pos="804" w:val="left" w:leader="none"/>
        </w:tabs>
        <w:spacing w:before="805"/>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31"/>
        <w:ind w:left="0" w:right="1139"/>
        <w:jc w:val="right"/>
      </w:pPr>
      <w:r>
        <w:rPr/>
        <w:pict>
          <v:shape style="position:absolute;margin-left:56.459999pt;margin-top:-63.398296pt;width:479.25pt;height:578.0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630"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运营管理</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2"/>
                          <w:ind w:left="27"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ICT</w:t>
                        </w:r>
                        <w:r>
                          <w:rPr>
                            <w:rFonts w:ascii="宋体" w:hAnsi="宋体" w:cs="宋体" w:eastAsia="宋体" w:hint="default"/>
                            <w:sz w:val="18"/>
                            <w:szCs w:val="18"/>
                          </w:rPr>
                          <w:t>，即信息业（</w:t>
                        </w:r>
                        <w:r>
                          <w:rPr>
                            <w:rFonts w:ascii="Times New Roman" w:hAnsi="Times New Roman" w:cs="Times New Roman" w:eastAsia="Times New Roman" w:hint="default"/>
                            <w:sz w:val="18"/>
                            <w:szCs w:val="18"/>
                          </w:rPr>
                          <w:t>IT</w:t>
                        </w:r>
                        <w:r>
                          <w:rPr>
                            <w:rFonts w:ascii="宋体" w:hAnsi="宋体" w:cs="宋体" w:eastAsia="宋体" w:hint="default"/>
                            <w:sz w:val="18"/>
                            <w:szCs w:val="18"/>
                          </w:rPr>
                          <w:t>）与通信产业（</w:t>
                        </w:r>
                        <w:r>
                          <w:rPr>
                            <w:rFonts w:ascii="Times New Roman" w:hAnsi="Times New Roman" w:cs="Times New Roman" w:eastAsia="Times New Roman" w:hint="default"/>
                            <w:sz w:val="18"/>
                            <w:szCs w:val="18"/>
                          </w:rPr>
                          <w:t>CT</w:t>
                        </w:r>
                        <w:r>
                          <w:rPr>
                            <w:rFonts w:ascii="宋体" w:hAnsi="宋体" w:cs="宋体" w:eastAsia="宋体" w:hint="default"/>
                            <w:sz w:val="18"/>
                            <w:szCs w:val="18"/>
                          </w:rPr>
                          <w:t>）的统称，</w:t>
                        </w: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领域运营管理</w:t>
                        </w:r>
                        <w:r>
                          <w:rPr>
                            <w:rFonts w:ascii="宋体" w:hAnsi="宋体" w:cs="宋体" w:eastAsia="宋体" w:hint="default"/>
                            <w:w w:val="99"/>
                            <w:sz w:val="18"/>
                            <w:szCs w:val="18"/>
                          </w:rPr>
                          <w:t> </w:t>
                        </w:r>
                        <w:r>
                          <w:rPr>
                            <w:rFonts w:ascii="宋体" w:hAnsi="宋体" w:cs="宋体" w:eastAsia="宋体" w:hint="default"/>
                            <w:sz w:val="18"/>
                            <w:szCs w:val="18"/>
                          </w:rPr>
                          <w:t>软件研发和服务（简称</w:t>
                        </w:r>
                        <w:r>
                          <w:rPr>
                            <w:rFonts w:ascii="Times New Roman" w:hAnsi="Times New Roman" w:cs="Times New Roman" w:eastAsia="Times New Roman" w:hint="default"/>
                            <w:sz w:val="18"/>
                            <w:szCs w:val="18"/>
                          </w:rPr>
                          <w:t>“ICT </w:t>
                        </w:r>
                        <w:r>
                          <w:rPr>
                            <w:rFonts w:ascii="宋体" w:hAnsi="宋体" w:cs="宋体" w:eastAsia="宋体" w:hint="default"/>
                            <w:sz w:val="18"/>
                            <w:szCs w:val="18"/>
                          </w:rPr>
                          <w:t>运营管理</w:t>
                        </w:r>
                        <w:r>
                          <w:rPr>
                            <w:rFonts w:ascii="Times New Roman" w:hAnsi="Times New Roman" w:cs="Times New Roman" w:eastAsia="Times New Roman" w:hint="default"/>
                            <w:sz w:val="18"/>
                            <w:szCs w:val="18"/>
                          </w:rPr>
                          <w:t>”</w:t>
                        </w:r>
                        <w:r>
                          <w:rPr>
                            <w:rFonts w:ascii="宋体" w:hAnsi="宋体" w:cs="宋体" w:eastAsia="宋体" w:hint="default"/>
                            <w:sz w:val="18"/>
                            <w:szCs w:val="18"/>
                          </w:rPr>
                          <w:t>）即通过提供软件与服务的方 式对</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基础设施、业务应用和运维体系进行全面统一的管理，及时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发现和解决故障，规范运行维护和支持服务工作，保障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系统安全 稳定、可靠、高效运行。</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254"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
                          <w:jc w:val="center"/>
                          <w:rPr>
                            <w:rFonts w:ascii="宋体" w:hAnsi="宋体" w:cs="宋体" w:eastAsia="宋体" w:hint="default"/>
                            <w:sz w:val="18"/>
                            <w:szCs w:val="18"/>
                          </w:rPr>
                        </w:pPr>
                        <w:r>
                          <w:rPr>
                            <w:rFonts w:ascii="宋体" w:hAnsi="宋体" w:cs="宋体" w:eastAsia="宋体" w:hint="default"/>
                            <w:sz w:val="18"/>
                            <w:szCs w:val="18"/>
                          </w:rPr>
                          <w:t>飞信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52"/>
                          <w:ind w:left="27" w:right="0"/>
                          <w:jc w:val="both"/>
                          <w:rPr>
                            <w:rFonts w:ascii="宋体" w:hAnsi="宋体" w:cs="宋体" w:eastAsia="宋体" w:hint="default"/>
                            <w:sz w:val="18"/>
                            <w:szCs w:val="18"/>
                          </w:rPr>
                        </w:pPr>
                        <w:r>
                          <w:rPr>
                            <w:rFonts w:ascii="宋体" w:hAnsi="宋体" w:cs="宋体" w:eastAsia="宋体" w:hint="default"/>
                            <w:sz w:val="18"/>
                            <w:szCs w:val="18"/>
                          </w:rPr>
                          <w:t>飞信是由中国移动通信集团公司推出的综合通信服务，即融合语音</w:t>
                        </w:r>
                      </w:p>
                      <w:p>
                        <w:pPr>
                          <w:pStyle w:val="TableParagraph"/>
                          <w:spacing w:line="314" w:lineRule="auto" w:before="75"/>
                          <w:ind w:left="27" w:right="21"/>
                          <w:jc w:val="both"/>
                          <w:rPr>
                            <w:rFonts w:ascii="宋体" w:hAnsi="宋体" w:cs="宋体" w:eastAsia="宋体" w:hint="default"/>
                            <w:sz w:val="18"/>
                            <w:szCs w:val="18"/>
                          </w:rPr>
                        </w:pP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IVR</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GPRS</w:t>
                        </w:r>
                        <w:r>
                          <w:rPr>
                            <w:rFonts w:ascii="宋体" w:hAnsi="宋体" w:cs="宋体" w:eastAsia="宋体" w:hint="default"/>
                            <w:spacing w:val="-3"/>
                            <w:w w:val="99"/>
                            <w:sz w:val="18"/>
                            <w:szCs w:val="18"/>
                          </w:rPr>
                          <w:t>、短信等多种通信方式，覆盖三种不同形态（完全实</w:t>
                        </w:r>
                        <w:r>
                          <w:rPr>
                            <w:rFonts w:ascii="宋体" w:hAnsi="宋体" w:cs="宋体" w:eastAsia="宋体" w:hint="default"/>
                            <w:spacing w:val="-82"/>
                            <w:w w:val="99"/>
                            <w:sz w:val="18"/>
                            <w:szCs w:val="18"/>
                          </w:rPr>
                          <w:t> </w:t>
                        </w:r>
                        <w:r>
                          <w:rPr>
                            <w:rFonts w:ascii="宋体" w:hAnsi="宋体" w:cs="宋体" w:eastAsia="宋体" w:hint="default"/>
                            <w:spacing w:val="-2"/>
                            <w:sz w:val="18"/>
                            <w:szCs w:val="18"/>
                          </w:rPr>
                          <w:t>时的语音服务、准实时的文字和小数据量通信服务、非实时的通信服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务）的客户通信需求，实现互联网和移动网间的无缝通信服务。飞信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服务于中国移动的互联网发展战略，是直达用户桌面的工具，能够聚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合用户，维系用户之间有效智能沟通，实现各种通信工具的互通，提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供多种便利性和娱乐性的附加功能，打造中国移动用户的通信社交社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区，通过各种增值服务和广告服务，借助规模效应提升数据及信息业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务收入，在产品形态上，目前包括飞信、飞聊、社区三类子产品。</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25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4"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融合通信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2"/>
                          <w:ind w:left="27" w:right="22"/>
                          <w:jc w:val="both"/>
                          <w:rPr>
                            <w:rFonts w:ascii="宋体" w:hAnsi="宋体" w:cs="宋体" w:eastAsia="宋体" w:hint="default"/>
                            <w:sz w:val="18"/>
                            <w:szCs w:val="18"/>
                          </w:rPr>
                        </w:pPr>
                        <w:r>
                          <w:rPr>
                            <w:rFonts w:ascii="宋体" w:hAnsi="宋体" w:cs="宋体" w:eastAsia="宋体" w:hint="default"/>
                            <w:spacing w:val="-2"/>
                            <w:sz w:val="18"/>
                            <w:szCs w:val="18"/>
                          </w:rPr>
                          <w:t>把计算机技术与传统通信技术融合一体的新通信模式，融合计算机网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络与传统通信网络在一个网络平台上，提供包括语音、数据、视频和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多媒体业务信息通信技术开展的全业务服务，目前全球主流电信运营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商都纷纷地将融合通信业务定位为业务和技术发展的核心方向。</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127" w:right="0"/>
                          <w:jc w:val="left"/>
                          <w:rPr>
                            <w:rFonts w:ascii="宋体" w:hAnsi="宋体" w:cs="宋体" w:eastAsia="宋体" w:hint="default"/>
                            <w:sz w:val="18"/>
                            <w:szCs w:val="18"/>
                          </w:rPr>
                        </w:pPr>
                        <w:r>
                          <w:rPr>
                            <w:rFonts w:ascii="宋体" w:hAnsi="宋体" w:cs="宋体" w:eastAsia="宋体" w:hint="default"/>
                            <w:sz w:val="18"/>
                            <w:szCs w:val="18"/>
                          </w:rPr>
                          <w:t>拨测及网络优化</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4" w:lineRule="auto" w:before="52"/>
                          <w:ind w:left="27" w:right="21"/>
                          <w:jc w:val="both"/>
                          <w:rPr>
                            <w:rFonts w:ascii="宋体" w:hAnsi="宋体" w:cs="宋体" w:eastAsia="宋体" w:hint="default"/>
                            <w:sz w:val="18"/>
                            <w:szCs w:val="18"/>
                          </w:rPr>
                        </w:pPr>
                        <w:r>
                          <w:rPr>
                            <w:rFonts w:ascii="宋体" w:hAnsi="宋体" w:cs="宋体" w:eastAsia="宋体" w:hint="default"/>
                            <w:spacing w:val="-2"/>
                            <w:sz w:val="18"/>
                            <w:szCs w:val="18"/>
                          </w:rPr>
                          <w:t>拨打测试和无线网络优化是三大电信运营商的重要常规工作，是电信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网络高可用、高可靠、高稳定、高性能的保证，是对外提供电信级服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务的基础。各运营商拨测路测和无线网优领域产品、解决方案和服务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是专门、专业的细分领域。随</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4G</w:t>
                        </w:r>
                        <w:r>
                          <w:rPr>
                            <w:rFonts w:ascii="宋体" w:hAnsi="宋体" w:cs="宋体" w:eastAsia="宋体" w:hint="default"/>
                            <w:sz w:val="18"/>
                            <w:szCs w:val="18"/>
                          </w:rPr>
                          <w:t>、</w:t>
                        </w:r>
                        <w:r>
                          <w:rPr>
                            <w:rFonts w:ascii="Times New Roman" w:hAnsi="Times New Roman" w:cs="Times New Roman" w:eastAsia="Times New Roman" w:hint="default"/>
                            <w:sz w:val="18"/>
                            <w:szCs w:val="18"/>
                          </w:rPr>
                          <w:t>5G</w:t>
                        </w:r>
                        <w:r>
                          <w:rPr>
                            <w:rFonts w:ascii="宋体" w:hAnsi="宋体" w:cs="宋体" w:eastAsia="宋体" w:hint="default"/>
                            <w:sz w:val="18"/>
                            <w:szCs w:val="18"/>
                          </w:rPr>
                          <w:t>、</w:t>
                        </w:r>
                        <w:r>
                          <w:rPr>
                            <w:rFonts w:ascii="Times New Roman" w:hAnsi="Times New Roman" w:cs="Times New Roman" w:eastAsia="Times New Roman" w:hint="default"/>
                            <w:sz w:val="18"/>
                            <w:szCs w:val="18"/>
                          </w:rPr>
                          <w:t>WLAN</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的建设和扩容，随着 通信业务复杂程度的增加，路测、拨测、网优市场需求强烈。</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94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信息安全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4" w:lineRule="auto" w:before="51"/>
                          <w:ind w:left="27"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信息安全管理业务是公司运营管理的重要组成部分，公司在信息安全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管理领域拥有十三年的产品研发和项目实施经验，围绕企业的</w:t>
                        </w:r>
                        <w:r>
                          <w:rPr>
                            <w:rFonts w:ascii="Times New Roman" w:hAnsi="Times New Roman" w:cs="Times New Roman" w:eastAsia="Times New Roman" w:hint="default"/>
                            <w:sz w:val="18"/>
                            <w:szCs w:val="18"/>
                          </w:rPr>
                          <w:t>“</w:t>
                        </w:r>
                        <w:r>
                          <w:rPr>
                            <w:rFonts w:ascii="宋体" w:hAnsi="宋体" w:cs="宋体" w:eastAsia="宋体" w:hint="default"/>
                            <w:sz w:val="18"/>
                            <w:szCs w:val="18"/>
                          </w:rPr>
                          <w:t>人、 事、物</w:t>
                        </w:r>
                        <w:r>
                          <w:rPr>
                            <w:rFonts w:ascii="Times New Roman" w:hAnsi="Times New Roman" w:cs="Times New Roman" w:eastAsia="Times New Roman" w:hint="default"/>
                            <w:sz w:val="18"/>
                            <w:szCs w:val="18"/>
                          </w:rPr>
                          <w:t>”</w:t>
                        </w:r>
                        <w:r>
                          <w:rPr>
                            <w:rFonts w:ascii="宋体" w:hAnsi="宋体" w:cs="宋体" w:eastAsia="宋体" w:hint="default"/>
                            <w:sz w:val="18"/>
                            <w:szCs w:val="18"/>
                          </w:rPr>
                          <w:t>推出了身份安全管控、行为安全管控、事件安全管控、流量 安全管控、资产安全管控、配置安全管控六大类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多款产品，是金 </w:t>
                        </w:r>
                        <w:r>
                          <w:rPr>
                            <w:rFonts w:ascii="宋体" w:hAnsi="宋体" w:cs="宋体" w:eastAsia="宋体" w:hint="default"/>
                            <w:spacing w:val="-15"/>
                            <w:sz w:val="18"/>
                            <w:szCs w:val="18"/>
                          </w:rPr>
                          <w:t>融、电信等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应用最密集行业中主流的安全产品和服务商，也是</w:t>
                        </w:r>
                        <w:r>
                          <w:rPr>
                            <w:rFonts w:ascii="宋体" w:hAnsi="宋体" w:cs="宋体" w:eastAsia="宋体" w:hint="default"/>
                            <w:spacing w:val="-41"/>
                            <w:sz w:val="18"/>
                            <w:szCs w:val="18"/>
                          </w:rPr>
                          <w:t> </w:t>
                        </w:r>
                        <w:r>
                          <w:rPr>
                            <w:rFonts w:ascii="Times New Roman" w:hAnsi="Times New Roman" w:cs="Times New Roman" w:eastAsia="Times New Roman" w:hint="default"/>
                            <w:w w:val="99"/>
                            <w:sz w:val="18"/>
                            <w:szCs w:val="18"/>
                          </w:rPr>
                          <w:t>IAM</w:t>
                        </w:r>
                        <w:r>
                          <w:rPr>
                            <w:rFonts w:ascii="Times New Roman" w:hAnsi="Times New Roman" w:cs="Times New Roman" w:eastAsia="Times New Roman" w:hint="default"/>
                            <w:sz w:val="18"/>
                            <w:szCs w:val="18"/>
                          </w:rPr>
                        </w:r>
                      </w:p>
                      <w:p>
                        <w:pPr>
                          <w:pStyle w:val="TableParagraph"/>
                          <w:spacing w:line="302" w:lineRule="auto" w:before="9"/>
                          <w:ind w:left="27" w:right="21"/>
                          <w:jc w:val="left"/>
                          <w:rPr>
                            <w:rFonts w:ascii="宋体" w:hAnsi="宋体" w:cs="宋体" w:eastAsia="宋体" w:hint="default"/>
                            <w:sz w:val="18"/>
                            <w:szCs w:val="18"/>
                          </w:rPr>
                        </w:pPr>
                        <w:r>
                          <w:rPr>
                            <w:rFonts w:ascii="宋体" w:hAnsi="宋体" w:cs="宋体" w:eastAsia="宋体" w:hint="default"/>
                            <w:spacing w:val="-4"/>
                            <w:w w:val="99"/>
                            <w:sz w:val="18"/>
                            <w:szCs w:val="18"/>
                          </w:rPr>
                          <w:t>（用户和认证管理）、</w:t>
                        </w:r>
                        <w:r>
                          <w:rPr>
                            <w:rFonts w:ascii="Times New Roman" w:hAnsi="Times New Roman" w:cs="Times New Roman" w:eastAsia="Times New Roman" w:hint="default"/>
                            <w:spacing w:val="-4"/>
                            <w:w w:val="99"/>
                            <w:sz w:val="18"/>
                            <w:szCs w:val="18"/>
                          </w:rPr>
                          <w:t>SIEM</w:t>
                        </w:r>
                        <w:r>
                          <w:rPr>
                            <w:rFonts w:ascii="宋体" w:hAnsi="宋体" w:cs="宋体" w:eastAsia="宋体" w:hint="default"/>
                            <w:spacing w:val="-4"/>
                            <w:w w:val="99"/>
                            <w:sz w:val="18"/>
                            <w:szCs w:val="18"/>
                          </w:rPr>
                          <w:t>（安全事件管理）和安全合规管理领域的</w:t>
                        </w:r>
                        <w:r>
                          <w:rPr>
                            <w:rFonts w:ascii="宋体" w:hAnsi="宋体" w:cs="宋体" w:eastAsia="宋体" w:hint="default"/>
                            <w:spacing w:val="-64"/>
                            <w:w w:val="99"/>
                            <w:sz w:val="18"/>
                            <w:szCs w:val="18"/>
                          </w:rPr>
                          <w:t> </w:t>
                        </w:r>
                        <w:r>
                          <w:rPr>
                            <w:rFonts w:ascii="宋体" w:hAnsi="宋体" w:cs="宋体" w:eastAsia="宋体" w:hint="default"/>
                            <w:spacing w:val="-64"/>
                            <w:w w:val="99"/>
                            <w:sz w:val="18"/>
                            <w:szCs w:val="18"/>
                          </w:rPr>
                        </w:r>
                        <w:r>
                          <w:rPr>
                            <w:rFonts w:ascii="宋体" w:hAnsi="宋体" w:cs="宋体" w:eastAsia="宋体" w:hint="default"/>
                            <w:sz w:val="18"/>
                            <w:szCs w:val="18"/>
                          </w:rPr>
                          <w:t>领导厂商。</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94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手机游戏</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21"/>
                          <w:jc w:val="left"/>
                          <w:rPr>
                            <w:rFonts w:ascii="宋体" w:hAnsi="宋体" w:cs="宋体" w:eastAsia="宋体" w:hint="default"/>
                            <w:sz w:val="18"/>
                            <w:szCs w:val="18"/>
                          </w:rPr>
                        </w:pPr>
                        <w:hyperlink r:id="rId10">
                          <w:r>
                            <w:rPr>
                              <w:rFonts w:ascii="宋体" w:hAnsi="宋体" w:cs="宋体" w:eastAsia="宋体" w:hint="default"/>
                              <w:spacing w:val="-2"/>
                              <w:sz w:val="18"/>
                              <w:szCs w:val="18"/>
                            </w:rPr>
                            <w:t>手机游戏是指运行于手机</w:t>
                          </w:r>
                        </w:hyperlink>
                        <w:r>
                          <w:rPr>
                            <w:rFonts w:ascii="宋体" w:hAnsi="宋体" w:cs="宋体" w:eastAsia="宋体" w:hint="default"/>
                            <w:spacing w:val="-2"/>
                            <w:sz w:val="18"/>
                            <w:szCs w:val="18"/>
                          </w:rPr>
                          <w:t>上的游戏软件。随着科技的发展，智能手机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日益普及，手机游戏产品画面日益精细、</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效果逼真、除了键盘操 </w:t>
                        </w:r>
                        <w:r>
                          <w:rPr>
                            <w:rFonts w:ascii="宋体" w:hAnsi="宋体" w:cs="宋体" w:eastAsia="宋体" w:hint="default"/>
                            <w:spacing w:val="-2"/>
                            <w:sz w:val="18"/>
                            <w:szCs w:val="18"/>
                          </w:rPr>
                          <w:t>作，还有触摸屏操作、屏幕感应操作、重力感应操作等，具有很强的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娱乐性、竞技性和交互性。手游市场处于高速增长时期。</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headerReference w:type="default" r:id="rId9"/>
          <w:pgSz w:w="11910" w:h="16840"/>
          <w:pgMar w:header="851" w:footer="979" w:top="138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44"/>
        <w:ind w:left="0" w:right="1139"/>
        <w:jc w:val="right"/>
      </w:pPr>
      <w:r>
        <w:rPr/>
        <w:pict>
          <v:shape style="position:absolute;margin-left:56.459999pt;margin-top:-48.548267pt;width:479.25pt;height:24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1974" w:hRule="exact"/>
                    </w:trPr>
                    <w:tc>
                      <w:tcPr>
                        <w:tcW w:w="35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智慧线</w:t>
                        </w:r>
                      </w:p>
                    </w:tc>
                    <w:tc>
                      <w:tcPr>
                        <w:tcW w:w="62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2" w:right="22"/>
                          <w:jc w:val="left"/>
                          <w:rPr>
                            <w:rFonts w:ascii="宋体" w:hAnsi="宋体" w:cs="宋体" w:eastAsia="宋体" w:hint="default"/>
                            <w:sz w:val="18"/>
                            <w:szCs w:val="18"/>
                          </w:rPr>
                        </w:pPr>
                        <w:r>
                          <w:rPr>
                            <w:rFonts w:ascii="宋体" w:hAnsi="宋体" w:cs="宋体" w:eastAsia="宋体" w:hint="default"/>
                            <w:spacing w:val="-2"/>
                            <w:sz w:val="18"/>
                            <w:szCs w:val="18"/>
                          </w:rPr>
                          <w:t>是公司物联网技术应用领域里的主要产品。智慧线将即将联网芯片嵌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入到通信电缆中，形成了集供电、信号传输一体的智能线缆，在核电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核岛、石油炼化区、地下管廊、矿山巷道等封闭空间和低功耗要求的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特殊环境下的无线通信领域，在国境线及其他军事设施、核电、化工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机场、监狱等需要全地形全天候高精度度进行周界安防的领域具有广</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阔的应用前景。</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职前教育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职前教育在校内以</w:t>
                        </w:r>
                        <w:r>
                          <w:rPr>
                            <w:rFonts w:ascii="Times New Roman" w:hAnsi="Times New Roman" w:cs="Times New Roman" w:eastAsia="Times New Roman" w:hint="default"/>
                            <w:sz w:val="18"/>
                            <w:szCs w:val="18"/>
                          </w:rPr>
                          <w:t>“</w:t>
                        </w:r>
                        <w:r>
                          <w:rPr>
                            <w:rFonts w:ascii="宋体" w:hAnsi="宋体" w:cs="宋体" w:eastAsia="宋体" w:hint="default"/>
                            <w:sz w:val="18"/>
                            <w:szCs w:val="18"/>
                          </w:rPr>
                          <w:t>线上学习平台</w:t>
                        </w:r>
                        <w:r>
                          <w:rPr>
                            <w:rFonts w:ascii="Times New Roman" w:hAnsi="Times New Roman" w:cs="Times New Roman" w:eastAsia="Times New Roman" w:hint="default"/>
                            <w:sz w:val="18"/>
                            <w:szCs w:val="18"/>
                          </w:rPr>
                          <w:t>”</w:t>
                        </w:r>
                        <w:r>
                          <w:rPr>
                            <w:rFonts w:ascii="宋体" w:hAnsi="宋体" w:cs="宋体" w:eastAsia="宋体" w:hint="default"/>
                            <w:sz w:val="18"/>
                            <w:szCs w:val="18"/>
                          </w:rPr>
                          <w:t>加</w:t>
                        </w:r>
                        <w:r>
                          <w:rPr>
                            <w:rFonts w:ascii="Times New Roman" w:hAnsi="Times New Roman" w:cs="Times New Roman" w:eastAsia="Times New Roman" w:hint="default"/>
                            <w:sz w:val="18"/>
                            <w:szCs w:val="18"/>
                          </w:rPr>
                          <w:t>“</w:t>
                        </w:r>
                        <w:r>
                          <w:rPr>
                            <w:rFonts w:ascii="宋体" w:hAnsi="宋体" w:cs="宋体" w:eastAsia="宋体" w:hint="default"/>
                            <w:sz w:val="18"/>
                            <w:szCs w:val="18"/>
                          </w:rPr>
                          <w:t>线下实训基地</w:t>
                        </w:r>
                        <w:r>
                          <w:rPr>
                            <w:rFonts w:ascii="Times New Roman" w:hAnsi="Times New Roman" w:cs="Times New Roman" w:eastAsia="Times New Roman" w:hint="default"/>
                            <w:sz w:val="18"/>
                            <w:szCs w:val="18"/>
                          </w:rPr>
                          <w:t>”</w:t>
                        </w:r>
                        <w:r>
                          <w:rPr>
                            <w:rFonts w:ascii="宋体" w:hAnsi="宋体" w:cs="宋体" w:eastAsia="宋体" w:hint="default"/>
                            <w:sz w:val="18"/>
                            <w:szCs w:val="18"/>
                          </w:rPr>
                          <w:t>的模式提供职业 实训服务，校外以投资方式打造泛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 </w:t>
                        </w:r>
                        <w:r>
                          <w:rPr>
                            <w:rFonts w:ascii="宋体" w:hAnsi="宋体" w:cs="宋体" w:eastAsia="宋体" w:hint="default"/>
                            <w:sz w:val="18"/>
                            <w:szCs w:val="18"/>
                          </w:rPr>
                          <w:t>职教集团，形成神州泰岳校内 加校外，线上加线下，</w:t>
                        </w:r>
                        <w:r>
                          <w:rPr>
                            <w:rFonts w:ascii="Times New Roman" w:hAnsi="Times New Roman" w:cs="Times New Roman" w:eastAsia="Times New Roman" w:hint="default"/>
                            <w:sz w:val="18"/>
                            <w:szCs w:val="18"/>
                          </w:rPr>
                          <w:t>2B </w:t>
                        </w:r>
                        <w:r>
                          <w:rPr>
                            <w:rFonts w:ascii="宋体" w:hAnsi="宋体" w:cs="宋体" w:eastAsia="宋体" w:hint="default"/>
                            <w:sz w:val="18"/>
                            <w:szCs w:val="18"/>
                          </w:rPr>
                          <w:t>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2C</w:t>
                        </w:r>
                        <w:r>
                          <w:rPr>
                            <w:rFonts w:ascii="宋体" w:hAnsi="宋体" w:cs="宋体" w:eastAsia="宋体" w:hint="default"/>
                            <w:sz w:val="18"/>
                            <w:szCs w:val="18"/>
                          </w:rPr>
                          <w:t>，实训加投资的职业教育产业板块生 态布局。</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融云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4"/>
                          <w:jc w:val="both"/>
                          <w:rPr>
                            <w:rFonts w:ascii="宋体" w:hAnsi="宋体" w:cs="宋体" w:eastAsia="宋体" w:hint="default"/>
                            <w:sz w:val="18"/>
                            <w:szCs w:val="18"/>
                          </w:rPr>
                        </w:pPr>
                        <w:r>
                          <w:rPr>
                            <w:rFonts w:ascii="宋体" w:hAnsi="宋体" w:cs="宋体" w:eastAsia="宋体" w:hint="default"/>
                            <w:spacing w:val="-2"/>
                            <w:sz w:val="18"/>
                            <w:szCs w:val="18"/>
                          </w:rPr>
                          <w:t>融云致力于全球最大的即时通讯云服务商，为互联网和企业级应用开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发者提供即时通讯云服务，包含即时通讯、音视频通讯、直播聊天室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9"/>
                            <w:sz w:val="18"/>
                            <w:szCs w:val="18"/>
                          </w:rPr>
                          <w:t>等富媒体通讯服务。目前，融云平台服务了超过</w:t>
                        </w:r>
                        <w:r>
                          <w:rPr>
                            <w:rFonts w:ascii="宋体" w:hAnsi="宋体" w:cs="宋体" w:eastAsia="宋体" w:hint="default"/>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个细分行业的</w:t>
                        </w:r>
                        <w:r>
                          <w:rPr>
                            <w:rFonts w:ascii="宋体" w:hAnsi="宋体" w:cs="宋体" w:eastAsia="宋体" w:hint="default"/>
                            <w:spacing w:val="-35"/>
                            <w:sz w:val="18"/>
                            <w:szCs w:val="18"/>
                          </w:rPr>
                          <w:t> </w:t>
                        </w:r>
                        <w:r>
                          <w:rPr>
                            <w:rFonts w:ascii="Times New Roman" w:hAnsi="Times New Roman" w:cs="Times New Roman" w:eastAsia="Times New Roman" w:hint="default"/>
                            <w:w w:val="99"/>
                            <w:sz w:val="18"/>
                            <w:szCs w:val="18"/>
                          </w:rPr>
                          <w:t>APP </w:t>
                        </w:r>
                        <w:r>
                          <w:rPr>
                            <w:rFonts w:ascii="宋体" w:hAnsi="宋体" w:cs="宋体" w:eastAsia="宋体" w:hint="default"/>
                            <w:sz w:val="18"/>
                            <w:szCs w:val="18"/>
                          </w:rPr>
                          <w:t>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万款，日活跃用户量超过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万，日消息量超过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亿条，领先</w:t>
                        </w:r>
                        <w:r>
                          <w:rPr>
                            <w:rFonts w:ascii="宋体" w:hAnsi="宋体" w:cs="宋体" w:eastAsia="宋体" w:hint="default"/>
                            <w:sz w:val="18"/>
                            <w:szCs w:val="18"/>
                          </w:rPr>
                          <w:t> 全球即时通讯云服务市场。</w:t>
                        </w:r>
                      </w:p>
                    </w:tc>
                  </w:tr>
                </w:tbl>
                <w:p>
                  <w:pPr/>
                </w:p>
              </w:txbxContent>
            </v:textbox>
            <w10:wrap type="none"/>
          </v:shape>
        </w:pict>
      </w:r>
      <w:r>
        <w:rPr/>
        <w:t>、</w:t>
      </w:r>
    </w:p>
    <w:p>
      <w:pPr>
        <w:spacing w:after="0" w:line="240" w:lineRule="auto"/>
        <w:jc w:val="righ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r>
        <w:rPr/>
        <w:pict>
          <v:group style="position:absolute;margin-left:172.339996pt;margin-top:114.675613pt;width:361.5pt;height:19.650pt;mso-position-horizontal-relative:page;mso-position-vertical-relative:paragraph;z-index:-1284040" coordorigin="3447,2294" coordsize="7230,393">
            <v:shape style="position:absolute;left:3447;top:2294;width:7230;height:393" coordorigin="3447,2294" coordsize="7230,393" path="m3447,2686l10676,2686,10676,2294,3447,2294,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神州泰岳</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300002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383"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神州泰岳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4"/>
              <w:jc w:val="righ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237" w:right="0"/>
              <w:jc w:val="left"/>
              <w:rPr>
                <w:rFonts w:ascii="Times New Roman" w:hAnsi="Times New Roman" w:cs="Times New Roman" w:eastAsia="Times New Roman" w:hint="default"/>
                <w:sz w:val="18"/>
                <w:szCs w:val="18"/>
              </w:rPr>
            </w:pPr>
            <w:r>
              <w:rPr>
                <w:rFonts w:ascii="Times New Roman"/>
                <w:sz w:val="18"/>
              </w:rPr>
              <w:t>Beijing Ultrapower Software Co.,</w:t>
            </w:r>
            <w:r>
              <w:rPr>
                <w:rFonts w:ascii="Times New Roman"/>
                <w:spacing w:val="-7"/>
                <w:sz w:val="18"/>
              </w:rPr>
              <w:t> </w:t>
            </w:r>
            <w:r>
              <w:rPr>
                <w:rFonts w:ascii="Times New Roman"/>
                <w:spacing w:val="-6"/>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87"/>
              <w:jc w:val="right"/>
              <w:rPr>
                <w:rFonts w:ascii="宋体" w:hAnsi="宋体" w:cs="宋体" w:eastAsia="宋体" w:hint="default"/>
                <w:sz w:val="18"/>
                <w:szCs w:val="18"/>
              </w:rPr>
            </w:pPr>
            <w:r>
              <w:rPr>
                <w:rFonts w:ascii="宋体" w:hAnsi="宋体" w:cs="宋体" w:eastAsia="宋体" w:hint="default"/>
                <w:spacing w:val="-2"/>
                <w:sz w:val="18"/>
                <w:szCs w:val="18"/>
              </w:rPr>
              <w:t>公司的外文名称缩写（如有</w:t>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tabs>
                <w:tab w:pos="3216" w:val="left" w:leader="none"/>
              </w:tabs>
              <w:spacing w:line="240" w:lineRule="auto" w:before="51"/>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Ultrapower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328" w:right="0"/>
              <w:jc w:val="left"/>
              <w:rPr>
                <w:rFonts w:ascii="宋体" w:hAnsi="宋体" w:cs="宋体" w:eastAsia="宋体" w:hint="default"/>
                <w:sz w:val="18"/>
                <w:szCs w:val="18"/>
              </w:rPr>
            </w:pPr>
            <w:r>
              <w:rPr>
                <w:rFonts w:ascii="宋体" w:hAnsi="宋体" w:cs="宋体" w:eastAsia="宋体" w:hint="default"/>
                <w:sz w:val="18"/>
                <w:szCs w:val="18"/>
              </w:rPr>
              <w:t>北京市海淀区万泉庄路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号万柳新贵大厦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601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100089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933" w:right="0"/>
              <w:jc w:val="left"/>
              <w:rPr>
                <w:rFonts w:ascii="宋体" w:hAnsi="宋体" w:cs="宋体" w:eastAsia="宋体" w:hint="default"/>
                <w:sz w:val="18"/>
                <w:szCs w:val="18"/>
              </w:rPr>
            </w:pPr>
            <w:r>
              <w:rPr>
                <w:rFonts w:ascii="宋体" w:hAnsi="宋体" w:cs="宋体" w:eastAsia="宋体" w:hint="default"/>
                <w:sz w:val="18"/>
                <w:szCs w:val="18"/>
              </w:rPr>
              <w:t>北京市朝阳区北苑路甲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100107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6"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hyperlink r:id="rId11">
              <w:r>
                <w:rPr>
                  <w:rFonts w:ascii="Times New Roman"/>
                  <w:sz w:val="18"/>
                </w:rPr>
                <w:t>www.ultrapower.com.cn</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hyperlink r:id="rId12">
              <w:r>
                <w:rPr>
                  <w:rFonts w:ascii="Times New Roman"/>
                  <w:sz w:val="18"/>
                </w:rPr>
                <w:t>IRM@ultrapower.com.cn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74" w:type="dxa"/>
        <w:tblLayout w:type="fixed"/>
        <w:tblCellMar>
          <w:top w:w="0" w:type="dxa"/>
          <w:left w:w="0" w:type="dxa"/>
          <w:bottom w:w="0" w:type="dxa"/>
          <w:right w:w="0" w:type="dxa"/>
        </w:tblCellMar>
        <w:tblLook w:val="01E0"/>
      </w:tblPr>
      <w:tblGrid>
        <w:gridCol w:w="2104"/>
        <w:gridCol w:w="3555"/>
        <w:gridCol w:w="3900"/>
      </w:tblGrid>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5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张黔山</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5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北京市朝阳区北苑路甲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北京市朝阳区北苑路甲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5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010-58847555</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010-58847555</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5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010-58847583</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010-58847583</w:t>
            </w:r>
          </w:p>
        </w:tc>
      </w:tr>
      <w:tr>
        <w:trPr>
          <w:trHeight w:val="402" w:hRule="exact"/>
        </w:trPr>
        <w:tc>
          <w:tcPr>
            <w:tcW w:w="2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5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hyperlink r:id="rId12">
              <w:r>
                <w:rPr>
                  <w:rFonts w:ascii="Times New Roman"/>
                  <w:sz w:val="18"/>
                </w:rPr>
                <w:t>IRM@ultrapower.com.cn</w:t>
              </w:r>
            </w:hyperlink>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hyperlink r:id="rId12">
              <w:r>
                <w:rPr>
                  <w:rFonts w:ascii="Times New Roman"/>
                  <w:sz w:val="18"/>
                </w:rPr>
                <w:t>IRM@ultrapower.com.cn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32"/>
          <w:szCs w:val="32"/>
        </w:rPr>
      </w:pPr>
    </w:p>
    <w:p>
      <w:pPr>
        <w:pStyle w:val="Heading6"/>
        <w:spacing w:line="240" w:lineRule="auto"/>
        <w:ind w:right="0"/>
        <w:jc w:val="left"/>
        <w:rPr>
          <w:b w:val="0"/>
          <w:bCs w:val="0"/>
        </w:rPr>
      </w:pPr>
      <w:r>
        <w:rPr/>
        <w:t>公司聘请的会计师事务所</w:t>
      </w:r>
      <w:r>
        <w:rPr>
          <w:b w:val="0"/>
          <w:bCs w:val="0"/>
        </w:rPr>
      </w:r>
    </w:p>
    <w:p>
      <w:pPr>
        <w:spacing w:line="240" w:lineRule="auto" w:before="12"/>
        <w:rPr>
          <w:rFonts w:ascii="宋体" w:hAnsi="宋体" w:cs="宋体" w:eastAsia="宋体" w:hint="default"/>
          <w:b/>
          <w:bCs/>
          <w:sz w:val="13"/>
          <w:szCs w:val="13"/>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6"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09"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9" w:hRule="exact"/>
        </w:trPr>
        <w:tc>
          <w:tcPr>
            <w:tcW w:w="26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号新黄浦金融大厦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王一芳、陈迅骅</w:t>
            </w:r>
          </w:p>
        </w:tc>
      </w:tr>
    </w:tbl>
    <w:p>
      <w:pPr>
        <w:spacing w:line="240" w:lineRule="auto" w:before="6"/>
        <w:rPr>
          <w:rFonts w:ascii="宋体" w:hAnsi="宋体" w:cs="宋体" w:eastAsia="宋体" w:hint="default"/>
          <w:b/>
          <w:bCs/>
          <w:sz w:val="6"/>
          <w:szCs w:val="6"/>
        </w:rPr>
      </w:pPr>
    </w:p>
    <w:p>
      <w:pPr>
        <w:pStyle w:val="Heading6"/>
        <w:spacing w:line="240" w:lineRule="auto" w:before="44"/>
        <w:ind w:left="1134" w:right="0"/>
        <w:jc w:val="left"/>
        <w:rPr>
          <w:b w:val="0"/>
          <w:bCs w:val="0"/>
        </w:rPr>
      </w:pPr>
      <w:r>
        <w:rPr/>
        <w:t>公司聘请的报告期内履行持续督导职责的保荐机构</w:t>
      </w:r>
      <w:r>
        <w:rPr>
          <w:b w:val="0"/>
          <w:bCs w:val="0"/>
        </w:rPr>
      </w:r>
    </w:p>
    <w:p>
      <w:pPr>
        <w:spacing w:line="240" w:lineRule="auto" w:before="12"/>
        <w:rPr>
          <w:rFonts w:ascii="宋体" w:hAnsi="宋体" w:cs="宋体" w:eastAsia="宋体" w:hint="default"/>
          <w:b/>
          <w:bCs/>
          <w:sz w:val="20"/>
          <w:szCs w:val="20"/>
        </w:rPr>
      </w:pPr>
    </w:p>
    <w:p>
      <w:pPr>
        <w:pStyle w:val="Heading6"/>
        <w:spacing w:line="489" w:lineRule="auto"/>
        <w:ind w:left="1134" w:right="6776"/>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99"/>
        </w:rPr>
        <w:t> </w:t>
      </w:r>
      <w:r>
        <w:rPr/>
        <w:t>公司聘请的报告期内履行持续督导职责的财务顾问</w:t>
      </w:r>
      <w:r>
        <w:rPr>
          <w:b w:val="0"/>
          <w:bCs w:val="0"/>
        </w:rPr>
      </w:r>
    </w:p>
    <w:p>
      <w:pPr>
        <w:spacing w:before="85"/>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651" w:right="65" w:hanging="585"/>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中信证券大厦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樊丽莉、赵昌川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公司是否因会计政策变更及会计差错更正等追溯调整或重述以前年度会计数据</w:t>
      </w:r>
    </w:p>
    <w:p>
      <w:pPr>
        <w:spacing w:line="240" w:lineRule="auto" w:before="10"/>
        <w:rPr>
          <w:rFonts w:ascii="宋体" w:hAnsi="宋体" w:cs="宋体" w:eastAsia="宋体" w:hint="default"/>
          <w:sz w:val="20"/>
          <w:szCs w:val="20"/>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13"/>
        <w:rPr>
          <w:rFonts w:ascii="宋体" w:hAnsi="宋体" w:cs="宋体" w:eastAsia="宋体" w:hint="default"/>
          <w:b/>
          <w:bCs/>
          <w:sz w:val="12"/>
          <w:szCs w:val="12"/>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2,773,487,308.85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2,605,296,562.50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1,921,855,566.87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351,341,166.79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633,118,638.76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519,412,992.34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255,414,502.32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607,486,640.40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504,629,185.09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64,239,462.80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371,219,542.29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363,359,637.22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0.2818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0.2798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5,906,579,402.68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5,583,327,554.35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4,188,533,323.40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4,946,010,040.92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4,855,809,903.36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3,595,079,030.90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81" w:right="0"/>
              <w:jc w:val="left"/>
              <w:rPr>
                <w:rFonts w:ascii="Times New Roman" w:hAnsi="Times New Roman" w:cs="Times New Roman" w:eastAsia="Times New Roman" w:hint="default"/>
                <w:sz w:val="18"/>
                <w:szCs w:val="18"/>
              </w:rPr>
            </w:pPr>
            <w:r>
              <w:rPr>
                <w:rFonts w:ascii="Times New Roman"/>
                <w:sz w:val="18"/>
              </w:rPr>
              <w:t>468,893,890.56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6" w:right="0"/>
              <w:jc w:val="left"/>
              <w:rPr>
                <w:rFonts w:ascii="Times New Roman" w:hAnsi="Times New Roman" w:cs="Times New Roman" w:eastAsia="Times New Roman" w:hint="default"/>
                <w:sz w:val="18"/>
                <w:szCs w:val="18"/>
              </w:rPr>
            </w:pPr>
            <w:r>
              <w:rPr>
                <w:rFonts w:ascii="Times New Roman"/>
                <w:sz w:val="18"/>
              </w:rPr>
              <w:t>677,110,556.78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1" w:right="0"/>
              <w:jc w:val="left"/>
              <w:rPr>
                <w:rFonts w:ascii="Times New Roman" w:hAnsi="Times New Roman" w:cs="Times New Roman" w:eastAsia="Times New Roman" w:hint="default"/>
                <w:sz w:val="18"/>
                <w:szCs w:val="18"/>
              </w:rPr>
            </w:pPr>
            <w:r>
              <w:rPr>
                <w:rFonts w:ascii="Times New Roman"/>
                <w:sz w:val="18"/>
              </w:rPr>
              <w:t>668,800,918.10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2" w:right="0"/>
              <w:jc w:val="left"/>
              <w:rPr>
                <w:rFonts w:ascii="Times New Roman" w:hAnsi="Times New Roman" w:cs="Times New Roman" w:eastAsia="Times New Roman" w:hint="default"/>
                <w:sz w:val="18"/>
                <w:szCs w:val="18"/>
              </w:rPr>
            </w:pPr>
            <w:r>
              <w:rPr>
                <w:rFonts w:ascii="Times New Roman"/>
                <w:sz w:val="18"/>
              </w:rPr>
              <w:t>958,681,943.41</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14" w:hRule="exact"/>
        </w:trPr>
        <w:tc>
          <w:tcPr>
            <w:tcW w:w="262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39,380,697.86</w:t>
            </w:r>
          </w:p>
        </w:tc>
        <w:tc>
          <w:tcPr>
            <w:tcW w:w="17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71,659,854.42</w:t>
            </w:r>
          </w:p>
        </w:tc>
        <w:tc>
          <w:tcPr>
            <w:tcW w:w="174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68,072,183.33</w:t>
            </w:r>
          </w:p>
        </w:tc>
        <w:tc>
          <w:tcPr>
            <w:tcW w:w="17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172,228,431.18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36,511,774.15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67,554,647.13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66,099,406.12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85,248,674.92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-129,804,435.11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35,236,668.87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32,985,288.63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125,821,940.41</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上述财务指标或其加总数是否与公司已披露季度报告、半年度报告相关财务指标存在重大差异</w:t>
      </w:r>
    </w:p>
    <w:p>
      <w:pPr>
        <w:spacing w:line="240" w:lineRule="auto" w:before="12"/>
        <w:rPr>
          <w:rFonts w:ascii="宋体" w:hAnsi="宋体" w:cs="宋体" w:eastAsia="宋体" w:hint="default"/>
          <w:sz w:val="20"/>
          <w:szCs w:val="20"/>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5"/>
        <w:ind w:left="1133"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32"/>
          <w:szCs w:val="32"/>
        </w:rPr>
      </w:pPr>
    </w:p>
    <w:p>
      <w:pPr>
        <w:pStyle w:val="BodyText"/>
        <w:spacing w:line="489" w:lineRule="auto"/>
        <w:ind w:left="1134" w:right="1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公司报告期不存在按照国际会计准则与按照中国会计准则披露的财务报告中净利润和净资产差异情况。</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left="1134"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公司报告期不存在按照境外会计准则与按照中国会计准则披露的财务报告中净利润和净资产差异情况。</w:t>
      </w:r>
    </w:p>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447,706.32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-84,629.79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-76,526.34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23,203,990.08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17,320,461.88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14,132,044.89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90,958.90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190,246.58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30,254.79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4,025,354.37</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20,150,419.72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4,321,971.86</w:t>
            </w:r>
          </w:p>
        </w:tc>
        <w:tc>
          <w:tcPr>
            <w:tcW w:w="1710" w:type="dxa"/>
            <w:vMerge w:val="restart"/>
            <w:tcBorders>
              <w:top w:val="single" w:sz="4" w:space="0" w:color="000000"/>
              <w:left w:val="single" w:sz="4" w:space="0" w:color="000000"/>
              <w:right w:val="single" w:sz="4" w:space="0" w:color="000000"/>
            </w:tcBorders>
          </w:tcPr>
          <w:p>
            <w:pPr>
              <w:pStyle w:val="TableParagraph"/>
              <w:spacing w:line="307" w:lineRule="auto" w:before="51"/>
              <w:ind w:left="23"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年祥升软件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归属母公司净利润；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年祥升软 件年度净利润。</w:t>
            </w:r>
          </w:p>
        </w:tc>
      </w:tr>
      <w:tr>
        <w:trPr>
          <w:trHeight w:val="704"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5,316,960.74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1,405,723.67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479,384.19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69,461,158.34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14" w:hRule="exact"/>
        </w:trPr>
        <w:tc>
          <w:tcPr>
            <w:tcW w:w="329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4,160,138.23</w:t>
            </w:r>
          </w:p>
        </w:tc>
        <w:tc>
          <w:tcPr>
            <w:tcW w:w="15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1,715,838.12</w:t>
            </w:r>
          </w:p>
        </w:tc>
        <w:tc>
          <w:tcPr>
            <w:tcW w:w="15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1,289,987.37</w:t>
            </w:r>
          </w:p>
        </w:tc>
        <w:tc>
          <w:tcPr>
            <w:tcW w:w="171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2,459,326.05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11,634,385.58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2,813,334.77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95,926,664.47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25,631,998.36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14,783,807.25</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6"/>
          <w:szCs w:val="6"/>
        </w:rPr>
      </w:pPr>
    </w:p>
    <w:p>
      <w:pPr>
        <w:pStyle w:val="BodyText"/>
        <w:spacing w:line="240" w:lineRule="auto" w:before="44"/>
        <w:ind w:left="1134"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8"/>
        <w:rPr>
          <w:rFonts w:ascii="宋体" w:hAnsi="宋体" w:cs="宋体" w:eastAsia="宋体" w:hint="default"/>
          <w:sz w:val="16"/>
          <w:szCs w:val="16"/>
        </w:rPr>
      </w:pPr>
    </w:p>
    <w:p>
      <w:pPr>
        <w:pStyle w:val="BodyText"/>
        <w:spacing w:line="451" w:lineRule="auto"/>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before="115"/>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6549"/>
        <w:gridCol w:w="3146"/>
      </w:tblGrid>
      <w:tr>
        <w:trPr>
          <w:trHeight w:val="402" w:hRule="exact"/>
        </w:trPr>
        <w:tc>
          <w:tcPr>
            <w:tcW w:w="6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7" w:right="0"/>
              <w:jc w:val="left"/>
              <w:rPr>
                <w:rFonts w:ascii="宋体" w:hAnsi="宋体" w:cs="宋体" w:eastAsia="宋体" w:hint="default"/>
                <w:sz w:val="18"/>
                <w:szCs w:val="18"/>
              </w:rPr>
            </w:pPr>
            <w:r>
              <w:rPr>
                <w:rFonts w:ascii="宋体" w:hAnsi="宋体" w:cs="宋体" w:eastAsia="宋体" w:hint="default"/>
                <w:sz w:val="18"/>
                <w:szCs w:val="18"/>
              </w:rPr>
              <w:t>涉及金额（元）</w:t>
            </w:r>
          </w:p>
        </w:tc>
      </w:tr>
      <w:tr>
        <w:trPr>
          <w:trHeight w:val="402" w:hRule="exact"/>
        </w:trPr>
        <w:tc>
          <w:tcPr>
            <w:tcW w:w="6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对子公司丧失控制权改用权益法计量，剩余股权按公允价值重新计量产生的利得</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24,536,585.80</w:t>
            </w:r>
          </w:p>
        </w:tc>
      </w:tr>
      <w:tr>
        <w:trPr>
          <w:trHeight w:val="402" w:hRule="exact"/>
        </w:trPr>
        <w:tc>
          <w:tcPr>
            <w:tcW w:w="6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股份注销确认权益工具形成收益</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44,924,572.54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right="1114"/>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32"/>
          <w:szCs w:val="32"/>
        </w:rPr>
      </w:pPr>
    </w:p>
    <w:p>
      <w:pPr>
        <w:pStyle w:val="BodyText"/>
        <w:spacing w:line="460" w:lineRule="auto"/>
        <w:ind w:right="1130" w:firstLine="360"/>
        <w:jc w:val="both"/>
      </w:pPr>
      <w:r>
        <w:rPr>
          <w:rFonts w:ascii="Times New Roman" w:hAnsi="Times New Roman" w:cs="Times New Roman" w:eastAsia="Times New Roman" w:hint="default"/>
          <w:spacing w:val="-2"/>
        </w:rPr>
        <w:t>2015</w:t>
      </w:r>
      <w:r>
        <w:rPr>
          <w:spacing w:val="-2"/>
        </w:rPr>
        <w:t>年度，公司本着</w:t>
      </w:r>
      <w:r>
        <w:rPr>
          <w:rFonts w:ascii="Times New Roman" w:hAnsi="Times New Roman" w:cs="Times New Roman" w:eastAsia="Times New Roman" w:hint="default"/>
          <w:spacing w:val="-2"/>
        </w:rPr>
        <w:t>“</w:t>
      </w:r>
      <w:r>
        <w:rPr>
          <w:spacing w:val="-2"/>
        </w:rPr>
        <w:t>聚焦信息产业、多元化布局、专业化经营、扁平化运作</w:t>
      </w:r>
      <w:r>
        <w:rPr>
          <w:rFonts w:ascii="Times New Roman" w:hAnsi="Times New Roman" w:cs="Times New Roman" w:eastAsia="Times New Roman" w:hint="default"/>
          <w:spacing w:val="-2"/>
        </w:rPr>
        <w:t>”</w:t>
      </w:r>
      <w:r>
        <w:rPr>
          <w:spacing w:val="-2"/>
        </w:rPr>
        <w:t>的经营策略，以市场需求为导向，深耕细</w:t>
      </w:r>
      <w:r>
        <w:rPr/>
        <w:t> </w:t>
      </w:r>
      <w:r>
        <w:rPr>
          <w:spacing w:val="-2"/>
        </w:rPr>
        <w:t>作、创新拓展；同时积极调整、优化布局，结合各业务板块特征以及营运管理要求，对业务架构进行了优化与调整，以适应</w:t>
      </w:r>
      <w:r>
        <w:rPr>
          <w:spacing w:val="-68"/>
        </w:rPr>
        <w:t> </w:t>
      </w:r>
      <w:r>
        <w:rPr>
          <w:spacing w:val="-68"/>
        </w:rPr>
      </w:r>
      <w:r>
        <w:rPr>
          <w:spacing w:val="-2"/>
        </w:rPr>
        <w:t>企业未来发展需要，其中飞信、融合通信、农信通统称</w:t>
      </w:r>
      <w:r>
        <w:rPr>
          <w:rFonts w:ascii="Times New Roman" w:hAnsi="Times New Roman" w:cs="Times New Roman" w:eastAsia="Times New Roman" w:hint="default"/>
          <w:spacing w:val="-2"/>
        </w:rPr>
        <w:t>“</w:t>
      </w:r>
      <w:r>
        <w:rPr>
          <w:spacing w:val="-2"/>
        </w:rPr>
        <w:t>移动互联网运营</w:t>
      </w:r>
      <w:r>
        <w:rPr>
          <w:rFonts w:ascii="Times New Roman" w:hAnsi="Times New Roman" w:cs="Times New Roman" w:eastAsia="Times New Roman" w:hint="default"/>
          <w:spacing w:val="-2"/>
        </w:rPr>
        <w:t>”</w:t>
      </w:r>
      <w:r>
        <w:rPr>
          <w:spacing w:val="-2"/>
        </w:rPr>
        <w:t>纳入到运营管理业务板块，职业教育、大数据、电</w:t>
      </w:r>
      <w:r>
        <w:rPr>
          <w:spacing w:val="-45"/>
        </w:rPr>
        <w:t> </w:t>
      </w:r>
      <w:r>
        <w:rPr>
          <w:spacing w:val="-45"/>
        </w:rPr>
      </w:r>
      <w:r>
        <w:rPr/>
        <w:t>子商务、互联网金融、视频秀业务纳入到创新板块。</w:t>
      </w:r>
    </w:p>
    <w:p>
      <w:pPr>
        <w:pStyle w:val="BodyText"/>
        <w:spacing w:line="451" w:lineRule="auto" w:before="105"/>
        <w:ind w:right="1130" w:firstLine="360"/>
        <w:jc w:val="both"/>
      </w:pPr>
      <w:r>
        <w:rPr/>
        <w:t>截止目前，公司构建形成四大核心业务板块，包括：</w:t>
      </w:r>
      <w:r>
        <w:rPr>
          <w:rFonts w:ascii="Times New Roman" w:hAnsi="Times New Roman" w:cs="Times New Roman" w:eastAsia="Times New Roman" w:hint="default"/>
        </w:rPr>
        <w:t>ICT</w:t>
      </w:r>
      <w:r>
        <w:rPr/>
        <w:t>领域运营管理软件研发和服务（简称</w:t>
      </w:r>
      <w:r>
        <w:rPr>
          <w:rFonts w:ascii="Times New Roman" w:hAnsi="Times New Roman" w:cs="Times New Roman" w:eastAsia="Times New Roman" w:hint="default"/>
        </w:rPr>
        <w:t>“</w:t>
      </w:r>
      <w:r>
        <w:rPr>
          <w:rFonts w:ascii="Times New Roman" w:hAnsi="Times New Roman" w:cs="Times New Roman" w:eastAsia="Times New Roman" w:hint="default"/>
        </w:rPr>
        <w:t>ICT</w:t>
      </w:r>
      <w:r>
        <w:rPr/>
        <w:t>运营管理</w:t>
      </w:r>
      <w:r>
        <w:rPr>
          <w:rFonts w:ascii="Times New Roman" w:hAnsi="Times New Roman" w:cs="Times New Roman" w:eastAsia="Times New Roman" w:hint="default"/>
        </w:rPr>
        <w:t>”</w:t>
      </w:r>
      <w:r>
        <w:rPr/>
        <w:t>）板块、 手机游戏板块、物联网技术应用、创新孵化板块，形成信息技术领域内相关多元化发展格局。</w:t>
      </w:r>
    </w:p>
    <w:p>
      <w:pPr>
        <w:pStyle w:val="Heading6"/>
        <w:spacing w:line="240" w:lineRule="auto" w:before="113"/>
        <w:ind w:left="1493" w:right="0"/>
        <w:jc w:val="left"/>
        <w:rPr>
          <w:b w:val="0"/>
          <w:bCs w:val="0"/>
        </w:rPr>
      </w:pPr>
      <w:r>
        <w:rPr>
          <w:rFonts w:ascii="Times New Roman" w:hAnsi="Times New Roman" w:cs="Times New Roman" w:eastAsia="Times New Roman" w:hint="default"/>
          <w:b w:val="0"/>
          <w:bCs w:val="0"/>
        </w:rPr>
        <w:t>1</w:t>
      </w:r>
      <w:r>
        <w:rPr>
          <w:rFonts w:ascii="宋体" w:hAnsi="宋体" w:cs="宋体" w:eastAsia="宋体" w:hint="default"/>
          <w:b w:val="0"/>
          <w:bCs w:val="0"/>
        </w:rPr>
        <w:t>、</w:t>
      </w:r>
      <w:r>
        <w:rPr>
          <w:rFonts w:ascii="Times New Roman" w:hAnsi="Times New Roman" w:cs="Times New Roman" w:eastAsia="Times New Roman" w:hint="default"/>
        </w:rPr>
        <w:t>ICT</w:t>
      </w:r>
      <w:r>
        <w:rPr/>
        <w:t>运营管理板块</w:t>
      </w:r>
      <w:r>
        <w:rPr>
          <w:b w:val="0"/>
          <w:bCs w:val="0"/>
        </w:rPr>
      </w:r>
    </w:p>
    <w:p>
      <w:pPr>
        <w:spacing w:line="240" w:lineRule="auto" w:before="10"/>
        <w:rPr>
          <w:rFonts w:ascii="宋体" w:hAnsi="宋体" w:cs="宋体" w:eastAsia="宋体" w:hint="default"/>
          <w:b/>
          <w:bCs/>
          <w:sz w:val="19"/>
          <w:szCs w:val="19"/>
        </w:rPr>
      </w:pPr>
    </w:p>
    <w:p>
      <w:pPr>
        <w:pStyle w:val="BodyText"/>
        <w:spacing w:line="458" w:lineRule="auto"/>
        <w:ind w:left="1134" w:right="1119" w:firstLine="360"/>
        <w:jc w:val="left"/>
      </w:pPr>
      <w:r>
        <w:rPr>
          <w:rFonts w:ascii="Times New Roman" w:hAnsi="Times New Roman" w:cs="Times New Roman" w:eastAsia="Times New Roman" w:hint="default"/>
          <w:spacing w:val="-7"/>
        </w:rPr>
        <w:t>ICT</w:t>
      </w:r>
      <w:r>
        <w:rPr>
          <w:spacing w:val="-7"/>
        </w:rPr>
        <w:t>，即信息业（</w:t>
      </w:r>
      <w:r>
        <w:rPr>
          <w:rFonts w:ascii="Times New Roman" w:hAnsi="Times New Roman" w:cs="Times New Roman" w:eastAsia="Times New Roman" w:hint="default"/>
          <w:spacing w:val="-7"/>
        </w:rPr>
        <w:t>IT</w:t>
      </w:r>
      <w:r>
        <w:rPr>
          <w:spacing w:val="-7"/>
        </w:rPr>
        <w:t>）与通信产业（</w:t>
      </w:r>
      <w:r>
        <w:rPr>
          <w:rFonts w:ascii="Times New Roman" w:hAnsi="Times New Roman" w:cs="Times New Roman" w:eastAsia="Times New Roman" w:hint="default"/>
          <w:spacing w:val="-7"/>
        </w:rPr>
        <w:t>CT</w:t>
      </w:r>
      <w:r>
        <w:rPr>
          <w:spacing w:val="-7"/>
        </w:rPr>
        <w:t>）的统称，</w:t>
      </w:r>
      <w:r>
        <w:rPr>
          <w:rFonts w:ascii="Times New Roman" w:hAnsi="Times New Roman" w:cs="Times New Roman" w:eastAsia="Times New Roman" w:hint="default"/>
          <w:spacing w:val="-7"/>
        </w:rPr>
        <w:t>ICT </w:t>
      </w:r>
      <w:r>
        <w:rPr/>
        <w:t>领域运营管理软件研发和服务即通过提供软件与服务的方式对</w:t>
      </w:r>
      <w:r>
        <w:rPr>
          <w:spacing w:val="-36"/>
        </w:rPr>
        <w:t> </w:t>
      </w:r>
      <w:r>
        <w:rPr>
          <w:rFonts w:ascii="Times New Roman" w:hAnsi="Times New Roman" w:cs="Times New Roman" w:eastAsia="Times New Roman" w:hint="default"/>
        </w:rPr>
        <w:t>ICT</w:t>
      </w:r>
      <w:r>
        <w:rPr>
          <w:rFonts w:ascii="Times New Roman" w:hAnsi="Times New Roman" w:cs="Times New Roman" w:eastAsia="Times New Roman" w:hint="default"/>
          <w:w w:val="99"/>
        </w:rPr>
        <w:t> </w:t>
      </w:r>
      <w:r>
        <w:rPr/>
        <w:t>基础设施、业务应用和运维体系进行全面统一的管理，及时发现和解决故障，规范运行维护和支持服务工作，保障</w:t>
      </w:r>
      <w:r>
        <w:rPr>
          <w:spacing w:val="-46"/>
        </w:rPr>
        <w:t> </w:t>
      </w:r>
      <w:r>
        <w:rPr>
          <w:rFonts w:ascii="Times New Roman" w:hAnsi="Times New Roman" w:cs="Times New Roman" w:eastAsia="Times New Roman" w:hint="default"/>
        </w:rPr>
        <w:t>ICT</w:t>
      </w:r>
      <w:r>
        <w:rPr>
          <w:rFonts w:ascii="Times New Roman" w:hAnsi="Times New Roman" w:cs="Times New Roman" w:eastAsia="Times New Roman" w:hint="default"/>
          <w:spacing w:val="-1"/>
        </w:rPr>
        <w:t> </w:t>
      </w:r>
      <w:r>
        <w:rPr/>
        <w:t>系</w:t>
      </w:r>
      <w:r>
        <w:rPr>
          <w:w w:val="99"/>
        </w:rPr>
        <w:t> </w:t>
      </w:r>
      <w:r>
        <w:rPr>
          <w:spacing w:val="-3"/>
        </w:rPr>
        <w:t>统安全、稳定、可靠、高效运行。</w:t>
      </w:r>
      <w:r>
        <w:rPr>
          <w:rFonts w:ascii="Times New Roman" w:hAnsi="Times New Roman" w:cs="Times New Roman" w:eastAsia="Times New Roman" w:hint="default"/>
          <w:spacing w:val="-3"/>
        </w:rPr>
        <w:t>ICT</w:t>
      </w:r>
      <w:r>
        <w:rPr>
          <w:rFonts w:ascii="Times New Roman" w:hAnsi="Times New Roman" w:cs="Times New Roman" w:eastAsia="Times New Roman" w:hint="default"/>
          <w:spacing w:val="-10"/>
        </w:rPr>
        <w:t> </w:t>
      </w:r>
      <w:r>
        <w:rPr/>
        <w:t>系统已渗透到社会生产生活的各个方面，其发展趋势是</w:t>
      </w:r>
      <w:r>
        <w:rPr>
          <w:spacing w:val="-54"/>
        </w:rPr>
        <w:t> </w:t>
      </w:r>
      <w:r>
        <w:rPr>
          <w:rFonts w:ascii="Times New Roman" w:hAnsi="Times New Roman" w:cs="Times New Roman" w:eastAsia="Times New Roman" w:hint="default"/>
        </w:rPr>
        <w:t>ICT</w:t>
      </w:r>
      <w:r>
        <w:rPr>
          <w:rFonts w:ascii="Times New Roman" w:hAnsi="Times New Roman" w:cs="Times New Roman" w:eastAsia="Times New Roman" w:hint="default"/>
          <w:spacing w:val="-9"/>
        </w:rPr>
        <w:t> </w:t>
      </w:r>
      <w:r>
        <w:rPr/>
        <w:t>系统的前端使用（即最终</w:t>
      </w:r>
      <w:r>
        <w:rPr>
          <w:w w:val="99"/>
        </w:rPr>
        <w:t> </w:t>
      </w:r>
      <w:r>
        <w:rPr>
          <w:spacing w:val="-2"/>
        </w:rPr>
        <w:t>用户使用）的简单化，相应的后台支撑系统呈现庞大化、复杂化，对安全、稳定、可靠、高效运行提出更高的要求，因此对</w:t>
      </w:r>
      <w:r>
        <w:rPr>
          <w:spacing w:val="-68"/>
        </w:rPr>
        <w:t> </w:t>
      </w:r>
      <w:r>
        <w:rPr>
          <w:spacing w:val="-68"/>
        </w:rPr>
      </w:r>
      <w:r>
        <w:rPr>
          <w:rFonts w:ascii="Times New Roman" w:hAnsi="Times New Roman" w:cs="Times New Roman" w:eastAsia="Times New Roman" w:hint="default"/>
        </w:rPr>
        <w:t>ICT</w:t>
      </w:r>
      <w:r>
        <w:rPr>
          <w:rFonts w:ascii="Times New Roman" w:hAnsi="Times New Roman" w:cs="Times New Roman" w:eastAsia="Times New Roman" w:hint="default"/>
          <w:spacing w:val="-2"/>
        </w:rPr>
        <w:t> </w:t>
      </w:r>
      <w:r>
        <w:rPr/>
        <w:t>运营管理有着持续刚性的需求。</w:t>
      </w:r>
    </w:p>
    <w:p>
      <w:pPr>
        <w:pStyle w:val="BodyText"/>
        <w:spacing w:line="451" w:lineRule="auto" w:before="76"/>
        <w:ind w:right="1130" w:firstLine="360"/>
        <w:jc w:val="both"/>
      </w:pPr>
      <w:r>
        <w:rPr/>
        <w:t>公司</w:t>
      </w:r>
      <w:r>
        <w:rPr>
          <w:rFonts w:ascii="Times New Roman" w:hAnsi="Times New Roman" w:cs="Times New Roman" w:eastAsia="Times New Roman" w:hint="default"/>
        </w:rPr>
        <w:t>ICT</w:t>
      </w:r>
      <w:r>
        <w:rPr/>
        <w:t>运营管理产品涉及到</w:t>
      </w:r>
      <w:r>
        <w:rPr>
          <w:rFonts w:ascii="Times New Roman" w:hAnsi="Times New Roman" w:cs="Times New Roman" w:eastAsia="Times New Roman" w:hint="default"/>
        </w:rPr>
        <w:t>IT</w:t>
      </w:r>
      <w:r>
        <w:rPr/>
        <w:t>网管、通信专业网管、流程管理、信息安全管理、网络优化、移动互联网运营（包括飞 </w:t>
      </w:r>
      <w:r>
        <w:rPr>
          <w:spacing w:val="-1"/>
        </w:rPr>
        <w:t>信</w:t>
      </w:r>
      <w:r>
        <w:rPr>
          <w:rFonts w:ascii="Times New Roman" w:hAnsi="Times New Roman" w:cs="Times New Roman" w:eastAsia="Times New Roman" w:hint="default"/>
          <w:spacing w:val="-1"/>
        </w:rPr>
        <w:t>/</w:t>
      </w:r>
      <w:r>
        <w:rPr>
          <w:spacing w:val="-1"/>
        </w:rPr>
        <w:t>融合通信</w:t>
      </w:r>
      <w:r>
        <w:rPr>
          <w:rFonts w:ascii="Times New Roman" w:hAnsi="Times New Roman" w:cs="Times New Roman" w:eastAsia="Times New Roman" w:hint="default"/>
          <w:spacing w:val="-1"/>
        </w:rPr>
        <w:t>/</w:t>
      </w:r>
      <w:r>
        <w:rPr>
          <w:spacing w:val="-1"/>
        </w:rPr>
        <w:t>农信通的开发运营）、系统集成等，技术领先、产品齐全、客户认可度高，积累了一批电信、金融、能源、交</w:t>
      </w:r>
      <w:r>
        <w:rPr>
          <w:spacing w:val="-49"/>
        </w:rPr>
        <w:t> </w:t>
      </w:r>
      <w:r>
        <w:rPr>
          <w:spacing w:val="-49"/>
        </w:rPr>
      </w:r>
      <w:r>
        <w:rPr>
          <w:spacing w:val="-1"/>
        </w:rPr>
        <w:t>通等行业中的大中型企业以及政府机构的优质客户资源。公司在这个领域属于国内领先者，</w:t>
      </w:r>
      <w:r>
        <w:rPr>
          <w:rFonts w:ascii="Times New Roman" w:hAnsi="Times New Roman" w:cs="Times New Roman" w:eastAsia="Times New Roman" w:hint="default"/>
          <w:spacing w:val="-1"/>
        </w:rPr>
        <w:t>IDC</w:t>
      </w:r>
      <w:r>
        <w:rPr>
          <w:spacing w:val="-1"/>
        </w:rPr>
        <w:t>、</w:t>
      </w:r>
      <w:r>
        <w:rPr>
          <w:rFonts w:ascii="Times New Roman" w:hAnsi="Times New Roman" w:cs="Times New Roman" w:eastAsia="Times New Roman" w:hint="default"/>
          <w:spacing w:val="-1"/>
        </w:rPr>
        <w:t>Gartner</w:t>
      </w:r>
      <w:r>
        <w:rPr>
          <w:spacing w:val="-1"/>
        </w:rPr>
        <w:t>等权威评测机构多</w:t>
      </w:r>
      <w:r>
        <w:rPr>
          <w:spacing w:val="-76"/>
        </w:rPr>
        <w:t> </w:t>
      </w:r>
      <w:r>
        <w:rPr>
          <w:spacing w:val="-76"/>
        </w:rPr>
      </w:r>
      <w:r>
        <w:rPr>
          <w:spacing w:val="-4"/>
        </w:rPr>
        <w:t>年来将公司与</w:t>
      </w:r>
      <w:r>
        <w:rPr>
          <w:rFonts w:ascii="Times New Roman" w:hAnsi="Times New Roman" w:cs="Times New Roman" w:eastAsia="Times New Roman" w:hint="default"/>
          <w:spacing w:val="-4"/>
        </w:rPr>
        <w:t>IBM</w:t>
      </w:r>
      <w:r>
        <w:rPr>
          <w:spacing w:val="-4"/>
        </w:rPr>
        <w:t>、</w:t>
      </w:r>
      <w:r>
        <w:rPr>
          <w:rFonts w:ascii="Times New Roman" w:hAnsi="Times New Roman" w:cs="Times New Roman" w:eastAsia="Times New Roman" w:hint="default"/>
          <w:spacing w:val="-4"/>
        </w:rPr>
        <w:t>HP</w:t>
      </w:r>
      <w:r>
        <w:rPr>
          <w:spacing w:val="-4"/>
        </w:rPr>
        <w:t>等国际巨头对比，领先于国内同行。在赛迪顾问主办的</w:t>
      </w:r>
      <w:r>
        <w:rPr>
          <w:rFonts w:ascii="Times New Roman" w:hAnsi="Times New Roman" w:cs="Times New Roman" w:eastAsia="Times New Roman" w:hint="default"/>
          <w:spacing w:val="-4"/>
        </w:rPr>
        <w:t>“2016</w:t>
      </w:r>
      <w:r>
        <w:rPr>
          <w:spacing w:val="-4"/>
        </w:rPr>
        <w:t>中国</w:t>
      </w:r>
      <w:r>
        <w:rPr>
          <w:rFonts w:ascii="Times New Roman" w:hAnsi="Times New Roman" w:cs="Times New Roman" w:eastAsia="Times New Roman" w:hint="default"/>
          <w:spacing w:val="-4"/>
        </w:rPr>
        <w:t>IT</w:t>
      </w:r>
      <w:r>
        <w:rPr>
          <w:spacing w:val="-4"/>
        </w:rPr>
        <w:t>市场年会</w:t>
      </w:r>
      <w:r>
        <w:rPr>
          <w:rFonts w:ascii="Times New Roman" w:hAnsi="Times New Roman" w:cs="Times New Roman" w:eastAsia="Times New Roman" w:hint="default"/>
          <w:spacing w:val="-4"/>
        </w:rPr>
        <w:t>”</w:t>
      </w:r>
      <w:r>
        <w:rPr>
          <w:spacing w:val="-4"/>
        </w:rPr>
        <w:t>上，公司荣获</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0"/>
        </w:rPr>
        <w:t> </w:t>
      </w:r>
      <w:r>
        <w:rPr/>
        <w:t>中国</w:t>
      </w:r>
      <w:r>
        <w:rPr>
          <w:rFonts w:ascii="Times New Roman" w:hAnsi="Times New Roman" w:cs="Times New Roman" w:eastAsia="Times New Roman" w:hint="default"/>
        </w:rPr>
        <w:t>IT</w:t>
      </w:r>
      <w:r>
        <w:rPr/>
        <w:t>运维管理市场占有率第一</w:t>
      </w:r>
      <w:r>
        <w:rPr>
          <w:rFonts w:ascii="Times New Roman" w:hAnsi="Times New Roman" w:cs="Times New Roman" w:eastAsia="Times New Roman" w:hint="default"/>
        </w:rPr>
        <w:t>”</w:t>
      </w:r>
      <w:r>
        <w:rPr/>
        <w:t>荣誉奖项。</w:t>
      </w:r>
    </w:p>
    <w:p>
      <w:pPr>
        <w:pStyle w:val="BodyText"/>
        <w:spacing w:line="489" w:lineRule="auto" w:before="83"/>
        <w:ind w:left="1494" w:right="1040"/>
        <w:jc w:val="left"/>
      </w:pPr>
      <w:r>
        <w:rPr>
          <w:rFonts w:ascii="Times New Roman" w:hAnsi="Times New Roman" w:cs="Times New Roman" w:eastAsia="Times New Roman" w:hint="default"/>
        </w:rPr>
        <w:t>2</w:t>
      </w:r>
      <w:r>
        <w:rPr/>
        <w:t>、</w:t>
      </w:r>
      <w:r>
        <w:rPr>
          <w:rFonts w:ascii="宋体" w:hAnsi="宋体" w:cs="宋体" w:eastAsia="宋体" w:hint="default"/>
          <w:b/>
          <w:bCs/>
        </w:rPr>
        <w:t>手机游戏板块</w:t>
      </w:r>
      <w:r>
        <w:rPr>
          <w:rFonts w:ascii="宋体" w:hAnsi="宋体" w:cs="宋体" w:eastAsia="宋体" w:hint="default"/>
          <w:b/>
          <w:bCs/>
          <w:w w:val="99"/>
        </w:rPr>
        <w:t> </w:t>
      </w:r>
      <w:r>
        <w:rPr>
          <w:spacing w:val="-13"/>
        </w:rPr>
        <w:t>游戏业务是公司重点业务方向之一，下设全资子公司壳木软件，成功研发并发行《小小帝国》、《人在天朝》、《风暴纪元》、</w:t>
      </w:r>
    </w:p>
    <w:p>
      <w:pPr>
        <w:pStyle w:val="BodyText"/>
        <w:spacing w:line="451" w:lineRule="auto" w:before="45"/>
        <w:ind w:right="0"/>
        <w:jc w:val="left"/>
      </w:pPr>
      <w:r>
        <w:rPr>
          <w:spacing w:val="-10"/>
          <w:w w:val="99"/>
        </w:rPr>
        <w:t>《天子传奇》、《战争与秩序》等游戏；参股公司中清龙图成功发行《</w:t>
      </w:r>
      <w:r>
        <w:rPr>
          <w:rFonts w:ascii="Times New Roman" w:hAnsi="Times New Roman" w:cs="Times New Roman" w:eastAsia="Times New Roman" w:hint="default"/>
          <w:spacing w:val="-10"/>
          <w:w w:val="99"/>
        </w:rPr>
        <w:t>QQ</w:t>
      </w:r>
      <w:r>
        <w:rPr>
          <w:spacing w:val="-10"/>
          <w:w w:val="99"/>
        </w:rPr>
        <w:t>九仙》、《刀塔传奇》、《剑与魔法》等游戏；以及合</w:t>
      </w:r>
      <w:r>
        <w:rPr>
          <w:spacing w:val="-48"/>
          <w:w w:val="99"/>
        </w:rPr>
        <w:t> </w:t>
      </w:r>
      <w:r>
        <w:rPr>
          <w:spacing w:val="-48"/>
          <w:w w:val="99"/>
        </w:rPr>
      </w:r>
      <w:r>
        <w:rPr/>
        <w:t>资成立的游戏发行公司、游戏投资基金等。公司已形成了从内容研发、渠道发行到投资孵化的生态链全面覆盖。</w:t>
      </w:r>
    </w:p>
    <w:p>
      <w:pPr>
        <w:pStyle w:val="BodyText"/>
        <w:spacing w:line="487" w:lineRule="auto" w:before="113"/>
        <w:ind w:left="1494" w:right="1122" w:firstLine="1"/>
        <w:jc w:val="left"/>
      </w:pPr>
      <w:r>
        <w:rPr>
          <w:rFonts w:ascii="Times New Roman" w:hAnsi="Times New Roman" w:cs="Times New Roman" w:eastAsia="Times New Roman" w:hint="default"/>
          <w:b/>
          <w:bCs/>
        </w:rPr>
        <w:t>3</w:t>
      </w:r>
      <w:r>
        <w:rPr>
          <w:rFonts w:ascii="宋体" w:hAnsi="宋体" w:cs="宋体" w:eastAsia="宋体" w:hint="default"/>
          <w:b/>
          <w:bCs/>
        </w:rPr>
        <w:t>、物联网技术应用板块</w:t>
      </w:r>
      <w:r>
        <w:rPr>
          <w:rFonts w:ascii="宋体" w:hAnsi="宋体" w:cs="宋体" w:eastAsia="宋体" w:hint="default"/>
          <w:b/>
          <w:bCs/>
          <w:w w:val="99"/>
        </w:rPr>
        <w:t> </w:t>
      </w:r>
      <w:r>
        <w:rPr/>
        <w:t>公司在物联网芯片、通信协议、核心算法、数据分析加工平台等方面进行了多年的技术和实践积累，已申请</w:t>
      </w:r>
      <w:r>
        <w:rPr>
          <w:rFonts w:ascii="Times New Roman" w:hAnsi="Times New Roman" w:cs="Times New Roman" w:eastAsia="Times New Roman" w:hint="default"/>
        </w:rPr>
        <w:t>110</w:t>
      </w:r>
      <w:r>
        <w:rPr/>
        <w:t>余项专</w:t>
      </w:r>
    </w:p>
    <w:p>
      <w:pPr>
        <w:pStyle w:val="BodyText"/>
        <w:spacing w:line="451" w:lineRule="auto" w:before="13"/>
        <w:ind w:right="1118"/>
        <w:jc w:val="left"/>
      </w:pPr>
      <w:r>
        <w:rPr>
          <w:spacing w:val="-2"/>
        </w:rPr>
        <w:t>利（其中已获得</w:t>
      </w:r>
      <w:r>
        <w:rPr>
          <w:rFonts w:ascii="Times New Roman" w:hAnsi="Times New Roman" w:cs="Times New Roman" w:eastAsia="Times New Roman" w:hint="default"/>
          <w:spacing w:val="-2"/>
        </w:rPr>
        <w:t>35</w:t>
      </w:r>
      <w:r>
        <w:rPr>
          <w:spacing w:val="-2"/>
        </w:rPr>
        <w:t>项授权专利），被列入北京市二十大颠覆性技术储备库，牵头及参与制定</w:t>
      </w:r>
      <w:r>
        <w:rPr>
          <w:rFonts w:ascii="Times New Roman" w:hAnsi="Times New Roman" w:cs="Times New Roman" w:eastAsia="Times New Roman" w:hint="default"/>
          <w:spacing w:val="-2"/>
        </w:rPr>
        <w:t>10</w:t>
      </w:r>
      <w:r>
        <w:rPr>
          <w:spacing w:val="-2"/>
        </w:rPr>
        <w:t>项中国矿山安全生产物联网行</w:t>
      </w:r>
      <w:r>
        <w:rPr>
          <w:spacing w:val="-60"/>
        </w:rPr>
        <w:t> </w:t>
      </w:r>
      <w:r>
        <w:rPr>
          <w:spacing w:val="-60"/>
        </w:rPr>
      </w:r>
      <w:r>
        <w:rPr/>
        <w:t>业标准。</w:t>
      </w:r>
    </w:p>
    <w:p>
      <w:pPr>
        <w:spacing w:after="0" w:line="451" w:lineRule="auto"/>
        <w:jc w:val="left"/>
        <w:sectPr>
          <w:pgSz w:w="11910" w:h="16840"/>
          <w:pgMar w:header="851" w:footer="979" w:top="1380" w:bottom="1160" w:left="0" w:right="0"/>
        </w:sectPr>
      </w:pPr>
    </w:p>
    <w:p>
      <w:pPr>
        <w:pStyle w:val="BodyText"/>
        <w:spacing w:line="477" w:lineRule="auto" w:before="141"/>
        <w:ind w:right="0" w:firstLine="360"/>
        <w:jc w:val="left"/>
      </w:pPr>
      <w:r>
        <w:rPr>
          <w:spacing w:val="-4"/>
        </w:rPr>
        <w:t>在与清华、北邮、矿大、安科院、神华、中石油、霍尼韦尔等产学研相关单位的合作中不断构造面向重点行业的生态圈，</w:t>
      </w:r>
      <w:r>
        <w:rPr/>
        <w:t> </w:t>
      </w:r>
      <w:r>
        <w:rPr>
          <w:spacing w:val="-2"/>
        </w:rPr>
        <w:t>打造智慧矿山、智慧石油、智慧核电、智慧管廊、智慧安防、智慧边防等行业整体解决方案，实现无缝覆盖、低功耗实时综</w:t>
      </w:r>
      <w:r>
        <w:rPr>
          <w:spacing w:val="-72"/>
        </w:rPr>
        <w:t> </w:t>
      </w:r>
      <w:r>
        <w:rPr>
          <w:spacing w:val="-72"/>
        </w:rPr>
      </w:r>
      <w:r>
        <w:rPr/>
        <w:t>合传感、远程控制、信息联动等方面做出了大量前瞻性示范效果，为进一步扩大市场奠定了很好的技术和口碑的基础。</w:t>
      </w:r>
    </w:p>
    <w:p>
      <w:pPr>
        <w:pStyle w:val="BodyText"/>
        <w:spacing w:line="477" w:lineRule="auto" w:before="93"/>
        <w:ind w:right="1130" w:firstLine="360"/>
        <w:jc w:val="both"/>
      </w:pPr>
      <w:r>
        <w:rPr>
          <w:spacing w:val="-2"/>
        </w:rPr>
        <w:t>目前主要聚焦应用于两个领域：一是核电核岛、石油炼化区、地下管廊、矿山巷道等封闭空间和低功耗要求的特殊环境</w:t>
      </w:r>
      <w:r>
        <w:rPr/>
        <w:t> </w:t>
      </w:r>
      <w:r>
        <w:rPr>
          <w:spacing w:val="-2"/>
        </w:rPr>
        <w:t>下的无线通信定位领域；二是国境线及其他军事设施、核电、化工、机场、别墅院落、居民小区等需要全地形全天候高准确</w:t>
      </w:r>
      <w:r>
        <w:rPr>
          <w:spacing w:val="-67"/>
        </w:rPr>
        <w:t> </w:t>
      </w:r>
      <w:r>
        <w:rPr>
          <w:spacing w:val="-67"/>
        </w:rPr>
      </w:r>
      <w:r>
        <w:rPr/>
        <w:t>度进行周界安防的领域，后续将进一步研究推出在其他应用场景下的产品和综合解决方案。</w:t>
      </w:r>
    </w:p>
    <w:p>
      <w:pPr>
        <w:pStyle w:val="BodyText"/>
        <w:spacing w:line="489" w:lineRule="auto" w:before="94"/>
        <w:ind w:left="1494" w:right="0"/>
        <w:jc w:val="left"/>
      </w:pPr>
      <w:r>
        <w:rPr>
          <w:rFonts w:ascii="Times New Roman" w:hAnsi="Times New Roman" w:cs="Times New Roman" w:eastAsia="Times New Roman" w:hint="default"/>
        </w:rPr>
        <w:t>4</w:t>
      </w:r>
      <w:r>
        <w:rPr/>
        <w:t>、</w:t>
      </w:r>
      <w:r>
        <w:rPr>
          <w:rFonts w:ascii="宋体" w:hAnsi="宋体" w:cs="宋体" w:eastAsia="宋体" w:hint="default"/>
          <w:b/>
          <w:bCs/>
        </w:rPr>
        <w:t>创新孵化板块</w:t>
      </w:r>
      <w:r>
        <w:rPr>
          <w:rFonts w:ascii="宋体" w:hAnsi="宋体" w:cs="宋体" w:eastAsia="宋体" w:hint="default"/>
          <w:b/>
          <w:bCs/>
          <w:w w:val="99"/>
        </w:rPr>
        <w:t> </w:t>
      </w:r>
      <w:r>
        <w:rPr>
          <w:spacing w:val="-2"/>
        </w:rPr>
        <w:t>公司创新孵化板块目前主要包括职前教育、融云（即时通讯云服务）、大数据应用、视频秀业务（境外视频互动平台及</w:t>
      </w:r>
    </w:p>
    <w:p>
      <w:pPr>
        <w:pStyle w:val="BodyText"/>
        <w:spacing w:line="463" w:lineRule="auto" w:before="45"/>
        <w:ind w:right="1132"/>
        <w:jc w:val="both"/>
      </w:pPr>
      <w:r>
        <w:rPr>
          <w:spacing w:val="-2"/>
        </w:rPr>
        <w:t>运营）、</w:t>
      </w:r>
      <w:r>
        <w:rPr>
          <w:rFonts w:ascii="Times New Roman" w:hAnsi="Times New Roman" w:cs="Times New Roman" w:eastAsia="Times New Roman" w:hint="default"/>
          <w:spacing w:val="-2"/>
        </w:rPr>
        <w:t>JioChat</w:t>
      </w:r>
      <w:r>
        <w:rPr>
          <w:spacing w:val="-2"/>
        </w:rPr>
        <w:t>（印度融合通信平台）、电子商务、互联网金融等，多数创新业务均获得了市场认可，成功获得了外部股权</w:t>
      </w:r>
      <w:r>
        <w:rPr>
          <w:spacing w:val="-81"/>
        </w:rPr>
        <w:t> </w:t>
      </w:r>
      <w:r>
        <w:rPr>
          <w:spacing w:val="-81"/>
        </w:rPr>
      </w:r>
      <w:r>
        <w:rPr>
          <w:spacing w:val="-2"/>
        </w:rPr>
        <w:t>融资。针对创新孵化板块内的相关业务，公司将根据发展阶段、与核心主业相关度、资本市场发展情况等因素，纳入到上市</w:t>
      </w:r>
      <w:r>
        <w:rPr>
          <w:spacing w:val="-66"/>
        </w:rPr>
        <w:t> </w:t>
      </w:r>
      <w:r>
        <w:rPr>
          <w:spacing w:val="-66"/>
        </w:rPr>
      </w:r>
      <w:r>
        <w:rPr/>
        <w:t>公司主体业务板块或者独立上市等多种方式，推进其发展壮大。</w:t>
      </w:r>
    </w:p>
    <w:p>
      <w:pPr>
        <w:pStyle w:val="BodyText"/>
        <w:spacing w:line="451" w:lineRule="auto" w:before="104"/>
        <w:ind w:right="1131" w:firstLine="360"/>
        <w:jc w:val="both"/>
      </w:pPr>
      <w:r>
        <w:rPr/>
        <w:t>报告期内，公司实现营业总收入</w:t>
      </w:r>
      <w:r>
        <w:rPr>
          <w:rFonts w:ascii="Times New Roman" w:hAnsi="Times New Roman" w:cs="Times New Roman" w:eastAsia="Times New Roman" w:hint="default"/>
        </w:rPr>
        <w:t>277,348.73</w:t>
      </w:r>
      <w:r>
        <w:rPr/>
        <w:t>万元，比去年同期增长</w:t>
      </w:r>
      <w:r>
        <w:rPr>
          <w:rFonts w:ascii="Times New Roman" w:hAnsi="Times New Roman" w:cs="Times New Roman" w:eastAsia="Times New Roman" w:hint="default"/>
        </w:rPr>
        <w:t>6.46%</w:t>
      </w:r>
      <w:r>
        <w:rPr/>
        <w:t>；实现营业利润</w:t>
      </w:r>
      <w:r>
        <w:rPr>
          <w:rFonts w:ascii="Times New Roman" w:hAnsi="Times New Roman" w:cs="Times New Roman" w:eastAsia="Times New Roman" w:hint="default"/>
        </w:rPr>
        <w:t>29,245.41</w:t>
      </w:r>
      <w:r>
        <w:rPr/>
        <w:t>万元，较去年同期下 降</w:t>
      </w:r>
      <w:r>
        <w:rPr>
          <w:rFonts w:ascii="Times New Roman" w:hAnsi="Times New Roman" w:cs="Times New Roman" w:eastAsia="Times New Roman" w:hint="default"/>
        </w:rPr>
        <w:t>54.52%</w:t>
      </w:r>
      <w:r>
        <w:rPr/>
        <w:t>；实现利润总额</w:t>
      </w:r>
      <w:r>
        <w:rPr>
          <w:rFonts w:ascii="Times New Roman" w:hAnsi="Times New Roman" w:cs="Times New Roman" w:eastAsia="Times New Roman" w:hint="default"/>
        </w:rPr>
        <w:t>34,140.93</w:t>
      </w:r>
      <w:r>
        <w:rPr/>
        <w:t>万元，比去年同期下降</w:t>
      </w:r>
      <w:r>
        <w:rPr>
          <w:rFonts w:ascii="Times New Roman" w:hAnsi="Times New Roman" w:cs="Times New Roman" w:eastAsia="Times New Roman" w:hint="default"/>
        </w:rPr>
        <w:t>49.64%</w:t>
      </w:r>
      <w:r>
        <w:rPr/>
        <w:t>；实现归属于上市公司股东的净利润为</w:t>
      </w:r>
      <w:r>
        <w:rPr>
          <w:rFonts w:ascii="Times New Roman" w:hAnsi="Times New Roman" w:cs="Times New Roman" w:eastAsia="Times New Roman" w:hint="default"/>
        </w:rPr>
        <w:t>35,134.12</w:t>
      </w:r>
      <w:r>
        <w:rPr/>
        <w:t>万元，比</w:t>
      </w:r>
      <w:r>
        <w:rPr>
          <w:spacing w:val="-33"/>
        </w:rPr>
        <w:t> </w:t>
      </w:r>
      <w:r>
        <w:rPr/>
        <w:t>去年同期下降</w:t>
      </w:r>
      <w:r>
        <w:rPr>
          <w:rFonts w:ascii="Times New Roman" w:hAnsi="Times New Roman" w:cs="Times New Roman" w:eastAsia="Times New Roman" w:hint="default"/>
        </w:rPr>
        <w:t>44.51%</w:t>
      </w:r>
      <w:r>
        <w:rPr/>
        <w:t>。</w:t>
      </w:r>
    </w:p>
    <w:p>
      <w:pPr>
        <w:pStyle w:val="BodyText"/>
        <w:spacing w:line="451" w:lineRule="auto" w:before="82"/>
        <w:ind w:right="1129" w:firstLine="360"/>
        <w:jc w:val="both"/>
      </w:pPr>
      <w:r>
        <w:rPr>
          <w:rFonts w:ascii="Times New Roman" w:hAnsi="Times New Roman" w:cs="Times New Roman" w:eastAsia="Times New Roman" w:hint="default"/>
        </w:rPr>
        <w:t>2015</w:t>
      </w:r>
      <w:r>
        <w:rPr/>
        <w:t>年度经营业绩下降的主要原因是：</w:t>
      </w:r>
      <w:r>
        <w:rPr>
          <w:rFonts w:ascii="Times New Roman" w:hAnsi="Times New Roman" w:cs="Times New Roman" w:eastAsia="Times New Roman" w:hint="default"/>
        </w:rPr>
        <w:t>1</w:t>
      </w:r>
      <w:r>
        <w:rPr/>
        <w:t>、运营管理业务整体上相对稳定，但是飞信及农信通业务受限于电信运营商的 因素下降幅度较大；</w:t>
      </w:r>
      <w:r>
        <w:rPr>
          <w:rFonts w:ascii="Times New Roman" w:hAnsi="Times New Roman" w:cs="Times New Roman" w:eastAsia="Times New Roman" w:hint="default"/>
        </w:rPr>
        <w:t>2</w:t>
      </w:r>
      <w:r>
        <w:rPr/>
        <w:t>、游戏业务板块的经营业绩下降幅度较大，具体原因是：新款游戏产品上线进度延后、重要参股企业</w:t>
      </w:r>
      <w:r>
        <w:rPr>
          <w:spacing w:val="-83"/>
        </w:rPr>
        <w:t> </w:t>
      </w:r>
      <w:r>
        <w:rPr>
          <w:spacing w:val="-83"/>
        </w:rPr>
      </w:r>
      <w:r>
        <w:rPr/>
        <w:t>中清龙图由于诉讼等原因经营业绩下降幅度较大以及对全资子公司壳木软件计提了部分商誉减值；</w:t>
      </w:r>
      <w:r>
        <w:rPr>
          <w:rFonts w:ascii="Times New Roman" w:hAnsi="Times New Roman" w:cs="Times New Roman" w:eastAsia="Times New Roman" w:hint="default"/>
        </w:rPr>
        <w:t>3</w:t>
      </w:r>
      <w:r>
        <w:rPr/>
        <w:t>、基于未来发展布局，</w:t>
      </w:r>
      <w:r>
        <w:rPr>
          <w:spacing w:val="-81"/>
        </w:rPr>
        <w:t> </w:t>
      </w:r>
      <w:r>
        <w:rPr>
          <w:spacing w:val="-81"/>
        </w:rPr>
      </w:r>
      <w:r>
        <w:rPr/>
        <w:t>公司持续地进行创新投入，但创新业务产生规模性盈利尚需时间，从而对公司经营利润产生影响。</w:t>
      </w:r>
    </w:p>
    <w:p>
      <w:pPr>
        <w:pStyle w:val="BodyText"/>
        <w:spacing w:line="451" w:lineRule="auto" w:before="112"/>
        <w:ind w:left="1134" w:right="1131" w:firstLine="360"/>
        <w:jc w:val="both"/>
      </w:pPr>
      <w:r>
        <w:rPr/>
        <w:t>截止报告期末，公司尚未结转收入的项目金额约</w:t>
      </w:r>
      <w:r>
        <w:rPr>
          <w:spacing w:val="-66"/>
        </w:rPr>
        <w:t> </w:t>
      </w:r>
      <w:r>
        <w:rPr>
          <w:rFonts w:ascii="Times New Roman" w:hAnsi="Times New Roman" w:cs="Times New Roman" w:eastAsia="Times New Roman" w:hint="default"/>
        </w:rPr>
        <w:t>11.56</w:t>
      </w:r>
      <w:r>
        <w:rPr>
          <w:rFonts w:ascii="Times New Roman" w:hAnsi="Times New Roman" w:cs="Times New Roman" w:eastAsia="Times New Roman" w:hint="default"/>
          <w:spacing w:val="-21"/>
        </w:rPr>
        <w:t> </w:t>
      </w:r>
      <w:r>
        <w:rPr>
          <w:spacing w:val="-3"/>
        </w:rPr>
        <w:t>亿元。</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1"/>
        </w:rPr>
        <w:t> </w:t>
      </w:r>
      <w:r>
        <w:rPr/>
        <w:t>年度，公司将顺应信息产业的发展趋势，进一步巩固 和提高 </w:t>
      </w:r>
      <w:r>
        <w:rPr>
          <w:rFonts w:ascii="Times New Roman" w:hAnsi="Times New Roman" w:cs="Times New Roman" w:eastAsia="Times New Roman" w:hint="default"/>
        </w:rPr>
        <w:t>ICT</w:t>
      </w:r>
      <w:r>
        <w:rPr>
          <w:rFonts w:ascii="Times New Roman" w:hAnsi="Times New Roman" w:cs="Times New Roman" w:eastAsia="Times New Roman" w:hint="default"/>
          <w:spacing w:val="33"/>
        </w:rPr>
        <w:t> </w:t>
      </w:r>
      <w:r>
        <w:rPr/>
        <w:t>运营管理领域的领先市场地位，提升游戏市场竞争力，积极推进智慧线的市场拓展，努力培育职业教育、大数 据、互联网金融等创新孵化业务，促进</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年度的经营业绩较去年有较大幅度的增长。</w:t>
      </w:r>
    </w:p>
    <w:p>
      <w:pPr>
        <w:spacing w:line="240" w:lineRule="auto" w:before="8"/>
        <w:rPr>
          <w:rFonts w:ascii="宋体" w:hAnsi="宋体" w:cs="宋体" w:eastAsia="宋体" w:hint="default"/>
          <w:sz w:val="16"/>
          <w:szCs w:val="16"/>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较期初变化较小。</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较期初变化较小，主要系房产、办公用品及电子设备。</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43.88%</w:t>
            </w:r>
            <w:r>
              <w:rPr>
                <w:rFonts w:ascii="宋体" w:hAnsi="宋体" w:cs="宋体" w:eastAsia="宋体" w:hint="default"/>
                <w:sz w:val="18"/>
                <w:szCs w:val="18"/>
              </w:rPr>
              <w:t>，主要系公司内部研发所形成的无形资产所致。</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tbl>
      <w:tblPr>
        <w:tblW w:w="0" w:type="auto"/>
        <w:jc w:val="left"/>
        <w:tblInd w:w="1129" w:type="dxa"/>
        <w:tblLayout w:type="fixed"/>
        <w:tblCellMar>
          <w:top w:w="0" w:type="dxa"/>
          <w:left w:w="0" w:type="dxa"/>
          <w:bottom w:w="0" w:type="dxa"/>
          <w:right w:w="0" w:type="dxa"/>
        </w:tblCellMar>
        <w:tblLook w:val="01E0"/>
      </w:tblPr>
      <w:tblGrid>
        <w:gridCol w:w="3051"/>
        <w:gridCol w:w="6517"/>
      </w:tblGrid>
      <w:tr>
        <w:trPr>
          <w:trHeight w:val="409" w:hRule="exact"/>
        </w:trPr>
        <w:tc>
          <w:tcPr>
            <w:tcW w:w="305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219.59%</w:t>
            </w:r>
            <w:r>
              <w:rPr>
                <w:rFonts w:ascii="宋体" w:hAnsi="宋体" w:cs="宋体" w:eastAsia="宋体" w:hint="default"/>
                <w:sz w:val="18"/>
                <w:szCs w:val="18"/>
              </w:rPr>
              <w:t>，主要为报告期内重庆农信软件园工程项目。</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58.40%</w:t>
            </w:r>
            <w:r>
              <w:rPr>
                <w:rFonts w:ascii="宋体" w:hAnsi="宋体" w:cs="宋体" w:eastAsia="宋体" w:hint="default"/>
                <w:sz w:val="18"/>
                <w:szCs w:val="18"/>
              </w:rPr>
              <w:t>，主要系运营管理系统集成业务库存商品增加所致。</w:t>
            </w:r>
          </w:p>
        </w:tc>
      </w:tr>
      <w:tr>
        <w:trPr>
          <w:trHeight w:val="1026"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87.02%</w:t>
            </w:r>
            <w:r>
              <w:rPr>
                <w:rFonts w:ascii="宋体" w:hAnsi="宋体" w:cs="宋体" w:eastAsia="宋体" w:hint="default"/>
                <w:spacing w:val="-3"/>
                <w:sz w:val="18"/>
                <w:szCs w:val="18"/>
              </w:rPr>
              <w:t>，主要系公司投资杭州爱财网络科技有限公司、北京创金兴业投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资中心（有限合伙）、北京云中融信网络科技有限公司、北京魔力码头科技有限责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任公司、</w:t>
            </w:r>
            <w:r>
              <w:rPr>
                <w:rFonts w:ascii="Times New Roman" w:hAnsi="Times New Roman" w:cs="Times New Roman" w:eastAsia="Times New Roman" w:hint="default"/>
                <w:sz w:val="18"/>
                <w:szCs w:val="18"/>
              </w:rPr>
              <w:t>Reliance Jio electronics private Limited</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2"/>
        <w:rPr>
          <w:rFonts w:ascii="宋体" w:hAnsi="宋体" w:cs="宋体" w:eastAsia="宋体" w:hint="default"/>
          <w:b/>
          <w:bCs/>
          <w:sz w:val="23"/>
          <w:szCs w:val="23"/>
        </w:rPr>
      </w:pPr>
    </w:p>
    <w:p>
      <w:pPr>
        <w:pStyle w:val="Heading2"/>
        <w:spacing w:line="240" w:lineRule="auto"/>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134" w:right="1131" w:firstLine="360"/>
        <w:jc w:val="both"/>
      </w:pPr>
      <w:r>
        <w:rPr>
          <w:spacing w:val="-2"/>
        </w:rPr>
        <w:t>公司的核心竞争力主要体现于技术与产品、行业经验、客户资源、市场品牌等各方面。报告期内，公司的上述竞争优势</w:t>
      </w:r>
      <w:r>
        <w:rPr/>
        <w:t> 得到了进一步的提升。</w:t>
      </w:r>
    </w:p>
    <w:p>
      <w:pPr>
        <w:spacing w:line="451" w:lineRule="auto" w:before="54"/>
        <w:ind w:left="1554" w:right="0"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、技术与产品优势</w:t>
      </w:r>
      <w:r>
        <w:rPr>
          <w:rFonts w:ascii="宋体" w:hAnsi="宋体" w:cs="宋体" w:eastAsia="宋体" w:hint="default"/>
          <w:b/>
          <w:bCs/>
          <w:w w:val="99"/>
          <w:sz w:val="18"/>
          <w:szCs w:val="18"/>
        </w:rPr>
        <w:t> </w:t>
      </w:r>
      <w:r>
        <w:rPr>
          <w:rFonts w:ascii="Times New Roman" w:hAnsi="Times New Roman" w:cs="Times New Roman" w:eastAsia="Times New Roman" w:hint="default"/>
          <w:b/>
          <w:bCs/>
          <w:spacing w:val="-2"/>
          <w:sz w:val="18"/>
          <w:szCs w:val="18"/>
        </w:rPr>
        <w:t>ICT</w:t>
      </w:r>
      <w:r>
        <w:rPr>
          <w:rFonts w:ascii="宋体" w:hAnsi="宋体" w:cs="宋体" w:eastAsia="宋体" w:hint="default"/>
          <w:b/>
          <w:bCs/>
          <w:spacing w:val="-2"/>
          <w:sz w:val="18"/>
          <w:szCs w:val="18"/>
        </w:rPr>
        <w:t>运营管理领域</w:t>
      </w:r>
      <w:r>
        <w:rPr>
          <w:rFonts w:ascii="宋体" w:hAnsi="宋体" w:cs="宋体" w:eastAsia="宋体" w:hint="default"/>
          <w:spacing w:val="-2"/>
          <w:sz w:val="18"/>
          <w:szCs w:val="18"/>
        </w:rPr>
        <w:t>，公司紧密跟踪最前沿的技术发展趋势，深度挖掘客户对</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系统（尤其在线关键业务</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应用系统）的</w:t>
      </w:r>
    </w:p>
    <w:p>
      <w:pPr>
        <w:pStyle w:val="BodyText"/>
        <w:spacing w:line="458" w:lineRule="auto" w:before="43"/>
        <w:ind w:right="1130"/>
        <w:jc w:val="both"/>
      </w:pPr>
      <w:r>
        <w:rPr>
          <w:spacing w:val="-1"/>
        </w:rPr>
        <w:t>运维管理需求，形成了一系列独特的软件产品和方法论。技术水平在国内处于领先地位，即使与</w:t>
      </w:r>
      <w:r>
        <w:rPr>
          <w:rFonts w:ascii="Times New Roman" w:hAnsi="Times New Roman" w:cs="Times New Roman" w:eastAsia="Times New Roman" w:hint="default"/>
          <w:spacing w:val="-1"/>
        </w:rPr>
        <w:t>IBM</w:t>
      </w:r>
      <w:r>
        <w:rPr>
          <w:spacing w:val="-1"/>
        </w:rPr>
        <w:t>、</w:t>
      </w:r>
      <w:r>
        <w:rPr>
          <w:rFonts w:ascii="Times New Roman" w:hAnsi="Times New Roman" w:cs="Times New Roman" w:eastAsia="Times New Roman" w:hint="default"/>
          <w:spacing w:val="-1"/>
        </w:rPr>
        <w:t>HP</w:t>
      </w:r>
      <w:r>
        <w:rPr>
          <w:spacing w:val="-1"/>
        </w:rPr>
        <w:t>、</w:t>
      </w:r>
      <w:r>
        <w:rPr>
          <w:rFonts w:ascii="Times New Roman" w:hAnsi="Times New Roman" w:cs="Times New Roman" w:eastAsia="Times New Roman" w:hint="default"/>
          <w:spacing w:val="-1"/>
        </w:rPr>
        <w:t>BMC</w:t>
      </w:r>
      <w:r>
        <w:rPr>
          <w:spacing w:val="-1"/>
        </w:rPr>
        <w:t>、</w:t>
      </w:r>
      <w:r>
        <w:rPr>
          <w:rFonts w:ascii="Times New Roman" w:hAnsi="Times New Roman" w:cs="Times New Roman" w:eastAsia="Times New Roman" w:hint="default"/>
          <w:spacing w:val="-1"/>
        </w:rPr>
        <w:t>CA</w:t>
      </w:r>
      <w:r>
        <w:rPr>
          <w:spacing w:val="-1"/>
        </w:rPr>
        <w:t>等国</w:t>
      </w:r>
      <w:r>
        <w:rPr>
          <w:spacing w:val="-86"/>
        </w:rPr>
        <w:t> </w:t>
      </w:r>
      <w:r>
        <w:rPr>
          <w:spacing w:val="-2"/>
        </w:rPr>
        <w:t>际厂商相比，在可靠性、丰富性、独特性和创新性等方面也形成了有力竞争并局部有所超越，公司所提供的解决方案符合国</w:t>
      </w:r>
      <w:r>
        <w:rPr>
          <w:spacing w:val="-66"/>
        </w:rPr>
        <w:t> </w:t>
      </w:r>
      <w:r>
        <w:rPr>
          <w:spacing w:val="-66"/>
        </w:rPr>
      </w:r>
      <w:r>
        <w:rPr>
          <w:spacing w:val="-1"/>
        </w:rPr>
        <w:t>内外的相关标准与规范，在理论基础和系统架构上均达到国际一流水平，领先于国内同行；与国内同行业厂商比较，</w:t>
      </w:r>
      <w:r>
        <w:rPr>
          <w:rFonts w:ascii="Times New Roman" w:hAnsi="Times New Roman" w:cs="Times New Roman" w:eastAsia="Times New Roman" w:hint="default"/>
          <w:spacing w:val="-1"/>
        </w:rPr>
        <w:t>ICT</w:t>
      </w:r>
      <w:r>
        <w:rPr>
          <w:spacing w:val="-1"/>
        </w:rPr>
        <w:t>运</w:t>
      </w:r>
      <w:r>
        <w:rPr>
          <w:spacing w:val="-51"/>
        </w:rPr>
        <w:t> </w:t>
      </w:r>
      <w:r>
        <w:rPr/>
        <w:t>营管理产品线齐全，涉及到</w:t>
      </w:r>
      <w:r>
        <w:rPr>
          <w:rFonts w:ascii="Times New Roman" w:hAnsi="Times New Roman" w:cs="Times New Roman" w:eastAsia="Times New Roman" w:hint="default"/>
        </w:rPr>
        <w:t>IT</w:t>
      </w:r>
      <w:r>
        <w:rPr/>
        <w:t>网管、通信专业网管、流程管理、信息安全管理、网络优化、移动互联网运营（包括飞信</w:t>
      </w:r>
      <w:r>
        <w:rPr>
          <w:rFonts w:ascii="Times New Roman" w:hAnsi="Times New Roman" w:cs="Times New Roman" w:eastAsia="Times New Roman" w:hint="default"/>
        </w:rPr>
        <w:t>/</w:t>
      </w:r>
      <w:r>
        <w:rPr/>
        <w:t>融</w:t>
      </w:r>
      <w:r>
        <w:rPr>
          <w:spacing w:val="-38"/>
        </w:rPr>
        <w:t> </w:t>
      </w:r>
      <w:r>
        <w:rPr/>
        <w:t>合通信</w:t>
      </w:r>
      <w:r>
        <w:rPr>
          <w:rFonts w:ascii="Times New Roman" w:hAnsi="Times New Roman" w:cs="Times New Roman" w:eastAsia="Times New Roman" w:hint="default"/>
        </w:rPr>
        <w:t>/</w:t>
      </w:r>
      <w:r>
        <w:rPr/>
        <w:t>农信通的开发运营）等，为客户提供多方位的、高质量的技术开发与面向业务运营的服务。</w:t>
      </w:r>
    </w:p>
    <w:p>
      <w:pPr>
        <w:pStyle w:val="BodyText"/>
        <w:spacing w:line="463" w:lineRule="auto" w:before="37"/>
        <w:ind w:right="1131" w:firstLine="420"/>
        <w:jc w:val="both"/>
      </w:pPr>
      <w:r>
        <w:rPr/>
        <w:t>公司及子公司新媒传信连续多年均被认定为国家规划布局内重点软件企业，具备计算机系统集成一级资质、国家信息 安全认证服务二级资质、软件能力成熟度模型集成（</w:t>
      </w:r>
      <w:r>
        <w:rPr>
          <w:rFonts w:ascii="Times New Roman" w:hAnsi="Times New Roman" w:cs="Times New Roman" w:eastAsia="Times New Roman" w:hint="default"/>
        </w:rPr>
        <w:t>CMMI L3</w:t>
      </w:r>
      <w:r>
        <w:rPr/>
        <w:t>）三级认证、</w:t>
      </w:r>
      <w:r>
        <w:rPr>
          <w:rFonts w:ascii="Times New Roman" w:hAnsi="Times New Roman" w:cs="Times New Roman" w:eastAsia="Times New Roman" w:hint="default"/>
        </w:rPr>
        <w:t>ISO9001:2000</w:t>
      </w:r>
      <w:r>
        <w:rPr/>
        <w:t>质量管理体系认证、</w:t>
      </w:r>
      <w:r>
        <w:rPr>
          <w:rFonts w:ascii="Times New Roman" w:hAnsi="Times New Roman" w:cs="Times New Roman" w:eastAsia="Times New Roman" w:hint="default"/>
        </w:rPr>
        <w:t>ISO20000</w:t>
      </w:r>
      <w:r>
        <w:rPr>
          <w:rFonts w:ascii="Times New Roman" w:hAnsi="Times New Roman" w:cs="Times New Roman" w:eastAsia="Times New Roman" w:hint="default"/>
          <w:spacing w:val="34"/>
        </w:rPr>
        <w:t> </w:t>
      </w:r>
      <w:r>
        <w:rPr>
          <w:rFonts w:ascii="Times New Roman" w:hAnsi="Times New Roman" w:cs="Times New Roman" w:eastAsia="Times New Roman" w:hint="default"/>
        </w:rPr>
        <w:t>IT</w:t>
      </w:r>
      <w:r>
        <w:rPr>
          <w:rFonts w:ascii="Times New Roman" w:hAnsi="Times New Roman" w:cs="Times New Roman" w:eastAsia="Times New Roman" w:hint="default"/>
        </w:rPr>
        <w:t> </w:t>
      </w:r>
      <w:r>
        <w:rPr/>
        <w:t>服务管理国际标准认证、</w:t>
      </w:r>
      <w:r>
        <w:rPr>
          <w:rFonts w:ascii="Times New Roman" w:hAnsi="Times New Roman" w:cs="Times New Roman" w:eastAsia="Times New Roman" w:hint="default"/>
        </w:rPr>
        <w:t>ISO27001</w:t>
      </w:r>
      <w:r>
        <w:rPr/>
        <w:t>信息安全管理体系认证等多项资质。</w:t>
      </w:r>
    </w:p>
    <w:p>
      <w:pPr>
        <w:pStyle w:val="BodyText"/>
        <w:spacing w:line="451" w:lineRule="auto" w:before="33"/>
        <w:ind w:right="1130" w:firstLine="420"/>
        <w:jc w:val="both"/>
      </w:pPr>
      <w:r>
        <w:rPr>
          <w:rFonts w:ascii="宋体" w:hAnsi="宋体" w:cs="宋体" w:eastAsia="宋体" w:hint="default"/>
          <w:b/>
          <w:bCs/>
          <w:w w:val="95"/>
        </w:rPr>
        <w:t>手机游戏领域</w:t>
      </w:r>
      <w:r>
        <w:rPr>
          <w:w w:val="95"/>
        </w:rPr>
        <w:t>，公司旗下重要手游研发团队</w:t>
      </w:r>
      <w:r>
        <w:rPr>
          <w:rFonts w:ascii="Times New Roman" w:hAnsi="Times New Roman" w:cs="Times New Roman" w:eastAsia="Times New Roman" w:hint="default"/>
          <w:w w:val="95"/>
        </w:rPr>
        <w:t>——</w:t>
      </w:r>
      <w:r>
        <w:rPr>
          <w:w w:val="95"/>
        </w:rPr>
        <w:t>壳木软件是中国目前为数不多的拥有独立研发世界水准的</w:t>
      </w:r>
      <w:r>
        <w:rPr>
          <w:rFonts w:ascii="Times New Roman" w:hAnsi="Times New Roman" w:cs="Times New Roman" w:eastAsia="Times New Roman" w:hint="default"/>
          <w:w w:val="95"/>
        </w:rPr>
        <w:t>3D</w:t>
      </w:r>
      <w:r>
        <w:rPr>
          <w:w w:val="95"/>
        </w:rPr>
        <w:t>游戏引擎</w:t>
      </w:r>
      <w:r>
        <w:rPr>
          <w:spacing w:val="-53"/>
          <w:w w:val="95"/>
        </w:rPr>
        <w:t> </w:t>
      </w:r>
      <w:r>
        <w:rPr>
          <w:spacing w:val="7"/>
        </w:rPr>
        <w:t>能力（可兼容各种层次的移动设备）的一流手机游戏研发团队，</w:t>
      </w:r>
      <w:r>
        <w:rPr>
          <w:rFonts w:ascii="Times New Roman" w:hAnsi="Times New Roman" w:cs="Times New Roman" w:eastAsia="Times New Roman" w:hint="default"/>
          <w:spacing w:val="7"/>
        </w:rPr>
        <w:t>2011</w:t>
      </w:r>
      <w:r>
        <w:rPr>
          <w:spacing w:val="7"/>
        </w:rPr>
        <w:t>年即获得了</w:t>
      </w:r>
      <w:r>
        <w:rPr>
          <w:rFonts w:ascii="Times New Roman" w:hAnsi="Times New Roman" w:cs="Times New Roman" w:eastAsia="Times New Roman" w:hint="default"/>
          <w:spacing w:val="7"/>
        </w:rPr>
        <w:t>Google</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3"/>
        </w:rPr>
        <w:t>Play</w:t>
      </w:r>
      <w:r>
        <w:rPr>
          <w:spacing w:val="3"/>
        </w:rPr>
        <w:t>官方颁发的</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Android</w:t>
      </w:r>
      <w:r>
        <w:rPr>
          <w:rFonts w:ascii="Times New Roman" w:hAnsi="Times New Roman" w:cs="Times New Roman" w:eastAsia="Times New Roman" w:hint="default"/>
          <w:spacing w:val="24"/>
        </w:rPr>
        <w:t> </w:t>
      </w:r>
      <w:r>
        <w:rPr>
          <w:rFonts w:ascii="Times New Roman" w:hAnsi="Times New Roman" w:cs="Times New Roman" w:eastAsia="Times New Roman" w:hint="default"/>
        </w:rPr>
        <w:t>Top</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rFonts w:ascii="Times New Roman" w:hAnsi="Times New Roman" w:cs="Times New Roman" w:eastAsia="Times New Roman" w:hint="default"/>
          <w:spacing w:val="-1"/>
        </w:rPr>
        <w:t>Developer”</w:t>
      </w:r>
      <w:r>
        <w:rPr>
          <w:spacing w:val="-1"/>
        </w:rPr>
        <w:t>（全球顶级开发者）认证，是中国大陆地区最早一家荣获此殊荣的手机游戏开发团队，游戏美术和设计团队来自</w:t>
      </w:r>
      <w:r>
        <w:rPr>
          <w:spacing w:val="-48"/>
        </w:rPr>
        <w:t> </w:t>
      </w:r>
      <w:r>
        <w:rPr>
          <w:spacing w:val="-48"/>
        </w:rPr>
      </w:r>
      <w:r>
        <w:rPr>
          <w:spacing w:val="-2"/>
        </w:rPr>
        <w:t>于中央美术学院等高等院校及完美世界、</w:t>
      </w:r>
      <w:r>
        <w:rPr>
          <w:rFonts w:ascii="Times New Roman" w:hAnsi="Times New Roman" w:cs="Times New Roman" w:eastAsia="Times New Roman" w:hint="default"/>
          <w:spacing w:val="-2"/>
        </w:rPr>
        <w:t>Ubi</w:t>
      </w:r>
      <w:r>
        <w:rPr>
          <w:spacing w:val="-2"/>
        </w:rPr>
        <w:t>、</w:t>
      </w:r>
      <w:r>
        <w:rPr>
          <w:rFonts w:ascii="Times New Roman" w:hAnsi="Times New Roman" w:cs="Times New Roman" w:eastAsia="Times New Roman" w:hint="default"/>
          <w:spacing w:val="-2"/>
        </w:rPr>
        <w:t>Glu</w:t>
      </w:r>
      <w:r>
        <w:rPr>
          <w:spacing w:val="-2"/>
        </w:rPr>
        <w:t>等国内外业界知名开发商，具有广阔的视野和高水准的技能。</w:t>
      </w:r>
      <w:r>
        <w:rPr>
          <w:rFonts w:ascii="Times New Roman" w:hAnsi="Times New Roman" w:cs="Times New Roman" w:eastAsia="Times New Roman" w:hint="default"/>
          <w:spacing w:val="-2"/>
        </w:rPr>
        <w:t>2015</w:t>
      </w:r>
      <w:r>
        <w:rPr>
          <w:spacing w:val="-2"/>
        </w:rPr>
        <w:t>年，壳</w:t>
      </w:r>
      <w:r>
        <w:rPr>
          <w:spacing w:val="-58"/>
        </w:rPr>
        <w:t> </w:t>
      </w:r>
      <w:r>
        <w:rPr>
          <w:spacing w:val="-58"/>
        </w:rPr>
      </w:r>
      <w:r>
        <w:rPr/>
        <w:t>木软件获得北京中关村高新技术企业协会评选的</w:t>
      </w:r>
      <w:r>
        <w:rPr>
          <w:rFonts w:ascii="Times New Roman" w:hAnsi="Times New Roman" w:cs="Times New Roman" w:eastAsia="Times New Roman" w:hint="default"/>
        </w:rPr>
        <w:t>“2015</w:t>
      </w:r>
      <w:r>
        <w:rPr/>
        <w:t>中关村高成长企业</w:t>
      </w:r>
      <w:r>
        <w:rPr>
          <w:rFonts w:ascii="Times New Roman" w:hAnsi="Times New Roman" w:cs="Times New Roman" w:eastAsia="Times New Roman" w:hint="default"/>
        </w:rPr>
        <w:t>TOP100”</w:t>
      </w:r>
      <w:r>
        <w:rPr/>
        <w:t>。</w:t>
      </w:r>
    </w:p>
    <w:p>
      <w:pPr>
        <w:pStyle w:val="BodyText"/>
        <w:spacing w:line="458" w:lineRule="auto" w:before="43"/>
        <w:ind w:right="1049" w:firstLine="420"/>
        <w:jc w:val="both"/>
      </w:pPr>
      <w:r>
        <w:rPr>
          <w:rFonts w:ascii="宋体" w:hAnsi="宋体" w:cs="宋体" w:eastAsia="宋体" w:hint="default"/>
          <w:b/>
          <w:bCs/>
        </w:rPr>
        <w:t>物联网技术应用领域</w:t>
      </w:r>
      <w:r>
        <w:rPr/>
        <w:t>，公司智慧线技术在物联网芯片、通信协议、核心算法、产品和解决方案等方面已进行了</w:t>
      </w:r>
      <w:r>
        <w:rPr>
          <w:rFonts w:ascii="Times New Roman" w:hAnsi="Times New Roman" w:cs="Times New Roman" w:eastAsia="Times New Roman" w:hint="default"/>
        </w:rPr>
        <w:t>5</w:t>
      </w:r>
      <w:r>
        <w:rPr/>
        <w:t>年的技 </w:t>
      </w:r>
      <w:r>
        <w:rPr>
          <w:spacing w:val="-2"/>
        </w:rPr>
        <w:t>术和实践积累，通过国家矿用产品安全标志认证和军工产品质量管理体系认证，并牵头及参与制定</w:t>
      </w:r>
      <w:r>
        <w:rPr>
          <w:rFonts w:ascii="Times New Roman" w:hAnsi="Times New Roman" w:cs="Times New Roman" w:eastAsia="Times New Roman" w:hint="default"/>
          <w:spacing w:val="-2"/>
        </w:rPr>
        <w:t>10</w:t>
      </w:r>
      <w:r>
        <w:rPr>
          <w:spacing w:val="-2"/>
        </w:rPr>
        <w:t>项强制性矿山类安全生</w:t>
      </w:r>
      <w:r>
        <w:rPr>
          <w:spacing w:val="-61"/>
        </w:rPr>
        <w:t> </w:t>
      </w:r>
      <w:r>
        <w:rPr>
          <w:spacing w:val="-2"/>
        </w:rPr>
        <w:t>产行业标准。智慧线相关的无线通讯与精确定位技术被列入北京市二十大颠覆性技术储备库。该技术已在密云首云铁矿、平</w:t>
      </w:r>
      <w:r>
        <w:rPr>
          <w:spacing w:val="-66"/>
        </w:rPr>
        <w:t> </w:t>
      </w:r>
      <w:r>
        <w:rPr>
          <w:spacing w:val="-66"/>
        </w:rPr>
      </w:r>
      <w:r>
        <w:rPr/>
        <w:t>煤和神华等多个煤矿试用，并在神华、中石油等相关公司正式商用，在</w:t>
      </w:r>
      <w:r>
        <w:rPr>
          <w:rFonts w:ascii="Times New Roman" w:hAnsi="Times New Roman" w:cs="Times New Roman" w:eastAsia="Times New Roman" w:hint="default"/>
        </w:rPr>
        <w:t>2015</w:t>
      </w:r>
      <w:r>
        <w:rPr/>
        <w:t>年抗战</w:t>
      </w:r>
      <w:r>
        <w:rPr>
          <w:rFonts w:ascii="Times New Roman" w:hAnsi="Times New Roman" w:cs="Times New Roman" w:eastAsia="Times New Roman" w:hint="default"/>
        </w:rPr>
        <w:t>70</w:t>
      </w:r>
      <w:r>
        <w:rPr/>
        <w:t>周年阅兵活动的军事基地防护中应用，</w:t>
      </w:r>
    </w:p>
    <w:p>
      <w:pPr>
        <w:spacing w:after="0" w:line="458" w:lineRule="auto"/>
        <w:jc w:val="both"/>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right="0"/>
        <w:jc w:val="left"/>
      </w:pPr>
      <w:r>
        <w:rPr/>
        <w:t>产品经受实践检验，得到了相关单位的好评和表彰。</w:t>
      </w:r>
    </w:p>
    <w:p>
      <w:pPr>
        <w:spacing w:line="240" w:lineRule="auto" w:before="10"/>
        <w:rPr>
          <w:rFonts w:ascii="宋体" w:hAnsi="宋体" w:cs="宋体" w:eastAsia="宋体" w:hint="default"/>
          <w:sz w:val="17"/>
          <w:szCs w:val="17"/>
        </w:rPr>
      </w:pPr>
    </w:p>
    <w:p>
      <w:pPr>
        <w:pStyle w:val="BodyText"/>
        <w:spacing w:line="451" w:lineRule="auto"/>
        <w:ind w:left="1553" w:right="0"/>
        <w:jc w:val="left"/>
      </w:pPr>
      <w:r>
        <w:rPr>
          <w:rFonts w:ascii="Times New Roman" w:hAnsi="Times New Roman" w:cs="Times New Roman" w:eastAsia="Times New Roman" w:hint="default"/>
          <w:b/>
          <w:bCs/>
        </w:rPr>
        <w:t>2</w:t>
      </w:r>
      <w:r>
        <w:rPr>
          <w:rFonts w:ascii="宋体" w:hAnsi="宋体" w:cs="宋体" w:eastAsia="宋体" w:hint="default"/>
          <w:b/>
          <w:bCs/>
        </w:rPr>
        <w:t>、行业实践经验优势</w:t>
      </w:r>
      <w:r>
        <w:rPr>
          <w:rFonts w:ascii="宋体" w:hAnsi="宋体" w:cs="宋体" w:eastAsia="宋体" w:hint="default"/>
          <w:b/>
          <w:bCs/>
          <w:w w:val="99"/>
        </w:rPr>
        <w:t> </w:t>
      </w:r>
      <w:r>
        <w:rPr/>
        <w:t>公司拥有丰富的电信、金融、能源等行业和政府机构的运维管理项目实施经验，尤其是在线关键业务</w:t>
      </w:r>
      <w:r>
        <w:rPr>
          <w:rFonts w:ascii="Times New Roman" w:hAnsi="Times New Roman" w:cs="Times New Roman" w:eastAsia="Times New Roman" w:hint="default"/>
        </w:rPr>
        <w:t>IT</w:t>
      </w:r>
      <w:r>
        <w:rPr/>
        <w:t>运维管理的经</w:t>
      </w:r>
    </w:p>
    <w:p>
      <w:pPr>
        <w:pStyle w:val="BodyText"/>
        <w:spacing w:line="477" w:lineRule="auto" w:before="44"/>
        <w:ind w:right="0"/>
        <w:jc w:val="left"/>
      </w:pPr>
      <w:r>
        <w:rPr>
          <w:spacing w:val="-4"/>
        </w:rPr>
        <w:t>验和方法论。作为电信运营商的重要合作伙伴，公司积累了丰富的电信行业项目经验，多次参与电信运营商技术规范的制定，</w:t>
      </w:r>
      <w:r>
        <w:rPr>
          <w:spacing w:val="-44"/>
        </w:rPr>
        <w:t> </w:t>
      </w:r>
      <w:r>
        <w:rPr>
          <w:spacing w:val="-44"/>
        </w:rPr>
      </w:r>
      <w:r>
        <w:rPr>
          <w:spacing w:val="-2"/>
        </w:rPr>
        <w:t>通过对电信运营商的运维需求进行深入分析和梳理，积淀了丰富的实践经验并将其向其他行业推广，从而为其他行业的客户</w:t>
      </w:r>
      <w:r>
        <w:rPr>
          <w:spacing w:val="-64"/>
        </w:rPr>
        <w:t> </w:t>
      </w:r>
      <w:r>
        <w:rPr>
          <w:spacing w:val="-64"/>
        </w:rPr>
      </w:r>
      <w:r>
        <w:rPr/>
        <w:t>提供成熟优质的产品和服务。</w:t>
      </w:r>
    </w:p>
    <w:p>
      <w:pPr>
        <w:pStyle w:val="BodyText"/>
        <w:spacing w:line="477" w:lineRule="auto" w:before="54"/>
        <w:ind w:right="1131" w:firstLine="422"/>
        <w:jc w:val="both"/>
      </w:pPr>
      <w:r>
        <w:rPr/>
        <w:t>公司在移动互联网运营服务方向积累了丰富的大型项目经验。飞信业务、融合通信业务、农信通业务的开发运营实践 </w:t>
      </w:r>
      <w:r>
        <w:rPr>
          <w:spacing w:val="-2"/>
        </w:rPr>
        <w:t>中，公司形成了强大的互联网产品开发能力和运营能力，在技术、产品、团队、运营经验、对互联网市场的理解等诸多方面</w:t>
      </w:r>
      <w:r>
        <w:rPr>
          <w:spacing w:val="-70"/>
        </w:rPr>
        <w:t> </w:t>
      </w:r>
      <w:r>
        <w:rPr>
          <w:spacing w:val="-70"/>
        </w:rPr>
      </w:r>
      <w:r>
        <w:rPr>
          <w:spacing w:val="-2"/>
        </w:rPr>
        <w:t>均有着深厚的积累。这些积累为公司在互联网运营服务领域的进一步发展打下了坚实基础，有利于公司拓展面向大型组织机</w:t>
      </w:r>
      <w:r>
        <w:rPr>
          <w:spacing w:val="-64"/>
        </w:rPr>
        <w:t> </w:t>
      </w:r>
      <w:r>
        <w:rPr>
          <w:spacing w:val="-64"/>
        </w:rPr>
      </w:r>
      <w:r>
        <w:rPr/>
        <w:t>构的互联网运营业务，有利于公司融合通信各相关业务的演化推进。</w:t>
      </w:r>
    </w:p>
    <w:p>
      <w:pPr>
        <w:pStyle w:val="BodyText"/>
        <w:spacing w:line="451" w:lineRule="auto" w:before="53"/>
        <w:ind w:left="1553" w:right="0" w:firstLine="2"/>
        <w:jc w:val="left"/>
      </w:pPr>
      <w:r>
        <w:rPr>
          <w:rFonts w:ascii="Times New Roman" w:hAnsi="Times New Roman" w:cs="Times New Roman" w:eastAsia="Times New Roman" w:hint="default"/>
          <w:b/>
          <w:bCs/>
        </w:rPr>
        <w:t>3</w:t>
      </w:r>
      <w:r>
        <w:rPr>
          <w:rFonts w:ascii="宋体" w:hAnsi="宋体" w:cs="宋体" w:eastAsia="宋体" w:hint="default"/>
          <w:b/>
          <w:bCs/>
        </w:rPr>
        <w:t>、客户资源优势</w:t>
      </w:r>
      <w:r>
        <w:rPr>
          <w:rFonts w:ascii="宋体" w:hAnsi="宋体" w:cs="宋体" w:eastAsia="宋体" w:hint="default"/>
          <w:b/>
          <w:bCs/>
          <w:w w:val="99"/>
        </w:rPr>
        <w:t> </w:t>
      </w:r>
      <w:r>
        <w:rPr/>
        <w:t>公司在多年的业务发展过程中积累了一批以电信行业为主，兼顾金融、政府、能源、交通等行业中的大中型企业以及</w:t>
      </w:r>
    </w:p>
    <w:p>
      <w:pPr>
        <w:pStyle w:val="BodyText"/>
        <w:spacing w:line="477" w:lineRule="auto" w:before="74"/>
        <w:ind w:right="0"/>
        <w:jc w:val="left"/>
      </w:pPr>
      <w:r>
        <w:rPr>
          <w:spacing w:val="-2"/>
        </w:rPr>
        <w:t>政府机构的优质客户资源，主要包括：中国移动、中国联通、中国电信、人民银行、建设银行、光大银行、民生银行、中国</w:t>
      </w:r>
      <w:r>
        <w:rPr>
          <w:spacing w:val="-69"/>
        </w:rPr>
        <w:t> </w:t>
      </w:r>
      <w:r>
        <w:rPr>
          <w:spacing w:val="-69"/>
        </w:rPr>
      </w:r>
      <w:r>
        <w:rPr>
          <w:spacing w:val="-2"/>
        </w:rPr>
        <w:t>人寿、新华人寿、上海证券交易所、中国证券登记结算公司、中国海洋石油总公司、国家电网公司、南方电网公司、中国华</w:t>
      </w:r>
      <w:r>
        <w:rPr>
          <w:spacing w:val="-72"/>
        </w:rPr>
        <w:t> </w:t>
      </w:r>
      <w:r>
        <w:rPr>
          <w:spacing w:val="-72"/>
        </w:rPr>
      </w:r>
      <w:r>
        <w:rPr>
          <w:spacing w:val="-4"/>
        </w:rPr>
        <w:t>能、国务院办公厅、全国政协办公厅、国家地震局、国家知识专利局、北京市人民政府、新华通讯社、中央人民广播电台等。</w:t>
      </w:r>
      <w:r>
        <w:rPr>
          <w:spacing w:val="-49"/>
        </w:rPr>
        <w:t> </w:t>
      </w:r>
      <w:r>
        <w:rPr>
          <w:spacing w:val="-49"/>
        </w:rPr>
      </w:r>
      <w:r>
        <w:rPr>
          <w:spacing w:val="-2"/>
        </w:rPr>
        <w:t>公司的产品和服务在上述客户中得到了广泛应用与高度认同，在业内留下了良好的口碑。优质的客户资源，为公司进一步拓</w:t>
      </w:r>
      <w:r>
        <w:rPr>
          <w:spacing w:val="-66"/>
        </w:rPr>
        <w:t> </w:t>
      </w:r>
      <w:r>
        <w:rPr>
          <w:spacing w:val="-66"/>
        </w:rPr>
      </w:r>
      <w:r>
        <w:rPr/>
        <w:t>展新的市场空间、保持稳定的增长奠定了坚实的基础。</w:t>
      </w:r>
    </w:p>
    <w:p>
      <w:pPr>
        <w:pStyle w:val="BodyText"/>
        <w:spacing w:line="451" w:lineRule="auto" w:before="54"/>
        <w:ind w:left="1553" w:right="1693" w:firstLine="2"/>
        <w:jc w:val="left"/>
      </w:pPr>
      <w:r>
        <w:rPr>
          <w:rFonts w:ascii="Times New Roman" w:hAnsi="Times New Roman" w:cs="Times New Roman" w:eastAsia="Times New Roman" w:hint="default"/>
          <w:b/>
          <w:bCs/>
        </w:rPr>
        <w:t>4</w:t>
      </w:r>
      <w:r>
        <w:rPr>
          <w:rFonts w:ascii="宋体" w:hAnsi="宋体" w:cs="宋体" w:eastAsia="宋体" w:hint="default"/>
          <w:b/>
          <w:bCs/>
        </w:rPr>
        <w:t>、市场品牌优势</w:t>
      </w:r>
      <w:r>
        <w:rPr>
          <w:rFonts w:ascii="宋体" w:hAnsi="宋体" w:cs="宋体" w:eastAsia="宋体" w:hint="default"/>
          <w:b/>
          <w:bCs/>
          <w:w w:val="99"/>
        </w:rPr>
        <w:t> </w:t>
      </w:r>
      <w:r>
        <w:rPr/>
        <w:t>公司高度重视市场品牌建设，致力于打造信息产业内知名品牌，上市以来，公司获得的部分荣誉与奖项如下：</w:t>
      </w:r>
    </w:p>
    <w:p>
      <w:pPr>
        <w:pStyle w:val="BodyText"/>
        <w:spacing w:line="451" w:lineRule="auto" w:before="74"/>
        <w:ind w:right="1128" w:firstLine="420"/>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-2010</w:t>
      </w:r>
      <w:r>
        <w:rPr/>
        <w:t>年，公司被中国软件行业协会评为</w:t>
      </w:r>
      <w:r>
        <w:rPr>
          <w:rFonts w:ascii="Times New Roman" w:hAnsi="Times New Roman" w:cs="Times New Roman" w:eastAsia="Times New Roman" w:hint="default"/>
        </w:rPr>
        <w:t>“2009</w:t>
      </w:r>
      <w:r>
        <w:rPr/>
        <w:t>中国软件产业脊梁企业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年，公司被国家发展改革委、科技 部、财政部、海关总署、国家税务总局公司评为</w:t>
      </w:r>
      <w:r>
        <w:rPr>
          <w:rFonts w:ascii="Times New Roman" w:hAnsi="Times New Roman" w:cs="Times New Roman" w:eastAsia="Times New Roman" w:hint="default"/>
        </w:rPr>
        <w:t>“</w:t>
      </w:r>
      <w:r>
        <w:rPr/>
        <w:t>国家企业技术中心</w:t>
      </w:r>
      <w:r>
        <w:rPr>
          <w:rFonts w:ascii="Times New Roman" w:hAnsi="Times New Roman" w:cs="Times New Roman" w:eastAsia="Times New Roman" w:hint="default"/>
        </w:rPr>
        <w:t>”</w:t>
      </w:r>
      <w:r>
        <w:rPr/>
        <w:t>；北京中关村国际孵化软件协会评选的</w:t>
      </w:r>
      <w:r>
        <w:rPr>
          <w:rFonts w:ascii="Times New Roman" w:hAnsi="Times New Roman" w:cs="Times New Roman" w:eastAsia="Times New Roman" w:hint="default"/>
        </w:rPr>
        <w:t>“2010</w:t>
      </w:r>
      <w:r>
        <w:rPr/>
        <w:t>年度中关</w:t>
      </w:r>
      <w:r>
        <w:rPr>
          <w:spacing w:val="-56"/>
        </w:rPr>
        <w:t> </w:t>
      </w:r>
      <w:r>
        <w:rPr>
          <w:spacing w:val="-56"/>
        </w:rPr>
      </w:r>
      <w:r>
        <w:rPr/>
        <w:t>村国家自主创新示范区核心区软件行业创新示范百强企业</w:t>
      </w:r>
      <w:r>
        <w:rPr>
          <w:rFonts w:ascii="Times New Roman" w:hAnsi="Times New Roman" w:cs="Times New Roman" w:eastAsia="Times New Roman" w:hint="default"/>
        </w:rPr>
        <w:t>”</w:t>
      </w:r>
      <w:r>
        <w:rPr/>
        <w:t>。</w:t>
      </w:r>
    </w:p>
    <w:p>
      <w:pPr>
        <w:pStyle w:val="BodyText"/>
        <w:spacing w:line="451" w:lineRule="auto" w:before="43"/>
        <w:ind w:right="1129"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年，公司荣获了中国软件行业协会评选的</w:t>
      </w:r>
      <w:r>
        <w:rPr>
          <w:rFonts w:ascii="Times New Roman" w:hAnsi="Times New Roman" w:cs="Times New Roman" w:eastAsia="Times New Roman" w:hint="default"/>
        </w:rPr>
        <w:t>“2011</w:t>
      </w:r>
      <w:r>
        <w:rPr/>
        <w:t>中国软件和信息技术服务业最有价值品牌</w:t>
      </w:r>
      <w:r>
        <w:rPr>
          <w:rFonts w:ascii="Times New Roman" w:hAnsi="Times New Roman" w:cs="Times New Roman" w:eastAsia="Times New Roman" w:hint="default"/>
        </w:rPr>
        <w:t>”</w:t>
      </w:r>
      <w:r>
        <w:rPr/>
        <w:t>；赛迪网评选的 </w:t>
      </w:r>
      <w:r>
        <w:rPr>
          <w:rFonts w:ascii="Times New Roman" w:hAnsi="Times New Roman" w:cs="Times New Roman" w:eastAsia="Times New Roman" w:hint="default"/>
        </w:rPr>
        <w:t>“2011</w:t>
      </w:r>
      <w:r>
        <w:rPr/>
        <w:t>年创新</w:t>
      </w:r>
      <w:r>
        <w:rPr>
          <w:rFonts w:ascii="Times New Roman" w:hAnsi="Times New Roman" w:cs="Times New Roman" w:eastAsia="Times New Roman" w:hint="default"/>
        </w:rPr>
        <w:t>IT</w:t>
      </w:r>
      <w:r>
        <w:rPr/>
        <w:t>领军企业奖</w:t>
      </w:r>
      <w:r>
        <w:rPr>
          <w:rFonts w:ascii="Times New Roman" w:hAnsi="Times New Roman" w:cs="Times New Roman" w:eastAsia="Times New Roman" w:hint="default"/>
        </w:rPr>
        <w:t>”</w:t>
      </w:r>
      <w:r>
        <w:rPr/>
        <w:t>；中国企业联合会评选的</w:t>
      </w:r>
      <w:r>
        <w:rPr>
          <w:rFonts w:ascii="Times New Roman" w:hAnsi="Times New Roman" w:cs="Times New Roman" w:eastAsia="Times New Roman" w:hint="default"/>
        </w:rPr>
        <w:t>“2010</w:t>
      </w:r>
      <w:r>
        <w:rPr>
          <w:rFonts w:ascii="Times New Roman" w:hAnsi="Times New Roman" w:cs="Times New Roman" w:eastAsia="Times New Roman" w:hint="default"/>
        </w:rPr>
        <w:t>-2011</w:t>
      </w:r>
      <w:r>
        <w:rPr/>
        <w:t>年度全国企业文化优秀成果</w:t>
      </w:r>
      <w:r>
        <w:rPr>
          <w:rFonts w:ascii="Times New Roman" w:hAnsi="Times New Roman" w:cs="Times New Roman" w:eastAsia="Times New Roman" w:hint="default"/>
        </w:rPr>
        <w:t>”</w:t>
      </w:r>
      <w:r>
        <w:rPr/>
        <w:t>；通信产业报社评选的</w:t>
      </w:r>
      <w:r>
        <w:rPr>
          <w:rFonts w:ascii="Times New Roman" w:hAnsi="Times New Roman" w:cs="Times New Roman" w:eastAsia="Times New Roman" w:hint="default"/>
        </w:rPr>
        <w:t>“</w:t>
      </w:r>
      <w:r>
        <w:rPr/>
        <w:t>中国通</w:t>
      </w:r>
      <w:r>
        <w:rPr>
          <w:spacing w:val="-84"/>
        </w:rPr>
        <w:t> </w:t>
      </w:r>
      <w:r>
        <w:rPr/>
        <w:t>信设备技术供应商</w:t>
      </w:r>
      <w:r>
        <w:rPr>
          <w:rFonts w:ascii="Times New Roman" w:hAnsi="Times New Roman" w:cs="Times New Roman" w:eastAsia="Times New Roman" w:hint="default"/>
        </w:rPr>
        <w:t>50</w:t>
      </w:r>
      <w:r>
        <w:rPr/>
        <w:t>强（</w:t>
      </w:r>
      <w:r>
        <w:rPr>
          <w:rFonts w:ascii="Times New Roman" w:hAnsi="Times New Roman" w:cs="Times New Roman" w:eastAsia="Times New Roman" w:hint="default"/>
        </w:rPr>
        <w:t>2010-2011</w:t>
      </w:r>
      <w:r>
        <w:rPr/>
        <w:t>）</w:t>
      </w:r>
      <w:r>
        <w:rPr>
          <w:rFonts w:ascii="Times New Roman" w:hAnsi="Times New Roman" w:cs="Times New Roman" w:eastAsia="Times New Roman" w:hint="default"/>
        </w:rPr>
        <w:t>”</w:t>
      </w:r>
      <w:r>
        <w:rPr/>
        <w:t>；工业和信息化部评选的</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w:t>
      </w:r>
      <w:r>
        <w:rPr/>
        <w:t>中国软件业务收入前百家企业</w:t>
      </w:r>
      <w:r>
        <w:rPr>
          <w:rFonts w:ascii="Times New Roman" w:hAnsi="Times New Roman" w:cs="Times New Roman" w:eastAsia="Times New Roman" w:hint="default"/>
        </w:rPr>
        <w:t>”</w:t>
      </w:r>
      <w:r>
        <w:rPr/>
        <w:t>。</w:t>
      </w:r>
    </w:p>
    <w:p>
      <w:pPr>
        <w:pStyle w:val="BodyText"/>
        <w:spacing w:line="451" w:lineRule="auto" w:before="43"/>
        <w:ind w:right="1129" w:firstLine="42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-2014</w:t>
      </w:r>
      <w:r>
        <w:rPr>
          <w:spacing w:val="-1"/>
        </w:rPr>
        <w:t>年，北京市国税、地税局颁发的</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w:t>
      </w:r>
      <w:r>
        <w:rPr>
          <w:spacing w:val="-1"/>
        </w:rPr>
        <w:t>纳税信用</w:t>
      </w:r>
      <w:r>
        <w:rPr>
          <w:rFonts w:ascii="Times New Roman" w:hAnsi="Times New Roman" w:cs="Times New Roman" w:eastAsia="Times New Roman" w:hint="default"/>
          <w:spacing w:val="-1"/>
        </w:rPr>
        <w:t>A</w:t>
      </w:r>
      <w:r>
        <w:rPr>
          <w:spacing w:val="-1"/>
        </w:rPr>
        <w:t>级企业</w:t>
      </w:r>
      <w:r>
        <w:rPr>
          <w:rFonts w:ascii="Times New Roman" w:hAnsi="Times New Roman" w:cs="Times New Roman" w:eastAsia="Times New Roman" w:hint="default"/>
          <w:spacing w:val="-1"/>
        </w:rPr>
        <w:t>”</w:t>
      </w:r>
      <w:r>
        <w:rPr>
          <w:spacing w:val="-1"/>
        </w:rPr>
        <w:t>；中国软件行业协会评选的</w:t>
      </w:r>
      <w:r>
        <w:rPr>
          <w:rFonts w:ascii="Times New Roman" w:hAnsi="Times New Roman" w:cs="Times New Roman" w:eastAsia="Times New Roman" w:hint="default"/>
          <w:spacing w:val="-1"/>
        </w:rPr>
        <w:t>“2013</w:t>
      </w:r>
      <w:r>
        <w:rPr>
          <w:spacing w:val="-1"/>
        </w:rPr>
        <w:t>中国十</w:t>
      </w:r>
      <w:r>
        <w:rPr/>
        <w:t> </w:t>
      </w:r>
      <w:r>
        <w:rPr>
          <w:spacing w:val="-1"/>
        </w:rPr>
        <w:t>大创新软件企业</w:t>
      </w:r>
      <w:r>
        <w:rPr>
          <w:rFonts w:ascii="Times New Roman" w:hAnsi="Times New Roman" w:cs="Times New Roman" w:eastAsia="Times New Roman" w:hint="default"/>
          <w:spacing w:val="-1"/>
        </w:rPr>
        <w:t>”</w:t>
      </w:r>
      <w:r>
        <w:rPr>
          <w:spacing w:val="-1"/>
        </w:rPr>
        <w:t>；中国电子企业协会</w:t>
      </w:r>
      <w:r>
        <w:rPr>
          <w:rFonts w:ascii="Times New Roman" w:hAnsi="Times New Roman" w:cs="Times New Roman" w:eastAsia="Times New Roman" w:hint="default"/>
          <w:spacing w:val="-1"/>
        </w:rPr>
        <w:t>“2013</w:t>
      </w:r>
      <w:r>
        <w:rPr>
          <w:spacing w:val="-1"/>
        </w:rPr>
        <w:t>全国电子信息行业领军企业</w:t>
      </w:r>
      <w:r>
        <w:rPr>
          <w:rFonts w:ascii="Times New Roman" w:hAnsi="Times New Roman" w:cs="Times New Roman" w:eastAsia="Times New Roman" w:hint="default"/>
          <w:spacing w:val="-1"/>
        </w:rPr>
        <w:t>”</w:t>
      </w:r>
      <w:r>
        <w:rPr>
          <w:spacing w:val="-1"/>
        </w:rPr>
        <w:t>；荣获中国通信学会评选的</w:t>
      </w:r>
      <w:r>
        <w:rPr>
          <w:rFonts w:ascii="Times New Roman" w:hAnsi="Times New Roman" w:cs="Times New Roman" w:eastAsia="Times New Roman" w:hint="default"/>
          <w:spacing w:val="-1"/>
        </w:rPr>
        <w:t>“</w:t>
      </w:r>
      <w:r>
        <w:rPr>
          <w:spacing w:val="-1"/>
        </w:rPr>
        <w:t>中国通信学会科学技术</w:t>
      </w:r>
      <w:r>
        <w:rPr>
          <w:spacing w:val="-76"/>
        </w:rPr>
        <w:t> </w:t>
      </w:r>
      <w:r>
        <w:rPr/>
        <w:t>一等奖</w:t>
      </w:r>
      <w:r>
        <w:rPr>
          <w:rFonts w:ascii="Times New Roman" w:hAnsi="Times New Roman" w:cs="Times New Roman" w:eastAsia="Times New Roman" w:hint="default"/>
        </w:rPr>
        <w:t>”</w:t>
      </w:r>
      <w:r>
        <w:rPr/>
        <w:t>；北京软件和信息服务业协会评选的</w:t>
      </w:r>
      <w:r>
        <w:rPr>
          <w:rFonts w:ascii="Times New Roman" w:hAnsi="Times New Roman" w:cs="Times New Roman" w:eastAsia="Times New Roman" w:hint="default"/>
        </w:rPr>
        <w:t>“2014</w:t>
      </w:r>
      <w:r>
        <w:rPr/>
        <w:t>年度北京市诚信创建企业</w:t>
      </w:r>
      <w:r>
        <w:rPr>
          <w:rFonts w:ascii="Times New Roman" w:hAnsi="Times New Roman" w:cs="Times New Roman" w:eastAsia="Times New Roman" w:hint="default"/>
        </w:rPr>
        <w:t>”</w:t>
      </w:r>
      <w:r>
        <w:rPr/>
        <w:t>。</w:t>
      </w:r>
    </w:p>
    <w:p>
      <w:pPr>
        <w:pStyle w:val="BodyText"/>
        <w:spacing w:line="451" w:lineRule="auto" w:before="43"/>
        <w:ind w:right="1129" w:firstLine="420"/>
        <w:jc w:val="both"/>
      </w:pPr>
      <w:r>
        <w:rPr>
          <w:rFonts w:ascii="Times New Roman" w:hAnsi="Times New Roman" w:cs="Times New Roman" w:eastAsia="Times New Roman" w:hint="default"/>
        </w:rPr>
        <w:t>2015</w:t>
      </w:r>
      <w:r>
        <w:rPr/>
        <w:t>年，公司获得工信部运行监测协调局颁发的</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14</w:t>
      </w:r>
      <w:r>
        <w:rPr/>
        <w:t>届）中国软件业务收入前百家企业</w:t>
      </w:r>
      <w:r>
        <w:rPr>
          <w:rFonts w:ascii="Times New Roman" w:hAnsi="Times New Roman" w:cs="Times New Roman" w:eastAsia="Times New Roman" w:hint="default"/>
        </w:rPr>
        <w:t>”</w:t>
      </w:r>
      <w:r>
        <w:rPr/>
        <w:t>；赛迪顾问评选的</w:t>
      </w:r>
      <w:r>
        <w:rPr>
          <w:spacing w:val="1"/>
        </w:rPr>
        <w:t> </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2"/>
        </w:rPr>
        <w:t>-2015</w:t>
      </w:r>
      <w:r>
        <w:rPr>
          <w:spacing w:val="2"/>
        </w:rPr>
        <w:t>年中国</w:t>
      </w:r>
      <w:r>
        <w:rPr>
          <w:rFonts w:ascii="Times New Roman" w:hAnsi="Times New Roman" w:cs="Times New Roman" w:eastAsia="Times New Roman" w:hint="default"/>
          <w:spacing w:val="2"/>
        </w:rPr>
        <w:t>IT</w:t>
      </w:r>
      <w:r>
        <w:rPr>
          <w:spacing w:val="2"/>
        </w:rPr>
        <w:t>自主创新突出贡献企业</w:t>
      </w:r>
      <w:r>
        <w:rPr>
          <w:rFonts w:ascii="Times New Roman" w:hAnsi="Times New Roman" w:cs="Times New Roman" w:eastAsia="Times New Roman" w:hint="default"/>
          <w:spacing w:val="2"/>
        </w:rPr>
        <w:t>”</w:t>
      </w:r>
      <w:r>
        <w:rPr>
          <w:spacing w:val="2"/>
        </w:rPr>
        <w:t>；壳木软件获得北京中关村高新技术企业协会评选的</w:t>
      </w:r>
      <w:r>
        <w:rPr>
          <w:rFonts w:ascii="Times New Roman" w:hAnsi="Times New Roman" w:cs="Times New Roman" w:eastAsia="Times New Roman" w:hint="default"/>
          <w:spacing w:val="2"/>
        </w:rPr>
        <w:t>“2015</w:t>
      </w:r>
      <w:r>
        <w:rPr>
          <w:spacing w:val="2"/>
        </w:rPr>
        <w:t>中关村高成长企业</w:t>
      </w:r>
    </w:p>
    <w:p>
      <w:pPr>
        <w:spacing w:after="0" w:line="451" w:lineRule="auto"/>
        <w:jc w:val="both"/>
        <w:sectPr>
          <w:pgSz w:w="11910" w:h="16840"/>
          <w:pgMar w:header="851" w:footer="979" w:top="1380" w:bottom="1160" w:left="0" w:right="0"/>
        </w:sectPr>
      </w:pPr>
    </w:p>
    <w:p>
      <w:pPr>
        <w:pStyle w:val="BodyText"/>
        <w:spacing w:line="451" w:lineRule="auto" w:before="141"/>
        <w:ind w:right="1118"/>
        <w:jc w:val="left"/>
      </w:pPr>
      <w:r>
        <w:rPr>
          <w:rFonts w:ascii="Times New Roman" w:hAnsi="Times New Roman" w:cs="Times New Roman" w:eastAsia="Times New Roman" w:hint="default"/>
          <w:spacing w:val="-1"/>
        </w:rPr>
        <w:t>TOP100”</w:t>
      </w:r>
      <w:r>
        <w:rPr>
          <w:spacing w:val="-1"/>
        </w:rPr>
        <w:t>；新媒传信获得中国电子信息产业发展研究院评选的</w:t>
      </w:r>
      <w:r>
        <w:rPr>
          <w:rFonts w:ascii="Times New Roman" w:hAnsi="Times New Roman" w:cs="Times New Roman" w:eastAsia="Times New Roman" w:hint="default"/>
          <w:spacing w:val="-1"/>
        </w:rPr>
        <w:t>“2015</w:t>
      </w:r>
      <w:r>
        <w:rPr>
          <w:spacing w:val="-1"/>
        </w:rPr>
        <w:t>年度中国金软件互联网通信领域最具影响力企业</w:t>
      </w:r>
      <w:r>
        <w:rPr>
          <w:rFonts w:ascii="Times New Roman" w:hAnsi="Times New Roman" w:cs="Times New Roman" w:eastAsia="Times New Roman" w:hint="default"/>
          <w:spacing w:val="-1"/>
        </w:rPr>
        <w:t>”</w:t>
      </w:r>
      <w:r>
        <w:rPr>
          <w:spacing w:val="-1"/>
        </w:rPr>
        <w:t>等重要</w:t>
      </w:r>
      <w:r>
        <w:rPr>
          <w:spacing w:val="-64"/>
        </w:rPr>
        <w:t> </w:t>
      </w:r>
      <w:r>
        <w:rPr/>
        <w:t>奖项。</w:t>
      </w:r>
    </w:p>
    <w:p>
      <w:pPr>
        <w:spacing w:after="0" w:line="451" w:lineRule="auto"/>
        <w:jc w:val="left"/>
        <w:sectPr>
          <w:pgSz w:w="11910" w:h="16840"/>
          <w:pgMar w:header="851" w:footer="979" w:top="1380" w:bottom="116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spacing w:line="240" w:lineRule="auto"/>
        <w:ind w:right="1114"/>
        <w:jc w:val="center"/>
        <w:rPr>
          <w:b w:val="0"/>
          <w:bCs w:val="0"/>
        </w:rPr>
      </w:pPr>
      <w:bookmarkStart w:name="第四节 管理层讨论与分析" w:id="22"/>
      <w:bookmarkEnd w:id="22"/>
      <w:r>
        <w:rPr>
          <w:b w:val="0"/>
          <w:bCs w:val="0"/>
        </w:rPr>
      </w:r>
      <w:bookmarkStart w:name="_bookmark3" w:id="23"/>
      <w:bookmarkEnd w:id="23"/>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both"/>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32"/>
          <w:szCs w:val="32"/>
        </w:rPr>
      </w:pPr>
    </w:p>
    <w:p>
      <w:pPr>
        <w:pStyle w:val="BodyText"/>
        <w:spacing w:line="458" w:lineRule="auto"/>
        <w:ind w:right="1053" w:firstLine="360"/>
        <w:jc w:val="left"/>
      </w:pPr>
      <w:r>
        <w:rPr>
          <w:rFonts w:ascii="Times New Roman" w:hAnsi="Times New Roman" w:cs="Times New Roman" w:eastAsia="Times New Roman" w:hint="default"/>
        </w:rPr>
        <w:t>2015</w:t>
      </w:r>
      <w:r>
        <w:rPr/>
        <w:t>年，是神州泰岳创新布局的重要一年，本着</w:t>
      </w:r>
      <w:r>
        <w:rPr>
          <w:rFonts w:ascii="Times New Roman" w:hAnsi="Times New Roman" w:cs="Times New Roman" w:eastAsia="Times New Roman" w:hint="default"/>
        </w:rPr>
        <w:t>“</w:t>
      </w:r>
      <w:r>
        <w:rPr/>
        <w:t>聚焦信息产业、多元化布局、专业化经营、扁平化运作</w:t>
      </w:r>
      <w:r>
        <w:rPr>
          <w:rFonts w:ascii="Times New Roman" w:hAnsi="Times New Roman" w:cs="Times New Roman" w:eastAsia="Times New Roman" w:hint="default"/>
        </w:rPr>
        <w:t>”</w:t>
      </w:r>
      <w:r>
        <w:rPr/>
        <w:t>的经营策略， </w:t>
      </w:r>
      <w:r>
        <w:rPr>
          <w:spacing w:val="-2"/>
        </w:rPr>
        <w:t>以市场需求为导向，深耕细作、创新拓展；同时积极调整、优化布局，结合各业务板块特征以及营运管理要求，对业务架构</w:t>
      </w:r>
      <w:r>
        <w:rPr>
          <w:spacing w:val="-68"/>
        </w:rPr>
        <w:t> </w:t>
      </w:r>
      <w:r>
        <w:rPr>
          <w:spacing w:val="-68"/>
        </w:rPr>
      </w:r>
      <w:r>
        <w:rPr/>
        <w:t>进行了优化与调整。报告期内，公司一方面着力于加强</w:t>
      </w:r>
      <w:r>
        <w:rPr>
          <w:rFonts w:ascii="Times New Roman" w:hAnsi="Times New Roman" w:cs="Times New Roman" w:eastAsia="Times New Roman" w:hint="default"/>
        </w:rPr>
        <w:t>ICT</w:t>
      </w:r>
      <w:r>
        <w:rPr/>
        <w:t>运营管理业务板块的项目扩展与盈利提升，另一方面继续加大业 务创新资源投入，为未来业务发展奠定基础。</w:t>
      </w:r>
    </w:p>
    <w:p>
      <w:pPr>
        <w:pStyle w:val="Heading6"/>
        <w:spacing w:line="240" w:lineRule="auto" w:before="68"/>
        <w:ind w:left="1495" w:right="0"/>
        <w:jc w:val="left"/>
        <w:rPr>
          <w:b w:val="0"/>
          <w:bCs w:val="0"/>
        </w:rPr>
      </w:pPr>
      <w:r>
        <w:rPr>
          <w:rFonts w:ascii="Times New Roman" w:hAnsi="Times New Roman" w:cs="Times New Roman" w:eastAsia="Times New Roman" w:hint="default"/>
        </w:rPr>
        <w:t>1</w:t>
      </w:r>
      <w:r>
        <w:rPr/>
        <w:t>、业务经营整体情况</w:t>
      </w:r>
      <w:r>
        <w:rPr>
          <w:b w:val="0"/>
          <w:bCs w:val="0"/>
        </w:rPr>
      </w:r>
    </w:p>
    <w:p>
      <w:pPr>
        <w:spacing w:line="240" w:lineRule="auto" w:before="9"/>
        <w:rPr>
          <w:rFonts w:ascii="宋体" w:hAnsi="宋体" w:cs="宋体" w:eastAsia="宋体" w:hint="default"/>
          <w:b/>
          <w:bCs/>
          <w:sz w:val="16"/>
          <w:szCs w:val="16"/>
        </w:rPr>
      </w:pPr>
    </w:p>
    <w:p>
      <w:pPr>
        <w:spacing w:line="451" w:lineRule="auto" w:before="0"/>
        <w:ind w:left="1494" w:right="1112" w:firstLine="1"/>
        <w:jc w:val="left"/>
        <w:rPr>
          <w:rFonts w:ascii="宋体" w:hAnsi="宋体" w:cs="宋体" w:eastAsia="宋体" w:hint="default"/>
          <w:sz w:val="18"/>
          <w:szCs w:val="18"/>
        </w:rPr>
      </w:pPr>
      <w:r>
        <w:rPr>
          <w:rFonts w:ascii="宋体" w:hAnsi="宋体" w:cs="宋体" w:eastAsia="宋体" w:hint="default"/>
          <w:b/>
          <w:bCs/>
          <w:sz w:val="18"/>
          <w:szCs w:val="18"/>
        </w:rPr>
        <w:t>（一）在</w:t>
      </w:r>
      <w:r>
        <w:rPr>
          <w:rFonts w:ascii="Times New Roman" w:hAnsi="Times New Roman" w:cs="Times New Roman" w:eastAsia="Times New Roman" w:hint="default"/>
          <w:b/>
          <w:bCs/>
          <w:sz w:val="18"/>
          <w:szCs w:val="18"/>
        </w:rPr>
        <w:t>ICT</w:t>
      </w:r>
      <w:r>
        <w:rPr>
          <w:rFonts w:ascii="宋体" w:hAnsi="宋体" w:cs="宋体" w:eastAsia="宋体" w:hint="default"/>
          <w:b/>
          <w:bCs/>
          <w:sz w:val="18"/>
          <w:szCs w:val="18"/>
        </w:rPr>
        <w:t>运营管理领域</w:t>
      </w:r>
      <w:r>
        <w:rPr>
          <w:rFonts w:ascii="宋体" w:hAnsi="宋体" w:cs="宋体" w:eastAsia="宋体" w:hint="default"/>
          <w:b/>
          <w:bCs/>
          <w:w w:val="99"/>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ICT</w:t>
      </w:r>
      <w:r>
        <w:rPr>
          <w:rFonts w:ascii="宋体" w:hAnsi="宋体" w:cs="宋体" w:eastAsia="宋体" w:hint="default"/>
          <w:sz w:val="18"/>
          <w:szCs w:val="18"/>
        </w:rPr>
        <w:t>运营管理产品线主要涵盖</w:t>
      </w:r>
      <w:r>
        <w:rPr>
          <w:rFonts w:ascii="Times New Roman" w:hAnsi="Times New Roman" w:cs="Times New Roman" w:eastAsia="Times New Roman" w:hint="default"/>
          <w:sz w:val="18"/>
          <w:szCs w:val="18"/>
        </w:rPr>
        <w:t>IT</w:t>
      </w:r>
      <w:r>
        <w:rPr>
          <w:rFonts w:ascii="宋体" w:hAnsi="宋体" w:cs="宋体" w:eastAsia="宋体" w:hint="default"/>
          <w:sz w:val="18"/>
          <w:szCs w:val="18"/>
        </w:rPr>
        <w:t>网管、通信专业网管、流程管理、信息安全管理、拨测及网络优化、移动互联网运</w:t>
      </w:r>
    </w:p>
    <w:p>
      <w:pPr>
        <w:pStyle w:val="BodyText"/>
        <w:spacing w:line="463" w:lineRule="auto" w:before="43"/>
        <w:ind w:left="1134" w:right="1131"/>
        <w:jc w:val="both"/>
      </w:pPr>
      <w:r>
        <w:rPr>
          <w:spacing w:val="-1"/>
        </w:rPr>
        <w:t>营（包括飞信、融合通信、农信通）、系统集成等。基于</w:t>
      </w:r>
      <w:r>
        <w:rPr>
          <w:rFonts w:ascii="Times New Roman" w:hAnsi="Times New Roman" w:cs="Times New Roman" w:eastAsia="Times New Roman" w:hint="default"/>
          <w:spacing w:val="-1"/>
        </w:rPr>
        <w:t>ICT</w:t>
      </w:r>
      <w:r>
        <w:rPr>
          <w:spacing w:val="-1"/>
        </w:rPr>
        <w:t>的运营管理具备需求刚性以及业务粘性强的特征，未来市场空</w:t>
      </w:r>
      <w:r>
        <w:rPr>
          <w:spacing w:val="-60"/>
        </w:rPr>
        <w:t> </w:t>
      </w:r>
      <w:r>
        <w:rPr>
          <w:spacing w:val="-60"/>
        </w:rPr>
      </w:r>
      <w:r>
        <w:rPr>
          <w:spacing w:val="-2"/>
        </w:rPr>
        <w:t>间会保持持续、稳定的发展。公司在该领域的发展策略是专注、坚守并不断拓展产品线，通过结构化的产品布局推动运营管</w:t>
      </w:r>
      <w:r>
        <w:rPr>
          <w:spacing w:val="-66"/>
        </w:rPr>
        <w:t> </w:t>
      </w:r>
      <w:r>
        <w:rPr>
          <w:spacing w:val="-66"/>
        </w:rPr>
      </w:r>
      <w:r>
        <w:rPr/>
        <w:t>理业务发展。</w:t>
      </w:r>
    </w:p>
    <w:p>
      <w:pPr>
        <w:pStyle w:val="BodyText"/>
        <w:spacing w:line="463" w:lineRule="auto" w:before="65"/>
        <w:ind w:right="1129" w:firstLine="360"/>
        <w:jc w:val="both"/>
      </w:pPr>
      <w:r>
        <w:rPr/>
        <w:t>（</w:t>
      </w:r>
      <w:r>
        <w:rPr>
          <w:rFonts w:ascii="Times New Roman" w:hAnsi="Times New Roman" w:cs="Times New Roman" w:eastAsia="Times New Roman" w:hint="default"/>
        </w:rPr>
        <w:t>1</w:t>
      </w:r>
      <w:r>
        <w:rPr/>
        <w:t>）报告期内，公司密切跟踪以电信行业为代表的国内信息化建设以及互联网的发展趋势，尤其是云计算、大数据等 </w:t>
      </w:r>
      <w:r>
        <w:rPr>
          <w:spacing w:val="-2"/>
        </w:rPr>
        <w:t>对运维管理带来的需求，围绕核心系统建设进行深度项目优化和研发创新，进一步丰富运维管理业务线、提升产品性能与功</w:t>
      </w:r>
      <w:r>
        <w:rPr>
          <w:spacing w:val="-66"/>
        </w:rPr>
        <w:t> </w:t>
      </w:r>
      <w:r>
        <w:rPr>
          <w:spacing w:val="-66"/>
        </w:rPr>
      </w:r>
      <w:r>
        <w:rPr/>
        <w:t>能、不断推进项目的滚动开发建设，持续加强技术储备。</w:t>
      </w:r>
    </w:p>
    <w:p>
      <w:pPr>
        <w:pStyle w:val="BodyText"/>
        <w:spacing w:line="472" w:lineRule="auto" w:before="65"/>
        <w:ind w:right="1033" w:firstLine="360"/>
        <w:jc w:val="left"/>
      </w:pPr>
      <w:r>
        <w:rPr/>
        <w:t>（</w:t>
      </w:r>
      <w:r>
        <w:rPr>
          <w:rFonts w:ascii="Times New Roman" w:hAnsi="Times New Roman" w:cs="Times New Roman" w:eastAsia="Times New Roman" w:hint="default"/>
        </w:rPr>
        <w:t>2</w:t>
      </w:r>
      <w:r>
        <w:rPr/>
        <w:t>）报告期内，继续做好飞信、农信通的开发与运营支撑工作，负责平台与内容开发、系统实施、日常运营等在内的 </w:t>
      </w:r>
      <w:r>
        <w:rPr>
          <w:spacing w:val="-2"/>
        </w:rPr>
        <w:t>全面服务，保证系统的持续稳定运行。飞信业务近年来收入水平有较大程度的下滑，但公司利用近十年所积累的移动互联网</w:t>
      </w:r>
      <w:r>
        <w:rPr>
          <w:spacing w:val="-66"/>
        </w:rPr>
        <w:t> </w:t>
      </w:r>
      <w:r>
        <w:rPr>
          <w:spacing w:val="-66"/>
        </w:rPr>
      </w:r>
      <w:r>
        <w:rPr>
          <w:spacing w:val="-2"/>
        </w:rPr>
        <w:t>系统运营支撑业务经验，通过总结、分析、精炼和沉淀，形成了即时通信领域的基础软件和核心竞争力，积极配合中国移动</w:t>
      </w:r>
      <w:r>
        <w:rPr>
          <w:spacing w:val="-66"/>
        </w:rPr>
        <w:t> </w:t>
      </w:r>
      <w:r>
        <w:rPr>
          <w:spacing w:val="-66"/>
        </w:rPr>
      </w:r>
      <w:r>
        <w:rPr>
          <w:spacing w:val="-2"/>
        </w:rPr>
        <w:t>的融合通信战略，负责中国移动融合通信扩展功能平台的定制开发工作，并承建中国移动北方基地融合通信试点项目，已经</w:t>
      </w:r>
      <w:r>
        <w:rPr>
          <w:spacing w:val="-66"/>
        </w:rPr>
        <w:t> </w:t>
      </w:r>
      <w:r>
        <w:rPr>
          <w:spacing w:val="-66"/>
        </w:rPr>
      </w:r>
      <w:r>
        <w:rPr/>
        <w:t>成为中国移动融合通信业务合作的核心供应商之一，进一步巩固了与中移动在该等业务上的长期战略合作关系；与此同时， 基于融合通信的长期实践案例，顺利承接了工商银行、招商银行等的融合通信项目。</w:t>
      </w:r>
    </w:p>
    <w:p>
      <w:pPr>
        <w:pStyle w:val="BodyText"/>
        <w:spacing w:line="451" w:lineRule="auto" w:before="58"/>
        <w:ind w:right="0" w:firstLine="360"/>
        <w:jc w:val="left"/>
      </w:pPr>
      <w:r>
        <w:rPr/>
        <w:t>（</w:t>
      </w:r>
      <w:r>
        <w:rPr>
          <w:rFonts w:ascii="Times New Roman" w:hAnsi="Times New Roman" w:cs="Times New Roman" w:eastAsia="Times New Roman" w:hint="default"/>
        </w:rPr>
        <w:t>3</w:t>
      </w:r>
      <w:r>
        <w:rPr/>
        <w:t>）信息安全管理业务是公司运营管理的重要组成部分，公司在信息安全管理领域拥有十三年的产品研发和项目实施 经验，拥有一支精于企业安全管理的专家团队，是企业安全架构设计思想的提出者和践行者，围绕企业的</w:t>
      </w:r>
      <w:r>
        <w:rPr>
          <w:rFonts w:ascii="Times New Roman" w:hAnsi="Times New Roman" w:cs="Times New Roman" w:eastAsia="Times New Roman" w:hint="default"/>
        </w:rPr>
        <w:t>“</w:t>
      </w:r>
      <w:r>
        <w:rPr/>
        <w:t>人、事、物</w:t>
      </w:r>
      <w:r>
        <w:rPr>
          <w:rFonts w:ascii="Times New Roman" w:hAnsi="Times New Roman" w:cs="Times New Roman" w:eastAsia="Times New Roman" w:hint="default"/>
        </w:rPr>
        <w:t>”</w:t>
      </w:r>
      <w:r>
        <w:rPr/>
        <w:t>推出 </w:t>
      </w:r>
      <w:r>
        <w:rPr>
          <w:spacing w:val="-4"/>
        </w:rPr>
        <w:t>了身份安全管控、行为安全管控、事件安全管控、流量安全管控、资产安全管控、配置安全管控六大类</w:t>
      </w:r>
      <w:r>
        <w:rPr>
          <w:rFonts w:ascii="Times New Roman" w:hAnsi="Times New Roman" w:cs="Times New Roman" w:eastAsia="Times New Roman" w:hint="default"/>
          <w:spacing w:val="-4"/>
        </w:rPr>
        <w:t>20</w:t>
      </w:r>
      <w:r>
        <w:rPr>
          <w:spacing w:val="-4"/>
        </w:rPr>
        <w:t>多款产品，是金融、</w:t>
      </w:r>
      <w:r>
        <w:rPr>
          <w:spacing w:val="-40"/>
        </w:rPr>
        <w:t> </w:t>
      </w:r>
      <w:r>
        <w:rPr>
          <w:spacing w:val="-40"/>
        </w:rPr>
      </w:r>
      <w:r>
        <w:rPr>
          <w:spacing w:val="-3"/>
          <w:w w:val="99"/>
        </w:rPr>
        <w:t>电信等</w:t>
      </w:r>
      <w:r>
        <w:rPr>
          <w:rFonts w:ascii="Times New Roman" w:hAnsi="Times New Roman" w:cs="Times New Roman" w:eastAsia="Times New Roman" w:hint="default"/>
          <w:spacing w:val="-3"/>
          <w:w w:val="99"/>
        </w:rPr>
        <w:t>IT</w:t>
      </w:r>
      <w:r>
        <w:rPr>
          <w:spacing w:val="-3"/>
          <w:w w:val="99"/>
        </w:rPr>
        <w:t>应用最密集行业中主流的安全产品和服务商，也是</w:t>
      </w:r>
      <w:r>
        <w:rPr>
          <w:rFonts w:ascii="Times New Roman" w:hAnsi="Times New Roman" w:cs="Times New Roman" w:eastAsia="Times New Roman" w:hint="default"/>
          <w:spacing w:val="-3"/>
          <w:w w:val="99"/>
        </w:rPr>
        <w:t>IAM</w:t>
      </w:r>
      <w:r>
        <w:rPr>
          <w:spacing w:val="-3"/>
          <w:w w:val="99"/>
        </w:rPr>
        <w:t>（用户和认证管理）、</w:t>
      </w:r>
      <w:r>
        <w:rPr>
          <w:rFonts w:ascii="Times New Roman" w:hAnsi="Times New Roman" w:cs="Times New Roman" w:eastAsia="Times New Roman" w:hint="default"/>
          <w:spacing w:val="-3"/>
          <w:w w:val="99"/>
        </w:rPr>
        <w:t>SIEM</w:t>
      </w:r>
      <w:r>
        <w:rPr>
          <w:spacing w:val="-3"/>
          <w:w w:val="99"/>
        </w:rPr>
        <w:t>（安全事件管理）和安全合规管</w:t>
      </w:r>
      <w:r>
        <w:rPr>
          <w:spacing w:val="-51"/>
          <w:w w:val="99"/>
        </w:rPr>
        <w:t> </w:t>
      </w:r>
      <w:r>
        <w:rPr>
          <w:spacing w:val="-51"/>
          <w:w w:val="99"/>
        </w:rPr>
      </w:r>
      <w:r>
        <w:rPr/>
        <w:t>理领域的领导厂商。</w:t>
      </w:r>
    </w:p>
    <w:p>
      <w:pPr>
        <w:pStyle w:val="Heading6"/>
        <w:spacing w:line="240" w:lineRule="auto" w:before="74"/>
        <w:ind w:left="1495" w:right="0"/>
        <w:jc w:val="left"/>
        <w:rPr>
          <w:b w:val="0"/>
          <w:bCs w:val="0"/>
        </w:rPr>
      </w:pPr>
      <w:r>
        <w:rPr/>
        <w:t>（二）手机游戏业务领域</w:t>
      </w:r>
      <w:r>
        <w:rPr>
          <w:b w:val="0"/>
          <w:bCs w:val="0"/>
        </w:rPr>
      </w:r>
    </w:p>
    <w:p>
      <w:pPr>
        <w:spacing w:after="0" w:line="240" w:lineRule="auto"/>
        <w:jc w:val="left"/>
        <w:sectPr>
          <w:pgSz w:w="11910" w:h="16840"/>
          <w:pgMar w:header="851" w:footer="979" w:top="1380" w:bottom="1160" w:left="0" w:right="0"/>
        </w:sectPr>
      </w:pPr>
    </w:p>
    <w:p>
      <w:pPr>
        <w:pStyle w:val="BodyText"/>
        <w:spacing w:line="477" w:lineRule="auto" w:before="141"/>
        <w:ind w:right="1131" w:firstLine="360"/>
        <w:jc w:val="both"/>
      </w:pPr>
      <w:r>
        <w:rPr>
          <w:spacing w:val="-2"/>
        </w:rPr>
        <w:t>报告期内，公司从游戏研发、发行、项目投资三个方面协同联动，努力打造产品研发、渠道、发行全过程增值服务的有</w:t>
      </w:r>
      <w:r>
        <w:rPr/>
        <w:t> 机游戏生态链，实现资源共享、发挥协同效应，提升游戏业务的整体竞争实力。</w:t>
      </w:r>
    </w:p>
    <w:p>
      <w:pPr>
        <w:pStyle w:val="BodyText"/>
        <w:spacing w:line="477" w:lineRule="auto" w:before="54"/>
        <w:ind w:right="1131" w:firstLine="360"/>
        <w:jc w:val="both"/>
      </w:pPr>
      <w:r>
        <w:rPr>
          <w:spacing w:val="-2"/>
        </w:rPr>
        <w:t>公司进一步加大新游戏的研发力度，并完成了对天津安纳西科技有限公司的收购，丰富公司游戏产品线；积极推进游戏</w:t>
      </w:r>
      <w:r>
        <w:rPr/>
        <w:t> </w:t>
      </w:r>
      <w:r>
        <w:rPr>
          <w:spacing w:val="-2"/>
        </w:rPr>
        <w:t>发行业务，打造高效的运营团队、完善运营配套措施，根据不同市场制定符合相应的运营策略，进一步扩大发行规模和市场</w:t>
      </w:r>
      <w:r>
        <w:rPr>
          <w:spacing w:val="-66"/>
        </w:rPr>
        <w:t> </w:t>
      </w:r>
      <w:r>
        <w:rPr>
          <w:spacing w:val="-66"/>
        </w:rPr>
      </w:r>
      <w:r>
        <w:rPr/>
        <w:t>推广力度，采取多种方式、积极开展游戏内容引进工作，以做到丰富性、多样性，提升未来运营质量与流水。</w:t>
      </w:r>
    </w:p>
    <w:p>
      <w:pPr>
        <w:pStyle w:val="BodyText"/>
        <w:spacing w:line="240" w:lineRule="auto" w:before="54"/>
        <w:ind w:left="1493" w:right="0"/>
        <w:jc w:val="left"/>
      </w:pPr>
      <w:r>
        <w:rPr/>
        <w:t>投资设立专业化投资管理有限公司，并采用发起设立基金的方式进行管理，充分挖掘移动游戏产业内的投资并购机会，</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2015</w:t>
      </w:r>
      <w:r>
        <w:rPr/>
        <w:t>年共完成对</w:t>
      </w:r>
      <w:r>
        <w:rPr>
          <w:rFonts w:ascii="Times New Roman" w:hAnsi="Times New Roman" w:cs="Times New Roman" w:eastAsia="Times New Roman" w:hint="default"/>
        </w:rPr>
        <w:t>26</w:t>
      </w:r>
      <w:r>
        <w:rPr/>
        <w:t>个项目的投资，投资总额</w:t>
      </w:r>
      <w:r>
        <w:rPr>
          <w:rFonts w:ascii="Times New Roman" w:hAnsi="Times New Roman" w:cs="Times New Roman" w:eastAsia="Times New Roman" w:hint="default"/>
        </w:rPr>
        <w:t>1</w:t>
      </w:r>
      <w:r>
        <w:rPr/>
        <w:t>亿元左右，为公司移动游戏产品的挖掘培育提供有力保障。</w:t>
      </w:r>
    </w:p>
    <w:p>
      <w:pPr>
        <w:spacing w:line="240" w:lineRule="auto" w:before="9"/>
        <w:rPr>
          <w:rFonts w:ascii="宋体" w:hAnsi="宋体" w:cs="宋体" w:eastAsia="宋体" w:hint="default"/>
          <w:sz w:val="16"/>
          <w:szCs w:val="16"/>
        </w:rPr>
      </w:pPr>
    </w:p>
    <w:p>
      <w:pPr>
        <w:pStyle w:val="Heading6"/>
        <w:spacing w:line="240" w:lineRule="auto"/>
        <w:ind w:left="1495" w:right="0"/>
        <w:jc w:val="left"/>
        <w:rPr>
          <w:b w:val="0"/>
          <w:bCs w:val="0"/>
        </w:rPr>
      </w:pPr>
      <w:r>
        <w:rPr/>
        <w:t>（三）物联网技术应用领域</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right="1130" w:firstLine="360"/>
        <w:jc w:val="both"/>
      </w:pPr>
      <w:r>
        <w:rPr>
          <w:rFonts w:ascii="Times New Roman" w:hAnsi="Times New Roman" w:cs="Times New Roman" w:eastAsia="Times New Roman" w:hint="default"/>
        </w:rPr>
        <w:t>“</w:t>
      </w:r>
      <w:r>
        <w:rPr/>
        <w:t>智慧线</w:t>
      </w:r>
      <w:r>
        <w:rPr>
          <w:rFonts w:ascii="Times New Roman" w:hAnsi="Times New Roman" w:cs="Times New Roman" w:eastAsia="Times New Roman" w:hint="default"/>
        </w:rPr>
        <w:t>”</w:t>
      </w:r>
      <w:r>
        <w:rPr/>
        <w:t>技术在物联网芯片、通信协议、核心算法、产品和解决方案等方面已进行了</w:t>
      </w:r>
      <w:r>
        <w:rPr>
          <w:rFonts w:ascii="Times New Roman" w:hAnsi="Times New Roman" w:cs="Times New Roman" w:eastAsia="Times New Roman" w:hint="default"/>
        </w:rPr>
        <w:t>5</w:t>
      </w:r>
      <w:r>
        <w:rPr/>
        <w:t>年积的技术和实践积累，目前主 </w:t>
      </w:r>
      <w:r>
        <w:rPr>
          <w:spacing w:val="-2"/>
        </w:rPr>
        <w:t>要应用于无线通信定位、周界安防，截止目前已获得</w:t>
      </w:r>
      <w:r>
        <w:rPr>
          <w:rFonts w:ascii="Times New Roman" w:hAnsi="Times New Roman" w:cs="Times New Roman" w:eastAsia="Times New Roman" w:hint="default"/>
          <w:spacing w:val="-2"/>
        </w:rPr>
        <w:t>35</w:t>
      </w:r>
      <w:r>
        <w:rPr>
          <w:spacing w:val="-2"/>
        </w:rPr>
        <w:t>项授权专利，并有</w:t>
      </w:r>
      <w:r>
        <w:rPr>
          <w:rFonts w:ascii="Times New Roman" w:hAnsi="Times New Roman" w:cs="Times New Roman" w:eastAsia="Times New Roman" w:hint="default"/>
          <w:spacing w:val="-2"/>
        </w:rPr>
        <w:t>77</w:t>
      </w:r>
      <w:r>
        <w:rPr>
          <w:spacing w:val="-2"/>
        </w:rPr>
        <w:t>项专利接受的正在受理之中，并通过获得安监局</w:t>
      </w:r>
      <w:r>
        <w:rPr>
          <w:spacing w:val="-63"/>
        </w:rPr>
        <w:t> </w:t>
      </w:r>
      <w:r>
        <w:rPr>
          <w:spacing w:val="-63"/>
        </w:rPr>
      </w:r>
      <w:r>
        <w:rPr/>
        <w:t>本质型安全认证、军工四证进展顺利、国军标已经通过审核。</w:t>
      </w:r>
    </w:p>
    <w:p>
      <w:pPr>
        <w:pStyle w:val="BodyText"/>
        <w:spacing w:line="451" w:lineRule="auto" w:before="74"/>
        <w:ind w:right="1042" w:firstLine="360"/>
        <w:jc w:val="both"/>
      </w:pPr>
      <w:r>
        <w:rPr>
          <w:rFonts w:ascii="Times New Roman" w:hAnsi="Times New Roman" w:cs="Times New Roman" w:eastAsia="Times New Roman" w:hint="default"/>
        </w:rPr>
        <w:t>2015</w:t>
      </w:r>
      <w:r>
        <w:rPr/>
        <w:t>年，智慧线在周界安防领域会取得市场销售突破，签约金额约</w:t>
      </w:r>
      <w:r>
        <w:rPr>
          <w:rFonts w:ascii="Times New Roman" w:hAnsi="Times New Roman" w:cs="Times New Roman" w:eastAsia="Times New Roman" w:hint="default"/>
        </w:rPr>
        <w:t>1,300</w:t>
      </w:r>
      <w:r>
        <w:rPr/>
        <w:t>万元，起到很好的市场示范效应，有利于推进 </w:t>
      </w:r>
      <w:r>
        <w:rPr>
          <w:spacing w:val="-4"/>
        </w:rPr>
        <w:t>该领域</w:t>
      </w:r>
      <w:r>
        <w:rPr>
          <w:rFonts w:ascii="Times New Roman" w:hAnsi="Times New Roman" w:cs="Times New Roman" w:eastAsia="Times New Roman" w:hint="default"/>
          <w:spacing w:val="-4"/>
        </w:rPr>
        <w:t>2016</w:t>
      </w:r>
      <w:r>
        <w:rPr>
          <w:spacing w:val="-4"/>
        </w:rPr>
        <w:t>年市场销售的增长。同时，随着未来煤矿行业景气度的提升，智慧线在无线通信定位应用的市场前景会逐步显现。</w:t>
      </w:r>
    </w:p>
    <w:p>
      <w:pPr>
        <w:pStyle w:val="BodyText"/>
        <w:spacing w:line="477" w:lineRule="auto" w:before="43"/>
        <w:ind w:left="1494" w:right="1202" w:firstLine="1"/>
        <w:jc w:val="left"/>
      </w:pPr>
      <w:r>
        <w:rPr>
          <w:rFonts w:ascii="宋体" w:hAnsi="宋体" w:cs="宋体" w:eastAsia="宋体" w:hint="default"/>
          <w:b/>
          <w:bCs/>
        </w:rPr>
        <w:t>（四）创新孵化领域</w:t>
      </w:r>
      <w:r>
        <w:rPr>
          <w:rFonts w:ascii="宋体" w:hAnsi="宋体" w:cs="宋体" w:eastAsia="宋体" w:hint="default"/>
          <w:b/>
          <w:bCs/>
          <w:w w:val="99"/>
        </w:rPr>
        <w:t> </w:t>
      </w:r>
      <w:r>
        <w:rPr/>
        <w:t>公司创新孵化板块目前主要包括职前教育、融云、融聚、大数据应用、视频秀、</w:t>
      </w:r>
      <w:r>
        <w:rPr>
          <w:rFonts w:ascii="Times New Roman" w:hAnsi="Times New Roman" w:cs="Times New Roman" w:eastAsia="Times New Roman" w:hint="default"/>
        </w:rPr>
        <w:t>JioChat</w:t>
      </w:r>
      <w:r>
        <w:rPr/>
        <w:t>、电子商务、互联网金融等，</w:t>
      </w:r>
    </w:p>
    <w:p>
      <w:pPr>
        <w:pStyle w:val="BodyText"/>
        <w:spacing w:line="477" w:lineRule="auto" w:before="22"/>
        <w:ind w:left="1494" w:right="1120" w:hanging="360"/>
        <w:jc w:val="left"/>
      </w:pPr>
      <w:r>
        <w:rPr/>
        <w:t>多数创新业务均获得了市场认可，成功获得了外部股权融资。 其中，北京神州良品电子商务有限公司主要从事基于食材的电子商务，报告期内获得</w:t>
      </w:r>
      <w:r>
        <w:rPr>
          <w:spacing w:val="-72"/>
        </w:rPr>
        <w:t> </w:t>
      </w:r>
      <w:r>
        <w:rPr>
          <w:rFonts w:ascii="Times New Roman" w:hAnsi="Times New Roman" w:cs="Times New Roman" w:eastAsia="Times New Roman" w:hint="default"/>
        </w:rPr>
        <w:t>11,797.7</w:t>
      </w:r>
      <w:r>
        <w:rPr>
          <w:rFonts w:ascii="Times New Roman" w:hAnsi="Times New Roman" w:cs="Times New Roman" w:eastAsia="Times New Roman" w:hint="default"/>
          <w:spacing w:val="-28"/>
        </w:rPr>
        <w:t> </w:t>
      </w:r>
      <w:r>
        <w:rPr>
          <w:spacing w:val="-3"/>
        </w:rPr>
        <w:t>万元的融资，目前正在申</w:t>
      </w:r>
    </w:p>
    <w:p>
      <w:pPr>
        <w:pStyle w:val="BodyText"/>
        <w:spacing w:line="451" w:lineRule="auto" w:before="21"/>
        <w:ind w:right="1118"/>
        <w:jc w:val="left"/>
      </w:pPr>
      <w:r>
        <w:rPr/>
        <w:t>报新三板；北京裂变科技有限公司从事境外视频秀业务，完成</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万元的</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轮融资；北京云中融信网络科技有限公司主要 从事面向开发者提供即时通讯云服务，完成</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万元左右的</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轮融资。</w:t>
      </w:r>
    </w:p>
    <w:p>
      <w:pPr>
        <w:pStyle w:val="BodyText"/>
        <w:spacing w:line="451" w:lineRule="auto" w:before="43"/>
        <w:ind w:left="1494" w:right="0" w:firstLine="1"/>
        <w:jc w:val="left"/>
      </w:pPr>
      <w:r>
        <w:rPr>
          <w:rFonts w:ascii="Times New Roman" w:hAnsi="Times New Roman" w:cs="Times New Roman" w:eastAsia="Times New Roman" w:hint="default"/>
          <w:b/>
          <w:bCs/>
        </w:rPr>
        <w:t>2</w:t>
      </w:r>
      <w:r>
        <w:rPr>
          <w:rFonts w:ascii="宋体" w:hAnsi="宋体" w:cs="宋体" w:eastAsia="宋体" w:hint="default"/>
          <w:b/>
          <w:bCs/>
        </w:rPr>
        <w:t>、技术创新情况</w:t>
      </w:r>
      <w:r>
        <w:rPr>
          <w:rFonts w:ascii="宋体" w:hAnsi="宋体" w:cs="宋体" w:eastAsia="宋体" w:hint="default"/>
          <w:b/>
          <w:bCs/>
          <w:w w:val="99"/>
        </w:rPr>
        <w:t> </w:t>
      </w:r>
      <w:r>
        <w:rPr>
          <w:spacing w:val="-2"/>
        </w:rPr>
        <w:t>立足市场、持续创新是公司经营发展的核心要素。报告期内，公司继续加强技术创新的力度，优化研发管理模式，提升</w:t>
      </w:r>
    </w:p>
    <w:p>
      <w:pPr>
        <w:pStyle w:val="BodyText"/>
        <w:spacing w:line="451" w:lineRule="auto" w:before="74"/>
        <w:ind w:left="1493" w:right="1119" w:hanging="360"/>
        <w:jc w:val="left"/>
      </w:pPr>
      <w:r>
        <w:rPr/>
        <w:t>产品开发效率，不断推出新产品以满足用户的需要，共投入研发经费</w:t>
      </w:r>
      <w:r>
        <w:rPr>
          <w:rFonts w:ascii="Times New Roman" w:hAnsi="Times New Roman" w:cs="Times New Roman" w:eastAsia="Times New Roman" w:hint="default"/>
        </w:rPr>
        <w:t>21,719.08</w:t>
      </w:r>
      <w:r>
        <w:rPr/>
        <w:t>万元，占营业收入的比重为</w:t>
      </w:r>
      <w:r>
        <w:rPr>
          <w:rFonts w:ascii="Times New Roman" w:hAnsi="Times New Roman" w:cs="Times New Roman" w:eastAsia="Times New Roman" w:hint="default"/>
        </w:rPr>
        <w:t>7.83%</w:t>
      </w:r>
      <w:r>
        <w:rPr/>
        <w:t>。 </w:t>
      </w:r>
      <w:r>
        <w:rPr>
          <w:spacing w:val="-1"/>
        </w:rPr>
        <w:t>报告期内，公司新取得</w:t>
      </w:r>
      <w:r>
        <w:rPr>
          <w:rFonts w:ascii="Times New Roman" w:hAnsi="Times New Roman" w:cs="Times New Roman" w:eastAsia="Times New Roman" w:hint="default"/>
          <w:spacing w:val="-1"/>
        </w:rPr>
        <w:t>143</w:t>
      </w:r>
      <w:r>
        <w:rPr>
          <w:spacing w:val="-1"/>
        </w:rPr>
        <w:t>项软件著作权、新获专利授权</w:t>
      </w:r>
      <w:r>
        <w:rPr>
          <w:rFonts w:ascii="Times New Roman" w:hAnsi="Times New Roman" w:cs="Times New Roman" w:eastAsia="Times New Roman" w:hint="default"/>
          <w:spacing w:val="-1"/>
        </w:rPr>
        <w:t>68</w:t>
      </w:r>
      <w:r>
        <w:rPr>
          <w:spacing w:val="-1"/>
        </w:rPr>
        <w:t>项。</w:t>
      </w:r>
      <w:r>
        <w:rPr>
          <w:rFonts w:ascii="Times New Roman" w:hAnsi="Times New Roman" w:cs="Times New Roman" w:eastAsia="Times New Roman" w:hint="default"/>
          <w:spacing w:val="-1"/>
        </w:rPr>
        <w:t>“</w:t>
      </w:r>
      <w:r>
        <w:rPr>
          <w:spacing w:val="-1"/>
        </w:rPr>
        <w:t>神州泰岳安全服务云中心软件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在线用户行为分析系</w:t>
      </w:r>
    </w:p>
    <w:p>
      <w:pPr>
        <w:pStyle w:val="BodyText"/>
        <w:spacing w:line="451" w:lineRule="auto" w:before="43"/>
        <w:ind w:right="0"/>
        <w:jc w:val="left"/>
      </w:pPr>
      <w:r>
        <w:rPr>
          <w:spacing w:val="-1"/>
        </w:rPr>
        <w:t>统</w:t>
      </w:r>
      <w:r>
        <w:rPr>
          <w:rFonts w:ascii="Times New Roman" w:hAnsi="Times New Roman" w:cs="Times New Roman" w:eastAsia="Times New Roman" w:hint="default"/>
          <w:spacing w:val="-1"/>
        </w:rPr>
        <w:t>”</w:t>
      </w:r>
      <w:r>
        <w:rPr>
          <w:spacing w:val="-1"/>
        </w:rPr>
        <w:t>被列入了科技部《国家火炬计划产业化示范项目》；</w:t>
      </w:r>
      <w:r>
        <w:rPr>
          <w:rFonts w:ascii="Times New Roman" w:hAnsi="Times New Roman" w:cs="Times New Roman" w:eastAsia="Times New Roman" w:hint="default"/>
          <w:spacing w:val="-1"/>
        </w:rPr>
        <w:t>“</w:t>
      </w:r>
      <w:r>
        <w:rPr>
          <w:spacing w:val="-1"/>
        </w:rPr>
        <w:t>安全基线管理系统</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安全运行管理中心软件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统一身份管控系</w:t>
      </w:r>
      <w:r>
        <w:rPr>
          <w:spacing w:val="-57"/>
        </w:rPr>
        <w:t> </w:t>
      </w:r>
      <w:r>
        <w:rPr>
          <w:spacing w:val="-57"/>
        </w:rPr>
      </w:r>
      <w:r>
        <w:rPr/>
        <w:t>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基于国产中间件的业务运维管理平台软件</w:t>
      </w:r>
      <w:r>
        <w:rPr>
          <w:rFonts w:ascii="Times New Roman" w:hAnsi="Times New Roman" w:cs="Times New Roman" w:eastAsia="Times New Roman" w:hint="default"/>
        </w:rPr>
        <w:t>”</w:t>
      </w:r>
      <w:r>
        <w:rPr/>
        <w:t>获评北京市科学技术委员会颁发的</w:t>
      </w:r>
      <w:r>
        <w:rPr>
          <w:rFonts w:ascii="Times New Roman" w:hAnsi="Times New Roman" w:cs="Times New Roman" w:eastAsia="Times New Roman" w:hint="default"/>
        </w:rPr>
        <w:t>“2015</w:t>
      </w:r>
      <w:r>
        <w:rPr/>
        <w:t>年北京市新技术新产品</w:t>
      </w:r>
      <w:r>
        <w:rPr>
          <w:rFonts w:ascii="Times New Roman" w:hAnsi="Times New Roman" w:cs="Times New Roman" w:eastAsia="Times New Roman" w:hint="default"/>
        </w:rPr>
        <w:t>”</w:t>
      </w:r>
      <w:r>
        <w:rPr/>
        <w:t>。</w:t>
      </w:r>
    </w:p>
    <w:p>
      <w:pPr>
        <w:pStyle w:val="BodyText"/>
        <w:spacing w:line="451" w:lineRule="auto" w:before="43"/>
        <w:ind w:right="1130" w:firstLine="360"/>
        <w:jc w:val="both"/>
      </w:pPr>
      <w:r>
        <w:rPr>
          <w:spacing w:val="-2"/>
        </w:rPr>
        <w:t>截至</w:t>
      </w:r>
      <w:r>
        <w:rPr>
          <w:rFonts w:ascii="Times New Roman" w:hAnsi="Times New Roman" w:cs="Times New Roman" w:eastAsia="Times New Roman" w:hint="default"/>
          <w:spacing w:val="-2"/>
        </w:rPr>
        <w:t>2015</w:t>
      </w:r>
      <w:r>
        <w:rPr>
          <w:spacing w:val="-2"/>
        </w:rPr>
        <w:t>年末，公司及其控股子公司合计拥有</w:t>
      </w:r>
      <w:r>
        <w:rPr>
          <w:rFonts w:ascii="Times New Roman" w:hAnsi="Times New Roman" w:cs="Times New Roman" w:eastAsia="Times New Roman" w:hint="default"/>
          <w:spacing w:val="-2"/>
        </w:rPr>
        <w:t>816</w:t>
      </w:r>
      <w:r>
        <w:rPr>
          <w:spacing w:val="-2"/>
        </w:rPr>
        <w:t>项计算机软件著作权、</w:t>
      </w:r>
      <w:r>
        <w:rPr>
          <w:rFonts w:ascii="Times New Roman" w:hAnsi="Times New Roman" w:cs="Times New Roman" w:eastAsia="Times New Roman" w:hint="default"/>
          <w:spacing w:val="-2"/>
        </w:rPr>
        <w:t>281</w:t>
      </w:r>
      <w:r>
        <w:rPr>
          <w:spacing w:val="-2"/>
        </w:rPr>
        <w:t>项产品登记证、</w:t>
      </w:r>
      <w:r>
        <w:rPr>
          <w:rFonts w:ascii="Times New Roman" w:hAnsi="Times New Roman" w:cs="Times New Roman" w:eastAsia="Times New Roman" w:hint="default"/>
          <w:spacing w:val="-2"/>
        </w:rPr>
        <w:t>242</w:t>
      </w:r>
      <w:r>
        <w:rPr>
          <w:spacing w:val="-2"/>
        </w:rPr>
        <w:t>项授权专利、</w:t>
      </w:r>
      <w:r>
        <w:rPr>
          <w:rFonts w:ascii="Times New Roman" w:hAnsi="Times New Roman" w:cs="Times New Roman" w:eastAsia="Times New Roman" w:hint="default"/>
          <w:spacing w:val="-2"/>
        </w:rPr>
        <w:t>563</w:t>
      </w:r>
      <w:r>
        <w:rPr>
          <w:spacing w:val="-2"/>
        </w:rPr>
        <w:t>项受理</w:t>
      </w:r>
      <w:r>
        <w:rPr/>
        <w:t> </w:t>
      </w:r>
      <w:r>
        <w:rPr>
          <w:spacing w:val="-2"/>
        </w:rPr>
        <w:t>中专利。</w:t>
      </w:r>
      <w:r>
        <w:rPr>
          <w:rFonts w:ascii="Times New Roman" w:hAnsi="Times New Roman" w:cs="Times New Roman" w:eastAsia="Times New Roman" w:hint="default"/>
          <w:spacing w:val="-2"/>
        </w:rPr>
        <w:t>2011</w:t>
      </w:r>
      <w:r>
        <w:rPr>
          <w:spacing w:val="-2"/>
        </w:rPr>
        <w:t>年度公司被评为</w:t>
      </w:r>
      <w:r>
        <w:rPr>
          <w:rFonts w:ascii="Times New Roman" w:hAnsi="Times New Roman" w:cs="Times New Roman" w:eastAsia="Times New Roman" w:hint="default"/>
          <w:spacing w:val="-2"/>
        </w:rPr>
        <w:t>“</w:t>
      </w:r>
      <w:r>
        <w:rPr>
          <w:spacing w:val="-2"/>
        </w:rPr>
        <w:t>国家企业技术中心</w:t>
      </w:r>
      <w:r>
        <w:rPr>
          <w:rFonts w:ascii="Times New Roman" w:hAnsi="Times New Roman" w:cs="Times New Roman" w:eastAsia="Times New Roman" w:hint="default"/>
          <w:spacing w:val="-2"/>
        </w:rPr>
        <w:t>”</w:t>
      </w:r>
      <w:r>
        <w:rPr>
          <w:spacing w:val="-2"/>
        </w:rPr>
        <w:t>；公司及新媒传信连续多年被认定国家规划布局内重点软件企业等，综合</w:t>
      </w:r>
      <w:r>
        <w:rPr>
          <w:spacing w:val="-40"/>
        </w:rPr>
        <w:t> </w:t>
      </w:r>
      <w:r>
        <w:rPr>
          <w:spacing w:val="-40"/>
        </w:rPr>
      </w:r>
      <w:r>
        <w:rPr/>
        <w:t>体现了公司的技术创新能力、研发实力、市场拓展能力、企业经营能力，成为企业长期持续健康发展的有力支撑。</w:t>
      </w:r>
    </w:p>
    <w:p>
      <w:pPr>
        <w:spacing w:line="451" w:lineRule="auto" w:before="74"/>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、企业文化建设及员工发展情况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公司始终坚持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高绩效、高贡献、高回报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的人才发展观，不仅通过提升薪资竞争力来提高人才的吸引力，还要通过为员</w:t>
      </w:r>
    </w:p>
    <w:p>
      <w:pPr>
        <w:spacing w:after="0" w:line="451" w:lineRule="auto"/>
        <w:jc w:val="left"/>
        <w:rPr>
          <w:rFonts w:ascii="宋体" w:hAnsi="宋体" w:cs="宋体" w:eastAsia="宋体" w:hint="default"/>
          <w:sz w:val="18"/>
          <w:szCs w:val="18"/>
        </w:rPr>
        <w:sectPr>
          <w:pgSz w:w="11910" w:h="16840"/>
          <w:pgMar w:header="851" w:footer="979" w:top="1380" w:bottom="1160" w:left="0" w:right="0"/>
        </w:sectPr>
      </w:pPr>
    </w:p>
    <w:p>
      <w:pPr>
        <w:pStyle w:val="BodyText"/>
        <w:spacing w:line="477" w:lineRule="auto" w:before="141"/>
        <w:ind w:left="1493" w:right="1114" w:hanging="360"/>
        <w:jc w:val="left"/>
      </w:pPr>
      <w:r>
        <w:rPr/>
        <w:t>工创造良好的职业发展环境、营造适宜的企业文化氛围等系统性的措施来吸引、留住和激励人才。 报告期内，公司顺利完成股权激励计划第三期行权，并推出了第一期员工持股计划，公司近</w:t>
      </w:r>
      <w:r>
        <w:rPr>
          <w:spacing w:val="-4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人参与了此次持股计</w:t>
      </w:r>
    </w:p>
    <w:p>
      <w:pPr>
        <w:pStyle w:val="BodyText"/>
        <w:spacing w:line="451" w:lineRule="auto" w:before="21"/>
        <w:ind w:right="1033"/>
        <w:jc w:val="left"/>
      </w:pPr>
      <w:r>
        <w:rPr/>
        <w:t>划（第一期员工持股计划通过竞价方式购买神州泰岳股票共计</w:t>
      </w:r>
      <w:r>
        <w:rPr>
          <w:spacing w:val="-50"/>
        </w:rPr>
        <w:t> </w:t>
      </w:r>
      <w:r>
        <w:rPr>
          <w:rFonts w:ascii="Times New Roman" w:hAnsi="Times New Roman" w:cs="Times New Roman" w:eastAsia="Times New Roman" w:hint="default"/>
        </w:rPr>
        <w:t>7,301.08</w:t>
      </w:r>
      <w:r>
        <w:rPr>
          <w:rFonts w:ascii="Times New Roman" w:hAnsi="Times New Roman" w:cs="Times New Roman" w:eastAsia="Times New Roman" w:hint="default"/>
          <w:spacing w:val="-5"/>
        </w:rPr>
        <w:t> </w:t>
      </w:r>
      <w:r>
        <w:rPr/>
        <w:t>万股，占公司总股本的比例为</w:t>
      </w:r>
      <w:r>
        <w:rPr>
          <w:spacing w:val="-50"/>
        </w:rPr>
        <w:t> </w:t>
      </w:r>
      <w:r>
        <w:rPr>
          <w:rFonts w:ascii="Times New Roman" w:hAnsi="Times New Roman" w:cs="Times New Roman" w:eastAsia="Times New Roman" w:hint="default"/>
          <w:spacing w:val="-3"/>
        </w:rPr>
        <w:t>3.66%</w:t>
      </w:r>
      <w:r>
        <w:rPr>
          <w:spacing w:val="-3"/>
        </w:rPr>
        <w:t>），旨在充分调</w:t>
      </w:r>
      <w:r>
        <w:rPr/>
        <w:t> 动公司管理人员及核心人员的积极性，有效地将股东利益、公司利益和经营者个人利益结合在一起，更好的推动公司发展。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8"/>
        <w:ind w:left="1133"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2"/>
          <w:szCs w:val="32"/>
        </w:rPr>
      </w:pPr>
    </w:p>
    <w:p>
      <w:pPr>
        <w:pStyle w:val="Heading6"/>
        <w:spacing w:line="240" w:lineRule="auto"/>
        <w:ind w:right="0"/>
        <w:jc w:val="left"/>
        <w:rPr>
          <w:b w:val="0"/>
          <w:bCs w:val="0"/>
        </w:rPr>
      </w:pPr>
      <w:r>
        <w:rPr/>
        <w:t>是否与管理层讨论与分析中的概述披露相同</w:t>
      </w:r>
      <w:r>
        <w:rPr>
          <w:b w:val="0"/>
          <w:bCs w:val="0"/>
        </w:rPr>
      </w:r>
    </w:p>
    <w:p>
      <w:pPr>
        <w:spacing w:line="240" w:lineRule="auto" w:before="10"/>
        <w:rPr>
          <w:rFonts w:ascii="宋体" w:hAnsi="宋体" w:cs="宋体" w:eastAsia="宋体" w:hint="default"/>
          <w:b/>
          <w:bCs/>
          <w:sz w:val="20"/>
          <w:szCs w:val="20"/>
        </w:rPr>
      </w:pPr>
    </w:p>
    <w:p>
      <w:pPr>
        <w:pStyle w:val="BodyText"/>
        <w:spacing w:line="489" w:lineRule="auto"/>
        <w:ind w:right="6653"/>
        <w:jc w:val="left"/>
      </w:pPr>
      <w:r>
        <w:rPr>
          <w:rFonts w:ascii="Times New Roman" w:hAnsi="Times New Roman" w:cs="Times New Roman" w:eastAsia="Times New Roman" w:hint="default"/>
          <w:b/>
          <w:bCs/>
        </w:rPr>
        <w:t>√ </w:t>
      </w:r>
      <w:r>
        <w:rPr>
          <w:rFonts w:ascii="宋体" w:hAnsi="宋体" w:cs="宋体" w:eastAsia="宋体" w:hint="default"/>
          <w:b/>
          <w:bCs/>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11"/>
        <w:rPr>
          <w:rFonts w:ascii="宋体" w:hAnsi="宋体" w:cs="宋体" w:eastAsia="宋体" w:hint="default"/>
          <w:sz w:val="15"/>
          <w:szCs w:val="15"/>
        </w:rPr>
      </w:pPr>
    </w:p>
    <w:p>
      <w:pPr>
        <w:pStyle w:val="Heading3"/>
        <w:spacing w:line="240" w:lineRule="auto"/>
        <w:ind w:left="1133"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14"/>
        <w:gridCol w:w="1419"/>
        <w:gridCol w:w="1555"/>
        <w:gridCol w:w="1421"/>
        <w:gridCol w:w="1553"/>
        <w:gridCol w:w="1206"/>
      </w:tblGrid>
      <w:tr>
        <w:trPr>
          <w:trHeight w:val="206" w:hRule="exact"/>
        </w:trPr>
        <w:tc>
          <w:tcPr>
            <w:tcW w:w="2414"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414" w:type="dxa"/>
            <w:vMerge w:val="restart"/>
            <w:tcBorders>
              <w:top w:val="nil" w:sz="6" w:space="0" w:color="auto"/>
              <w:left w:val="single" w:sz="4" w:space="0" w:color="000000"/>
              <w:right w:val="single" w:sz="4" w:space="0" w:color="000000"/>
            </w:tcBorders>
            <w:shd w:val="clear" w:color="auto" w:fill="D2D2D2"/>
          </w:tcPr>
          <w:p>
            <w:pPr/>
          </w:p>
        </w:tc>
        <w:tc>
          <w:tcPr>
            <w:tcW w:w="2974" w:type="dxa"/>
            <w:gridSpan w:val="2"/>
            <w:vMerge/>
            <w:tcBorders>
              <w:left w:val="single" w:sz="4" w:space="0" w:color="000000"/>
              <w:bottom w:val="single" w:sz="4" w:space="0" w:color="000000"/>
              <w:right w:val="single" w:sz="4" w:space="0" w:color="000000"/>
            </w:tcBorders>
            <w:shd w:val="clear" w:color="auto" w:fill="D2D2D2"/>
          </w:tcPr>
          <w:p>
            <w:pPr/>
          </w:p>
        </w:tc>
        <w:tc>
          <w:tcPr>
            <w:tcW w:w="2974" w:type="dxa"/>
            <w:gridSpan w:val="2"/>
            <w:vMerge/>
            <w:tcBorders>
              <w:left w:val="single" w:sz="4" w:space="0" w:color="000000"/>
              <w:bottom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2414" w:type="dxa"/>
            <w:vMerge/>
            <w:tcBorders>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06"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24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555"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553"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1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2,773,487,308.85</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2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2,605,296,562.50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ICT</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运营管理</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b/>
                <w:spacing w:val="-1"/>
                <w:sz w:val="18"/>
              </w:rPr>
              <w:t>2,359,560,428.61</w:t>
            </w:r>
            <w:r>
              <w:rPr>
                <w:rFonts w:ascii="Times New Roman"/>
                <w:spacing w:val="-1"/>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85.08%</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b/>
                <w:spacing w:val="-1"/>
                <w:sz w:val="18"/>
              </w:rPr>
              <w:t>2,300,158,911.47</w:t>
            </w:r>
            <w:r>
              <w:rPr>
                <w:rFonts w:ascii="Times New Roman"/>
                <w:spacing w:val="-1"/>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b/>
                <w:sz w:val="18"/>
              </w:rPr>
              <w:t>88.29%</w:t>
            </w:r>
            <w:r>
              <w:rPr>
                <w:rFonts w:ascii="Times New Roman"/>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2.58%</w:t>
            </w:r>
            <w:r>
              <w:rPr>
                <w:rFonts w:ascii="Times New Roman"/>
                <w:sz w:val="18"/>
              </w:rPr>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 运维管理解决方案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624,760,105.38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917,884,996.62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35.23%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-31.93%</w:t>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1,425,746,164.94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893,051,055.28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34.28%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59.65%</w:t>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移动互联网运营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309,054,158.29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489,222,859.57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-36.83%</w:t>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游戏及娱乐</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b/>
                <w:spacing w:val="-1"/>
                <w:sz w:val="18"/>
              </w:rPr>
              <w:t>159,123,066.60</w:t>
            </w:r>
            <w:r>
              <w:rPr>
                <w:rFonts w:ascii="Times New Roman"/>
                <w:spacing w:val="-1"/>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5.74%</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b/>
                <w:spacing w:val="-1"/>
                <w:sz w:val="18"/>
              </w:rPr>
              <w:t>83,647,876.34</w:t>
            </w:r>
            <w:r>
              <w:rPr>
                <w:rFonts w:ascii="Times New Roman"/>
                <w:spacing w:val="-1"/>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b/>
                <w:sz w:val="18"/>
              </w:rPr>
              <w:t>3.21%</w:t>
            </w:r>
            <w:r>
              <w:rPr>
                <w:rFonts w:ascii="Times New Roman"/>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90.23%</w:t>
            </w:r>
            <w:r>
              <w:rPr>
                <w:rFonts w:ascii="Times New Roman"/>
                <w:sz w:val="18"/>
              </w:rPr>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物联网技术应用</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b/>
                <w:spacing w:val="-1"/>
                <w:sz w:val="18"/>
              </w:rPr>
              <w:t>10,529,513.80</w:t>
            </w:r>
            <w:r>
              <w:rPr>
                <w:rFonts w:ascii="Times New Roman"/>
                <w:spacing w:val="-1"/>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0.38%</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b/>
                <w:spacing w:val="-1"/>
                <w:sz w:val="18"/>
              </w:rPr>
              <w:t>1,217,525.02</w:t>
            </w:r>
            <w:r>
              <w:rPr>
                <w:rFonts w:ascii="Times New Roman"/>
                <w:spacing w:val="-1"/>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b/>
                <w:sz w:val="18"/>
              </w:rPr>
              <w:t>0.05%</w:t>
            </w:r>
            <w:r>
              <w:rPr>
                <w:rFonts w:ascii="Times New Roman"/>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764.83%</w:t>
            </w:r>
            <w:r>
              <w:rPr>
                <w:rFonts w:ascii="Times New Roman"/>
                <w:sz w:val="18"/>
              </w:rPr>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创新孵化业务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b/>
                <w:spacing w:val="-1"/>
                <w:sz w:val="18"/>
              </w:rPr>
              <w:t>211,499,470.33</w:t>
            </w:r>
            <w:r>
              <w:rPr>
                <w:rFonts w:ascii="Times New Roman"/>
                <w:spacing w:val="-1"/>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7.63%</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b/>
                <w:spacing w:val="-1"/>
                <w:sz w:val="18"/>
              </w:rPr>
              <w:t>202,714,705.73</w:t>
            </w:r>
            <w:r>
              <w:rPr>
                <w:rFonts w:ascii="Times New Roman"/>
                <w:spacing w:val="-1"/>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b/>
                <w:sz w:val="18"/>
              </w:rPr>
              <w:t>7.78%</w:t>
            </w:r>
            <w:r>
              <w:rPr>
                <w:rFonts w:ascii="Times New Roman"/>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4.33%</w:t>
            </w:r>
            <w:r>
              <w:rPr>
                <w:rFonts w:ascii="Times New Roman"/>
                <w:sz w:val="18"/>
              </w:rPr>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其他业务收入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b/>
                <w:spacing w:val="-1"/>
                <w:sz w:val="18"/>
              </w:rPr>
              <w:t>32,774,829.51</w:t>
            </w:r>
            <w:r>
              <w:rPr>
                <w:rFonts w:ascii="Times New Roman"/>
                <w:spacing w:val="-1"/>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1.18%</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b/>
                <w:spacing w:val="-1"/>
                <w:sz w:val="18"/>
              </w:rPr>
              <w:t>17,557,543.94</w:t>
            </w:r>
            <w:r>
              <w:rPr>
                <w:rFonts w:ascii="Times New Roman"/>
                <w:spacing w:val="-1"/>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b/>
                <w:sz w:val="18"/>
              </w:rPr>
              <w:t>0.67%</w:t>
            </w:r>
            <w:r>
              <w:rPr>
                <w:rFonts w:ascii="Times New Roman"/>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86.67%</w:t>
            </w:r>
            <w:r>
              <w:rPr>
                <w:rFonts w:ascii="Times New Roman"/>
                <w:sz w:val="18"/>
              </w:rPr>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b/>
                <w:spacing w:val="-1"/>
                <w:sz w:val="18"/>
              </w:rPr>
              <w:t>2,773,487,308.85</w:t>
            </w:r>
            <w:r>
              <w:rPr>
                <w:rFonts w:ascii="Times New Roman"/>
                <w:spacing w:val="-1"/>
                <w:sz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6"/>
              <w:jc w:val="right"/>
              <w:rPr>
                <w:rFonts w:ascii="Times New Roman" w:hAnsi="Times New Roman" w:cs="Times New Roman" w:eastAsia="Times New Roman" w:hint="default"/>
                <w:sz w:val="18"/>
                <w:szCs w:val="18"/>
              </w:rPr>
            </w:pPr>
            <w:r>
              <w:rPr>
                <w:rFonts w:ascii="Times New Roman"/>
                <w:b/>
                <w:spacing w:val="-1"/>
                <w:sz w:val="18"/>
              </w:rPr>
              <w:t>2,605,296,562.50</w:t>
            </w:r>
            <w:r>
              <w:rPr>
                <w:rFonts w:ascii="Times New Roman"/>
                <w:spacing w:val="-1"/>
                <w:sz w:val="18"/>
              </w:rPr>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6.46%</w:t>
            </w:r>
            <w:r>
              <w:rPr>
                <w:rFonts w:ascii="Times New Roman"/>
                <w:sz w:val="18"/>
              </w:rPr>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软件产品开发与销售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340,736,030.53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179,977,652.94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89.32%</w:t>
            </w:r>
          </w:p>
        </w:tc>
      </w:tr>
      <w:tr>
        <w:trPr>
          <w:trHeight w:val="402" w:hRule="exact"/>
        </w:trPr>
        <w:tc>
          <w:tcPr>
            <w:tcW w:w="2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793,570,603.36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1,023,415,128.96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39.28%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410"/>
        <w:gridCol w:w="1419"/>
        <w:gridCol w:w="1559"/>
        <w:gridCol w:w="1417"/>
        <w:gridCol w:w="1560"/>
        <w:gridCol w:w="1202"/>
      </w:tblGrid>
      <w:tr>
        <w:trPr>
          <w:trHeight w:val="414" w:hRule="exact"/>
        </w:trPr>
        <w:tc>
          <w:tcPr>
            <w:tcW w:w="241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1,488,729,159.37</w:t>
            </w: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53.68%</w:t>
            </w: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1,252,072,369.27</w:t>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48.06%</w:t>
            </w:r>
          </w:p>
        </w:tc>
        <w:tc>
          <w:tcPr>
            <w:tcW w:w="12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18.90%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117,676,686.08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132,273,867.39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32,774,829.51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17,557,543.94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2"/>
              <w:jc w:val="right"/>
              <w:rPr>
                <w:rFonts w:ascii="Times New Roman" w:hAnsi="Times New Roman" w:cs="Times New Roman" w:eastAsia="Times New Roman" w:hint="default"/>
                <w:sz w:val="18"/>
                <w:szCs w:val="18"/>
              </w:rPr>
            </w:pPr>
            <w:r>
              <w:rPr>
                <w:rFonts w:ascii="Times New Roman"/>
                <w:b/>
                <w:spacing w:val="-1"/>
                <w:sz w:val="18"/>
              </w:rPr>
              <w:t>2,773,487,308.85</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b/>
                <w:spacing w:val="-1"/>
                <w:sz w:val="18"/>
              </w:rPr>
              <w:t>2,605,296,562.50</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z w:val="18"/>
              </w:rPr>
              <w:t>6.46%</w:t>
            </w:r>
            <w:r>
              <w:rPr>
                <w:rFonts w:ascii="Times New Roman"/>
                <w:sz w:val="18"/>
              </w:rPr>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大陆地区</w:t>
            </w:r>
            <w:r>
              <w:rPr>
                <w:rFonts w:ascii="Times New Roman" w:hAnsi="Times New Roman" w:cs="Times New Roman" w:eastAsia="Times New Roman" w:hint="default"/>
                <w:sz w:val="18"/>
                <w:szCs w:val="18"/>
              </w:rPr>
              <w:t>-</w:t>
            </w:r>
            <w:r>
              <w:rPr>
                <w:rFonts w:ascii="宋体" w:hAnsi="宋体" w:cs="宋体" w:eastAsia="宋体" w:hint="default"/>
                <w:sz w:val="18"/>
                <w:szCs w:val="18"/>
              </w:rPr>
              <w:t>主营收入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2,580,393,972.31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2,535,787,404.16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大陆地区</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32,774,829.51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17,557,543.94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160,318,507.03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51,951,614.40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208.59%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b/>
                <w:spacing w:val="-1"/>
                <w:sz w:val="18"/>
              </w:rPr>
              <w:t>2,773,487,308.85</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2,605,296,562.50</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6.46%</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3"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60"/>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128"/>
        <w:gridCol w:w="140"/>
        <w:gridCol w:w="1418"/>
        <w:gridCol w:w="1418"/>
        <w:gridCol w:w="851"/>
        <w:gridCol w:w="1276"/>
        <w:gridCol w:w="1276"/>
        <w:gridCol w:w="1066"/>
      </w:tblGrid>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7"/>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ICT</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运营管理</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b/>
                <w:spacing w:val="-1"/>
                <w:sz w:val="18"/>
              </w:rPr>
              <w:t>2,359,560,428.61</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b/>
                <w:spacing w:val="-1"/>
                <w:sz w:val="18"/>
              </w:rPr>
              <w:t>1,552,661,062.58</w:t>
            </w:r>
            <w:r>
              <w:rPr>
                <w:rFonts w:ascii="Times New Roman"/>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b/>
                <w:sz w:val="18"/>
              </w:rPr>
              <w:t>34.20%</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b/>
                <w:sz w:val="18"/>
              </w:rPr>
              <w:t>2.58%</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z w:val="18"/>
              </w:rPr>
              <w:t>27.93%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b/>
                <w:sz w:val="18"/>
              </w:rPr>
              <w:t>-13.04%</w:t>
            </w:r>
            <w:r>
              <w:rPr>
                <w:rFonts w:ascii="Times New Roman"/>
                <w:sz w:val="18"/>
              </w:rPr>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其中：运维管理解决方案</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624,760,105.38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108,265,847.47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1,425,746,164.94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1,367,321,414.13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移动互联网运营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309,054,158.29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77,073,800.98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游戏及娱乐</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159,123,066.60</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45,831,838.14</w:t>
            </w:r>
            <w:r>
              <w:rPr>
                <w:rFonts w:ascii="Times New Roman"/>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71.20%</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90.23%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582.83%</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-20.78%</w:t>
            </w:r>
            <w:r>
              <w:rPr>
                <w:rFonts w:ascii="Times New Roman"/>
                <w:sz w:val="18"/>
              </w:rPr>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物联网技术应用</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10,529,513.80</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2,295,977.22</w:t>
            </w:r>
            <w:r>
              <w:rPr>
                <w:rFonts w:ascii="Times New Roman"/>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78.19%</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764.83%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368.02%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18.49%</w:t>
            </w:r>
            <w:r>
              <w:rPr>
                <w:rFonts w:ascii="Times New Roman"/>
                <w:sz w:val="18"/>
              </w:rPr>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创新孵化业务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211,499,470.33</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149,914,947.76</w:t>
            </w:r>
            <w:r>
              <w:rPr>
                <w:rFonts w:ascii="Times New Roman"/>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29.12%</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4.33%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5.55%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-0.82%</w:t>
            </w:r>
            <w:r>
              <w:rPr>
                <w:rFonts w:ascii="Times New Roman"/>
                <w:sz w:val="18"/>
              </w:rPr>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其他业务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32,774,829.51</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4,081,462.20</w:t>
            </w:r>
            <w:r>
              <w:rPr>
                <w:rFonts w:ascii="Times New Roman"/>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87.55%</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86.67%</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10.79%</w:t>
            </w:r>
            <w:r>
              <w:rPr>
                <w:rFonts w:ascii="Times New Roman"/>
                <w:sz w:val="18"/>
              </w:rPr>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2,773,487,308.85</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1,754,785,287.90</w:t>
            </w:r>
            <w:r>
              <w:rPr>
                <w:rFonts w:ascii="Times New Roman"/>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36.73%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6.46%</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28.46%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-10.80%</w:t>
            </w:r>
            <w:r>
              <w:rPr>
                <w:rFonts w:ascii="Times New Roman"/>
                <w:sz w:val="18"/>
              </w:rPr>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软件产品开发与销售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340,736,030.53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47,091,859.10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793,570,603.36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180,444,446.81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1,488,729,159.37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1,409,679,715.42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117,676,686.08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113,487,804.37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32,774,829.51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4,081,462.20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10.79%</w:t>
            </w:r>
          </w:p>
        </w:tc>
      </w:tr>
      <w:tr>
        <w:trPr>
          <w:trHeight w:val="402"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2,773,487,308.85</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1,754,785,287.90</w:t>
            </w:r>
            <w:r>
              <w:rPr>
                <w:rFonts w:ascii="Times New Roman"/>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36.73%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6.46%</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28.46%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-10.80%</w:t>
            </w:r>
            <w:r>
              <w:rPr>
                <w:rFonts w:ascii="Times New Roman"/>
                <w:sz w:val="18"/>
              </w:rPr>
            </w:r>
          </w:p>
        </w:tc>
      </w:tr>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268"/>
        <w:gridCol w:w="1418"/>
        <w:gridCol w:w="1418"/>
        <w:gridCol w:w="851"/>
        <w:gridCol w:w="1276"/>
        <w:gridCol w:w="1276"/>
        <w:gridCol w:w="1066"/>
      </w:tblGrid>
      <w:tr>
        <w:trPr>
          <w:trHeight w:val="414" w:hRule="exact"/>
        </w:trPr>
        <w:tc>
          <w:tcPr>
            <w:tcW w:w="2268"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大陆地区</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2,580,393,972.31</w:t>
            </w:r>
          </w:p>
        </w:tc>
        <w:tc>
          <w:tcPr>
            <w:tcW w:w="14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1,686,802,820.59</w:t>
            </w:r>
          </w:p>
        </w:tc>
        <w:tc>
          <w:tcPr>
            <w:tcW w:w="8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34.63%</w:t>
            </w:r>
          </w:p>
        </w:tc>
        <w:tc>
          <w:tcPr>
            <w:tcW w:w="1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1.76%</w:t>
            </w:r>
          </w:p>
        </w:tc>
        <w:tc>
          <w:tcPr>
            <w:tcW w:w="1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23.93%</w:t>
            </w: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-11.70%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大陆地区</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32,774,829.51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4,081,462.20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160,318,507.03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63,901,005.11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3,411.06%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b/>
                <w:spacing w:val="-1"/>
                <w:sz w:val="18"/>
              </w:rPr>
              <w:t>2,773,487,308.85</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3"/>
              <w:jc w:val="right"/>
              <w:rPr>
                <w:rFonts w:ascii="Times New Roman" w:hAnsi="Times New Roman" w:cs="Times New Roman" w:eastAsia="Times New Roman" w:hint="default"/>
                <w:sz w:val="18"/>
                <w:szCs w:val="18"/>
              </w:rPr>
            </w:pPr>
            <w:r>
              <w:rPr>
                <w:rFonts w:ascii="Times New Roman"/>
                <w:b/>
                <w:spacing w:val="-1"/>
                <w:sz w:val="18"/>
              </w:rPr>
              <w:t>1,754,785,287.90</w:t>
            </w:r>
            <w:r>
              <w:rPr>
                <w:rFonts w:ascii="Times New Roman"/>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b/>
                <w:sz w:val="18"/>
              </w:rPr>
              <w:t>36.73%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b/>
                <w:sz w:val="18"/>
              </w:rPr>
              <w:t>6.46%</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z w:val="18"/>
              </w:rPr>
              <w:t>28.46%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b/>
                <w:sz w:val="18"/>
              </w:rPr>
              <w:t>-10.80%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spacing w:line="240" w:lineRule="auto" w:before="10"/>
        <w:rPr>
          <w:rFonts w:ascii="宋体" w:hAnsi="宋体" w:cs="宋体" w:eastAsia="宋体" w:hint="default"/>
          <w:sz w:val="19"/>
          <w:szCs w:val="19"/>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77"/>
        <w:gridCol w:w="1426"/>
        <w:gridCol w:w="1560"/>
        <w:gridCol w:w="850"/>
        <w:gridCol w:w="1277"/>
        <w:gridCol w:w="1276"/>
        <w:gridCol w:w="1207"/>
      </w:tblGrid>
      <w:tr>
        <w:trPr>
          <w:trHeight w:val="71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5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ICT</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运营管理</w:t>
            </w:r>
            <w:r>
              <w:rPr>
                <w:rFonts w:ascii="宋体" w:hAnsi="宋体" w:cs="宋体" w:eastAsia="宋体" w:hint="default"/>
                <w:sz w:val="18"/>
                <w:szCs w:val="18"/>
              </w:rPr>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2,359,560,428.61</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b/>
                <w:spacing w:val="-1"/>
                <w:sz w:val="18"/>
              </w:rPr>
              <w:t>1,552,661,062.58</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34.20%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2.58%</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27.93%</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-13.04%</w:t>
            </w:r>
            <w:r>
              <w:rPr>
                <w:rFonts w:ascii="Times New Roman"/>
                <w:sz w:val="18"/>
              </w:rPr>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其中：运维管理解决方案</w:t>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624,760,105.38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108,265,847.47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9.84%</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1,425,746,164.94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1,367,321,414.13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移动互联网运营</w:t>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309,054,158.29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77,073,800.98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游戏及娱乐</w:t>
            </w:r>
            <w:r>
              <w:rPr>
                <w:rFonts w:ascii="宋体" w:hAnsi="宋体" w:cs="宋体" w:eastAsia="宋体" w:hint="default"/>
                <w:sz w:val="18"/>
                <w:szCs w:val="18"/>
              </w:rPr>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159,123,066.60</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45,831,838.14</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71.20%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90.23%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582.83%</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-20.78%</w:t>
            </w:r>
            <w:r>
              <w:rPr>
                <w:rFonts w:ascii="Times New Roman"/>
                <w:sz w:val="18"/>
              </w:rPr>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物联网技术应用</w:t>
            </w:r>
            <w:r>
              <w:rPr>
                <w:rFonts w:ascii="宋体" w:hAnsi="宋体" w:cs="宋体" w:eastAsia="宋体" w:hint="default"/>
                <w:sz w:val="18"/>
                <w:szCs w:val="18"/>
              </w:rPr>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10,529,513.80</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2,295,977.22</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78.19%</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764.83%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368.02%</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18.49%</w:t>
            </w:r>
            <w:r>
              <w:rPr>
                <w:rFonts w:ascii="Times New Roman"/>
                <w:sz w:val="18"/>
              </w:rPr>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创新孵化业务</w:t>
            </w:r>
            <w:r>
              <w:rPr>
                <w:rFonts w:ascii="宋体" w:hAnsi="宋体" w:cs="宋体" w:eastAsia="宋体" w:hint="default"/>
                <w:sz w:val="18"/>
                <w:szCs w:val="18"/>
              </w:rPr>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pacing w:val="-1"/>
                <w:sz w:val="18"/>
              </w:rPr>
              <w:t>211,499,470.33</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pacing w:val="-1"/>
                <w:sz w:val="18"/>
              </w:rPr>
              <w:t>149,914,947.76</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b/>
                <w:sz w:val="18"/>
              </w:rPr>
              <w:t>29.12%</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b/>
                <w:sz w:val="18"/>
              </w:rPr>
              <w:t>4.33%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Times New Roman" w:hAnsi="Times New Roman" w:cs="Times New Roman" w:eastAsia="Times New Roman" w:hint="default"/>
                <w:sz w:val="18"/>
                <w:szCs w:val="18"/>
              </w:rPr>
            </w:pPr>
            <w:r>
              <w:rPr>
                <w:rFonts w:ascii="Times New Roman"/>
                <w:b/>
                <w:sz w:val="18"/>
              </w:rPr>
              <w:t>5.55%</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b/>
                <w:sz w:val="18"/>
              </w:rPr>
              <w:t>-0.82%</w:t>
            </w:r>
            <w:r>
              <w:rPr>
                <w:rFonts w:ascii="Times New Roman"/>
                <w:sz w:val="18"/>
              </w:rPr>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2,740,712,479.34</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1,750,703,825.70</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36.12%</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z w:val="18"/>
              </w:rPr>
              <w:t>5.91%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28.46%</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2"/>
                <w:sz w:val="18"/>
              </w:rPr>
              <w:t>-11.21%</w:t>
            </w:r>
            <w:r>
              <w:rPr>
                <w:rFonts w:ascii="Times New Roman"/>
                <w:spacing w:val="-2"/>
                <w:sz w:val="18"/>
              </w:rPr>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软件产品开发与销售</w:t>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340,736,030.53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47,091,859.10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109.80%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793,570,603.36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180,444,446.81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-7.77%</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1,488,729,159.37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1,409,679,715.42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-9.86%</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117,676,686.08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113,487,804.37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-1.91%</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b/>
                <w:spacing w:val="-1"/>
                <w:sz w:val="18"/>
              </w:rPr>
              <w:t>2,740,712,479.34</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b/>
                <w:spacing w:val="-1"/>
                <w:sz w:val="18"/>
              </w:rPr>
              <w:t>1,750,703,825.70</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b/>
                <w:sz w:val="18"/>
              </w:rPr>
              <w:t>36.12%</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z w:val="18"/>
              </w:rPr>
              <w:t>5.91%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b/>
                <w:sz w:val="18"/>
              </w:rPr>
              <w:t>28.46%</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pacing w:val="-2"/>
                <w:sz w:val="18"/>
              </w:rPr>
              <w:t>-11.21%</w:t>
            </w:r>
            <w:r>
              <w:rPr>
                <w:rFonts w:ascii="Times New Roman"/>
                <w:spacing w:val="-2"/>
                <w:sz w:val="18"/>
              </w:rPr>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大陆地区</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w:t>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2,580,393,972.31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1,686,802,820.59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-11.70%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160,318,507.03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63,901,005.11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3411.06%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-36.36%</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b/>
                <w:spacing w:val="-1"/>
                <w:sz w:val="18"/>
              </w:rPr>
              <w:t>2,740,712,479.34</w:t>
            </w:r>
            <w:r>
              <w:rPr>
                <w:rFonts w:ascii="Times New Roman"/>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b/>
                <w:spacing w:val="-1"/>
                <w:sz w:val="18"/>
              </w:rPr>
              <w:t>1,750,703,825.70</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b/>
                <w:sz w:val="18"/>
              </w:rPr>
              <w:t>36.12%</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z w:val="18"/>
              </w:rPr>
              <w:t>5.91%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b/>
                <w:sz w:val="18"/>
              </w:rPr>
              <w:t>28.46%</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b/>
                <w:spacing w:val="-2"/>
                <w:sz w:val="18"/>
              </w:rPr>
              <w:t>-11.21%</w:t>
            </w:r>
            <w:r>
              <w:rPr>
                <w:rFonts w:ascii="Times New Roman"/>
                <w:spacing w:val="-2"/>
                <w:sz w:val="18"/>
              </w:rPr>
            </w:r>
          </w:p>
        </w:tc>
      </w:tr>
    </w:tbl>
    <w:p>
      <w:pPr>
        <w:pStyle w:val="BodyText"/>
        <w:spacing w:line="463" w:lineRule="auto" w:before="88"/>
        <w:ind w:right="1132"/>
        <w:jc w:val="both"/>
      </w:pPr>
      <w:r>
        <w:rPr>
          <w:spacing w:val="-2"/>
        </w:rPr>
        <w:t>为了便于投资者更加容易理解公司业务，结合各业务板块特征以及营运管理要求，对业务架构进行了优化与调整，以适应企</w:t>
      </w:r>
      <w:r>
        <w:rPr>
          <w:spacing w:val="-66"/>
        </w:rPr>
        <w:t> </w:t>
      </w:r>
      <w:r>
        <w:rPr>
          <w:spacing w:val="-66"/>
        </w:rPr>
      </w:r>
      <w:r>
        <w:rPr>
          <w:spacing w:val="-2"/>
        </w:rPr>
        <w:t>业未来发展需要，其中飞信、融合通信、农信通统称</w:t>
      </w:r>
      <w:r>
        <w:rPr>
          <w:rFonts w:ascii="Times New Roman" w:hAnsi="Times New Roman" w:cs="Times New Roman" w:eastAsia="Times New Roman" w:hint="default"/>
          <w:spacing w:val="-2"/>
        </w:rPr>
        <w:t>“</w:t>
      </w:r>
      <w:r>
        <w:rPr>
          <w:spacing w:val="-2"/>
        </w:rPr>
        <w:t>移动互联网运营</w:t>
      </w:r>
      <w:r>
        <w:rPr>
          <w:rFonts w:ascii="Times New Roman" w:hAnsi="Times New Roman" w:cs="Times New Roman" w:eastAsia="Times New Roman" w:hint="default"/>
          <w:spacing w:val="-2"/>
        </w:rPr>
        <w:t>”</w:t>
      </w:r>
      <w:r>
        <w:rPr>
          <w:spacing w:val="-2"/>
        </w:rPr>
        <w:t>纳入到运营管理业务板块，职业教育、大数据、电子</w:t>
      </w:r>
      <w:r>
        <w:rPr>
          <w:spacing w:val="-45"/>
        </w:rPr>
        <w:t> </w:t>
      </w:r>
      <w:r>
        <w:rPr>
          <w:spacing w:val="-45"/>
        </w:rPr>
      </w:r>
      <w:r>
        <w:rPr/>
        <w:t>商务、互联网金融、视频秀业务纳入到创新板块。</w:t>
      </w:r>
    </w:p>
    <w:p>
      <w:pPr>
        <w:spacing w:after="0" w:line="463" w:lineRule="auto"/>
        <w:jc w:val="both"/>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left="113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32"/>
          <w:szCs w:val="32"/>
        </w:rPr>
      </w:pPr>
    </w:p>
    <w:p>
      <w:pPr>
        <w:pStyle w:val="BodyText"/>
        <w:spacing w:line="482" w:lineRule="auto"/>
        <w:ind w:right="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报告期内，公司签署的订单比上年相应增加并执行良好。截至报告期末，公司及控股子公司已签约尚未结转收入的合同余额</w:t>
      </w:r>
      <w:r>
        <w:rPr>
          <w:spacing w:val="-66"/>
        </w:rPr>
        <w:t> </w:t>
      </w:r>
      <w:r>
        <w:rPr>
          <w:spacing w:val="-66"/>
        </w:rPr>
      </w:r>
      <w:r>
        <w:rPr/>
        <w:t>约为</w:t>
      </w:r>
      <w:r>
        <w:rPr>
          <w:rFonts w:ascii="Times New Roman" w:hAnsi="Times New Roman" w:cs="Times New Roman" w:eastAsia="Times New Roman" w:hint="default"/>
        </w:rPr>
        <w:t>11.56</w:t>
      </w:r>
      <w:r>
        <w:rPr/>
        <w:t>亿元，较年初已签约尚未结转收入余额增长</w:t>
      </w:r>
      <w:r>
        <w:rPr>
          <w:rFonts w:ascii="Times New Roman" w:hAnsi="Times New Roman" w:cs="Times New Roman" w:eastAsia="Times New Roman" w:hint="default"/>
        </w:rPr>
        <w:t>12.12%</w:t>
      </w:r>
      <w:r>
        <w:rPr/>
        <w:t>，其中，</w:t>
      </w:r>
      <w:r>
        <w:rPr>
          <w:rFonts w:ascii="Times New Roman" w:hAnsi="Times New Roman" w:cs="Times New Roman" w:eastAsia="Times New Roman" w:hint="default"/>
        </w:rPr>
        <w:t>ICT</w:t>
      </w:r>
      <w:r>
        <w:rPr/>
        <w:t>运营管理业务合同</w:t>
      </w:r>
      <w:r>
        <w:rPr>
          <w:rFonts w:ascii="Times New Roman" w:hAnsi="Times New Roman" w:cs="Times New Roman" w:eastAsia="Times New Roman" w:hint="default"/>
        </w:rPr>
        <w:t>11.38</w:t>
      </w:r>
      <w:r>
        <w:rPr/>
        <w:t>亿元。</w:t>
      </w:r>
    </w:p>
    <w:p>
      <w:pPr>
        <w:spacing w:line="240" w:lineRule="auto" w:before="6"/>
        <w:rPr>
          <w:rFonts w:ascii="宋体" w:hAnsi="宋体" w:cs="宋体" w:eastAsia="宋体" w:hint="default"/>
          <w:sz w:val="16"/>
          <w:szCs w:val="16"/>
        </w:rPr>
      </w:pPr>
    </w:p>
    <w:p>
      <w:pPr>
        <w:pStyle w:val="Heading3"/>
        <w:spacing w:line="240" w:lineRule="auto"/>
        <w:ind w:left="113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2156"/>
        <w:gridCol w:w="1561"/>
        <w:gridCol w:w="1701"/>
        <w:gridCol w:w="1559"/>
        <w:gridCol w:w="1562"/>
        <w:gridCol w:w="1157"/>
      </w:tblGrid>
      <w:tr>
        <w:trPr>
          <w:trHeight w:val="402" w:hRule="exact"/>
        </w:trPr>
        <w:tc>
          <w:tcPr>
            <w:tcW w:w="2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2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56"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15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ICT</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运营管理</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1,552,661,062.58</w:t>
            </w:r>
            <w:r>
              <w:rPr>
                <w:rFonts w:ascii="Times New Roman"/>
                <w:spacing w:val="-1"/>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88.48%</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1,213,636,715.57</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88.78%</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27.93%</w:t>
            </w:r>
            <w:r>
              <w:rPr>
                <w:rFonts w:ascii="Times New Roman"/>
                <w:sz w:val="18"/>
              </w:rPr>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其中：运维管理解决方案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108,265,847.47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249,343,662.61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-56.58%</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1,367,321,414.13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871,793,993.62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56.84%</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移动互联网运营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77,073,800.98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92,499,059.34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-16.68%</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游戏及娱乐</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45,831,838.14</w:t>
            </w:r>
            <w:r>
              <w:rPr>
                <w:rFonts w:ascii="Times New Roman"/>
                <w:spacing w:val="-1"/>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2.61%</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6,712,091.17</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0.49%</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582.83%</w:t>
            </w:r>
            <w:r>
              <w:rPr>
                <w:rFonts w:ascii="Times New Roman"/>
                <w:sz w:val="18"/>
              </w:rPr>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物联网技术应用</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2,295,977.22</w:t>
            </w:r>
            <w:r>
              <w:rPr>
                <w:rFonts w:ascii="Times New Roman"/>
                <w:spacing w:val="-1"/>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0.13%</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490,571.56</w:t>
            </w:r>
            <w:r>
              <w:rPr>
                <w:rFonts w:ascii="Times New Roman"/>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0.04%</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368.02%</w:t>
            </w:r>
            <w:r>
              <w:rPr>
                <w:rFonts w:ascii="Times New Roman"/>
                <w:sz w:val="18"/>
              </w:rPr>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创新孵化业务</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149,914,947.76</w:t>
            </w:r>
            <w:r>
              <w:rPr>
                <w:rFonts w:ascii="Times New Roman"/>
                <w:spacing w:val="-1"/>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8.54%</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142,026,872.88</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10.39%</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5.55%</w:t>
            </w:r>
            <w:r>
              <w:rPr>
                <w:rFonts w:ascii="Times New Roman"/>
                <w:sz w:val="18"/>
              </w:rPr>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其他业务</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4,081,462.20</w:t>
            </w:r>
            <w:r>
              <w:rPr>
                <w:rFonts w:ascii="Times New Roman"/>
                <w:spacing w:val="-1"/>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0.23%</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4,081,462.20</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0.30%</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1,754,785,287.90</w:t>
            </w:r>
            <w:r>
              <w:rPr>
                <w:rFonts w:ascii="Times New Roman"/>
                <w:spacing w:val="-1"/>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1,366,947,713.38</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28.37%</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left="1133"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13"/>
          <w:szCs w:val="13"/>
        </w:rPr>
      </w:pPr>
    </w:p>
    <w:p>
      <w:pPr>
        <w:pStyle w:val="BodyText"/>
        <w:spacing w:line="477" w:lineRule="auto"/>
        <w:ind w:right="1123"/>
        <w:jc w:val="left"/>
      </w:pPr>
      <w:r>
        <w:rPr/>
        <w:t>本报告期合并范围的变动主要为收购、投资新设等子公司，具体详见“第五节 七、与上年度财务报告相比，合并报表范围 </w:t>
      </w:r>
      <w:r>
        <w:rPr>
          <w:spacing w:val="-17"/>
        </w:rPr>
        <w:t>发生变化的情况说明”。</w:t>
      </w:r>
      <w:r>
        <w:rPr/>
      </w: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right="0"/>
        <w:jc w:val="left"/>
      </w:pPr>
      <w:r>
        <w:rPr/>
        <w:t>公司主要销售客户情况</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1,332,829,382.79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48.06%</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441,458,489.72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291,308,765.85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249,369,794.89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245,717,063.87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104,975,268.46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b/>
                <w:spacing w:val="-1"/>
                <w:sz w:val="18"/>
              </w:rPr>
              <w:t>1,332,829,382.79</w:t>
            </w:r>
            <w:r>
              <w:rPr>
                <w:rFonts w:ascii="Times New Roman"/>
                <w:spacing w:val="-1"/>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48.06%</w:t>
            </w:r>
            <w:r>
              <w:rPr>
                <w:rFonts w:ascii="Times New Roman"/>
                <w:sz w:val="18"/>
              </w:rPr>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公司主要供应商情况</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977,418,772.91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46.39%</w:t>
            </w:r>
          </w:p>
        </w:tc>
      </w:tr>
    </w:tbl>
    <w:p>
      <w:pPr>
        <w:spacing w:line="240" w:lineRule="auto" w:before="7"/>
        <w:rPr>
          <w:rFonts w:ascii="宋体" w:hAnsi="宋体" w:cs="宋体" w:eastAsia="宋体" w:hint="default"/>
          <w:sz w:val="6"/>
          <w:szCs w:val="6"/>
        </w:rPr>
      </w:pPr>
    </w:p>
    <w:p>
      <w:pPr>
        <w:pStyle w:val="BodyText"/>
        <w:spacing w:line="240" w:lineRule="auto" w:before="44"/>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3"/>
        <w:rPr>
          <w:rFonts w:ascii="宋体" w:hAnsi="宋体" w:cs="宋体" w:eastAsia="宋体"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556,155,680.84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141,477,907.39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106,714,400.00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90,891,054.68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82,179,730.00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8"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b/>
                <w:spacing w:val="-1"/>
                <w:sz w:val="18"/>
              </w:rPr>
              <w:t>977,418,772.91</w:t>
            </w:r>
            <w:r>
              <w:rPr>
                <w:rFonts w:ascii="Times New Roman"/>
                <w:spacing w:val="-1"/>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46.39%</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163,190,854.25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88,819,223.27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83.73%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主要系手机游戏发行业务及互联网 创新业务的推广发行费增加所致。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588,987,655.44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578,646,496.30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-12,690,219.15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0" w:right="0"/>
              <w:jc w:val="left"/>
              <w:rPr>
                <w:rFonts w:ascii="Times New Roman" w:hAnsi="Times New Roman" w:cs="Times New Roman" w:eastAsia="Times New Roman" w:hint="default"/>
                <w:sz w:val="18"/>
                <w:szCs w:val="18"/>
              </w:rPr>
            </w:pPr>
            <w:r>
              <w:rPr>
                <w:rFonts w:ascii="Times New Roman"/>
                <w:sz w:val="18"/>
              </w:rPr>
              <w:t>-17,983,424.23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主要系汇兑损益减少所致。</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1493" w:right="1118"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持续的自主创新能力是市场竞争力的核心要素，公司自成立以来一直高度重视研发投入力度，近几年研发投入一直都保</w:t>
      </w:r>
    </w:p>
    <w:p>
      <w:pPr>
        <w:pStyle w:val="BodyText"/>
        <w:spacing w:line="477" w:lineRule="auto" w:before="103"/>
        <w:ind w:left="1493" w:right="0" w:hanging="360"/>
        <w:jc w:val="left"/>
      </w:pPr>
      <w:r>
        <w:rPr/>
        <w:t>持在一定规模，持续的研发投入为公司巩固和进一步提高技术竞争优势提供了有力的物质保障。 </w:t>
      </w:r>
      <w:r>
        <w:rPr>
          <w:spacing w:val="-2"/>
        </w:rPr>
        <w:t>报告期内，公司持续加强现有运维管理业务线的产品开发，提升性能与功能；做好融合通信类产品的开发；进一步推进</w:t>
      </w:r>
    </w:p>
    <w:p>
      <w:pPr>
        <w:pStyle w:val="BodyText"/>
        <w:spacing w:line="477" w:lineRule="auto" w:before="54"/>
        <w:ind w:right="1118"/>
        <w:jc w:val="left"/>
      </w:pPr>
      <w:r>
        <w:rPr>
          <w:spacing w:val="-2"/>
        </w:rPr>
        <w:t>在线教育、游戏产品等方面的开发与应用实践以及物联网技术的研发工作，这些产品研发与技术积累为公司持续发展打下良</w:t>
      </w:r>
      <w:r>
        <w:rPr>
          <w:spacing w:val="-64"/>
        </w:rPr>
        <w:t> </w:t>
      </w:r>
      <w:r>
        <w:rPr>
          <w:spacing w:val="-64"/>
        </w:rPr>
      </w:r>
      <w:r>
        <w:rPr/>
        <w:t>好基础。</w:t>
      </w:r>
    </w:p>
    <w:p>
      <w:pPr>
        <w:pStyle w:val="BodyText"/>
        <w:spacing w:line="240" w:lineRule="auto" w:before="95"/>
        <w:ind w:right="0"/>
        <w:jc w:val="left"/>
      </w:pPr>
      <w:r>
        <w:rPr/>
        <w:t>近三年公司研发投入金额及占营业收入的比例</w:t>
      </w:r>
    </w:p>
    <w:p>
      <w:pPr>
        <w:spacing w:line="240" w:lineRule="auto" w:before="0"/>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217,190,807.07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260,550,982.56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214,224,497.59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124,340,356.19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92,639,859.49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28,589,405.59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研发投入总额占营业收入的比重较上年发生显著变化的原因</w:t>
      </w:r>
    </w:p>
    <w:p>
      <w:pPr>
        <w:spacing w:line="240" w:lineRule="auto" w:before="12"/>
        <w:rPr>
          <w:rFonts w:ascii="宋体" w:hAnsi="宋体" w:cs="宋体" w:eastAsia="宋体" w:hint="default"/>
          <w:sz w:val="20"/>
          <w:szCs w:val="20"/>
        </w:rPr>
      </w:pPr>
    </w:p>
    <w:p>
      <w:pPr>
        <w:pStyle w:val="BodyText"/>
        <w:spacing w:line="489" w:lineRule="auto"/>
        <w:ind w:left="113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研发投入资本化率大幅变动的原因及其合理性说明</w:t>
      </w:r>
    </w:p>
    <w:p>
      <w:pPr>
        <w:pStyle w:val="BodyText"/>
        <w:spacing w:line="489" w:lineRule="auto" w:before="85"/>
        <w:ind w:left="1494" w:right="1118"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报告期内，公司大力推进研发进度，进入到开发阶段的项目较去年有所增加，研发投入的资本化项目分别为：生活化即</w:t>
      </w:r>
    </w:p>
    <w:p>
      <w:pPr>
        <w:pStyle w:val="BodyText"/>
        <w:spacing w:line="463" w:lineRule="auto" w:before="45"/>
        <w:ind w:right="1039"/>
        <w:jc w:val="left"/>
      </w:pPr>
      <w:r>
        <w:rPr>
          <w:spacing w:val="-2"/>
        </w:rPr>
        <w:t>时通讯社交平台系统、面向中东地区基于地理位置的陌生人交友平台、面向中东地区的视频互动平台、行业数据管理平台软</w:t>
      </w:r>
      <w:r>
        <w:rPr>
          <w:spacing w:val="-66"/>
        </w:rPr>
        <w:t> </w:t>
      </w:r>
      <w:r>
        <w:rPr>
          <w:spacing w:val="-66"/>
        </w:rPr>
      </w:r>
      <w:r>
        <w:rPr/>
        <w:t>件、互联网安全攻防、移动互联全智能项目、智能产品创新平台、智能节能及环保微课、企业移动协作平台</w:t>
      </w:r>
      <w:r>
        <w:rPr>
          <w:rFonts w:ascii="Times New Roman" w:hAnsi="Times New Roman" w:cs="Times New Roman" w:eastAsia="Times New Roman" w:hint="default"/>
        </w:rPr>
        <w:t>Ultra-ME 3.0</w:t>
      </w:r>
      <w:r>
        <w:rPr/>
        <w:t>、 神州泰岳云运维平台</w:t>
      </w:r>
      <w:r>
        <w:rPr>
          <w:rFonts w:ascii="Times New Roman" w:hAnsi="Times New Roman" w:cs="Times New Roman" w:eastAsia="Times New Roman" w:hint="default"/>
        </w:rPr>
        <w:t>Ultra-CloudITSM 1.0</w:t>
      </w:r>
      <w:r>
        <w:rPr/>
        <w:t>、通用软件维护系统</w:t>
      </w:r>
      <w:r>
        <w:rPr>
          <w:rFonts w:ascii="Times New Roman" w:hAnsi="Times New Roman" w:cs="Times New Roman" w:eastAsia="Times New Roman" w:hint="default"/>
        </w:rPr>
        <w:t>Ultra-USM 1.0</w:t>
      </w:r>
      <w:r>
        <w:rPr/>
        <w:t>、漏洞深度检测系统</w:t>
      </w:r>
      <w:r>
        <w:rPr>
          <w:rFonts w:ascii="Times New Roman" w:hAnsi="Times New Roman" w:cs="Times New Roman" w:eastAsia="Times New Roman" w:hint="default"/>
        </w:rPr>
        <w:t>Ultra-DeepScanner</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3"/>
        </w:rPr>
        <w:t>V2.0</w:t>
      </w:r>
      <w:r>
        <w:rPr>
          <w:spacing w:val="-3"/>
        </w:rPr>
        <w:t>、</w:t>
      </w:r>
      <w:r>
        <w:rPr>
          <w:rFonts w:ascii="Times New Roman" w:hAnsi="Times New Roman" w:cs="Times New Roman" w:eastAsia="Times New Roman" w:hint="default"/>
          <w:spacing w:val="-3"/>
        </w:rPr>
        <w:t>rcs</w:t>
      </w:r>
      <w:r>
        <w:rPr>
          <w:rFonts w:ascii="Times New Roman" w:hAnsi="Times New Roman" w:cs="Times New Roman" w:eastAsia="Times New Roman" w:hint="default"/>
          <w:w w:val="99"/>
        </w:rPr>
        <w:t> </w:t>
      </w:r>
      <w:r>
        <w:rPr/>
        <w:t>系统、音视频通信引擎、基于移动互联网的云沟通平台、基于</w:t>
      </w:r>
      <w:r>
        <w:rPr>
          <w:rFonts w:ascii="Times New Roman" w:hAnsi="Times New Roman" w:cs="Times New Roman" w:eastAsia="Times New Roman" w:hint="default"/>
        </w:rPr>
        <w:t>4G</w:t>
      </w:r>
      <w:r>
        <w:rPr/>
        <w:t>的融合通信加强系统、基于</w:t>
      </w:r>
      <w:r>
        <w:rPr>
          <w:rFonts w:ascii="Times New Roman" w:hAnsi="Times New Roman" w:cs="Times New Roman" w:eastAsia="Times New Roman" w:hint="default"/>
        </w:rPr>
        <w:t>Python</w:t>
      </w:r>
      <w:r>
        <w:rPr/>
        <w:t>的数据库集群管理系统、 </w:t>
      </w:r>
      <w:r>
        <w:rPr>
          <w:spacing w:val="-2"/>
        </w:rPr>
        <w:t>网络技术平台在线交流系统、连接人与服务的即时通讯云平台、智能化内容审核平台系统、视频点播系统云平台项目、智慧</w:t>
      </w:r>
      <w:r>
        <w:rPr>
          <w:spacing w:val="-66"/>
        </w:rPr>
        <w:t> </w:t>
      </w:r>
      <w:r>
        <w:rPr>
          <w:spacing w:val="-66"/>
        </w:rPr>
      </w:r>
      <w:r>
        <w:rPr/>
        <w:t>线</w:t>
      </w:r>
      <w:r>
        <w:rPr>
          <w:rFonts w:ascii="Times New Roman" w:hAnsi="Times New Roman" w:cs="Times New Roman" w:eastAsia="Times New Roman" w:hint="default"/>
        </w:rPr>
        <w:t>2.5.1</w:t>
      </w:r>
      <w:r>
        <w:rPr/>
        <w:t>、智慧线</w:t>
      </w:r>
      <w:r>
        <w:rPr>
          <w:rFonts w:ascii="Times New Roman" w:hAnsi="Times New Roman" w:cs="Times New Roman" w:eastAsia="Times New Roman" w:hint="default"/>
        </w:rPr>
        <w:t>3.0.1</w:t>
      </w:r>
      <w:r>
        <w:rPr/>
        <w:t>、智慧线</w:t>
      </w:r>
      <w:r>
        <w:rPr>
          <w:rFonts w:ascii="Times New Roman" w:hAnsi="Times New Roman" w:cs="Times New Roman" w:eastAsia="Times New Roman" w:hint="default"/>
        </w:rPr>
        <w:t>TSM</w:t>
      </w:r>
      <w:r>
        <w:rPr/>
        <w:t>、皮卡丘、天子传奇、战争与秩序、小小帝国</w:t>
      </w:r>
      <w:r>
        <w:rPr>
          <w:rFonts w:ascii="Times New Roman" w:hAnsi="Times New Roman" w:cs="Times New Roman" w:eastAsia="Times New Roman" w:hint="default"/>
        </w:rPr>
        <w:t>2</w:t>
      </w:r>
      <w:r>
        <w:rPr/>
        <w:t>、风暴传说，这些项目有些具有广阔的市 </w:t>
      </w:r>
      <w:r>
        <w:rPr>
          <w:spacing w:val="-2"/>
        </w:rPr>
        <w:t>场前景，有些已具备了较为明确的客户、市场基础，对于增强公司在运维管理、互联网、物联网、游戏及在线教育业务的技</w:t>
      </w:r>
      <w:r>
        <w:rPr>
          <w:spacing w:val="-68"/>
        </w:rPr>
        <w:t> </w:t>
      </w:r>
      <w:r>
        <w:rPr>
          <w:spacing w:val="-68"/>
        </w:rPr>
      </w:r>
      <w:r>
        <w:rPr/>
        <w:t>术、产品能力、提升经营业绩将起到积极的作用。</w:t>
      </w:r>
    </w:p>
    <w:p>
      <w:pPr>
        <w:spacing w:after="0" w:line="463"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3,295,323,180.57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2,839,046,643.03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3,231,083,717.77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2,467,827,100.74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9"/>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64,239,462.80</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371,219,542.29</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b/>
                <w:sz w:val="18"/>
              </w:rPr>
              <w:t>-82.70%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53,577,046.02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50,759,595.35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314,500,665.08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485,763,456.46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9"/>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-260,923,619.06</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-435,003,861.11</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b/>
                <w:sz w:val="18"/>
              </w:rPr>
              <w:t>-40.02%</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295,059,410.93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238,503,158.42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683,954,348.23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407,712,711.58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9"/>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-388,894,937.30</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b/>
                <w:spacing w:val="-1"/>
                <w:sz w:val="18"/>
              </w:rPr>
              <w:t>-169,209,553.16</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b/>
                <w:sz w:val="18"/>
              </w:rPr>
              <w:t>129.83%</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-575,576,076.96</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b/>
                <w:spacing w:val="-1"/>
                <w:sz w:val="18"/>
              </w:rPr>
              <w:t>-234,074,459.09</w:t>
            </w:r>
            <w:r>
              <w:rPr>
                <w:rFonts w:ascii="Times New Roman"/>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b/>
                <w:sz w:val="18"/>
              </w:rPr>
              <w:t>145.89%</w:t>
            </w:r>
            <w:r>
              <w:rPr>
                <w:rFonts w:ascii="Times New Roman"/>
                <w:sz w:val="18"/>
              </w:rPr>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相关数据同比发生重大变动的主要影响因素说明</w:t>
      </w:r>
    </w:p>
    <w:p>
      <w:pPr>
        <w:spacing w:line="240" w:lineRule="auto" w:before="12"/>
        <w:rPr>
          <w:rFonts w:ascii="宋体" w:hAnsi="宋体" w:cs="宋体" w:eastAsia="宋体" w:hint="default"/>
          <w:sz w:val="20"/>
          <w:szCs w:val="20"/>
        </w:rPr>
      </w:pPr>
    </w:p>
    <w:p>
      <w:pPr>
        <w:pStyle w:val="BodyText"/>
        <w:spacing w:line="472" w:lineRule="auto"/>
        <w:ind w:right="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公司经营活动现金流入的增幅为</w:t>
      </w:r>
      <w:r>
        <w:rPr>
          <w:rFonts w:ascii="Times New Roman" w:hAnsi="Times New Roman" w:cs="Times New Roman" w:eastAsia="Times New Roman" w:hint="default"/>
        </w:rPr>
        <w:t>16.07%</w:t>
      </w:r>
      <w:r>
        <w:rPr/>
        <w:t>，远高于营业收入的增幅；经营活动现金流出较上期增长</w:t>
      </w:r>
      <w:r>
        <w:rPr>
          <w:rFonts w:ascii="Times New Roman" w:hAnsi="Times New Roman" w:cs="Times New Roman" w:eastAsia="Times New Roman" w:hint="default"/>
        </w:rPr>
        <w:t>30.93%</w:t>
      </w:r>
      <w:r>
        <w:rPr/>
        <w:t>，主要系公司运营</w:t>
      </w:r>
      <w:r>
        <w:rPr>
          <w:spacing w:val="-31"/>
        </w:rPr>
        <w:t> </w:t>
      </w:r>
      <w:r>
        <w:rPr>
          <w:spacing w:val="-2"/>
        </w:rPr>
        <w:t>管理系统集成业务的采购、手机游戏发行业务及互联网创新业务的推广发行费较去年同期增加所致，进而影响了经营活动产</w:t>
      </w:r>
      <w:r>
        <w:rPr>
          <w:spacing w:val="-64"/>
        </w:rPr>
        <w:t> </w:t>
      </w:r>
      <w:r>
        <w:rPr>
          <w:spacing w:val="-64"/>
        </w:rPr>
      </w:r>
      <w:r>
        <w:rPr/>
        <w:t>生的现金流量净额的下降。</w:t>
      </w:r>
    </w:p>
    <w:p>
      <w:pPr>
        <w:pStyle w:val="BodyText"/>
        <w:spacing w:line="516" w:lineRule="auto" w:before="98"/>
        <w:ind w:right="0"/>
        <w:jc w:val="left"/>
      </w:pPr>
      <w:r>
        <w:rPr/>
        <w:t>投资活动现金净流出、投资活动产生的现金流量净额较上期下降，主要系公司本期大规模的股权投资活动小于上期所致。 </w:t>
      </w:r>
      <w:r>
        <w:rPr>
          <w:spacing w:val="-2"/>
        </w:rPr>
        <w:t>筹资活动现金流出、筹资活动产生的现金流量净额分别较上期增长，主要系公司支付以前年度已纳入合并范围的天津壳木软</w:t>
      </w:r>
    </w:p>
    <w:p>
      <w:pPr>
        <w:pStyle w:val="BodyText"/>
        <w:spacing w:line="477" w:lineRule="auto" w:before="25"/>
        <w:ind w:right="0"/>
        <w:jc w:val="left"/>
      </w:pPr>
      <w:r>
        <w:rPr>
          <w:spacing w:val="-2"/>
        </w:rPr>
        <w:t>件有限责任公司原股东股权收购款、支付同一控制企业合并子公司北京神州祥升软件有限公司股权转让款以及子公司北京神</w:t>
      </w:r>
      <w:r>
        <w:rPr>
          <w:spacing w:val="-64"/>
        </w:rPr>
        <w:t> </w:t>
      </w:r>
      <w:r>
        <w:rPr>
          <w:spacing w:val="-64"/>
        </w:rPr>
      </w:r>
      <w:r>
        <w:rPr/>
        <w:t>州泰岳良品电子商务有限公司退出合并范围现金减少所致。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1"/>
        <w:ind w:left="1134" w:right="0"/>
        <w:jc w:val="left"/>
      </w:pPr>
      <w:r>
        <w:rPr/>
        <w:t>报告期内公司经营活动产生的现金净流量与本年度净利润存在重大差异的原因说明</w:t>
      </w:r>
    </w:p>
    <w:p>
      <w:pPr>
        <w:spacing w:line="240" w:lineRule="auto" w:before="10"/>
        <w:rPr>
          <w:rFonts w:ascii="宋体" w:hAnsi="宋体" w:cs="宋体" w:eastAsia="宋体" w:hint="default"/>
          <w:sz w:val="20"/>
          <w:szCs w:val="20"/>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6"/>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pStyle w:val="BodyText"/>
        <w:spacing w:line="240" w:lineRule="auto" w:before="102"/>
        <w:ind w:left="0" w:right="1130"/>
        <w:jc w:val="right"/>
      </w:pPr>
      <w:r>
        <w:rPr/>
        <w:t>单位：元</w:t>
      </w:r>
    </w:p>
    <w:p>
      <w:pPr>
        <w:spacing w:after="0" w:line="240" w:lineRule="auto"/>
        <w:jc w:val="right"/>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523"/>
        <w:gridCol w:w="1313"/>
        <w:gridCol w:w="1560"/>
        <w:gridCol w:w="3260"/>
        <w:gridCol w:w="1914"/>
      </w:tblGrid>
      <w:tr>
        <w:trPr>
          <w:trHeight w:val="414" w:hRule="exact"/>
        </w:trPr>
        <w:tc>
          <w:tcPr>
            <w:tcW w:w="1523"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26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13"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80,190,731.65</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23.49%</w:t>
            </w:r>
          </w:p>
        </w:tc>
        <w:tc>
          <w:tcPr>
            <w:tcW w:w="3260"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因壳木软件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年度业绩未达标，回购 注销部分股份而相应确认权益工具形成 的收益；</w:t>
            </w:r>
          </w:p>
          <w:p>
            <w:pPr>
              <w:pStyle w:val="TableParagraph"/>
              <w:spacing w:line="319" w:lineRule="auto" w:before="64"/>
              <w:ind w:left="22" w:right="21"/>
              <w:jc w:val="left"/>
              <w:rPr>
                <w:rFonts w:ascii="宋体" w:hAnsi="宋体" w:cs="宋体" w:eastAsia="宋体" w:hint="default"/>
                <w:sz w:val="18"/>
                <w:szCs w:val="18"/>
              </w:rPr>
            </w:pPr>
            <w:r>
              <w:rPr>
                <w:rFonts w:ascii="宋体" w:hAnsi="宋体" w:cs="宋体" w:eastAsia="宋体" w:hint="default"/>
                <w:sz w:val="18"/>
                <w:szCs w:val="18"/>
              </w:rPr>
              <w:t>原子公司神州良品引入战略投资导致丧 </w:t>
            </w:r>
            <w:r>
              <w:rPr>
                <w:rFonts w:ascii="宋体" w:hAnsi="宋体" w:cs="宋体" w:eastAsia="宋体" w:hint="default"/>
                <w:spacing w:val="-2"/>
                <w:sz w:val="18"/>
                <w:szCs w:val="18"/>
              </w:rPr>
              <w:t>失控制权，会计核算由成本法改为权益法</w:t>
            </w:r>
            <w:r>
              <w:rPr>
                <w:rFonts w:ascii="宋体" w:hAnsi="宋体" w:cs="宋体" w:eastAsia="宋体" w:hint="default"/>
                <w:sz w:val="18"/>
                <w:szCs w:val="18"/>
              </w:rPr>
              <w:t> </w:t>
            </w:r>
            <w:r>
              <w:rPr>
                <w:rFonts w:ascii="宋体" w:hAnsi="宋体" w:cs="宋体" w:eastAsia="宋体" w:hint="default"/>
                <w:spacing w:val="-2"/>
                <w:sz w:val="18"/>
                <w:szCs w:val="18"/>
              </w:rPr>
              <w:t>计量，剩余股权按公允价值重新计量产生</w:t>
            </w:r>
            <w:r>
              <w:rPr>
                <w:rFonts w:ascii="宋体" w:hAnsi="宋体" w:cs="宋体" w:eastAsia="宋体" w:hint="default"/>
                <w:sz w:val="18"/>
                <w:szCs w:val="18"/>
              </w:rPr>
              <w:t> 的利得；</w:t>
            </w:r>
          </w:p>
          <w:p>
            <w:pPr>
              <w:pStyle w:val="TableParagraph"/>
              <w:spacing w:line="357" w:lineRule="auto" w:before="56"/>
              <w:ind w:left="22" w:right="1065"/>
              <w:jc w:val="left"/>
              <w:rPr>
                <w:rFonts w:ascii="宋体" w:hAnsi="宋体" w:cs="宋体" w:eastAsia="宋体" w:hint="default"/>
                <w:sz w:val="18"/>
                <w:szCs w:val="18"/>
              </w:rPr>
            </w:pPr>
            <w:r>
              <w:rPr>
                <w:rFonts w:ascii="宋体" w:hAnsi="宋体" w:cs="宋体" w:eastAsia="宋体" w:hint="default"/>
                <w:sz w:val="18"/>
                <w:szCs w:val="18"/>
              </w:rPr>
              <w:t>可供出售金融资产的分红； 按权益法核算的投资收益。</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可供出售金融资产的分 红、按权益法核算的投 资收益具备持续性。</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13"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131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3"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57,162,900.00</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16.74%</w:t>
            </w:r>
          </w:p>
        </w:tc>
        <w:tc>
          <w:tcPr>
            <w:tcW w:w="326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壳木软件商誉减值、坏账计提、存货减值</w:t>
            </w:r>
            <w:r>
              <w:rPr>
                <w:rFonts w:ascii="宋体" w:hAnsi="宋体" w:cs="宋体" w:eastAsia="宋体" w:hint="default"/>
                <w:sz w:val="18"/>
                <w:szCs w:val="18"/>
              </w:rPr>
              <w:t> 计提、可供出售金融资产减值损失。</w:t>
            </w:r>
          </w:p>
        </w:tc>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坏账计提具有持续性。</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13"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3"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49,358,001.97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14.46%</w:t>
            </w:r>
          </w:p>
        </w:tc>
        <w:tc>
          <w:tcPr>
            <w:tcW w:w="326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主要来自增值税退税、政府补助、出售部</w:t>
            </w:r>
            <w:r>
              <w:rPr>
                <w:rFonts w:ascii="宋体" w:hAnsi="宋体" w:cs="宋体" w:eastAsia="宋体" w:hint="default"/>
                <w:sz w:val="18"/>
                <w:szCs w:val="18"/>
              </w:rPr>
              <w:t> 分无形资产。</w:t>
            </w:r>
          </w:p>
        </w:tc>
        <w:tc>
          <w:tcPr>
            <w:tcW w:w="191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59"/>
              <w:jc w:val="left"/>
              <w:rPr>
                <w:rFonts w:ascii="宋体" w:hAnsi="宋体" w:cs="宋体" w:eastAsia="宋体" w:hint="default"/>
                <w:sz w:val="18"/>
                <w:szCs w:val="18"/>
              </w:rPr>
            </w:pPr>
            <w:r>
              <w:rPr>
                <w:rFonts w:ascii="宋体" w:hAnsi="宋体" w:cs="宋体" w:eastAsia="宋体" w:hint="default"/>
                <w:sz w:val="18"/>
                <w:szCs w:val="18"/>
              </w:rPr>
              <w:t>增值税退税具有持续 性。</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13"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3"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57" w:right="0"/>
              <w:jc w:val="left"/>
              <w:rPr>
                <w:rFonts w:ascii="Times New Roman" w:hAnsi="Times New Roman" w:cs="Times New Roman" w:eastAsia="Times New Roman" w:hint="default"/>
                <w:sz w:val="18"/>
                <w:szCs w:val="18"/>
              </w:rPr>
            </w:pPr>
            <w:r>
              <w:rPr>
                <w:rFonts w:ascii="Times New Roman"/>
                <w:sz w:val="18"/>
              </w:rPr>
              <w:t>402,834.89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主要来自于处置固定资产的损失。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37"/>
        <w:gridCol w:w="901"/>
        <w:gridCol w:w="1367"/>
        <w:gridCol w:w="892"/>
        <w:gridCol w:w="798"/>
        <w:gridCol w:w="2918"/>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708,865,243.77</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12.00%</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1,265,305,834.44</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22.66%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-10.66%</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较期初下降</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43.98%</w:t>
            </w:r>
            <w:r>
              <w:rPr>
                <w:rFonts w:ascii="宋体" w:hAnsi="宋体" w:cs="宋体" w:eastAsia="宋体" w:hint="default"/>
                <w:spacing w:val="-6"/>
                <w:sz w:val="18"/>
                <w:szCs w:val="18"/>
              </w:rPr>
              <w:t>，主要系对外投资</w:t>
            </w:r>
            <w:r>
              <w:rPr>
                <w:rFonts w:ascii="宋体" w:hAnsi="宋体" w:cs="宋体" w:eastAsia="宋体" w:hint="default"/>
                <w:sz w:val="18"/>
                <w:szCs w:val="18"/>
              </w:rPr>
              <w:t> 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891,983,364.90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921,997,483.38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348,054,144.14</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5.89%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219,735,903.29</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3.94%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1.95%</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58.40%</w:t>
            </w:r>
            <w:r>
              <w:rPr>
                <w:rFonts w:ascii="宋体" w:hAnsi="宋体" w:cs="宋体" w:eastAsia="宋体" w:hint="default"/>
                <w:spacing w:val="-6"/>
                <w:sz w:val="18"/>
                <w:szCs w:val="18"/>
              </w:rPr>
              <w:t>，主要系运营管理</w:t>
            </w:r>
            <w:r>
              <w:rPr>
                <w:rFonts w:ascii="宋体" w:hAnsi="宋体" w:cs="宋体" w:eastAsia="宋体" w:hint="default"/>
                <w:sz w:val="18"/>
                <w:szCs w:val="18"/>
              </w:rPr>
              <w:t> 系统集成业务库存商品增加所致。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168,143,492.12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172,224,954.32</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455,612,834.79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418,004,622.91</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343,239,077.07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354,302,901.36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87,960,565.87</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1.49%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27,523,320.41</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0.49%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1.00%</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34"/>
              <w:jc w:val="left"/>
              <w:rPr>
                <w:rFonts w:ascii="宋体" w:hAnsi="宋体" w:cs="宋体" w:eastAsia="宋体" w:hint="default"/>
                <w:sz w:val="18"/>
                <w:szCs w:val="18"/>
              </w:rPr>
            </w:pPr>
            <w:r>
              <w:rPr>
                <w:rFonts w:ascii="宋体" w:hAnsi="宋体" w:cs="宋体" w:eastAsia="宋体" w:hint="default"/>
                <w:sz w:val="18"/>
                <w:szCs w:val="18"/>
              </w:rPr>
              <w:t>较期初增长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219.59%</w:t>
            </w:r>
            <w:r>
              <w:rPr>
                <w:rFonts w:ascii="宋体" w:hAnsi="宋体" w:cs="宋体" w:eastAsia="宋体" w:hint="default"/>
                <w:sz w:val="18"/>
                <w:szCs w:val="18"/>
              </w:rPr>
              <w:t>，主要为重庆农 信软件园工程项目。</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109,913,814.00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66,072,061.00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4"/>
        <w:ind w:left="0" w:right="1130"/>
        <w:jc w:val="right"/>
      </w:pPr>
      <w:r>
        <w:rPr/>
        <w:t>单位：元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196"/>
        <w:gridCol w:w="1231"/>
        <w:gridCol w:w="1207"/>
        <w:gridCol w:w="1213"/>
        <w:gridCol w:w="1207"/>
        <w:gridCol w:w="1225"/>
        <w:gridCol w:w="927"/>
        <w:gridCol w:w="1354"/>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5" w:type="dxa"/>
            <w:vMerge w:val="restart"/>
            <w:tcBorders>
              <w:top w:val="single" w:sz="4" w:space="0" w:color="000000"/>
              <w:left w:val="single" w:sz="4" w:space="0" w:color="000000"/>
              <w:right w:val="single" w:sz="4" w:space="0" w:color="000000"/>
            </w:tcBorders>
            <w:shd w:val="clear" w:color="auto" w:fill="D2D2D2"/>
          </w:tcPr>
          <w:p>
            <w:pPr/>
          </w:p>
        </w:tc>
        <w:tc>
          <w:tcPr>
            <w:tcW w:w="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25" w:type="dxa"/>
            <w:vMerge/>
            <w:tcBorders>
              <w:left w:val="single" w:sz="4" w:space="0" w:color="000000"/>
              <w:bottom w:val="nil" w:sz="6" w:space="0" w:color="auto"/>
              <w:right w:val="single" w:sz="4" w:space="0" w:color="000000"/>
            </w:tcBorders>
            <w:shd w:val="clear" w:color="auto" w:fill="D2D2D2"/>
          </w:tcPr>
          <w:p>
            <w:pPr/>
          </w:p>
        </w:tc>
        <w:tc>
          <w:tcPr>
            <w:tcW w:w="92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7" w:right="97"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354"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927" w:type="dxa"/>
            <w:vMerge/>
            <w:tcBorders>
              <w:left w:val="single" w:sz="4" w:space="0" w:color="000000"/>
              <w:right w:val="single" w:sz="4" w:space="0" w:color="000000"/>
            </w:tcBorders>
            <w:shd w:val="clear" w:color="auto" w:fill="D2D2D2"/>
          </w:tcPr>
          <w:p>
            <w:pPr/>
          </w:p>
        </w:tc>
        <w:tc>
          <w:tcPr>
            <w:tcW w:w="13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0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25"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bottom w:val="nil" w:sz="6" w:space="0" w:color="auto"/>
              <w:right w:val="single" w:sz="4" w:space="0" w:color="000000"/>
            </w:tcBorders>
            <w:shd w:val="clear" w:color="auto" w:fill="D2D2D2"/>
          </w:tcPr>
          <w:p>
            <w:pPr/>
          </w:p>
        </w:tc>
        <w:tc>
          <w:tcPr>
            <w:tcW w:w="135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5" w:type="dxa"/>
            <w:vMerge/>
            <w:tcBorders>
              <w:left w:val="single" w:sz="4" w:space="0" w:color="000000"/>
              <w:bottom w:val="single" w:sz="4" w:space="0" w:color="000000"/>
              <w:right w:val="single" w:sz="4" w:space="0" w:color="000000"/>
            </w:tcBorders>
            <w:shd w:val="clear" w:color="auto" w:fill="D2D2D2"/>
          </w:tcPr>
          <w:p>
            <w:pPr/>
          </w:p>
        </w:tc>
        <w:tc>
          <w:tcPr>
            <w:tcW w:w="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3"/>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266,004,205.37</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965,478.00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232,429,436.25</w:t>
            </w:r>
          </w:p>
        </w:tc>
        <w:tc>
          <w:tcPr>
            <w:tcW w:w="92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497,468,163.62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266,004,205.37</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965,478.00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232,429,436.25</w:t>
            </w:r>
          </w:p>
        </w:tc>
        <w:tc>
          <w:tcPr>
            <w:tcW w:w="92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497,468,163.62</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266,004,205.37</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965,478.00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232,429,436.25</w:t>
            </w:r>
          </w:p>
        </w:tc>
        <w:tc>
          <w:tcPr>
            <w:tcW w:w="927"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497,468,163.62</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报告期内公司主要资产计量属性是否发生重大变化</w:t>
      </w:r>
    </w:p>
    <w:p>
      <w:pPr>
        <w:spacing w:line="240" w:lineRule="auto" w:before="12"/>
        <w:rPr>
          <w:rFonts w:ascii="宋体" w:hAnsi="宋体" w:cs="宋体" w:eastAsia="宋体" w:hint="default"/>
          <w:sz w:val="20"/>
          <w:szCs w:val="20"/>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5"/>
        <w:ind w:left="1133"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7"/>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371,625,000.00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1,357,299,447.00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-72.62%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7"/>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02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33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both"/>
              <w:rPr>
                <w:rFonts w:ascii="宋体" w:hAnsi="宋体" w:cs="宋体" w:eastAsia="宋体" w:hint="default"/>
                <w:sz w:val="18"/>
                <w:szCs w:val="18"/>
              </w:rPr>
            </w:pPr>
            <w:r>
              <w:rPr>
                <w:rFonts w:ascii="宋体" w:hAnsi="宋体" w:cs="宋体" w:eastAsia="宋体" w:hint="default"/>
                <w:sz w:val="18"/>
                <w:szCs w:val="18"/>
              </w:rPr>
              <w:t>北京神 州祥升 软件有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教育类 产品开 发销售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教育类 产品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34,892,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186.70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1"/>
              <w:jc w:val="both"/>
              <w:rPr>
                <w:rFonts w:ascii="宋体" w:hAnsi="宋体" w:cs="宋体" w:eastAsia="宋体" w:hint="default"/>
                <w:sz w:val="18"/>
                <w:szCs w:val="18"/>
              </w:rPr>
            </w:pPr>
            <w:r>
              <w:rPr>
                <w:rFonts w:ascii="宋体" w:hAnsi="宋体" w:cs="宋体" w:eastAsia="宋体" w:hint="default"/>
                <w:sz w:val="18"/>
                <w:szCs w:val="18"/>
              </w:rPr>
              <w:t>天津安 纳西科 技有限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游戏开 发、运 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5"/>
              <w:jc w:val="center"/>
              <w:rPr>
                <w:rFonts w:ascii="宋体" w:hAnsi="宋体" w:cs="宋体" w:eastAsia="宋体" w:hint="default"/>
                <w:sz w:val="18"/>
                <w:szCs w:val="18"/>
              </w:rPr>
            </w:pPr>
            <w:r>
              <w:rPr>
                <w:rFonts w:ascii="宋体" w:hAnsi="宋体" w:cs="宋体" w:eastAsia="宋体" w:hint="default"/>
                <w:sz w:val="18"/>
                <w:szCs w:val="18"/>
              </w:rPr>
              <w:t>本公司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8"/>
              <w:jc w:val="left"/>
              <w:rPr>
                <w:rFonts w:ascii="宋体" w:hAnsi="宋体" w:cs="宋体" w:eastAsia="宋体" w:hint="default"/>
                <w:sz w:val="18"/>
                <w:szCs w:val="18"/>
              </w:rPr>
            </w:pPr>
            <w:r>
              <w:rPr>
                <w:rFonts w:ascii="宋体" w:hAnsi="宋体" w:cs="宋体" w:eastAsia="宋体" w:hint="default"/>
                <w:sz w:val="18"/>
                <w:szCs w:val="18"/>
              </w:rPr>
              <w:t>游戏产 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18,720,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614.66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left"/>
              <w:rPr>
                <w:rFonts w:ascii="Times New Roman" w:hAnsi="Times New Roman" w:cs="Times New Roman" w:eastAsia="Times New Roman" w:hint="default"/>
                <w:sz w:val="18"/>
                <w:szCs w:val="18"/>
              </w:rPr>
            </w:pPr>
            <w:r>
              <w:rPr>
                <w:rFonts w:ascii="Times New Roman"/>
                <w:sz w:val="18"/>
              </w:rPr>
              <w:t>220,000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53,612,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801.36</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left="1133"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left="1133"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133"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1159" w:firstLine="0"/>
        <w:jc w:val="right"/>
        <w:rPr>
          <w:rFonts w:ascii="宋体" w:hAnsi="宋体" w:cs="宋体" w:eastAsia="宋体" w:hint="default"/>
          <w:sz w:val="15"/>
          <w:szCs w:val="15"/>
        </w:rPr>
      </w:pPr>
      <w:r>
        <w:rPr/>
        <w:pict>
          <v:shape style="position:absolute;margin-left:56.459999pt;margin-top:-131.420227pt;width:479pt;height:179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026"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357" w:right="59" w:hanging="300"/>
                          <w:jc w:val="left"/>
                          <w:rPr>
                            <w:rFonts w:ascii="宋体" w:hAnsi="宋体" w:cs="宋体" w:eastAsia="宋体" w:hint="default"/>
                            <w:sz w:val="15"/>
                            <w:szCs w:val="15"/>
                          </w:rPr>
                        </w:pPr>
                        <w:r>
                          <w:rPr>
                            <w:rFonts w:ascii="宋体" w:hAnsi="宋体" w:cs="宋体" w:eastAsia="宋体" w:hint="default"/>
                            <w:sz w:val="15"/>
                            <w:szCs w:val="15"/>
                          </w:rPr>
                          <w:t>募集资金总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3" w:right="54"/>
                          <w:jc w:val="center"/>
                          <w:rPr>
                            <w:rFonts w:ascii="宋体" w:hAnsi="宋体" w:cs="宋体" w:eastAsia="宋体" w:hint="default"/>
                            <w:sz w:val="15"/>
                            <w:szCs w:val="15"/>
                          </w:rPr>
                        </w:pPr>
                        <w:r>
                          <w:rPr>
                            <w:rFonts w:ascii="宋体" w:hAnsi="宋体" w:cs="宋体" w:eastAsia="宋体" w:hint="default"/>
                            <w:sz w:val="15"/>
                            <w:szCs w:val="15"/>
                          </w:rPr>
                          <w:t>本期已使用 募集资金总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3" w:right="54"/>
                          <w:jc w:val="center"/>
                          <w:rPr>
                            <w:rFonts w:ascii="宋体" w:hAnsi="宋体" w:cs="宋体" w:eastAsia="宋体" w:hint="default"/>
                            <w:sz w:val="15"/>
                            <w:szCs w:val="15"/>
                          </w:rPr>
                        </w:pPr>
                        <w:r>
                          <w:rPr>
                            <w:rFonts w:ascii="宋体" w:hAnsi="宋体" w:cs="宋体" w:eastAsia="宋体" w:hint="default"/>
                            <w:sz w:val="15"/>
                            <w:szCs w:val="15"/>
                          </w:rPr>
                          <w:t>已累计使用 募集资金总 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3" w:right="53"/>
                          <w:jc w:val="both"/>
                          <w:rPr>
                            <w:rFonts w:ascii="宋体" w:hAnsi="宋体" w:cs="宋体" w:eastAsia="宋体" w:hint="default"/>
                            <w:sz w:val="15"/>
                            <w:szCs w:val="15"/>
                          </w:rPr>
                        </w:pPr>
                        <w:r>
                          <w:rPr>
                            <w:rFonts w:ascii="宋体" w:hAnsi="宋体" w:cs="宋体" w:eastAsia="宋体" w:hint="default"/>
                            <w:sz w:val="15"/>
                            <w:szCs w:val="15"/>
                          </w:rPr>
                          <w:t>报告期内变 更用途的募 集资金总额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3" w:right="54"/>
                          <w:jc w:val="center"/>
                          <w:rPr>
                            <w:rFonts w:ascii="宋体" w:hAnsi="宋体" w:cs="宋体" w:eastAsia="宋体" w:hint="default"/>
                            <w:sz w:val="15"/>
                            <w:szCs w:val="15"/>
                          </w:rPr>
                        </w:pPr>
                        <w:r>
                          <w:rPr>
                            <w:rFonts w:ascii="宋体" w:hAnsi="宋体" w:cs="宋体" w:eastAsia="宋体" w:hint="default"/>
                            <w:sz w:val="15"/>
                            <w:szCs w:val="15"/>
                          </w:rPr>
                          <w:t>累计变更用 途的募集资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3" w:right="54"/>
                          <w:jc w:val="both"/>
                          <w:rPr>
                            <w:rFonts w:ascii="宋体" w:hAnsi="宋体" w:cs="宋体" w:eastAsia="宋体" w:hint="default"/>
                            <w:sz w:val="15"/>
                            <w:szCs w:val="15"/>
                          </w:rPr>
                        </w:pPr>
                        <w:r>
                          <w:rPr>
                            <w:rFonts w:ascii="宋体" w:hAnsi="宋体" w:cs="宋体" w:eastAsia="宋体" w:hint="default"/>
                            <w:sz w:val="15"/>
                            <w:szCs w:val="15"/>
                          </w:rPr>
                          <w:t>累计变更用 途的募集资 金总额比例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54" w:right="54"/>
                          <w:jc w:val="left"/>
                          <w:rPr>
                            <w:rFonts w:ascii="宋体" w:hAnsi="宋体" w:cs="宋体" w:eastAsia="宋体" w:hint="default"/>
                            <w:sz w:val="15"/>
                            <w:szCs w:val="15"/>
                          </w:rPr>
                        </w:pPr>
                        <w:r>
                          <w:rPr>
                            <w:rFonts w:ascii="宋体" w:hAnsi="宋体" w:cs="宋体" w:eastAsia="宋体" w:hint="default"/>
                            <w:sz w:val="15"/>
                            <w:szCs w:val="15"/>
                          </w:rPr>
                          <w:t>尚未使用募 集资金总额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3" w:right="54"/>
                          <w:jc w:val="center"/>
                          <w:rPr>
                            <w:rFonts w:ascii="宋体" w:hAnsi="宋体" w:cs="宋体" w:eastAsia="宋体" w:hint="default"/>
                            <w:sz w:val="15"/>
                            <w:szCs w:val="15"/>
                          </w:rPr>
                        </w:pPr>
                        <w:r>
                          <w:rPr>
                            <w:rFonts w:ascii="宋体" w:hAnsi="宋体" w:cs="宋体" w:eastAsia="宋体" w:hint="default"/>
                            <w:sz w:val="15"/>
                            <w:szCs w:val="15"/>
                          </w:rPr>
                          <w:t>尚未使用募 集资金用途 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54" w:right="53"/>
                          <w:jc w:val="center"/>
                          <w:rPr>
                            <w:rFonts w:ascii="宋体" w:hAnsi="宋体" w:cs="宋体" w:eastAsia="宋体" w:hint="default"/>
                            <w:sz w:val="15"/>
                            <w:szCs w:val="15"/>
                          </w:rPr>
                        </w:pPr>
                        <w:r>
                          <w:rPr>
                            <w:rFonts w:ascii="宋体" w:hAnsi="宋体" w:cs="宋体" w:eastAsia="宋体" w:hint="default"/>
                            <w:sz w:val="15"/>
                            <w:szCs w:val="15"/>
                          </w:rPr>
                          <w:t>闲置两年以 上募集资金 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78"/>
                          <w:jc w:val="left"/>
                          <w:rPr>
                            <w:rFonts w:ascii="宋体" w:hAnsi="宋体" w:cs="宋体" w:eastAsia="宋体" w:hint="default"/>
                            <w:sz w:val="15"/>
                            <w:szCs w:val="15"/>
                          </w:rPr>
                        </w:pPr>
                        <w:r>
                          <w:rPr>
                            <w:rFonts w:ascii="宋体" w:hAnsi="宋体" w:cs="宋体" w:eastAsia="宋体" w:hint="default"/>
                            <w:sz w:val="15"/>
                            <w:szCs w:val="15"/>
                          </w:rPr>
                          <w:t>公开发行股 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170,336.31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9,655.93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169,053.47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13,531.63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85"/>
                          <w:jc w:val="left"/>
                          <w:rPr>
                            <w:rFonts w:ascii="宋体" w:hAnsi="宋体" w:cs="宋体" w:eastAsia="宋体" w:hint="default"/>
                            <w:sz w:val="15"/>
                            <w:szCs w:val="15"/>
                          </w:rPr>
                        </w:pPr>
                        <w:r>
                          <w:rPr>
                            <w:rFonts w:ascii="宋体" w:hAnsi="宋体" w:cs="宋体" w:eastAsia="宋体" w:hint="default"/>
                            <w:sz w:val="15"/>
                            <w:szCs w:val="15"/>
                          </w:rPr>
                          <w:t>已经全部规 划完毕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170,336.31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9,655.93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169,053.47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8"/>
                          <w:ind w:right="10"/>
                          <w:jc w:val="right"/>
                          <w:rPr>
                            <w:rFonts w:ascii="Times New Roman" w:hAnsi="Times New Roman" w:cs="Times New Roman" w:eastAsia="Times New Roman" w:hint="default"/>
                            <w:sz w:val="15"/>
                            <w:szCs w:val="15"/>
                          </w:rPr>
                        </w:pPr>
                        <w:r>
                          <w:rPr>
                            <w:rFonts w:ascii="Times New Roman"/>
                            <w:spacing w:val="-1"/>
                            <w:sz w:val="15"/>
                          </w:rPr>
                          <w:t>13,531.63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r>
                  <w:tr>
                    <w:trPr>
                      <w:trHeight w:val="401"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募集资金总体使用情况说明</w:t>
                        </w:r>
                      </w:p>
                    </w:tc>
                  </w:tr>
                  <w:tr>
                    <w:trPr>
                      <w:trHeight w:val="1027"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公司募集资金净额为</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170,336.31</w:t>
                        </w:r>
                        <w:r>
                          <w:rPr>
                            <w:rFonts w:ascii="Times New Roman" w:hAnsi="Times New Roman" w:cs="Times New Roman" w:eastAsia="Times New Roman" w:hint="default"/>
                            <w:spacing w:val="3"/>
                            <w:sz w:val="15"/>
                            <w:szCs w:val="15"/>
                          </w:rPr>
                          <w:t> </w:t>
                        </w:r>
                        <w:r>
                          <w:rPr>
                            <w:rFonts w:ascii="宋体" w:hAnsi="宋体" w:cs="宋体" w:eastAsia="宋体" w:hint="default"/>
                            <w:spacing w:val="-3"/>
                            <w:sz w:val="15"/>
                            <w:szCs w:val="15"/>
                          </w:rPr>
                          <w:t>万元，其中：招股说明书所列的六个募集资金适用项目计划金额</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50,252.80</w:t>
                        </w:r>
                        <w:r>
                          <w:rPr>
                            <w:rFonts w:ascii="Times New Roman" w:hAnsi="Times New Roman" w:cs="Times New Roman" w:eastAsia="Times New Roman" w:hint="default"/>
                            <w:spacing w:val="2"/>
                            <w:sz w:val="15"/>
                            <w:szCs w:val="15"/>
                          </w:rPr>
                          <w:t> </w:t>
                        </w:r>
                        <w:r>
                          <w:rPr>
                            <w:rFonts w:ascii="宋体" w:hAnsi="宋体" w:cs="宋体" w:eastAsia="宋体" w:hint="default"/>
                            <w:spacing w:val="-4"/>
                            <w:sz w:val="15"/>
                            <w:szCs w:val="15"/>
                          </w:rPr>
                          <w:t>万元、超募资金总额为</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120,083.51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w:t>
                        </w:r>
                      </w:p>
                      <w:p>
                        <w:pPr>
                          <w:pStyle w:val="TableParagraph"/>
                          <w:spacing w:line="240" w:lineRule="auto" w:before="103"/>
                          <w:ind w:left="22" w:right="0"/>
                          <w:jc w:val="left"/>
                          <w:rPr>
                            <w:rFonts w:ascii="宋体" w:hAnsi="宋体" w:cs="宋体" w:eastAsia="宋体" w:hint="default"/>
                            <w:sz w:val="15"/>
                            <w:szCs w:val="15"/>
                          </w:rPr>
                        </w:pPr>
                        <w:r>
                          <w:rPr>
                            <w:rFonts w:ascii="宋体" w:hAnsi="宋体" w:cs="宋体" w:eastAsia="宋体" w:hint="default"/>
                            <w:sz w:val="15"/>
                            <w:szCs w:val="15"/>
                          </w:rPr>
                          <w:t>总体使用情况如下：</w:t>
                        </w:r>
                        <w:r>
                          <w:rPr>
                            <w:rFonts w:ascii="Times New Roman" w:hAnsi="Times New Roman" w:cs="Times New Roman" w:eastAsia="Times New Roman" w:hint="default"/>
                            <w:sz w:val="15"/>
                            <w:szCs w:val="15"/>
                          </w:rPr>
                          <w:t>1</w:t>
                        </w:r>
                        <w:r>
                          <w:rPr>
                            <w:rFonts w:ascii="宋体" w:hAnsi="宋体" w:cs="宋体" w:eastAsia="宋体" w:hint="default"/>
                            <w:sz w:val="15"/>
                            <w:szCs w:val="15"/>
                          </w:rPr>
                          <w:t>、截止</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年末，招股说明书所列募集资金项目已经实施完毕，实际使用</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29,521.39</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万元，结余</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20,731.41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万元。</w:t>
                        </w:r>
                        <w:r>
                          <w:rPr>
                            <w:rFonts w:ascii="Times New Roman" w:hAnsi="Times New Roman" w:cs="Times New Roman" w:eastAsia="Times New Roman" w:hint="default"/>
                            <w:sz w:val="15"/>
                            <w:szCs w:val="15"/>
                          </w:rPr>
                          <w:t>2</w:t>
                        </w:r>
                        <w:r>
                          <w:rPr>
                            <w:rFonts w:ascii="宋体" w:hAnsi="宋体" w:cs="宋体" w:eastAsia="宋体" w:hint="default"/>
                            <w:sz w:val="15"/>
                            <w:szCs w:val="15"/>
                          </w:rPr>
                          <w:t>、超募资</w:t>
                        </w:r>
                      </w:p>
                      <w:p>
                        <w:pPr>
                          <w:pStyle w:val="TableParagraph"/>
                          <w:spacing w:line="240" w:lineRule="auto" w:before="105"/>
                          <w:ind w:left="22" w:right="0"/>
                          <w:jc w:val="left"/>
                          <w:rPr>
                            <w:rFonts w:ascii="宋体" w:hAnsi="宋体" w:cs="宋体" w:eastAsia="宋体" w:hint="default"/>
                            <w:sz w:val="15"/>
                            <w:szCs w:val="15"/>
                          </w:rPr>
                        </w:pPr>
                        <w:r>
                          <w:rPr>
                            <w:rFonts w:ascii="宋体" w:hAnsi="宋体" w:cs="宋体" w:eastAsia="宋体" w:hint="default"/>
                            <w:sz w:val="15"/>
                            <w:szCs w:val="15"/>
                          </w:rPr>
                          <w:t>金全部规划完毕，截止报告期末已经使用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105,804.30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r>
                          <w:rPr>
                            <w:rFonts w:ascii="Times New Roman" w:hAnsi="Times New Roman" w:cs="Times New Roman" w:eastAsia="Times New Roman" w:hint="default"/>
                            <w:sz w:val="15"/>
                            <w:szCs w:val="15"/>
                          </w:rPr>
                          <w:t>3</w:t>
                        </w:r>
                        <w:r>
                          <w:rPr>
                            <w:rFonts w:ascii="宋体" w:hAnsi="宋体" w:cs="宋体" w:eastAsia="宋体" w:hint="default"/>
                            <w:sz w:val="15"/>
                            <w:szCs w:val="15"/>
                          </w:rPr>
                          <w:t>、募集及超募资金结余实际使用</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33,727.78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万元。</w:t>
                        </w:r>
                      </w:p>
                    </w:tc>
                  </w:tr>
                </w:tbl>
                <w:p>
                  <w:pPr/>
                </w:p>
              </w:txbxContent>
            </v:textbox>
            <w10:wrap type="none"/>
          </v:shape>
        </w:pict>
      </w:r>
      <w:r>
        <w:rPr>
          <w:rFonts w:ascii="宋体" w:hAnsi="宋体" w:cs="宋体" w:eastAsia="宋体" w:hint="default"/>
          <w:sz w:val="15"/>
          <w:szCs w:val="15"/>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3"/>
        <w:spacing w:line="240" w:lineRule="auto" w:before="35"/>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719"/>
        <w:gridCol w:w="718"/>
        <w:gridCol w:w="716"/>
        <w:gridCol w:w="719"/>
        <w:gridCol w:w="718"/>
        <w:gridCol w:w="718"/>
        <w:gridCol w:w="710"/>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71"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8"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、飞信平台大规模</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3" w:right="0"/>
              <w:jc w:val="left"/>
              <w:rPr>
                <w:rFonts w:ascii="Times New Roman" w:hAnsi="Times New Roman" w:cs="Times New Roman" w:eastAsia="Times New Roman" w:hint="default"/>
                <w:sz w:val="18"/>
                <w:szCs w:val="18"/>
              </w:rPr>
            </w:pPr>
            <w:r>
              <w:rPr>
                <w:rFonts w:ascii="Times New Roman"/>
                <w:sz w:val="18"/>
              </w:rPr>
              <w:t>16,840.3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16,840.3</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14,365.2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85.30%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4,933.28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55,132.9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685" w:hRule="exact"/>
        </w:trPr>
        <w:tc>
          <w:tcPr>
            <w:tcW w:w="16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改造升级（注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38" w:type="dxa"/>
            <w:tcBorders>
              <w:top w:val="single" w:sz="10" w:space="0" w:color="000000"/>
              <w:left w:val="single" w:sz="4" w:space="0" w:color="000000"/>
              <w:bottom w:val="single" w:sz="4" w:space="0" w:color="000000"/>
              <w:right w:val="single" w:sz="4" w:space="0" w:color="000000"/>
            </w:tcBorders>
          </w:tcPr>
          <w:p>
            <w:pPr/>
          </w:p>
        </w:tc>
        <w:tc>
          <w:tcPr>
            <w:tcW w:w="72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8</w:t>
            </w:r>
          </w:p>
        </w:tc>
        <w:tc>
          <w:tcPr>
            <w:tcW w:w="7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8</w:t>
            </w:r>
          </w:p>
        </w:tc>
        <w:tc>
          <w:tcPr>
            <w:tcW w:w="716" w:type="dxa"/>
            <w:tcBorders>
              <w:top w:val="single" w:sz="10" w:space="0" w:color="000000"/>
              <w:left w:val="single" w:sz="4" w:space="0" w:color="000000"/>
              <w:bottom w:val="single" w:sz="4" w:space="0" w:color="000000"/>
              <w:right w:val="single" w:sz="4" w:space="0" w:color="000000"/>
            </w:tcBorders>
          </w:tcPr>
          <w:p>
            <w:pPr/>
          </w:p>
        </w:tc>
        <w:tc>
          <w:tcPr>
            <w:tcW w:w="6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Times New Roman"/>
                <w:sz w:val="18"/>
              </w:rPr>
              <w:t>7</w:t>
            </w:r>
          </w:p>
        </w:tc>
        <w:tc>
          <w:tcPr>
            <w:tcW w:w="743" w:type="dxa"/>
            <w:tcBorders>
              <w:top w:val="single" w:sz="10" w:space="0" w:color="000000"/>
              <w:left w:val="single" w:sz="4" w:space="0" w:color="000000"/>
              <w:bottom w:val="single" w:sz="4" w:space="0" w:color="000000"/>
              <w:right w:val="single" w:sz="4" w:space="0" w:color="000000"/>
            </w:tcBorders>
          </w:tcPr>
          <w:p>
            <w:pPr/>
          </w:p>
        </w:tc>
        <w:tc>
          <w:tcPr>
            <w:tcW w:w="7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10" w:space="0" w:color="000000"/>
              <w:left w:val="single" w:sz="4" w:space="0" w:color="000000"/>
              <w:bottom w:val="single" w:sz="4" w:space="0" w:color="000000"/>
              <w:right w:val="single" w:sz="4" w:space="0" w:color="000000"/>
            </w:tcBorders>
          </w:tcPr>
          <w:p>
            <w:pPr/>
          </w:p>
        </w:tc>
        <w:tc>
          <w:tcPr>
            <w:tcW w:w="7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4</w:t>
            </w:r>
          </w:p>
        </w:tc>
        <w:tc>
          <w:tcPr>
            <w:tcW w:w="718"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8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、电信综合网管产 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Ultra-TIMP</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8,813.7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8,813.7</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3,772.6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42.80%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1,394.02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13,799.3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8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、无线网络优化平 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Ultra-WOSS</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6,422.94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6,422.94</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3,102.9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48.31%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1,126.74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8,489.55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IT </w:t>
            </w:r>
            <w:r>
              <w:rPr>
                <w:rFonts w:ascii="宋体" w:hAnsi="宋体" w:cs="宋体" w:eastAsia="宋体" w:hint="default"/>
                <w:sz w:val="18"/>
                <w:szCs w:val="18"/>
              </w:rPr>
              <w:t>监控管理平台</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Ultra-</w:t>
            </w:r>
            <w:r>
              <w:rPr>
                <w:rFonts w:ascii="Arial" w:hAnsi="Arial" w:cs="Arial" w:eastAsia="Arial" w:hint="default"/>
                <w:sz w:val="18"/>
                <w:szCs w:val="18"/>
              </w:rPr>
              <w:t>Σ </w:t>
            </w:r>
            <w:r>
              <w:rPr>
                <w:rFonts w:ascii="Times New Roman" w:hAnsi="Times New Roman" w:cs="Times New Roman" w:eastAsia="Times New Roman" w:hint="default"/>
                <w:sz w:val="18"/>
                <w:szCs w:val="18"/>
              </w:rPr>
              <w:t>M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系列软件</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7,149.65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7,149.65</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3,177.09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44.44%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2,327.95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15,730.6</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、运维服务流程管 理系统</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5,994.23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5,994.23</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2,543.71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42.44%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2,019.57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14,006.3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、新一代安全运行 管理中心</w:t>
            </w:r>
          </w:p>
          <w:p>
            <w:pPr>
              <w:pStyle w:val="TableParagraph"/>
              <w:spacing w:line="240" w:lineRule="auto" w:before="72"/>
              <w:ind w:left="22" w:right="0"/>
              <w:jc w:val="left"/>
              <w:rPr>
                <w:rFonts w:ascii="Times New Roman" w:hAnsi="Times New Roman" w:cs="Times New Roman" w:eastAsia="Times New Roman" w:hint="default"/>
                <w:sz w:val="18"/>
                <w:szCs w:val="18"/>
              </w:rPr>
            </w:pPr>
            <w:r>
              <w:rPr>
                <w:rFonts w:ascii="Times New Roman"/>
                <w:sz w:val="18"/>
              </w:rPr>
              <w:t>Ultra-SOMC3.0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5,031.9</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5,031.9</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2,559.82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50.87%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1,760.14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13,361.2</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50,252.8</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50,252.8</w:t>
            </w: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29,521.3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9</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13,561.7</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87"/>
              <w:ind w:right="9"/>
              <w:jc w:val="right"/>
              <w:rPr>
                <w:rFonts w:ascii="Times New Roman" w:hAnsi="Times New Roman" w:cs="Times New Roman" w:eastAsia="Times New Roman" w:hint="default"/>
                <w:sz w:val="18"/>
                <w:szCs w:val="18"/>
              </w:rPr>
            </w:pPr>
            <w:r>
              <w:rPr>
                <w:rFonts w:ascii="Times New Roman"/>
                <w:sz w:val="18"/>
              </w:rPr>
              <w:t>120,520.</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09</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left="22"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left="31"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left="7"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left="26" w:right="0"/>
              <w:jc w:val="left"/>
              <w:rPr>
                <w:rFonts w:ascii="Times New Roman" w:hAnsi="Times New Roman" w:cs="Times New Roman" w:eastAsia="Times New Roman" w:hint="default"/>
                <w:sz w:val="18"/>
                <w:szCs w:val="18"/>
              </w:rPr>
            </w:pPr>
            <w:r>
              <w:rPr>
                <w:rFonts w:ascii="Times New Roman"/>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6"/>
              <w:ind w:left="26" w:right="0"/>
              <w:jc w:val="left"/>
              <w:rPr>
                <w:rFonts w:ascii="Times New Roman" w:hAnsi="Times New Roman" w:cs="Times New Roman" w:eastAsia="Times New Roman" w:hint="default"/>
                <w:sz w:val="18"/>
                <w:szCs w:val="18"/>
              </w:rPr>
            </w:pPr>
            <w:r>
              <w:rPr>
                <w:rFonts w:ascii="Times New Roman"/>
                <w:sz w:val="18"/>
              </w:rPr>
              <w:t>--</w:t>
            </w:r>
          </w:p>
        </w:tc>
      </w:tr>
      <w:tr>
        <w:trPr>
          <w:trHeight w:val="167"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8"/>
              <w:ind w:left="22" w:right="22"/>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1</w:t>
            </w:r>
            <w:r>
              <w:rPr>
                <w:rFonts w:ascii="宋体" w:hAnsi="宋体" w:cs="宋体" w:eastAsia="宋体" w:hint="default"/>
                <w:sz w:val="18"/>
                <w:szCs w:val="18"/>
              </w:rPr>
              <w:t>、研发及办 </w:t>
            </w:r>
            <w:r>
              <w:rPr>
                <w:rFonts w:ascii="宋体" w:hAnsi="宋体" w:cs="宋体" w:eastAsia="宋体" w:hint="default"/>
                <w:spacing w:val="-3"/>
                <w:sz w:val="18"/>
                <w:szCs w:val="18"/>
              </w:rPr>
              <w:t>公用房的建设（北辰</w:t>
            </w:r>
            <w:r>
              <w:rPr>
                <w:rFonts w:ascii="宋体" w:hAnsi="宋体" w:cs="宋体" w:eastAsia="宋体" w:hint="default"/>
                <w:sz w:val="18"/>
                <w:szCs w:val="18"/>
              </w:rPr>
              <w:t> 首作大厦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14 </w:t>
            </w:r>
            <w:r>
              <w:rPr>
                <w:rFonts w:ascii="宋体" w:hAnsi="宋体" w:cs="宋体" w:eastAsia="宋体" w:hint="default"/>
                <w:spacing w:val="-23"/>
                <w:sz w:val="18"/>
                <w:szCs w:val="18"/>
              </w:rPr>
              <w:t>层）（注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25,453.8</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25,453.8</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5</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24,077.</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12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94.59%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6"/>
              <w:ind w:left="22" w:right="85"/>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2</w:t>
            </w:r>
            <w:r>
              <w:rPr>
                <w:rFonts w:ascii="宋体" w:hAnsi="宋体" w:cs="宋体" w:eastAsia="宋体" w:hint="default"/>
                <w:sz w:val="18"/>
                <w:szCs w:val="18"/>
              </w:rPr>
              <w:t>、收购大连 华信计算机技术股 份有限公司部分股 权</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7,230.38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7,230.38</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z w:val="18"/>
              </w:rPr>
              <w:t>7,230.3</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8</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1,313.25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8,168.01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6"/>
              <w:ind w:left="22" w:right="85"/>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3</w:t>
            </w:r>
            <w:r>
              <w:rPr>
                <w:rFonts w:ascii="宋体" w:hAnsi="宋体" w:cs="宋体" w:eastAsia="宋体" w:hint="default"/>
                <w:sz w:val="18"/>
                <w:szCs w:val="18"/>
              </w:rPr>
              <w:t>、对外投资 设立重庆新媒农信 科技有限公司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10,330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10,330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2,793.43</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7,662.6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74.18%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-399.45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15,636.9</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6"/>
              <w:ind w:left="22" w:right="23"/>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4</w:t>
            </w:r>
            <w:r>
              <w:rPr>
                <w:rFonts w:ascii="宋体" w:hAnsi="宋体" w:cs="宋体" w:eastAsia="宋体" w:hint="default"/>
                <w:sz w:val="18"/>
                <w:szCs w:val="18"/>
              </w:rPr>
              <w:t>、收购友联 </w:t>
            </w:r>
            <w:r>
              <w:rPr>
                <w:rFonts w:ascii="宋体" w:hAnsi="宋体" w:cs="宋体" w:eastAsia="宋体" w:hint="default"/>
                <w:spacing w:val="-11"/>
                <w:sz w:val="18"/>
                <w:szCs w:val="18"/>
              </w:rPr>
              <w:t>创新（</w:t>
            </w:r>
            <w:r>
              <w:rPr>
                <w:rFonts w:ascii="Times New Roman" w:hAnsi="Times New Roman" w:cs="Times New Roman" w:eastAsia="Times New Roman" w:hint="default"/>
                <w:spacing w:val="-11"/>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年更名为 北京神州泰岳系统 集成有限公司）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5,900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5,900</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5,900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537.06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6,849.78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02" w:lineRule="auto"/>
              <w:ind w:left="22" w:right="-3"/>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5</w:t>
            </w:r>
            <w:r>
              <w:rPr>
                <w:rFonts w:ascii="宋体" w:hAnsi="宋体" w:cs="宋体" w:eastAsia="宋体" w:hint="default"/>
                <w:sz w:val="18"/>
                <w:szCs w:val="18"/>
              </w:rPr>
              <w:t>、收购及增 资奇点新源（注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2,050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2,050</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2,050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-276.7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-1,858.2</w:t>
            </w:r>
            <w:r>
              <w:rPr>
                <w:rFonts w:ascii="Times New Roman"/>
                <w:sz w:val="18"/>
              </w:rPr>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7"/>
              <w:ind w:left="22" w:right="85"/>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6</w:t>
            </w:r>
            <w:r>
              <w:rPr>
                <w:rFonts w:ascii="宋体" w:hAnsi="宋体" w:cs="宋体" w:eastAsia="宋体" w:hint="default"/>
                <w:sz w:val="18"/>
                <w:szCs w:val="18"/>
              </w:rPr>
              <w:t>、收购宁波 普天通信技术有限</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24,000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24,000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8" w:right="0"/>
              <w:jc w:val="left"/>
              <w:rPr>
                <w:rFonts w:ascii="Times New Roman" w:hAnsi="Times New Roman" w:cs="Times New Roman" w:eastAsia="Times New Roman" w:hint="default"/>
                <w:sz w:val="18"/>
                <w:szCs w:val="18"/>
              </w:rPr>
            </w:pPr>
            <w:r>
              <w:rPr>
                <w:rFonts w:ascii="Times New Roman"/>
                <w:sz w:val="18"/>
              </w:rPr>
              <w:t>24,000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2,314.35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4"/>
              <w:jc w:val="right"/>
              <w:rPr>
                <w:rFonts w:ascii="Times New Roman" w:hAnsi="Times New Roman" w:cs="Times New Roman" w:eastAsia="Times New Roman" w:hint="default"/>
                <w:sz w:val="18"/>
                <w:szCs w:val="18"/>
              </w:rPr>
            </w:pPr>
            <w:r>
              <w:rPr>
                <w:rFonts w:ascii="Times New Roman"/>
                <w:sz w:val="18"/>
              </w:rPr>
              <w:t>19,732.5</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979" w:top="1420" w:bottom="1160" w:left="0" w:right="0"/>
        </w:sectPr>
      </w:pPr>
    </w:p>
    <w:p>
      <w:pPr>
        <w:spacing w:line="240" w:lineRule="auto" w:before="0"/>
        <w:rPr>
          <w:rFonts w:ascii="宋体" w:hAnsi="宋体" w:cs="宋体" w:eastAsia="宋体" w:hint="default"/>
          <w:sz w:val="20"/>
          <w:szCs w:val="20"/>
        </w:rPr>
      </w:pPr>
      <w:r>
        <w:rPr/>
        <w:pict>
          <v:shape style="position:absolute;margin-left:56.459999pt;margin-top:71.459984pt;width:478.9pt;height:693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38"/>
                    <w:gridCol w:w="719"/>
                    <w:gridCol w:w="718"/>
                    <w:gridCol w:w="715"/>
                    <w:gridCol w:w="670"/>
                    <w:gridCol w:w="768"/>
                    <w:gridCol w:w="716"/>
                    <w:gridCol w:w="719"/>
                    <w:gridCol w:w="718"/>
                    <w:gridCol w:w="718"/>
                    <w:gridCol w:w="714"/>
                  </w:tblGrid>
                  <w:tr>
                    <w:trPr>
                      <w:trHeight w:val="373" w:hRule="exact"/>
                    </w:trPr>
                    <w:tc>
                      <w:tcPr>
                        <w:tcW w:w="16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8" w:type="dxa"/>
                        <w:tcBorders>
                          <w:top w:val="single" w:sz="10" w:space="0" w:color="000000"/>
                          <w:left w:val="single" w:sz="4" w:space="0" w:color="000000"/>
                          <w:bottom w:val="single" w:sz="4" w:space="0" w:color="000000"/>
                          <w:right w:val="single" w:sz="4" w:space="0" w:color="000000"/>
                        </w:tcBorders>
                      </w:tcPr>
                      <w:p>
                        <w:pPr/>
                      </w:p>
                    </w:tc>
                    <w:tc>
                      <w:tcPr>
                        <w:tcW w:w="719" w:type="dxa"/>
                        <w:tcBorders>
                          <w:top w:val="single" w:sz="10" w:space="0" w:color="000000"/>
                          <w:left w:val="single" w:sz="4" w:space="0" w:color="000000"/>
                          <w:bottom w:val="single" w:sz="4" w:space="0" w:color="000000"/>
                          <w:right w:val="single" w:sz="4" w:space="0" w:color="000000"/>
                        </w:tcBorders>
                      </w:tcPr>
                      <w:p>
                        <w:pPr/>
                      </w:p>
                    </w:tc>
                    <w:tc>
                      <w:tcPr>
                        <w:tcW w:w="718" w:type="dxa"/>
                        <w:tcBorders>
                          <w:top w:val="single" w:sz="10" w:space="0" w:color="000000"/>
                          <w:left w:val="single" w:sz="4" w:space="0" w:color="000000"/>
                          <w:bottom w:val="single" w:sz="4" w:space="0" w:color="000000"/>
                          <w:right w:val="single" w:sz="4" w:space="0" w:color="000000"/>
                        </w:tcBorders>
                      </w:tcPr>
                      <w:p>
                        <w:pPr/>
                      </w:p>
                    </w:tc>
                    <w:tc>
                      <w:tcPr>
                        <w:tcW w:w="715" w:type="dxa"/>
                        <w:tcBorders>
                          <w:top w:val="single" w:sz="10" w:space="0" w:color="000000"/>
                          <w:left w:val="single" w:sz="4" w:space="0" w:color="000000"/>
                          <w:bottom w:val="single" w:sz="4" w:space="0" w:color="000000"/>
                          <w:right w:val="single" w:sz="4" w:space="0" w:color="000000"/>
                        </w:tcBorders>
                      </w:tcPr>
                      <w:p>
                        <w:pPr/>
                      </w:p>
                    </w:tc>
                    <w:tc>
                      <w:tcPr>
                        <w:tcW w:w="670" w:type="dxa"/>
                        <w:tcBorders>
                          <w:top w:val="single" w:sz="10" w:space="0" w:color="000000"/>
                          <w:left w:val="single" w:sz="4" w:space="0" w:color="000000"/>
                          <w:bottom w:val="single" w:sz="4" w:space="0" w:color="000000"/>
                          <w:right w:val="single" w:sz="4" w:space="0" w:color="000000"/>
                        </w:tcBorders>
                      </w:tcPr>
                      <w:p>
                        <w:pPr/>
                      </w:p>
                    </w:tc>
                    <w:tc>
                      <w:tcPr>
                        <w:tcW w:w="768" w:type="dxa"/>
                        <w:tcBorders>
                          <w:top w:val="single" w:sz="10" w:space="0" w:color="000000"/>
                          <w:left w:val="single" w:sz="4" w:space="0" w:color="000000"/>
                          <w:bottom w:val="single" w:sz="4" w:space="0" w:color="000000"/>
                          <w:right w:val="single" w:sz="4" w:space="0" w:color="000000"/>
                        </w:tcBorders>
                      </w:tcPr>
                      <w:p>
                        <w:pPr/>
                      </w:p>
                    </w:tc>
                    <w:tc>
                      <w:tcPr>
                        <w:tcW w:w="7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10" w:space="0" w:color="000000"/>
                          <w:left w:val="single" w:sz="4" w:space="0" w:color="000000"/>
                          <w:bottom w:val="single" w:sz="4" w:space="0" w:color="000000"/>
                          <w:right w:val="single" w:sz="4" w:space="0" w:color="000000"/>
                        </w:tcBorders>
                      </w:tcPr>
                      <w:p>
                        <w:pPr/>
                      </w:p>
                    </w:tc>
                    <w:tc>
                      <w:tcPr>
                        <w:tcW w:w="718" w:type="dxa"/>
                        <w:tcBorders>
                          <w:top w:val="single" w:sz="10" w:space="0" w:color="000000"/>
                          <w:left w:val="single" w:sz="4" w:space="0" w:color="000000"/>
                          <w:bottom w:val="single" w:sz="4" w:space="0" w:color="000000"/>
                          <w:right w:val="single" w:sz="4" w:space="0" w:color="000000"/>
                        </w:tcBorders>
                      </w:tcPr>
                      <w:p>
                        <w:pPr/>
                      </w:p>
                    </w:tc>
                    <w:tc>
                      <w:tcPr>
                        <w:tcW w:w="718" w:type="dxa"/>
                        <w:tcBorders>
                          <w:top w:val="single" w:sz="10" w:space="0" w:color="000000"/>
                          <w:left w:val="single" w:sz="4" w:space="0" w:color="000000"/>
                          <w:bottom w:val="single" w:sz="4" w:space="0" w:color="000000"/>
                          <w:right w:val="single" w:sz="4" w:space="0" w:color="000000"/>
                        </w:tcBorders>
                      </w:tcPr>
                      <w:p>
                        <w:pPr/>
                      </w:p>
                    </w:tc>
                    <w:tc>
                      <w:tcPr>
                        <w:tcW w:w="714" w:type="dxa"/>
                        <w:tcBorders>
                          <w:top w:val="single" w:sz="10"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3"/>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7</w:t>
                        </w:r>
                        <w:r>
                          <w:rPr>
                            <w:rFonts w:ascii="宋体" w:hAnsi="宋体" w:cs="宋体" w:eastAsia="宋体" w:hint="default"/>
                            <w:sz w:val="18"/>
                            <w:szCs w:val="18"/>
                          </w:rPr>
                          <w:t>、设立香港 全资子公司（注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191.58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-112.93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-151.62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8</w:t>
                        </w:r>
                        <w:r>
                          <w:rPr>
                            <w:rFonts w:ascii="宋体" w:hAnsi="宋体" w:cs="宋体" w:eastAsia="宋体" w:hint="default"/>
                            <w:sz w:val="18"/>
                            <w:szCs w:val="18"/>
                          </w:rPr>
                          <w:t>、对外投资 设立北京神州泰岳 良品电子商务有限 公司（注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1,126.69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-1,361.5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9</w:t>
                        </w:r>
                        <w:r>
                          <w:rPr>
                            <w:rFonts w:ascii="宋体" w:hAnsi="宋体" w:cs="宋体" w:eastAsia="宋体" w:hint="default"/>
                            <w:sz w:val="18"/>
                            <w:szCs w:val="18"/>
                          </w:rPr>
                          <w:t>、收购北京 广通神州网络技术 股份有限公司</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-165.93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277.34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52"/>
                          <w:ind w:left="22" w:right="256"/>
                          <w:jc w:val="left"/>
                          <w:rPr>
                            <w:rFonts w:ascii="Times New Roman" w:hAnsi="Times New Roman" w:cs="Times New Roman" w:eastAsia="Times New Roman" w:hint="default"/>
                            <w:sz w:val="18"/>
                            <w:szCs w:val="18"/>
                          </w:rPr>
                        </w:pPr>
                        <w:r>
                          <w:rPr>
                            <w:rFonts w:ascii="宋体" w:hAnsi="宋体" w:cs="宋体" w:eastAsia="宋体" w:hint="default"/>
                            <w:sz w:val="18"/>
                            <w:szCs w:val="18"/>
                          </w:rPr>
                          <w:t>超募－</w:t>
                        </w:r>
                        <w:r>
                          <w:rPr>
                            <w:rFonts w:ascii="Times New Roman" w:hAnsi="Times New Roman" w:cs="Times New Roman" w:eastAsia="Times New Roman" w:hint="default"/>
                            <w:sz w:val="18"/>
                            <w:szCs w:val="18"/>
                          </w:rPr>
                          <w:t>10</w:t>
                        </w:r>
                        <w:r>
                          <w:rPr>
                            <w:rFonts w:ascii="宋体" w:hAnsi="宋体" w:cs="宋体" w:eastAsia="宋体" w:hint="default"/>
                            <w:sz w:val="18"/>
                            <w:szCs w:val="18"/>
                          </w:rPr>
                          <w:t>、收购 </w:t>
                        </w:r>
                        <w:r>
                          <w:rPr>
                            <w:rFonts w:ascii="Times New Roman" w:hAnsi="Times New Roman" w:cs="Times New Roman" w:eastAsia="Times New Roman" w:hint="default"/>
                            <w:sz w:val="18"/>
                            <w:szCs w:val="18"/>
                          </w:rPr>
                          <w:t>Bridge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Minds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Consulting Pte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Ltd</w:t>
                        </w:r>
                      </w:p>
                      <w:p>
                        <w:pPr>
                          <w:pStyle w:val="TableParagraph"/>
                          <w:spacing w:line="209" w:lineRule="exact"/>
                          <w:ind w:left="22" w:right="0"/>
                          <w:jc w:val="left"/>
                          <w:rPr>
                            <w:rFonts w:ascii="宋体" w:hAnsi="宋体" w:cs="宋体" w:eastAsia="宋体" w:hint="default"/>
                            <w:sz w:val="18"/>
                            <w:szCs w:val="18"/>
                          </w:rPr>
                        </w:pPr>
                        <w:r>
                          <w:rPr>
                            <w:rFonts w:ascii="宋体" w:hAnsi="宋体" w:cs="宋体" w:eastAsia="宋体" w:hint="default"/>
                            <w:sz w:val="18"/>
                            <w:szCs w:val="18"/>
                          </w:rPr>
                          <w:t>（智桥资讯公司）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-6,464.5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-7,751.2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、收购天津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壳木软件有限责公 司（注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21,669.2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21,669.2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6,862.5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7,582.82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结余募集资金投向</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、收购天津壳木软 </w:t>
                        </w:r>
                        <w:r>
                          <w:rPr>
                            <w:rFonts w:ascii="宋体" w:hAnsi="宋体" w:cs="宋体" w:eastAsia="宋体" w:hint="default"/>
                            <w:spacing w:val="-3"/>
                            <w:sz w:val="18"/>
                            <w:szCs w:val="18"/>
                          </w:rPr>
                          <w:t>件有限责任公司（注</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21,080.7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、补充流动资金</w:t>
                        </w:r>
                      </w:p>
                    </w:tc>
                    <w:tc>
                      <w:tcPr>
                        <w:tcW w:w="73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12,647.0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153,811.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153,811.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29</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9,655.93</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139,532</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.08</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5,454.64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54,678.4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204,064.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204,064.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09</w:t>
                        </w:r>
                      </w:p>
                    </w:tc>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9,655.93</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169,053</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.47</w:t>
                        </w:r>
                      </w:p>
                    </w:tc>
                    <w:tc>
                      <w:tcPr>
                        <w:tcW w:w="7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19,016.3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4"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 w:firstLine="76"/>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170,336.31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万元，其中超募资金总额为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120,083.51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万元。具体使用如下：</w:t>
                        </w:r>
                      </w:p>
                      <w:p>
                        <w:pPr>
                          <w:pStyle w:val="TableParagraph"/>
                          <w:spacing w:line="240" w:lineRule="auto" w:before="10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52"/>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宋体" w:hAnsi="宋体" w:cs="宋体" w:eastAsia="宋体" w:hint="default"/>
                            <w:spacing w:val="-52"/>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w:t>
                        </w:r>
                        <w:r>
                          <w:rPr>
                            <w:rFonts w:ascii="宋体" w:hAnsi="宋体" w:cs="宋体" w:eastAsia="宋体" w:hint="default"/>
                            <w:spacing w:val="-52"/>
                            <w:sz w:val="18"/>
                            <w:szCs w:val="18"/>
                          </w:rPr>
                          <w:t>了</w:t>
                        </w:r>
                        <w:r>
                          <w:rPr>
                            <w:rFonts w:ascii="宋体" w:hAnsi="宋体" w:cs="宋体" w:eastAsia="宋体" w:hint="default"/>
                            <w:sz w:val="18"/>
                            <w:szCs w:val="18"/>
                          </w:rPr>
                          <w:t>《关于超募资金使用计划及其实施的议案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第一批超募资金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25,453.85 </w:t>
                        </w:r>
                        <w:r>
                          <w:rPr>
                            <w:rFonts w:ascii="宋体" w:hAnsi="宋体" w:cs="宋体" w:eastAsia="宋体" w:hint="default"/>
                            <w:sz w:val="18"/>
                            <w:szCs w:val="18"/>
                          </w:rPr>
                          <w:t>万元用于研发及办公用房的购置与建设，至年末实际投入项目金额为</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24,077.12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p>
                        <w:pPr>
                          <w:pStyle w:val="TableParagraph"/>
                          <w:spacing w:line="240" w:lineRule="auto" w:before="10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日，公司第三届董事会第二十三次会议审议通过了《关于超募资金使用计划及其</w:t>
                        </w:r>
                      </w:p>
                    </w:tc>
                  </w:tr>
                  <w:tr>
                    <w:trPr>
                      <w:trHeight w:val="704"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99" w:right="22" w:hanging="77"/>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vMerge/>
                        <w:tcBorders>
                          <w:left w:val="single" w:sz="9" w:space="0" w:color="D2D2D2"/>
                          <w:right w:val="single" w:sz="4" w:space="0" w:color="000000"/>
                        </w:tcBorders>
                      </w:tcPr>
                      <w:p>
                        <w:pPr/>
                      </w:p>
                    </w:tc>
                  </w:tr>
                  <w:tr>
                    <w:trPr>
                      <w:trHeight w:val="695"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ind w:left="0" w:right="1146"/>
        <w:jc w:val="right"/>
      </w:pPr>
      <w:r>
        <w:rPr/>
        <w:t>，</w:t>
      </w:r>
    </w:p>
    <w:p>
      <w:pPr>
        <w:spacing w:after="0" w:line="240" w:lineRule="auto"/>
        <w:jc w:val="right"/>
        <w:sectPr>
          <w:pgSz w:w="11910" w:h="16840"/>
          <w:pgMar w:header="851" w:footer="979" w:top="1420" w:bottom="1160" w:left="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324" w:hRule="exact"/>
        </w:trPr>
        <w:tc>
          <w:tcPr>
            <w:tcW w:w="1650" w:type="dxa"/>
            <w:vMerge w:val="restart"/>
            <w:tcBorders>
              <w:top w:val="single" w:sz="10" w:space="0" w:color="000000"/>
              <w:left w:val="single" w:sz="4" w:space="0" w:color="000000"/>
              <w:right w:val="single" w:sz="4" w:space="0" w:color="000000"/>
            </w:tcBorders>
            <w:shd w:val="clear" w:color="auto" w:fill="D2D2D2"/>
          </w:tcPr>
          <w:p>
            <w:pPr/>
          </w:p>
        </w:tc>
        <w:tc>
          <w:tcPr>
            <w:tcW w:w="7912"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 施的议案</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第二批超募资金计划用于如下两个项目</w:t>
            </w:r>
            <w:r>
              <w:rPr>
                <w:rFonts w:ascii="宋体" w:hAnsi="宋体" w:cs="宋体" w:eastAsia="宋体" w:hint="default"/>
                <w:spacing w:val="-33"/>
                <w:sz w:val="18"/>
                <w:szCs w:val="18"/>
              </w:rPr>
              <w:t>：</w:t>
            </w:r>
            <w:r>
              <w:rPr>
                <w:rFonts w:ascii="宋体" w:hAnsi="宋体" w:cs="宋体" w:eastAsia="宋体" w:hint="default"/>
                <w:sz w:val="18"/>
                <w:szCs w:val="18"/>
              </w:rPr>
              <w:t>收购微软中国投资控股有限公司持有的大连</w:t>
            </w:r>
          </w:p>
        </w:tc>
      </w:tr>
      <w:tr>
        <w:trPr>
          <w:trHeight w:val="31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 信计算机技术股份有限公司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w:t>
            </w:r>
            <w:r>
              <w:rPr>
                <w:rFonts w:ascii="宋体" w:hAnsi="宋体" w:cs="宋体" w:eastAsia="宋体" w:hint="default"/>
                <w:spacing w:val="-27"/>
                <w:sz w:val="18"/>
                <w:szCs w:val="18"/>
              </w:rPr>
              <w:t>份</w:t>
            </w:r>
            <w:r>
              <w:rPr>
                <w:rFonts w:ascii="宋体" w:hAnsi="宋体" w:cs="宋体" w:eastAsia="宋体" w:hint="default"/>
                <w:sz w:val="18"/>
                <w:szCs w:val="18"/>
              </w:rPr>
              <w:t>（占其总股本的 </w:t>
            </w:r>
            <w:r>
              <w:rPr>
                <w:rFonts w:ascii="Times New Roman" w:hAnsi="Times New Roman" w:cs="Times New Roman" w:eastAsia="Times New Roman" w:hint="default"/>
                <w:sz w:val="18"/>
                <w:szCs w:val="18"/>
              </w:rPr>
              <w:t>8%</w:t>
            </w:r>
            <w:r>
              <w:rPr>
                <w:rFonts w:ascii="宋体" w:hAnsi="宋体" w:cs="宋体" w:eastAsia="宋体" w:hint="default"/>
                <w:spacing w:val="-90"/>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总价款为 </w:t>
            </w:r>
            <w:r>
              <w:rPr>
                <w:rFonts w:ascii="Times New Roman" w:hAnsi="Times New Roman" w:cs="Times New Roman" w:eastAsia="Times New Roman" w:hint="default"/>
                <w:sz w:val="18"/>
                <w:szCs w:val="18"/>
              </w:rPr>
              <w:t>1,080  </w:t>
            </w:r>
            <w:r>
              <w:rPr>
                <w:rFonts w:ascii="宋体" w:hAnsi="宋体" w:cs="宋体" w:eastAsia="宋体" w:hint="default"/>
                <w:sz w:val="18"/>
                <w:szCs w:val="18"/>
              </w:rPr>
              <w:t>万美元</w:t>
            </w:r>
            <w:r>
              <w:rPr>
                <w:rFonts w:ascii="宋体" w:hAnsi="宋体" w:cs="宋体" w:eastAsia="宋体" w:hint="default"/>
                <w:spacing w:val="-27"/>
                <w:sz w:val="18"/>
                <w:szCs w:val="18"/>
              </w:rPr>
              <w:t>，</w:t>
            </w:r>
            <w:r>
              <w:rPr>
                <w:rFonts w:ascii="宋体" w:hAnsi="宋体" w:cs="宋体" w:eastAsia="宋体" w:hint="default"/>
                <w:sz w:val="18"/>
                <w:szCs w:val="18"/>
              </w:rPr>
              <w:t>至</w:t>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年末 实际投入项目金额为 </w:t>
            </w:r>
            <w:r>
              <w:rPr>
                <w:rFonts w:ascii="Times New Roman" w:hAnsi="Times New Roman" w:cs="Times New Roman" w:eastAsia="Times New Roman" w:hint="default"/>
                <w:sz w:val="18"/>
                <w:szCs w:val="18"/>
              </w:rPr>
              <w:t>7,230.38 </w:t>
            </w:r>
            <w:r>
              <w:rPr>
                <w:rFonts w:ascii="宋体" w:hAnsi="宋体" w:cs="宋体" w:eastAsia="宋体" w:hint="default"/>
                <w:sz w:val="18"/>
                <w:szCs w:val="18"/>
              </w:rPr>
              <w:t>万元；使用超募资金 </w:t>
            </w:r>
            <w:r>
              <w:rPr>
                <w:rFonts w:ascii="Times New Roman" w:hAnsi="Times New Roman" w:cs="Times New Roman" w:eastAsia="Times New Roman" w:hint="default"/>
                <w:sz w:val="18"/>
                <w:szCs w:val="18"/>
              </w:rPr>
              <w:t>10,330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万元在重庆高新区设立全资子公司</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重庆新媒农信科技有限公司，至年末实际投入使用金额为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31"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日，公司第四届董事会第八次会议审议通过了《关于使用部分超募资金收购北京</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友联创新系统集成有限公司的议案</w:t>
            </w:r>
            <w:r>
              <w:rPr>
                <w:rFonts w:ascii="宋体" w:hAnsi="宋体" w:cs="宋体" w:eastAsia="宋体" w:hint="default"/>
                <w:spacing w:val="-90"/>
                <w:sz w:val="18"/>
                <w:szCs w:val="18"/>
              </w:rPr>
              <w:t>》</w:t>
            </w:r>
            <w:r>
              <w:rPr>
                <w:rFonts w:ascii="宋体" w:hAnsi="宋体" w:cs="宋体" w:eastAsia="宋体" w:hint="default"/>
                <w:sz w:val="18"/>
                <w:szCs w:val="18"/>
              </w:rPr>
              <w:t>，计划使用第三批超募资金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5,900  </w:t>
            </w:r>
            <w:r>
              <w:rPr>
                <w:rFonts w:ascii="宋体" w:hAnsi="宋体" w:cs="宋体" w:eastAsia="宋体" w:hint="default"/>
                <w:sz w:val="18"/>
                <w:szCs w:val="18"/>
              </w:rPr>
              <w:t>万元收购徐伟、徐秀华、聂小</w:t>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59"/>
                <w:sz w:val="18"/>
                <w:szCs w:val="18"/>
              </w:rPr>
              <w:t> </w:t>
            </w:r>
            <w:r>
              <w:rPr>
                <w:rFonts w:ascii="宋体" w:hAnsi="宋体" w:cs="宋体" w:eastAsia="宋体" w:hint="default"/>
                <w:sz w:val="18"/>
                <w:szCs w:val="18"/>
              </w:rPr>
              <w:t>赵朝华所持有的友联创新</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的股权，使其成为公司的全资子公司，至年末实际投入项目金额</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为 </w:t>
            </w:r>
            <w:r>
              <w:rPr>
                <w:rFonts w:ascii="Times New Roman" w:hAnsi="Times New Roman" w:cs="Times New Roman" w:eastAsia="Times New Roman" w:hint="default"/>
                <w:sz w:val="18"/>
                <w:szCs w:val="18"/>
              </w:rPr>
              <w:t>5,900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年北京友联创新系统集成有限公司已更名为北京神州泰岳系统集成有限公司。</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日，公司第四届董事会第十次会议审议通过了《关于使用部分超募资金收购及增资</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奇点新源国际技术开发（北京）有限公司的议案</w:t>
            </w:r>
            <w:r>
              <w:rPr>
                <w:rFonts w:ascii="宋体" w:hAnsi="宋体" w:cs="宋体" w:eastAsia="宋体" w:hint="default"/>
                <w:spacing w:val="-90"/>
                <w:sz w:val="18"/>
                <w:szCs w:val="18"/>
              </w:rPr>
              <w:t>》</w:t>
            </w:r>
            <w:r>
              <w:rPr>
                <w:rFonts w:ascii="宋体" w:hAnsi="宋体" w:cs="宋体" w:eastAsia="宋体" w:hint="default"/>
                <w:sz w:val="18"/>
                <w:szCs w:val="18"/>
              </w:rPr>
              <w:t>，计划使用第四批超募资金 </w:t>
            </w: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万元对奇点新源</w:t>
            </w:r>
          </w:p>
        </w:tc>
      </w:tr>
      <w:tr>
        <w:trPr>
          <w:trHeight w:val="308"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国际技术开发（北京）有限公司进行收购及增资，该收购及增资手续已经办理完毕，至年末实际投入</w:t>
            </w:r>
          </w:p>
        </w:tc>
      </w:tr>
      <w:tr>
        <w:trPr>
          <w:trHeight w:val="33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项目金额为 </w:t>
            </w: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tc>
      </w:tr>
      <w:tr>
        <w:trPr>
          <w:trHeight w:val="331"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日，公司第四届董事会第十四次会议审议通过了《关于使用部分超募资金收购宁</w:t>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波普天通信技术有限公司的议案</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计划第五批超募资金不超过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24,000 </w:t>
            </w:r>
            <w:r>
              <w:rPr>
                <w:rFonts w:ascii="宋体" w:hAnsi="宋体" w:cs="宋体" w:eastAsia="宋体" w:hint="default"/>
                <w:sz w:val="18"/>
                <w:szCs w:val="18"/>
              </w:rPr>
              <w:t>万元用于收购孙海粟等自然人</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持 有的宁波普天通信技术有限公司全部股权，至年末实际投入项目金额为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31"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日，公司第四届董事会第十六次会议审议通过了《关于使用部分超募资金设立香</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港全资子公司的议案</w:t>
            </w:r>
            <w:r>
              <w:rPr>
                <w:rFonts w:ascii="宋体" w:hAnsi="宋体" w:cs="宋体" w:eastAsia="宋体" w:hint="default"/>
                <w:spacing w:val="-90"/>
                <w:sz w:val="18"/>
                <w:szCs w:val="18"/>
              </w:rPr>
              <w:t>》</w:t>
            </w:r>
            <w:r>
              <w:rPr>
                <w:rFonts w:ascii="宋体" w:hAnsi="宋体" w:cs="宋体" w:eastAsia="宋体" w:hint="default"/>
                <w:sz w:val="18"/>
                <w:szCs w:val="18"/>
              </w:rPr>
              <w:t>，计划以第六批超募资金出资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万元在中华人民共和国香港特别行政区设</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立全资子公司，用于海外市场销售网络建设及海外市场开拓，该公司于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年境内外注册事宜已办</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理完成，公司名称为神州泰岳（香港）有限公司。</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年，神州泰岳（香港）有限公司以北京神州</w:t>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泰岳软件股份有限公司名义在平安银行北京花园路支行设立募集资金专户，将 </w:t>
            </w:r>
            <w:r>
              <w:rPr>
                <w:rFonts w:ascii="Times New Roman" w:hAnsi="Times New Roman" w:cs="Times New Roman" w:eastAsia="Times New Roman" w:hint="default"/>
                <w:sz w:val="18"/>
                <w:szCs w:val="18"/>
              </w:rPr>
              <w:t>3,550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万元出资额单</w:t>
            </w:r>
          </w:p>
        </w:tc>
      </w:tr>
      <w:tr>
        <w:trPr>
          <w:trHeight w:val="33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独存放于的该账户中，至年末实际投入项目金额为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日，公司第四届董事会第十九次会议审议通过了《关于对外投资设立合资公司的</w:t>
            </w:r>
          </w:p>
        </w:tc>
      </w:tr>
      <w:tr>
        <w:trPr>
          <w:trHeight w:val="311"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 案</w:t>
            </w:r>
            <w:r>
              <w:rPr>
                <w:rFonts w:ascii="宋体" w:hAnsi="宋体" w:cs="宋体" w:eastAsia="宋体" w:hint="default"/>
                <w:spacing w:val="-90"/>
                <w:sz w:val="18"/>
                <w:szCs w:val="18"/>
              </w:rPr>
              <w:t>》</w:t>
            </w:r>
            <w:r>
              <w:rPr>
                <w:rFonts w:ascii="宋体" w:hAnsi="宋体" w:cs="宋体" w:eastAsia="宋体" w:hint="default"/>
                <w:sz w:val="18"/>
                <w:szCs w:val="18"/>
              </w:rPr>
              <w:t>，计划以第七批超募资金 </w:t>
            </w:r>
            <w:r>
              <w:rPr>
                <w:rFonts w:ascii="Times New Roman" w:hAnsi="Times New Roman" w:cs="Times New Roman" w:eastAsia="Times New Roman" w:hint="default"/>
                <w:sz w:val="18"/>
                <w:szCs w:val="18"/>
              </w:rPr>
              <w:t>8,400  </w:t>
            </w:r>
            <w:r>
              <w:rPr>
                <w:rFonts w:ascii="宋体" w:hAnsi="宋体" w:cs="宋体" w:eastAsia="宋体" w:hint="default"/>
                <w:spacing w:val="-2"/>
                <w:sz w:val="18"/>
                <w:szCs w:val="18"/>
              </w:rPr>
              <w:t>万</w:t>
            </w:r>
            <w:r>
              <w:rPr>
                <w:rFonts w:ascii="宋体" w:hAnsi="宋体" w:cs="宋体" w:eastAsia="宋体" w:hint="default"/>
                <w:sz w:val="18"/>
                <w:szCs w:val="18"/>
              </w:rPr>
              <w:t>元与奇点新源国际技术开发（北京）有限公司、北京中利</w:t>
            </w:r>
          </w:p>
        </w:tc>
      </w:tr>
      <w:tr>
        <w:trPr>
          <w:trHeight w:val="306"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丰贸易发展有限公司、北京中秀明天科技有限公司共同出资设立北京神州泰岳良品电子商务有限公</w:t>
            </w:r>
          </w:p>
        </w:tc>
      </w:tr>
      <w:tr>
        <w:trPr>
          <w:trHeight w:val="31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司。奇点新源国际技术开发（北京）有限公司投入的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万元也属于公司超募资金，至报告期末公</w:t>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司及奇点新源国际技术开发（北京）有限公司实际投入超募资金共计</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8,900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万元（其中北京神州泰岳</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软件股份有 限公司实际投入超募资金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日，公司第五届董事会第五次会议审议通过了《关于使用部分超募资金收购北京</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广通神州网络技术有限公司的议案</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计划以第八批超募资金 </w:t>
            </w:r>
            <w:r>
              <w:rPr>
                <w:rFonts w:ascii="Times New Roman" w:hAnsi="Times New Roman" w:cs="Times New Roman" w:eastAsia="Times New Roman" w:hint="default"/>
                <w:sz w:val="18"/>
                <w:szCs w:val="18"/>
              </w:rPr>
              <w:t>5,500  </w:t>
            </w:r>
            <w:r>
              <w:rPr>
                <w:rFonts w:ascii="宋体" w:hAnsi="宋体" w:cs="宋体" w:eastAsia="宋体" w:hint="default"/>
                <w:spacing w:val="-2"/>
                <w:sz w:val="18"/>
                <w:szCs w:val="18"/>
              </w:rPr>
              <w:t>万</w:t>
            </w:r>
            <w:r>
              <w:rPr>
                <w:rFonts w:ascii="宋体" w:hAnsi="宋体" w:cs="宋体" w:eastAsia="宋体" w:hint="default"/>
                <w:sz w:val="18"/>
                <w:szCs w:val="18"/>
              </w:rPr>
              <w:t>元全资收购北京广通神州网络</w:t>
            </w:r>
          </w:p>
        </w:tc>
      </w:tr>
      <w:tr>
        <w:trPr>
          <w:trHeight w:val="307"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 术有限公司</w:t>
            </w:r>
            <w:r>
              <w:rPr>
                <w:rFonts w:ascii="宋体" w:hAnsi="宋体" w:cs="宋体" w:eastAsia="宋体" w:hint="default"/>
                <w:spacing w:val="-16"/>
                <w:sz w:val="18"/>
                <w:szCs w:val="18"/>
              </w:rPr>
              <w:t>，</w:t>
            </w:r>
            <w:r>
              <w:rPr>
                <w:rFonts w:ascii="宋体" w:hAnsi="宋体" w:cs="宋体" w:eastAsia="宋体" w:hint="default"/>
                <w:sz w:val="18"/>
                <w:szCs w:val="18"/>
              </w:rPr>
              <w:t>苏州优峰通信科技有限公司</w:t>
            </w:r>
            <w:r>
              <w:rPr>
                <w:rFonts w:ascii="宋体" w:hAnsi="宋体" w:cs="宋体" w:eastAsia="宋体" w:hint="default"/>
                <w:spacing w:val="-16"/>
                <w:sz w:val="18"/>
                <w:szCs w:val="18"/>
              </w:rPr>
              <w:t>、</w:t>
            </w:r>
            <w:r>
              <w:rPr>
                <w:rFonts w:ascii="宋体" w:hAnsi="宋体" w:cs="宋体" w:eastAsia="宋体" w:hint="default"/>
                <w:sz w:val="18"/>
                <w:szCs w:val="18"/>
              </w:rPr>
              <w:t>苏州东方九胜创业投资企</w:t>
            </w:r>
            <w:r>
              <w:rPr>
                <w:rFonts w:ascii="宋体" w:hAnsi="宋体" w:cs="宋体" w:eastAsia="宋体" w:hint="default"/>
                <w:spacing w:val="-16"/>
                <w:sz w:val="18"/>
                <w:szCs w:val="18"/>
              </w:rPr>
              <w:t>业</w:t>
            </w: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宋体" w:hAnsi="宋体" w:cs="宋体" w:eastAsia="宋体" w:hint="default"/>
                <w:sz w:val="18"/>
                <w:szCs w:val="18"/>
              </w:rPr>
              <w:t>北京泛亚太</w:t>
            </w:r>
          </w:p>
        </w:tc>
      </w:tr>
      <w:tr>
        <w:trPr>
          <w:trHeight w:val="318"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信息技术研究</w:t>
            </w:r>
            <w:r>
              <w:rPr>
                <w:rFonts w:ascii="宋体" w:hAnsi="宋体" w:cs="宋体" w:eastAsia="宋体" w:hint="default"/>
                <w:spacing w:val="-14"/>
                <w:sz w:val="18"/>
                <w:szCs w:val="18"/>
              </w:rPr>
              <w:t>所</w:t>
            </w:r>
            <w:r>
              <w:rPr>
                <w:rFonts w:ascii="宋体" w:hAnsi="宋体" w:cs="宋体" w:eastAsia="宋体" w:hint="default"/>
                <w:sz w:val="18"/>
                <w:szCs w:val="18"/>
              </w:rPr>
              <w:t>（普通合伙</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倪健中</w:t>
            </w:r>
            <w:r>
              <w:rPr>
                <w:rFonts w:ascii="宋体" w:hAnsi="宋体" w:cs="宋体" w:eastAsia="宋体" w:hint="default"/>
                <w:spacing w:val="-14"/>
                <w:sz w:val="18"/>
                <w:szCs w:val="18"/>
              </w:rPr>
              <w:t>、</w:t>
            </w:r>
            <w:r>
              <w:rPr>
                <w:rFonts w:ascii="宋体" w:hAnsi="宋体" w:cs="宋体" w:eastAsia="宋体" w:hint="default"/>
                <w:sz w:val="18"/>
                <w:szCs w:val="18"/>
              </w:rPr>
              <w:t>陈硕等股东持有的北京广通神州网络技术有限公</w:t>
            </w:r>
            <w:r>
              <w:rPr>
                <w:rFonts w:ascii="宋体" w:hAnsi="宋体" w:cs="宋体" w:eastAsia="宋体" w:hint="default"/>
                <w:spacing w:val="-14"/>
                <w:sz w:val="18"/>
                <w:szCs w:val="18"/>
              </w:rPr>
              <w:t>司</w:t>
            </w:r>
            <w:r>
              <w:rPr>
                <w:rFonts w:ascii="宋体" w:hAnsi="宋体" w:cs="宋体" w:eastAsia="宋体" w:hint="default"/>
                <w:sz w:val="18"/>
                <w:szCs w:val="18"/>
              </w:rPr>
              <w:t>（简称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广</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通神州</w:t>
            </w:r>
            <w:r>
              <w:rPr>
                <w:rFonts w:ascii="Times New Roman" w:hAnsi="Times New Roman" w:cs="Times New Roman" w:eastAsia="Times New Roman" w:hint="default"/>
                <w:sz w:val="18"/>
                <w:szCs w:val="18"/>
              </w:rPr>
              <w:t>”</w:t>
            </w:r>
            <w:r>
              <w:rPr>
                <w:rFonts w:ascii="宋体" w:hAnsi="宋体" w:cs="宋体" w:eastAsia="宋体" w:hint="default"/>
                <w:sz w:val="18"/>
                <w:szCs w:val="18"/>
              </w:rPr>
              <w:t>）全部股权，使其成为公司的全资子公司，至年末实际投入项目金额为 </w:t>
            </w:r>
            <w:r>
              <w:rPr>
                <w:rFonts w:ascii="Times New Roman" w:hAnsi="Times New Roman" w:cs="Times New Roman" w:eastAsia="Times New Roman" w:hint="default"/>
                <w:sz w:val="18"/>
                <w:szCs w:val="18"/>
              </w:rPr>
              <w:t>3,750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tc>
      </w:tr>
      <w:tr>
        <w:trPr>
          <w:trHeight w:val="331"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日，公司第五届董事会第八次会议审议通过了《关于使用部分超募资金收购及增</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 </w:t>
            </w:r>
            <w:r>
              <w:rPr>
                <w:rFonts w:ascii="Times New Roman" w:hAnsi="Times New Roman" w:cs="Times New Roman" w:eastAsia="Times New Roman" w:hint="default"/>
                <w:sz w:val="18"/>
                <w:szCs w:val="18"/>
              </w:rPr>
              <w:t>Bridge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Min</w:t>
            </w:r>
            <w:r>
              <w:rPr>
                <w:rFonts w:ascii="Times New Roman" w:hAnsi="Times New Roman" w:cs="Times New Roman" w:eastAsia="Times New Roman" w:hint="default"/>
                <w:spacing w:val="-2"/>
                <w:sz w:val="18"/>
                <w:szCs w:val="18"/>
              </w:rPr>
              <w:t>d</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Consulting </w:t>
            </w:r>
            <w:r>
              <w:rPr>
                <w:rFonts w:ascii="Times New Roman" w:hAnsi="Times New Roman" w:cs="Times New Roman" w:eastAsia="Times New Roman" w:hint="default"/>
                <w:w w:val="99"/>
                <w:sz w:val="18"/>
                <w:szCs w:val="18"/>
              </w:rPr>
              <w:t>P</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sz w:val="18"/>
                <w:szCs w:val="18"/>
              </w:rPr>
              <w:t>e Lt</w:t>
            </w:r>
            <w:r>
              <w:rPr>
                <w:rFonts w:ascii="Times New Roman" w:hAnsi="Times New Roman" w:cs="Times New Roman" w:eastAsia="Times New Roman" w:hint="default"/>
                <w:spacing w:val="-26"/>
                <w:sz w:val="18"/>
                <w:szCs w:val="18"/>
              </w:rPr>
              <w:t>d</w:t>
            </w:r>
            <w:r>
              <w:rPr>
                <w:rFonts w:ascii="宋体" w:hAnsi="宋体" w:cs="宋体" w:eastAsia="宋体" w:hint="default"/>
                <w:sz w:val="18"/>
                <w:szCs w:val="18"/>
              </w:rPr>
              <w:t>（智桥资</w:t>
            </w:r>
            <w:r>
              <w:rPr>
                <w:rFonts w:ascii="宋体" w:hAnsi="宋体" w:cs="宋体" w:eastAsia="宋体" w:hint="default"/>
                <w:spacing w:val="-2"/>
                <w:sz w:val="18"/>
                <w:szCs w:val="18"/>
              </w:rPr>
              <w:t>讯</w:t>
            </w:r>
            <w:r>
              <w:rPr>
                <w:rFonts w:ascii="宋体" w:hAnsi="宋体" w:cs="宋体" w:eastAsia="宋体" w:hint="default"/>
                <w:sz w:val="18"/>
                <w:szCs w:val="18"/>
              </w:rPr>
              <w:t>公司</w:t>
            </w:r>
            <w:r>
              <w:rPr>
                <w:rFonts w:ascii="宋体" w:hAnsi="宋体" w:cs="宋体" w:eastAsia="宋体" w:hint="default"/>
                <w:spacing w:val="-27"/>
                <w:sz w:val="18"/>
                <w:szCs w:val="18"/>
              </w:rPr>
              <w: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计划以第九批超募资金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州泰</w:t>
            </w:r>
            <w:r>
              <w:rPr>
                <w:rFonts w:ascii="宋体" w:hAnsi="宋体" w:cs="宋体" w:eastAsia="宋体" w:hint="default"/>
                <w:spacing w:val="-6"/>
                <w:sz w:val="18"/>
                <w:szCs w:val="18"/>
              </w:rPr>
              <w:t>岳</w:t>
            </w:r>
            <w:r>
              <w:rPr>
                <w:rFonts w:ascii="宋体" w:hAnsi="宋体" w:cs="宋体" w:eastAsia="宋体" w:hint="default"/>
                <w:sz w:val="18"/>
                <w:szCs w:val="18"/>
              </w:rPr>
              <w:t>（香港</w:t>
            </w:r>
            <w:r>
              <w:rPr>
                <w:rFonts w:ascii="宋体" w:hAnsi="宋体" w:cs="宋体" w:eastAsia="宋体" w:hint="default"/>
                <w:spacing w:val="-6"/>
                <w:sz w:val="18"/>
                <w:szCs w:val="18"/>
              </w:rPr>
              <w:t>）</w:t>
            </w:r>
            <w:r>
              <w:rPr>
                <w:rFonts w:ascii="宋体" w:hAnsi="宋体" w:cs="宋体" w:eastAsia="宋体" w:hint="default"/>
                <w:sz w:val="18"/>
                <w:szCs w:val="18"/>
              </w:rPr>
              <w:t>有限公</w:t>
            </w:r>
            <w:r>
              <w:rPr>
                <w:rFonts w:ascii="宋体" w:hAnsi="宋体" w:cs="宋体" w:eastAsia="宋体" w:hint="default"/>
                <w:spacing w:val="-6"/>
                <w:sz w:val="18"/>
                <w:szCs w:val="18"/>
              </w:rPr>
              <w:t>司</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泰</w:t>
            </w:r>
            <w:r>
              <w:rPr>
                <w:rFonts w:ascii="宋体" w:hAnsi="宋体" w:cs="宋体" w:eastAsia="宋体" w:hint="default"/>
                <w:spacing w:val="1"/>
                <w:sz w:val="18"/>
                <w:szCs w:val="18"/>
              </w:rPr>
              <w:t>岳</w:t>
            </w:r>
            <w:r>
              <w:rPr>
                <w:rFonts w:ascii="宋体" w:hAnsi="宋体" w:cs="宋体" w:eastAsia="宋体" w:hint="default"/>
                <w:sz w:val="18"/>
                <w:szCs w:val="18"/>
              </w:rPr>
              <w:t>香港</w:t>
            </w:r>
            <w:r>
              <w:rPr>
                <w:rFonts w:ascii="Times New Roman" w:hAnsi="Times New Roman" w:cs="Times New Roman" w:eastAsia="Times New Roman" w:hint="default"/>
                <w:w w:val="10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进行</w:t>
            </w:r>
            <w:r>
              <w:rPr>
                <w:rFonts w:ascii="宋体" w:hAnsi="宋体" w:cs="宋体" w:eastAsia="宋体" w:hint="default"/>
                <w:spacing w:val="-2"/>
                <w:sz w:val="18"/>
                <w:szCs w:val="18"/>
              </w:rPr>
              <w:t>收</w:t>
            </w:r>
            <w:r>
              <w:rPr>
                <w:rFonts w:ascii="宋体" w:hAnsi="宋体" w:cs="宋体" w:eastAsia="宋体" w:hint="default"/>
                <w:sz w:val="18"/>
                <w:szCs w:val="18"/>
              </w:rPr>
              <w:t>购及增资</w:t>
            </w:r>
            <w:r>
              <w:rPr>
                <w:rFonts w:ascii="宋体" w:hAnsi="宋体" w:cs="宋体" w:eastAsia="宋体" w:hint="default"/>
                <w:spacing w:val="-6"/>
                <w:sz w:val="18"/>
                <w:szCs w:val="18"/>
              </w:rPr>
              <w:t>，</w:t>
            </w:r>
            <w:r>
              <w:rPr>
                <w:rFonts w:ascii="宋体" w:hAnsi="宋体" w:cs="宋体" w:eastAsia="宋体" w:hint="default"/>
                <w:sz w:val="18"/>
                <w:szCs w:val="18"/>
              </w:rPr>
              <w:t>该等款项的用途包括</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6"/>
                <w:sz w:val="18"/>
                <w:szCs w:val="18"/>
              </w:rPr>
              <w:t>）</w:t>
            </w:r>
            <w:r>
              <w:rPr>
                <w:rFonts w:ascii="宋体" w:hAnsi="宋体" w:cs="宋体" w:eastAsia="宋体" w:hint="default"/>
                <w:sz w:val="18"/>
                <w:szCs w:val="18"/>
              </w:rPr>
              <w:t>由泰</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岳香港使用 </w:t>
            </w:r>
            <w:r>
              <w:rPr>
                <w:rFonts w:ascii="Times New Roman" w:hAnsi="Times New Roman" w:cs="Times New Roman" w:eastAsia="Times New Roman" w:hint="default"/>
                <w:sz w:val="18"/>
                <w:szCs w:val="18"/>
              </w:rPr>
              <w:t>4,400.00 </w:t>
            </w:r>
            <w:r>
              <w:rPr>
                <w:rFonts w:ascii="宋体" w:hAnsi="宋体" w:cs="宋体" w:eastAsia="宋体" w:hint="default"/>
                <w:sz w:val="18"/>
                <w:szCs w:val="18"/>
              </w:rPr>
              <w:t>万元收购 </w:t>
            </w:r>
            <w:r>
              <w:rPr>
                <w:rFonts w:ascii="Times New Roman" w:hAnsi="Times New Roman" w:cs="Times New Roman" w:eastAsia="Times New Roman" w:hint="default"/>
                <w:sz w:val="18"/>
                <w:szCs w:val="18"/>
              </w:rPr>
              <w:t>CHEN BIN</w:t>
            </w:r>
            <w:r>
              <w:rPr>
                <w:rFonts w:ascii="宋体" w:hAnsi="宋体" w:cs="宋体" w:eastAsia="宋体" w:hint="default"/>
                <w:sz w:val="18"/>
                <w:szCs w:val="18"/>
              </w:rPr>
              <w:t>（陈斌）持有的 </w:t>
            </w:r>
            <w:r>
              <w:rPr>
                <w:rFonts w:ascii="Times New Roman" w:hAnsi="Times New Roman" w:cs="Times New Roman" w:eastAsia="Times New Roman" w:hint="default"/>
                <w:sz w:val="18"/>
                <w:szCs w:val="18"/>
              </w:rPr>
              <w:t>Bridge Minds Consulting Pte</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（智桥资</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讯公司）</w:t>
            </w:r>
            <w:r>
              <w:rPr>
                <w:rFonts w:ascii="Times New Roman" w:hAnsi="Times New Roman" w:cs="Times New Roman" w:eastAsia="Times New Roman" w:hint="default"/>
                <w:sz w:val="18"/>
                <w:szCs w:val="18"/>
              </w:rPr>
              <w:t>55%</w:t>
            </w:r>
            <w:r>
              <w:rPr>
                <w:rFonts w:ascii="宋体" w:hAnsi="宋体" w:cs="宋体" w:eastAsia="宋体" w:hint="default"/>
                <w:sz w:val="18"/>
                <w:szCs w:val="18"/>
              </w:rPr>
              <w:t>的股权，收购完成后泰岳香港持有智桥资讯公司的股权比例从 </w:t>
            </w:r>
            <w:r>
              <w:rPr>
                <w:rFonts w:ascii="Times New Roman" w:hAnsi="Times New Roman" w:cs="Times New Roman" w:eastAsia="Times New Roman" w:hint="default"/>
                <w:sz w:val="18"/>
                <w:szCs w:val="18"/>
              </w:rPr>
              <w:t>25%</w:t>
            </w:r>
            <w:r>
              <w:rPr>
                <w:rFonts w:ascii="宋体" w:hAnsi="宋体" w:cs="宋体" w:eastAsia="宋体" w:hint="default"/>
                <w:sz w:val="18"/>
                <w:szCs w:val="18"/>
              </w:rPr>
              <w:t>增至 </w:t>
            </w:r>
            <w:r>
              <w:rPr>
                <w:rFonts w:ascii="Times New Roman" w:hAnsi="Times New Roman" w:cs="Times New Roman" w:eastAsia="Times New Roman" w:hint="default"/>
                <w:sz w:val="18"/>
                <w:szCs w:val="18"/>
              </w:rPr>
              <w:t>80%</w:t>
            </w:r>
            <w:r>
              <w:rPr>
                <w:rFonts w:ascii="宋体" w:hAnsi="宋体" w:cs="宋体" w:eastAsia="宋体" w:hint="default"/>
                <w:sz w:val="18"/>
                <w:szCs w:val="18"/>
              </w:rPr>
              <w:t>，成为智</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桥资讯公司的控股公司</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）泰岳香港与 </w:t>
            </w:r>
            <w:r>
              <w:rPr>
                <w:rFonts w:ascii="Times New Roman" w:hAnsi="Times New Roman" w:cs="Times New Roman" w:eastAsia="Times New Roman" w:hint="default"/>
                <w:w w:val="99"/>
                <w:sz w:val="18"/>
                <w:szCs w:val="18"/>
              </w:rPr>
              <w:t>CHEN</w:t>
            </w:r>
            <w:r>
              <w:rPr>
                <w:rFonts w:ascii="Times New Roman" w:hAnsi="Times New Roman" w:cs="Times New Roman" w:eastAsia="Times New Roman" w:hint="default"/>
                <w:sz w:val="18"/>
                <w:szCs w:val="18"/>
              </w:rPr>
              <w:t> </w:t>
            </w:r>
            <w:r>
              <w:rPr>
                <w:rFonts w:ascii="Times New Roman" w:hAnsi="Times New Roman" w:cs="Times New Roman" w:eastAsia="Times New Roman" w:hint="default"/>
                <w:w w:val="99"/>
                <w:sz w:val="18"/>
                <w:szCs w:val="18"/>
              </w:rPr>
              <w:t>BI</w:t>
            </w:r>
            <w:r>
              <w:rPr>
                <w:rFonts w:ascii="Times New Roman" w:hAnsi="Times New Roman" w:cs="Times New Roman" w:eastAsia="Times New Roman" w:hint="default"/>
                <w:spacing w:val="-1"/>
                <w:w w:val="99"/>
                <w:sz w:val="18"/>
                <w:szCs w:val="18"/>
              </w:rPr>
              <w:t>N</w:t>
            </w:r>
            <w:r>
              <w:rPr>
                <w:rFonts w:ascii="宋体" w:hAnsi="宋体" w:cs="宋体" w:eastAsia="宋体" w:hint="default"/>
                <w:sz w:val="18"/>
                <w:szCs w:val="18"/>
              </w:rPr>
              <w:t>（陈斌）按照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的比例共同对智桥资</w:t>
            </w:r>
          </w:p>
        </w:tc>
      </w:tr>
      <w:tr>
        <w:trPr>
          <w:trHeight w:val="313"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讯公司进行增资，增资金额合计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万元，其中泰岳香港增资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万元。至报告期末，上</w:t>
            </w:r>
          </w:p>
        </w:tc>
      </w:tr>
      <w:tr>
        <w:trPr>
          <w:trHeight w:val="33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述事项全部完成，鉴于汇率因素公司实际投入项目金额为 </w:t>
            </w:r>
            <w:r>
              <w:rPr>
                <w:rFonts w:ascii="Times New Roman" w:hAnsi="Times New Roman" w:cs="Times New Roman" w:eastAsia="Times New Roman" w:hint="default"/>
                <w:sz w:val="18"/>
                <w:szCs w:val="18"/>
              </w:rPr>
              <w:t>5,935.84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tc>
      </w:tr>
      <w:tr>
        <w:trPr>
          <w:trHeight w:val="331"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日，公司第五届董事会第九次会议审议通过了《关于公司使用超募资金</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21,669.28</w:t>
            </w:r>
          </w:p>
        </w:tc>
      </w:tr>
      <w:tr>
        <w:trPr>
          <w:trHeight w:val="312" w:hRule="exact"/>
        </w:trPr>
        <w:tc>
          <w:tcPr>
            <w:tcW w:w="1650" w:type="dxa"/>
            <w:vMerge/>
            <w:tcBorders>
              <w:left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万元支付收购天津壳木软件有限责任公司的现金对价的议案</w:t>
            </w:r>
            <w:r>
              <w:rPr>
                <w:rFonts w:ascii="宋体" w:hAnsi="宋体" w:cs="宋体" w:eastAsia="宋体" w:hint="default"/>
                <w:spacing w:val="-90"/>
                <w:sz w:val="18"/>
                <w:szCs w:val="18"/>
              </w:rPr>
              <w:t>》</w:t>
            </w:r>
            <w:r>
              <w:rPr>
                <w:rFonts w:ascii="宋体" w:hAnsi="宋体" w:cs="宋体" w:eastAsia="宋体" w:hint="default"/>
                <w:spacing w:val="-154"/>
                <w:sz w:val="18"/>
                <w:szCs w:val="18"/>
              </w:rPr>
              <w:t>、</w:t>
            </w:r>
            <w:r>
              <w:rPr>
                <w:rFonts w:ascii="宋体" w:hAnsi="宋体" w:cs="宋体" w:eastAsia="宋体" w:hint="default"/>
                <w:sz w:val="18"/>
                <w:szCs w:val="18"/>
              </w:rPr>
              <w:t>《关于使用结余募集资金 </w:t>
            </w:r>
            <w:r>
              <w:rPr>
                <w:rFonts w:ascii="Times New Roman" w:hAnsi="Times New Roman" w:cs="Times New Roman" w:eastAsia="Times New Roman" w:hint="default"/>
                <w:sz w:val="18"/>
                <w:szCs w:val="18"/>
              </w:rPr>
              <w:t>21,080.72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13"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元支付收购天津壳木软件有限责任公司的现金对价的议案</w:t>
            </w:r>
            <w:r>
              <w:rPr>
                <w:rFonts w:ascii="宋体" w:hAnsi="宋体" w:cs="宋体" w:eastAsia="宋体" w:hint="default"/>
                <w:spacing w:val="-90"/>
                <w:sz w:val="18"/>
                <w:szCs w:val="18"/>
              </w:rPr>
              <w:t>》</w:t>
            </w:r>
            <w:r>
              <w:rPr>
                <w:rFonts w:ascii="宋体" w:hAnsi="宋体" w:cs="宋体" w:eastAsia="宋体" w:hint="default"/>
                <w:sz w:val="18"/>
                <w:szCs w:val="18"/>
              </w:rPr>
              <w:t>，计划以第十批募集资金 </w:t>
            </w:r>
            <w:r>
              <w:rPr>
                <w:rFonts w:ascii="Times New Roman" w:hAnsi="Times New Roman" w:cs="Times New Roman" w:eastAsia="Times New Roman" w:hint="default"/>
                <w:sz w:val="18"/>
                <w:szCs w:val="18"/>
              </w:rPr>
              <w:t>42,750.00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699982pt;width:478.9pt;height:661.6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1970" w:hRule="exact"/>
                    </w:trPr>
                    <w:tc>
                      <w:tcPr>
                        <w:tcW w:w="165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10" w:space="0" w:color="000000"/>
                          <w:left w:val="single" w:sz="4" w:space="0" w:color="000000"/>
                          <w:bottom w:val="single" w:sz="4" w:space="0" w:color="000000"/>
                          <w:right w:val="single" w:sz="4" w:space="0" w:color="000000"/>
                        </w:tcBorders>
                      </w:tcPr>
                      <w:p>
                        <w:pPr>
                          <w:pStyle w:val="TableParagraph"/>
                          <w:spacing w:line="300"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（包括超募资金 </w:t>
                        </w:r>
                        <w:r>
                          <w:rPr>
                            <w:rFonts w:ascii="Times New Roman" w:hAnsi="Times New Roman" w:cs="Times New Roman" w:eastAsia="Times New Roman" w:hint="default"/>
                            <w:sz w:val="18"/>
                            <w:szCs w:val="18"/>
                          </w:rPr>
                          <w:t>21,669.28 </w:t>
                        </w:r>
                        <w:r>
                          <w:rPr>
                            <w:rFonts w:ascii="宋体" w:hAnsi="宋体" w:cs="宋体" w:eastAsia="宋体" w:hint="default"/>
                            <w:sz w:val="18"/>
                            <w:szCs w:val="18"/>
                          </w:rPr>
                          <w:t>万元和结余募集资金 </w:t>
                        </w:r>
                        <w:r>
                          <w:rPr>
                            <w:rFonts w:ascii="Times New Roman" w:hAnsi="Times New Roman" w:cs="Times New Roman" w:eastAsia="Times New Roman" w:hint="default"/>
                            <w:sz w:val="18"/>
                            <w:szCs w:val="18"/>
                          </w:rPr>
                          <w:t>21,080.72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万元）作为收购天津壳木软件有限责任公</w:t>
                        </w:r>
                        <w:r>
                          <w:rPr>
                            <w:rFonts w:ascii="宋体" w:hAnsi="宋体" w:cs="宋体" w:eastAsia="宋体" w:hint="default"/>
                            <w:sz w:val="18"/>
                            <w:szCs w:val="18"/>
                          </w:rPr>
                          <w:t> 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股权的现金对价部分，至报告期末实际投入项目金额为 </w:t>
                        </w:r>
                        <w:r>
                          <w:rPr>
                            <w:rFonts w:ascii="Times New Roman" w:hAnsi="Times New Roman" w:cs="Times New Roman" w:eastAsia="Times New Roman" w:hint="default"/>
                            <w:sz w:val="18"/>
                            <w:szCs w:val="18"/>
                          </w:rPr>
                          <w:t>37,687.5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万元（包括超募资金 </w:t>
                        </w:r>
                        <w:r>
                          <w:rPr>
                            <w:rFonts w:ascii="Times New Roman" w:hAnsi="Times New Roman" w:cs="Times New Roman" w:eastAsia="Times New Roman" w:hint="default"/>
                            <w:sz w:val="18"/>
                            <w:szCs w:val="18"/>
                          </w:rPr>
                          <w:t>16,606.78 </w:t>
                        </w:r>
                        <w:r>
                          <w:rPr>
                            <w:rFonts w:ascii="宋体" w:hAnsi="宋体" w:cs="宋体" w:eastAsia="宋体" w:hint="default"/>
                            <w:spacing w:val="-1"/>
                            <w:sz w:val="18"/>
                            <w:szCs w:val="18"/>
                          </w:rPr>
                          <w:t>万元和结余募集资金</w:t>
                        </w:r>
                        <w:r>
                          <w:rPr>
                            <w:rFonts w:ascii="宋体" w:hAnsi="宋体" w:cs="宋体" w:eastAsia="宋体" w:hint="default"/>
                            <w:sz w:val="18"/>
                            <w:szCs w:val="18"/>
                          </w:rPr>
                          <w:t> </w:t>
                        </w:r>
                        <w:r>
                          <w:rPr>
                            <w:rFonts w:ascii="Times New Roman" w:hAnsi="Times New Roman" w:cs="Times New Roman" w:eastAsia="Times New Roman" w:hint="default"/>
                            <w:sz w:val="18"/>
                            <w:szCs w:val="18"/>
                          </w:rPr>
                          <w:t>21,080.72 </w:t>
                        </w:r>
                        <w:r>
                          <w:rPr>
                            <w:rFonts w:ascii="Times New Roman" w:hAnsi="Times New Roman" w:cs="Times New Roman" w:eastAsia="Times New Roman" w:hint="default"/>
                            <w:spacing w:val="7"/>
                            <w:sz w:val="18"/>
                            <w:szCs w:val="18"/>
                          </w:rPr>
                          <w:t> </w:t>
                        </w:r>
                        <w:r>
                          <w:rPr>
                            <w:rFonts w:ascii="宋体" w:hAnsi="宋体" w:cs="宋体" w:eastAsia="宋体" w:hint="default"/>
                            <w:spacing w:val="-23"/>
                            <w:sz w:val="18"/>
                            <w:szCs w:val="18"/>
                          </w:rPr>
                          <w:t>万元）。</w:t>
                        </w:r>
                      </w:p>
                      <w:p>
                        <w:pPr>
                          <w:pStyle w:val="TableParagraph"/>
                          <w:spacing w:line="302"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日，公司第五届董事会第三十四次会议审议通</w:t>
                        </w:r>
                        <w:r>
                          <w:rPr>
                            <w:rFonts w:ascii="宋体" w:hAnsi="宋体" w:cs="宋体" w:eastAsia="宋体" w:hint="default"/>
                            <w:spacing w:val="-21"/>
                            <w:sz w:val="18"/>
                            <w:szCs w:val="18"/>
                          </w:rPr>
                          <w:t> </w:t>
                        </w:r>
                        <w:r>
                          <w:rPr>
                            <w:rFonts w:ascii="宋体" w:hAnsi="宋体" w:cs="宋体" w:eastAsia="宋体" w:hint="default"/>
                            <w:spacing w:val="-3"/>
                            <w:sz w:val="18"/>
                            <w:szCs w:val="18"/>
                          </w:rPr>
                          <w:t>过了《关于使用节余募集资金永久</w:t>
                        </w:r>
                        <w:r>
                          <w:rPr>
                            <w:rFonts w:ascii="宋体" w:hAnsi="宋体" w:cs="宋体" w:eastAsia="宋体" w:hint="default"/>
                            <w:sz w:val="18"/>
                            <w:szCs w:val="18"/>
                          </w:rPr>
                          <w:t> </w:t>
                        </w:r>
                        <w:r>
                          <w:rPr>
                            <w:rFonts w:ascii="宋体" w:hAnsi="宋体" w:cs="宋体" w:eastAsia="宋体" w:hint="default"/>
                            <w:spacing w:val="-5"/>
                            <w:sz w:val="18"/>
                            <w:szCs w:val="18"/>
                          </w:rPr>
                          <w:t>性补充流动资金的议案》，计划将节余募集资金</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12,339.60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万元（包</w:t>
                        </w:r>
                        <w:r>
                          <w:rPr>
                            <w:rFonts w:ascii="宋体" w:hAnsi="宋体" w:cs="宋体" w:eastAsia="宋体" w:hint="default"/>
                            <w:spacing w:val="6"/>
                            <w:sz w:val="18"/>
                            <w:szCs w:val="18"/>
                          </w:rPr>
                          <w:t> </w:t>
                        </w:r>
                        <w:r>
                          <w:rPr>
                            <w:rFonts w:ascii="宋体" w:hAnsi="宋体" w:cs="宋体" w:eastAsia="宋体" w:hint="default"/>
                            <w:spacing w:val="-7"/>
                            <w:sz w:val="18"/>
                            <w:szCs w:val="18"/>
                          </w:rPr>
                          <w:t>括利息收入）（具体以转账日金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额为准，转账日金额为 </w:t>
                        </w:r>
                        <w:r>
                          <w:rPr>
                            <w:rFonts w:ascii="Times New Roman" w:hAnsi="Times New Roman" w:cs="Times New Roman" w:eastAsia="Times New Roman" w:hint="default"/>
                            <w:sz w:val="18"/>
                            <w:szCs w:val="18"/>
                          </w:rPr>
                          <w:t>12,647.06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万元）永久性补充流动资金，用于公司日常生产经营活动。</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99" w:right="9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99" w:right="9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99" w:right="99"/>
                          <w:jc w:val="center"/>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日募集资金到账前</w:t>
                        </w:r>
                        <w:r>
                          <w:rPr>
                            <w:rFonts w:ascii="宋体" w:hAnsi="宋体" w:cs="宋体" w:eastAsia="宋体" w:hint="default"/>
                            <w:spacing w:val="-90"/>
                            <w:sz w:val="18"/>
                            <w:szCs w:val="18"/>
                          </w:rPr>
                          <w:t>，</w:t>
                        </w:r>
                        <w:r>
                          <w:rPr>
                            <w:rFonts w:ascii="宋体" w:hAnsi="宋体" w:cs="宋体" w:eastAsia="宋体" w:hint="default"/>
                            <w:sz w:val="18"/>
                            <w:szCs w:val="18"/>
                          </w:rPr>
                          <w:t>公司以自筹资金预先投入募集资金投资项目实际投资额</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957.25</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万元，业经立信会计师事务所出具信会师报字（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 </w:t>
                        </w:r>
                        <w:r>
                          <w:rPr>
                            <w:rFonts w:ascii="Times New Roman" w:hAnsi="Times New Roman" w:cs="Times New Roman" w:eastAsia="Times New Roman" w:hint="default"/>
                            <w:sz w:val="18"/>
                            <w:szCs w:val="18"/>
                          </w:rPr>
                          <w:t>11945</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号《关于北京神州泰岳软件股份有</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限 </w:t>
                        </w:r>
                        <w:r>
                          <w:rPr>
                            <w:rFonts w:ascii="宋体" w:hAnsi="宋体" w:cs="宋体" w:eastAsia="宋体" w:hint="default"/>
                            <w:spacing w:val="-3"/>
                            <w:sz w:val="18"/>
                            <w:szCs w:val="18"/>
                          </w:rPr>
                          <w:t>公司以自筹资金预先投入募投项目的鉴证报告》鉴证确认，置换资金已于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月份从募集 资金专户转出。</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99" w:right="99"/>
                          <w:jc w:val="center"/>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日，公司第五届董事会第二十四次会议审议通过了《关于公司使用节余募集资金暂</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计划从节余募集资金中使用</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万元暂时补充流动资金</w:t>
                        </w:r>
                        <w:r>
                          <w:rPr>
                            <w:rFonts w:ascii="宋体" w:hAnsi="宋体" w:cs="宋体" w:eastAsia="宋体" w:hint="default"/>
                            <w:spacing w:val="-90"/>
                            <w:sz w:val="18"/>
                            <w:szCs w:val="18"/>
                          </w:rPr>
                          <w:t>，</w:t>
                        </w:r>
                        <w:r>
                          <w:rPr>
                            <w:rFonts w:ascii="宋体" w:hAnsi="宋体" w:cs="宋体" w:eastAsia="宋体" w:hint="default"/>
                            <w:sz w:val="18"/>
                            <w:szCs w:val="18"/>
                          </w:rPr>
                          <w:t>使用期限为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月，用于公司日常生产经营活动。</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14  </w:t>
                        </w:r>
                        <w:r>
                          <w:rPr>
                            <w:rFonts w:ascii="宋体" w:hAnsi="宋体" w:cs="宋体" w:eastAsia="宋体" w:hint="default"/>
                            <w:sz w:val="18"/>
                            <w:szCs w:val="18"/>
                          </w:rPr>
                          <w:t>日，上述资金已全部归还至募集资金专户。</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99" w:right="99"/>
                          <w:jc w:val="center"/>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09"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公司加快软件系统开发进度，调整设备配置、降低设备投入款，采用“边开发、边上线、边销售”的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 </w:t>
                        </w:r>
                        <w:r>
                          <w:rPr>
                            <w:rFonts w:ascii="宋体" w:hAnsi="宋体" w:cs="宋体" w:eastAsia="宋体" w:hint="default"/>
                            <w:spacing w:val="-5"/>
                            <w:sz w:val="18"/>
                            <w:szCs w:val="18"/>
                          </w:rPr>
                          <w:t>式加速销售实现与回款，减少流动资金投入，这些因素使募集资金项目的总投资额减少了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20,731.41 </w:t>
                        </w:r>
                        <w:r>
                          <w:rPr>
                            <w:rFonts w:ascii="宋体" w:hAnsi="宋体" w:cs="宋体" w:eastAsia="宋体" w:hint="default"/>
                            <w:spacing w:val="-3"/>
                            <w:sz w:val="18"/>
                            <w:szCs w:val="18"/>
                          </w:rPr>
                          <w:t>万元，其中：</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、飞信平台大规模改造升级减少 </w:t>
                        </w:r>
                        <w:r>
                          <w:rPr>
                            <w:rFonts w:ascii="Times New Roman" w:hAnsi="Times New Roman" w:cs="Times New Roman" w:eastAsia="Times New Roman" w:hint="default"/>
                            <w:sz w:val="18"/>
                            <w:szCs w:val="18"/>
                          </w:rPr>
                          <w:t>2,475.11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、电信综合网管产品 </w:t>
                        </w:r>
                        <w:r>
                          <w:rPr>
                            <w:rFonts w:ascii="Times New Roman" w:hAnsi="Times New Roman" w:cs="Times New Roman" w:eastAsia="Times New Roman" w:hint="default"/>
                            <w:sz w:val="18"/>
                            <w:szCs w:val="18"/>
                          </w:rPr>
                          <w:t>Ultra-TIMP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减 少 </w:t>
                        </w:r>
                        <w:r>
                          <w:rPr>
                            <w:rFonts w:ascii="Times New Roman" w:hAnsi="Times New Roman" w:cs="Times New Roman" w:eastAsia="Times New Roman" w:hint="default"/>
                            <w:sz w:val="18"/>
                            <w:szCs w:val="18"/>
                          </w:rPr>
                          <w:t>5,041.10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、无线网络优化平台 </w:t>
                        </w:r>
                        <w:r>
                          <w:rPr>
                            <w:rFonts w:ascii="Times New Roman" w:hAnsi="Times New Roman" w:cs="Times New Roman" w:eastAsia="Times New Roman" w:hint="default"/>
                            <w:sz w:val="18"/>
                            <w:szCs w:val="18"/>
                          </w:rPr>
                          <w:t>Ultra-WOSS </w:t>
                        </w:r>
                        <w:r>
                          <w:rPr>
                            <w:rFonts w:ascii="宋体" w:hAnsi="宋体" w:cs="宋体" w:eastAsia="宋体" w:hint="default"/>
                            <w:sz w:val="18"/>
                            <w:szCs w:val="18"/>
                          </w:rPr>
                          <w:t>减少 </w:t>
                        </w:r>
                        <w:r>
                          <w:rPr>
                            <w:rFonts w:ascii="Times New Roman" w:hAnsi="Times New Roman" w:cs="Times New Roman" w:eastAsia="Times New Roman" w:hint="default"/>
                            <w:sz w:val="18"/>
                            <w:szCs w:val="18"/>
                          </w:rPr>
                          <w:t>3,320.04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监控管理平台 </w:t>
                        </w:r>
                        <w:r>
                          <w:rPr>
                            <w:rFonts w:ascii="Times New Roman" w:hAnsi="Times New Roman" w:cs="Times New Roman" w:eastAsia="Times New Roman" w:hint="default"/>
                            <w:sz w:val="18"/>
                            <w:szCs w:val="18"/>
                          </w:rPr>
                          <w:t>Ultra-</w:t>
                        </w:r>
                        <w:r>
                          <w:rPr>
                            <w:rFonts w:ascii="Arial" w:hAnsi="Arial" w:cs="Arial" w:eastAsia="Arial" w:hint="default"/>
                            <w:sz w:val="18"/>
                            <w:szCs w:val="18"/>
                          </w:rPr>
                          <w:t>Σ </w:t>
                        </w:r>
                        <w:r>
                          <w:rPr>
                            <w:rFonts w:ascii="Times New Roman" w:hAnsi="Times New Roman" w:cs="Times New Roman" w:eastAsia="Times New Roman" w:hint="default"/>
                            <w:sz w:val="18"/>
                            <w:szCs w:val="18"/>
                          </w:rPr>
                          <w:t>M </w:t>
                        </w:r>
                        <w:r>
                          <w:rPr>
                            <w:rFonts w:ascii="宋体" w:hAnsi="宋体" w:cs="宋体" w:eastAsia="宋体" w:hint="default"/>
                            <w:sz w:val="18"/>
                            <w:szCs w:val="18"/>
                          </w:rPr>
                          <w:t>系列软件减少 </w:t>
                        </w:r>
                        <w:r>
                          <w:rPr>
                            <w:rFonts w:ascii="Times New Roman" w:hAnsi="Times New Roman" w:cs="Times New Roman" w:eastAsia="Times New Roman" w:hint="default"/>
                            <w:sz w:val="18"/>
                            <w:szCs w:val="18"/>
                          </w:rPr>
                          <w:t>3,972.56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w:t>
                        </w:r>
                        <w:r>
                          <w:rPr>
                            <w:rFonts w:ascii="宋体" w:hAnsi="宋体" w:cs="宋体" w:eastAsia="宋体" w:hint="default"/>
                            <w:sz w:val="18"/>
                            <w:szCs w:val="18"/>
                          </w:rPr>
                          <w:t>、运维服务流程管理系统减少 </w:t>
                        </w:r>
                        <w:r>
                          <w:rPr>
                            <w:rFonts w:ascii="Times New Roman" w:hAnsi="Times New Roman" w:cs="Times New Roman" w:eastAsia="Times New Roman" w:hint="default"/>
                            <w:sz w:val="18"/>
                            <w:szCs w:val="18"/>
                          </w:rPr>
                          <w:t>3,450.52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w:t>
                        </w:r>
                        <w:r>
                          <w:rPr>
                            <w:rFonts w:ascii="宋体" w:hAnsi="宋体" w:cs="宋体" w:eastAsia="宋体" w:hint="default"/>
                            <w:sz w:val="18"/>
                            <w:szCs w:val="18"/>
                          </w:rPr>
                          <w:t>、新一代 安全运行管理 中心 </w:t>
                        </w:r>
                        <w:r>
                          <w:rPr>
                            <w:rFonts w:ascii="Times New Roman" w:hAnsi="Times New Roman" w:cs="Times New Roman" w:eastAsia="Times New Roman" w:hint="default"/>
                            <w:sz w:val="18"/>
                            <w:szCs w:val="18"/>
                          </w:rPr>
                          <w:t>Ultra-SOMC3.0 </w:t>
                        </w:r>
                        <w:r>
                          <w:rPr>
                            <w:rFonts w:ascii="宋体" w:hAnsi="宋体" w:cs="宋体" w:eastAsia="宋体" w:hint="default"/>
                            <w:sz w:val="18"/>
                            <w:szCs w:val="18"/>
                          </w:rPr>
                          <w:t>减少 </w:t>
                        </w:r>
                        <w:r>
                          <w:rPr>
                            <w:rFonts w:ascii="Times New Roman" w:hAnsi="Times New Roman" w:cs="Times New Roman" w:eastAsia="Times New Roman" w:hint="default"/>
                            <w:sz w:val="18"/>
                            <w:szCs w:val="18"/>
                          </w:rPr>
                          <w:t>2,472.08 </w:t>
                        </w:r>
                        <w:r>
                          <w:rPr>
                            <w:rFonts w:ascii="宋体" w:hAnsi="宋体" w:cs="宋体" w:eastAsia="宋体" w:hint="default"/>
                            <w:sz w:val="18"/>
                            <w:szCs w:val="18"/>
                          </w:rPr>
                          <w:t>万元。 超募资金使用结余情况：</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、公司计划使</w:t>
                        </w:r>
                        <w:r>
                          <w:rPr>
                            <w:rFonts w:ascii="宋体" w:hAnsi="宋体" w:cs="宋体" w:eastAsia="宋体" w:hint="default"/>
                            <w:w w:val="99"/>
                            <w:sz w:val="18"/>
                            <w:szCs w:val="18"/>
                          </w:rPr>
                          <w:t> </w:t>
                        </w:r>
                        <w:r>
                          <w:rPr>
                            <w:rFonts w:ascii="宋体" w:hAnsi="宋体" w:cs="宋体" w:eastAsia="宋体" w:hint="default"/>
                            <w:sz w:val="18"/>
                            <w:szCs w:val="18"/>
                          </w:rPr>
                          <w:t>用超募资金 </w:t>
                        </w:r>
                        <w:r>
                          <w:rPr>
                            <w:rFonts w:ascii="Times New Roman" w:hAnsi="Times New Roman" w:cs="Times New Roman" w:eastAsia="Times New Roman" w:hint="default"/>
                            <w:sz w:val="18"/>
                            <w:szCs w:val="18"/>
                          </w:rPr>
                          <w:t>25,453.85 </w:t>
                        </w:r>
                        <w:r>
                          <w:rPr>
                            <w:rFonts w:ascii="宋体" w:hAnsi="宋体" w:cs="宋体" w:eastAsia="宋体" w:hint="default"/>
                            <w:sz w:val="18"/>
                            <w:szCs w:val="18"/>
                          </w:rPr>
                          <w:t>万元购置与建设研发及办公用房，截至年末实际投入 </w:t>
                        </w:r>
                        <w:r>
                          <w:rPr>
                            <w:rFonts w:ascii="Times New Roman" w:hAnsi="Times New Roman" w:cs="Times New Roman" w:eastAsia="Times New Roman" w:hint="default"/>
                            <w:sz w:val="18"/>
                            <w:szCs w:val="18"/>
                          </w:rPr>
                          <w:t>24,077.12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万元，该项目</w:t>
                        </w:r>
                      </w:p>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均已支付完毕，该项目 结余 </w:t>
                        </w:r>
                        <w:r>
                          <w:rPr>
                            <w:rFonts w:ascii="Times New Roman" w:hAnsi="Times New Roman" w:cs="Times New Roman" w:eastAsia="Times New Roman" w:hint="default"/>
                            <w:sz w:val="18"/>
                            <w:szCs w:val="18"/>
                          </w:rPr>
                          <w:t>1,376.73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、公司计划使用超募资金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万元，收购及增资智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5"/>
                            <w:sz w:val="18"/>
                            <w:szCs w:val="18"/>
                          </w:rPr>
                          <w:t>桥资讯公司，截止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日由于汇率因素实际投入 </w:t>
                        </w:r>
                        <w:r>
                          <w:rPr>
                            <w:rFonts w:ascii="Times New Roman" w:hAnsi="Times New Roman" w:cs="Times New Roman" w:eastAsia="Times New Roman" w:hint="default"/>
                            <w:sz w:val="18"/>
                            <w:szCs w:val="18"/>
                          </w:rPr>
                          <w:t>5,935.84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万元，该项目已支付完成</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该项目结余 </w:t>
                        </w:r>
                        <w:r>
                          <w:rPr>
                            <w:rFonts w:ascii="Times New Roman" w:hAnsi="Times New Roman" w:cs="Times New Roman" w:eastAsia="Times New Roman" w:hint="default"/>
                            <w:sz w:val="18"/>
                            <w:szCs w:val="18"/>
                          </w:rPr>
                          <w:t>64.16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9" w:right="99" w:hanging="18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2"/>
                            <w:sz w:val="18"/>
                            <w:szCs w:val="18"/>
                          </w:rPr>
                          <w:t>项目仍在实施的，尚未使用的募集资金存放在募集资金专户；项目实施完成的，剩余资金也仍存放在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募集资金账户。公司将根据发展规划及实际生产经营需求，妥善安排使用计划，提交董事会审议通过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后及时披露。</w:t>
                        </w:r>
                      </w:p>
                    </w:tc>
                  </w:tr>
                  <w:tr>
                    <w:trPr>
                      <w:trHeight w:val="1028"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9" w:right="99"/>
                          <w:jc w:val="center"/>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p>
      <w:pPr>
        <w:pStyle w:val="BodyText"/>
        <w:spacing w:line="240" w:lineRule="auto"/>
        <w:ind w:left="0" w:right="1146"/>
        <w:jc w:val="right"/>
      </w:pPr>
      <w:r>
        <w:rPr/>
        <w:t>，</w:t>
      </w:r>
    </w:p>
    <w:p>
      <w:pPr>
        <w:spacing w:after="0" w:line="240" w:lineRule="auto"/>
        <w:jc w:val="right"/>
        <w:sectPr>
          <w:pgSz w:w="11910" w:h="16840"/>
          <w:pgMar w:header="851" w:footer="979" w:top="142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公司报告期不存在募集资金变更项目情况。</w:t>
      </w:r>
    </w:p>
    <w:p>
      <w:pPr>
        <w:spacing w:line="240" w:lineRule="auto" w:before="8"/>
        <w:rPr>
          <w:rFonts w:ascii="宋体" w:hAnsi="宋体" w:cs="宋体" w:eastAsia="宋体" w:hint="default"/>
          <w:sz w:val="16"/>
          <w:szCs w:val="16"/>
        </w:rPr>
      </w:pPr>
    </w:p>
    <w:p>
      <w:pPr>
        <w:pStyle w:val="Heading2"/>
        <w:spacing w:line="240" w:lineRule="auto"/>
        <w:ind w:left="1133"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32"/>
          <w:szCs w:val="32"/>
        </w:rPr>
      </w:pPr>
    </w:p>
    <w:p>
      <w:pPr>
        <w:spacing w:line="489"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公司报告期未出售重大资产。</w:t>
      </w:r>
    </w:p>
    <w:p>
      <w:pPr>
        <w:spacing w:line="240" w:lineRule="auto" w:before="6"/>
        <w:rPr>
          <w:rFonts w:ascii="宋体" w:hAnsi="宋体" w:cs="宋体" w:eastAsia="宋体" w:hint="default"/>
          <w:sz w:val="18"/>
          <w:szCs w:val="18"/>
        </w:rPr>
      </w:pPr>
    </w:p>
    <w:p>
      <w:pPr>
        <w:pStyle w:val="Heading3"/>
        <w:spacing w:line="240" w:lineRule="auto"/>
        <w:ind w:left="1133"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5"/>
        <w:ind w:left="1133"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8"/>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9"/>
          <w:szCs w:val="19"/>
        </w:rPr>
      </w:pPr>
    </w:p>
    <w:p>
      <w:pPr>
        <w:pStyle w:val="BodyText"/>
        <w:spacing w:line="240" w:lineRule="auto"/>
        <w:ind w:left="1134"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93" w:right="0"/>
              <w:jc w:val="left"/>
              <w:rPr>
                <w:rFonts w:ascii="宋体" w:hAnsi="宋体" w:cs="宋体" w:eastAsia="宋体" w:hint="default"/>
                <w:sz w:val="15"/>
                <w:szCs w:val="15"/>
              </w:rPr>
            </w:pPr>
            <w:r>
              <w:rPr>
                <w:rFonts w:ascii="宋体" w:hAnsi="宋体" w:cs="宋体" w:eastAsia="宋体" w:hint="default"/>
                <w:sz w:val="15"/>
                <w:szCs w:val="15"/>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17"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17" w:right="0"/>
              <w:jc w:val="left"/>
              <w:rPr>
                <w:rFonts w:ascii="宋体" w:hAnsi="宋体" w:cs="宋体" w:eastAsia="宋体" w:hint="default"/>
                <w:sz w:val="15"/>
                <w:szCs w:val="15"/>
              </w:rPr>
            </w:pPr>
            <w:r>
              <w:rPr>
                <w:rFonts w:ascii="宋体" w:hAnsi="宋体" w:cs="宋体" w:eastAsia="宋体" w:hint="default"/>
                <w:sz w:val="15"/>
                <w:szCs w:val="15"/>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92" w:right="0"/>
              <w:jc w:val="left"/>
              <w:rPr>
                <w:rFonts w:ascii="宋体" w:hAnsi="宋体" w:cs="宋体" w:eastAsia="宋体" w:hint="default"/>
                <w:sz w:val="15"/>
                <w:szCs w:val="15"/>
              </w:rPr>
            </w:pPr>
            <w:r>
              <w:rPr>
                <w:rFonts w:ascii="宋体" w:hAnsi="宋体" w:cs="宋体" w:eastAsia="宋体" w:hint="default"/>
                <w:sz w:val="15"/>
                <w:szCs w:val="15"/>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119"/>
              <w:jc w:val="left"/>
              <w:rPr>
                <w:rFonts w:ascii="宋体" w:hAnsi="宋体" w:cs="宋体" w:eastAsia="宋体" w:hint="default"/>
                <w:sz w:val="15"/>
                <w:szCs w:val="15"/>
              </w:rPr>
            </w:pPr>
            <w:r>
              <w:rPr>
                <w:rFonts w:ascii="宋体" w:hAnsi="宋体" w:cs="宋体" w:eastAsia="宋体" w:hint="default"/>
                <w:sz w:val="15"/>
                <w:szCs w:val="15"/>
              </w:rPr>
              <w:t>北京新媒传信 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3"/>
              <w:jc w:val="left"/>
              <w:rPr>
                <w:rFonts w:ascii="宋体" w:hAnsi="宋体" w:cs="宋体" w:eastAsia="宋体" w:hint="default"/>
                <w:sz w:val="15"/>
                <w:szCs w:val="15"/>
              </w:rPr>
            </w:pPr>
            <w:r>
              <w:rPr>
                <w:rFonts w:ascii="宋体" w:hAnsi="宋体" w:cs="宋体" w:eastAsia="宋体" w:hint="default"/>
                <w:sz w:val="15"/>
                <w:szCs w:val="15"/>
              </w:rPr>
              <w:t>飞信开发及运 </w:t>
            </w:r>
            <w:r>
              <w:rPr>
                <w:rFonts w:ascii="宋体" w:hAnsi="宋体" w:cs="宋体" w:eastAsia="宋体" w:hint="default"/>
                <w:spacing w:val="-9"/>
                <w:sz w:val="15"/>
                <w:szCs w:val="15"/>
              </w:rPr>
              <w:t>营、融合通信解</w:t>
            </w:r>
            <w:r>
              <w:rPr>
                <w:rFonts w:ascii="宋体" w:hAnsi="宋体" w:cs="宋体" w:eastAsia="宋体" w:hint="default"/>
                <w:sz w:val="15"/>
                <w:szCs w:val="15"/>
              </w:rPr>
              <w:t> 决方案等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20,000,000.00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783,322,628.75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752,593,141.05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273,619,059.69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5"/>
                <w:szCs w:val="15"/>
              </w:rPr>
            </w:pPr>
            <w:r>
              <w:rPr>
                <w:rFonts w:ascii="Times New Roman"/>
                <w:sz w:val="15"/>
              </w:rPr>
              <w:t>74,790,732.25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68,839,923.39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19"/>
              <w:jc w:val="both"/>
              <w:rPr>
                <w:rFonts w:ascii="宋体" w:hAnsi="宋体" w:cs="宋体" w:eastAsia="宋体" w:hint="default"/>
                <w:sz w:val="15"/>
                <w:szCs w:val="15"/>
              </w:rPr>
            </w:pPr>
            <w:r>
              <w:rPr>
                <w:rFonts w:ascii="宋体" w:hAnsi="宋体" w:cs="宋体" w:eastAsia="宋体" w:hint="default"/>
                <w:sz w:val="15"/>
                <w:szCs w:val="15"/>
              </w:rPr>
              <w:t>北京神州泰岳 系统集成有限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110"/>
              <w:jc w:val="left"/>
              <w:rPr>
                <w:rFonts w:ascii="宋体" w:hAnsi="宋体" w:cs="宋体" w:eastAsia="宋体" w:hint="default"/>
                <w:sz w:val="15"/>
                <w:szCs w:val="15"/>
              </w:rPr>
            </w:pPr>
            <w:r>
              <w:rPr>
                <w:rFonts w:ascii="宋体" w:hAnsi="宋体" w:cs="宋体" w:eastAsia="宋体" w:hint="default"/>
                <w:sz w:val="15"/>
                <w:szCs w:val="15"/>
              </w:rPr>
              <w:t>计算机系统集 成业务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60,000,000.00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778,327,072.76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116,450,550.16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1,379,049,745.7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5"/>
                <w:szCs w:val="15"/>
              </w:rPr>
            </w:pPr>
            <w:r>
              <w:rPr>
                <w:rFonts w:ascii="Times New Roman"/>
                <w:sz w:val="15"/>
              </w:rPr>
              <w:t>16,937,103.70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12,524,396.36</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81" w:lineRule="auto"/>
              <w:ind w:left="22" w:right="119"/>
              <w:jc w:val="left"/>
              <w:rPr>
                <w:rFonts w:ascii="宋体" w:hAnsi="宋体" w:cs="宋体" w:eastAsia="宋体" w:hint="default"/>
                <w:sz w:val="15"/>
                <w:szCs w:val="15"/>
              </w:rPr>
            </w:pPr>
            <w:r>
              <w:rPr>
                <w:rFonts w:ascii="宋体" w:hAnsi="宋体" w:cs="宋体" w:eastAsia="宋体" w:hint="default"/>
                <w:sz w:val="15"/>
                <w:szCs w:val="15"/>
              </w:rPr>
              <w:t>宁波普天通信 技术有限公司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38"/>
              <w:jc w:val="left"/>
              <w:rPr>
                <w:rFonts w:ascii="宋体" w:hAnsi="宋体" w:cs="宋体" w:eastAsia="宋体" w:hint="default"/>
                <w:sz w:val="15"/>
                <w:szCs w:val="15"/>
              </w:rPr>
            </w:pPr>
            <w:r>
              <w:rPr>
                <w:rFonts w:ascii="宋体" w:hAnsi="宋体" w:cs="宋体" w:eastAsia="宋体" w:hint="default"/>
                <w:sz w:val="15"/>
                <w:szCs w:val="15"/>
              </w:rPr>
              <w:t>通信技术开发， 通信设备测试、 </w:t>
            </w:r>
            <w:r>
              <w:rPr>
                <w:rFonts w:ascii="宋体" w:hAnsi="宋体" w:cs="宋体" w:eastAsia="宋体" w:hint="default"/>
                <w:spacing w:val="-9"/>
                <w:sz w:val="15"/>
                <w:szCs w:val="15"/>
              </w:rPr>
              <w:t>维修、服务、计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算机软硬件技 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49"/>
              <w:jc w:val="left"/>
              <w:rPr>
                <w:rFonts w:ascii="宋体" w:hAnsi="宋体" w:cs="宋体" w:eastAsia="宋体" w:hint="default"/>
                <w:sz w:val="20"/>
                <w:szCs w:val="20"/>
              </w:rPr>
            </w:pPr>
            <w:r>
              <w:rPr>
                <w:rFonts w:ascii="宋体" w:hAnsi="宋体" w:cs="宋体" w:eastAsia="宋体" w:hint="default"/>
                <w:position w:val="-11"/>
                <w:sz w:val="20"/>
                <w:szCs w:val="20"/>
              </w:rPr>
              <w:pict>
                <v:group style="width:51.75pt;height:31.2pt;mso-position-horizontal-relative:char;mso-position-vertical-relative:line" coordorigin="0,0" coordsize="1035,624">
                  <v:group style="position:absolute;left:0;top:0;width:1035;height:624" coordorigin="0,0" coordsize="1035,624">
                    <v:shape style="position:absolute;left:0;top:0;width:1035;height:624" coordorigin="0,0" coordsize="1035,624" path="m0,624l1035,624,1035,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11,000,000.00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290,481,478.77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243,541,284.61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0" w:right="0"/>
              <w:jc w:val="center"/>
              <w:rPr>
                <w:rFonts w:ascii="Times New Roman" w:hAnsi="Times New Roman" w:cs="Times New Roman" w:eastAsia="Times New Roman" w:hint="default"/>
                <w:sz w:val="15"/>
                <w:szCs w:val="15"/>
              </w:rPr>
            </w:pPr>
            <w:r>
              <w:rPr>
                <w:rFonts w:ascii="Times New Roman"/>
                <w:sz w:val="15"/>
              </w:rPr>
              <w:t>102,093,658.12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5"/>
                <w:szCs w:val="15"/>
              </w:rPr>
            </w:pPr>
            <w:r>
              <w:rPr>
                <w:rFonts w:ascii="Times New Roman"/>
                <w:sz w:val="15"/>
              </w:rPr>
              <w:t>24,681,790.38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28,296,749.97</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left="22" w:right="119"/>
              <w:jc w:val="left"/>
              <w:rPr>
                <w:rFonts w:ascii="宋体" w:hAnsi="宋体" w:cs="宋体" w:eastAsia="宋体" w:hint="default"/>
                <w:sz w:val="15"/>
                <w:szCs w:val="15"/>
              </w:rPr>
            </w:pPr>
            <w:r>
              <w:rPr>
                <w:rFonts w:ascii="宋体" w:hAnsi="宋体" w:cs="宋体" w:eastAsia="宋体" w:hint="default"/>
                <w:sz w:val="15"/>
                <w:szCs w:val="15"/>
              </w:rPr>
              <w:t>天津壳木软件 有限责任公司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《小小帝国</w:t>
            </w:r>
            <w:r>
              <w:rPr>
                <w:rFonts w:ascii="宋体" w:hAnsi="宋体" w:cs="宋体" w:eastAsia="宋体" w:hint="default"/>
                <w:spacing w:val="-75"/>
                <w:sz w:val="15"/>
                <w:szCs w:val="15"/>
              </w:rPr>
              <w:t>》</w:t>
            </w:r>
            <w:r>
              <w:rPr>
                <w:rFonts w:ascii="宋体" w:hAnsi="宋体" w:cs="宋体" w:eastAsia="宋体" w:hint="default"/>
                <w:sz w:val="15"/>
                <w:szCs w:val="15"/>
              </w:rPr>
              <w:t>、</w:t>
            </w:r>
          </w:p>
          <w:p>
            <w:pPr>
              <w:pStyle w:val="TableParagraph"/>
              <w:spacing w:line="372" w:lineRule="auto" w:before="115"/>
              <w:ind w:left="22" w:right="-1"/>
              <w:jc w:val="left"/>
              <w:rPr>
                <w:rFonts w:ascii="宋体" w:hAnsi="宋体" w:cs="宋体" w:eastAsia="宋体" w:hint="default"/>
                <w:sz w:val="15"/>
                <w:szCs w:val="15"/>
              </w:rPr>
            </w:pPr>
            <w:r>
              <w:rPr>
                <w:rFonts w:ascii="宋体" w:hAnsi="宋体" w:cs="宋体" w:eastAsia="宋体" w:hint="default"/>
                <w:spacing w:val="-2"/>
                <w:sz w:val="15"/>
                <w:szCs w:val="15"/>
              </w:rPr>
              <w:t>《</w:t>
            </w:r>
            <w:r>
              <w:rPr>
                <w:rFonts w:ascii="Times New Roman" w:hAnsi="Times New Roman" w:cs="Times New Roman" w:eastAsia="Times New Roman" w:hint="default"/>
                <w:spacing w:val="-2"/>
                <w:sz w:val="15"/>
                <w:szCs w:val="15"/>
              </w:rPr>
              <w:t>War&amp;Order</w:t>
            </w:r>
            <w:r>
              <w:rPr>
                <w:rFonts w:ascii="宋体" w:hAnsi="宋体" w:cs="宋体" w:eastAsia="宋体" w:hint="default"/>
                <w:spacing w:val="-2"/>
                <w:sz w:val="15"/>
                <w:szCs w:val="15"/>
              </w:rPr>
              <w:t>》</w:t>
            </w:r>
            <w:r>
              <w:rPr>
                <w:rFonts w:ascii="宋体" w:hAnsi="宋体" w:cs="宋体" w:eastAsia="宋体" w:hint="default"/>
                <w:spacing w:val="-67"/>
                <w:sz w:val="15"/>
                <w:szCs w:val="15"/>
              </w:rPr>
              <w:t> </w:t>
            </w:r>
            <w:r>
              <w:rPr>
                <w:rFonts w:ascii="宋体" w:hAnsi="宋体" w:cs="宋体" w:eastAsia="宋体" w:hint="default"/>
                <w:sz w:val="15"/>
                <w:szCs w:val="15"/>
              </w:rPr>
              <w:t>等手机游戏的 开发与运营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314,961,231.89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2" w:right="0"/>
              <w:jc w:val="center"/>
              <w:rPr>
                <w:rFonts w:ascii="Times New Roman" w:hAnsi="Times New Roman" w:cs="Times New Roman" w:eastAsia="Times New Roman" w:hint="default"/>
                <w:sz w:val="15"/>
                <w:szCs w:val="15"/>
              </w:rPr>
            </w:pPr>
            <w:r>
              <w:rPr>
                <w:rFonts w:ascii="Times New Roman"/>
                <w:sz w:val="15"/>
              </w:rPr>
              <w:t>256,876,362.28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23" w:right="0"/>
              <w:jc w:val="center"/>
              <w:rPr>
                <w:rFonts w:ascii="Times New Roman" w:hAnsi="Times New Roman" w:cs="Times New Roman" w:eastAsia="Times New Roman" w:hint="default"/>
                <w:sz w:val="15"/>
                <w:szCs w:val="15"/>
              </w:rPr>
            </w:pPr>
            <w:r>
              <w:rPr>
                <w:rFonts w:ascii="Times New Roman"/>
                <w:sz w:val="15"/>
              </w:rPr>
              <w:t>91,957,500.19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8" w:right="0"/>
              <w:jc w:val="left"/>
              <w:rPr>
                <w:rFonts w:ascii="Times New Roman" w:hAnsi="Times New Roman" w:cs="Times New Roman" w:eastAsia="Times New Roman" w:hint="default"/>
                <w:sz w:val="15"/>
                <w:szCs w:val="15"/>
              </w:rPr>
            </w:pPr>
            <w:r>
              <w:rPr>
                <w:rFonts w:ascii="Times New Roman"/>
                <w:sz w:val="15"/>
              </w:rPr>
              <w:t>75,709,317.20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75,784,357.95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6"/>
              <w:jc w:val="center"/>
              <w:rPr>
                <w:rFonts w:ascii="宋体" w:hAnsi="宋体" w:cs="宋体" w:eastAsia="宋体" w:hint="default"/>
                <w:sz w:val="15"/>
                <w:szCs w:val="15"/>
              </w:rPr>
            </w:pPr>
            <w:r>
              <w:rPr>
                <w:rFonts w:ascii="宋体" w:hAnsi="宋体" w:cs="宋体" w:eastAsia="宋体" w:hint="default"/>
                <w:sz w:val="15"/>
                <w:szCs w:val="15"/>
              </w:rPr>
              <w:t>北京神州祥升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89"/>
              <w:jc w:val="center"/>
              <w:rPr>
                <w:rFonts w:ascii="宋体" w:hAnsi="宋体" w:cs="宋体" w:eastAsia="宋体" w:hint="default"/>
                <w:sz w:val="15"/>
                <w:szCs w:val="15"/>
              </w:rPr>
            </w:pPr>
            <w:r>
              <w:rPr>
                <w:rFonts w:ascii="宋体" w:hAnsi="宋体" w:cs="宋体" w:eastAsia="宋体" w:hint="default"/>
                <w:sz w:val="15"/>
                <w:szCs w:val="15"/>
              </w:rPr>
              <w:t>职前教育类产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Times New Roman" w:hAnsi="Times New Roman" w:cs="Times New Roman" w:eastAsia="Times New Roman" w:hint="default"/>
                <w:sz w:val="15"/>
                <w:szCs w:val="15"/>
              </w:rPr>
            </w:pPr>
            <w:r>
              <w:rPr>
                <w:rFonts w:ascii="Times New Roman"/>
                <w:spacing w:val="-1"/>
                <w:sz w:val="15"/>
              </w:rPr>
              <w:t>10,000,000.00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27" w:right="0"/>
              <w:jc w:val="center"/>
              <w:rPr>
                <w:rFonts w:ascii="Times New Roman" w:hAnsi="Times New Roman" w:cs="Times New Roman" w:eastAsia="Times New Roman" w:hint="default"/>
                <w:sz w:val="15"/>
                <w:szCs w:val="15"/>
              </w:rPr>
            </w:pPr>
            <w:r>
              <w:rPr>
                <w:rFonts w:ascii="Times New Roman"/>
                <w:sz w:val="15"/>
              </w:rPr>
              <w:t>72,774,603.35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26" w:right="0"/>
              <w:jc w:val="center"/>
              <w:rPr>
                <w:rFonts w:ascii="Times New Roman" w:hAnsi="Times New Roman" w:cs="Times New Roman" w:eastAsia="Times New Roman" w:hint="default"/>
                <w:sz w:val="15"/>
                <w:szCs w:val="15"/>
              </w:rPr>
            </w:pPr>
            <w:r>
              <w:rPr>
                <w:rFonts w:ascii="Times New Roman"/>
                <w:sz w:val="15"/>
              </w:rPr>
              <w:t>32,607,395.56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23" w:right="0"/>
              <w:jc w:val="center"/>
              <w:rPr>
                <w:rFonts w:ascii="Times New Roman" w:hAnsi="Times New Roman" w:cs="Times New Roman" w:eastAsia="Times New Roman" w:hint="default"/>
                <w:sz w:val="15"/>
                <w:szCs w:val="15"/>
              </w:rPr>
            </w:pPr>
            <w:r>
              <w:rPr>
                <w:rFonts w:ascii="Times New Roman"/>
                <w:sz w:val="15"/>
              </w:rPr>
              <w:t>54,614,667.05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8" w:right="0"/>
              <w:jc w:val="left"/>
              <w:rPr>
                <w:rFonts w:ascii="Times New Roman" w:hAnsi="Times New Roman" w:cs="Times New Roman" w:eastAsia="Times New Roman" w:hint="default"/>
                <w:sz w:val="15"/>
                <w:szCs w:val="15"/>
              </w:rPr>
            </w:pPr>
            <w:r>
              <w:rPr>
                <w:rFonts w:ascii="Times New Roman"/>
                <w:sz w:val="15"/>
              </w:rPr>
              <w:t>22,795,298.33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5"/>
                <w:szCs w:val="15"/>
              </w:rPr>
            </w:pPr>
            <w:r>
              <w:rPr>
                <w:rFonts w:ascii="Times New Roman"/>
                <w:spacing w:val="-1"/>
                <w:sz w:val="15"/>
              </w:rPr>
              <w:t>32,607,395.56</w:t>
            </w:r>
          </w:p>
        </w:tc>
      </w:tr>
    </w:tbl>
    <w:p>
      <w:pPr>
        <w:spacing w:after="0" w:line="240" w:lineRule="auto"/>
        <w:jc w:val="right"/>
        <w:rPr>
          <w:rFonts w:ascii="Times New Roman" w:hAnsi="Times New Roman" w:cs="Times New Roman" w:eastAsia="Times New Roman" w:hint="default"/>
          <w:sz w:val="15"/>
          <w:szCs w:val="15"/>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73" w:hRule="exact"/>
        </w:trPr>
        <w:tc>
          <w:tcPr>
            <w:tcW w:w="10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5"/>
                <w:szCs w:val="15"/>
              </w:rPr>
            </w:pPr>
            <w:r>
              <w:rPr>
                <w:rFonts w:ascii="宋体" w:hAnsi="宋体" w:cs="宋体" w:eastAsia="宋体" w:hint="default"/>
                <w:sz w:val="15"/>
                <w:szCs w:val="15"/>
              </w:rPr>
              <w:t>软件有限公司</w:t>
            </w:r>
          </w:p>
        </w:tc>
        <w:tc>
          <w:tcPr>
            <w:tcW w:w="1196" w:type="dxa"/>
            <w:tcBorders>
              <w:top w:val="single" w:sz="10" w:space="0" w:color="000000"/>
              <w:left w:val="single" w:sz="4" w:space="0" w:color="000000"/>
              <w:bottom w:val="single" w:sz="4" w:space="0" w:color="000000"/>
              <w:right w:val="single" w:sz="4" w:space="0" w:color="000000"/>
            </w:tcBorders>
          </w:tcPr>
          <w:p>
            <w:pPr/>
          </w:p>
        </w:tc>
        <w:tc>
          <w:tcPr>
            <w:tcW w:w="104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5"/>
                <w:szCs w:val="15"/>
              </w:rPr>
            </w:pPr>
            <w:r>
              <w:rPr>
                <w:rFonts w:ascii="宋体" w:hAnsi="宋体" w:cs="宋体" w:eastAsia="宋体" w:hint="default"/>
                <w:sz w:val="15"/>
                <w:szCs w:val="15"/>
              </w:rPr>
              <w:t>品</w:t>
            </w:r>
          </w:p>
        </w:tc>
        <w:tc>
          <w:tcPr>
            <w:tcW w:w="1046" w:type="dxa"/>
            <w:tcBorders>
              <w:top w:val="single" w:sz="10" w:space="0" w:color="000000"/>
              <w:left w:val="single" w:sz="4" w:space="0" w:color="000000"/>
              <w:bottom w:val="single" w:sz="4" w:space="0" w:color="000000"/>
              <w:right w:val="single" w:sz="4" w:space="0" w:color="000000"/>
            </w:tcBorders>
          </w:tcPr>
          <w:p>
            <w:pPr/>
          </w:p>
        </w:tc>
        <w:tc>
          <w:tcPr>
            <w:tcW w:w="1045" w:type="dxa"/>
            <w:tcBorders>
              <w:top w:val="single" w:sz="10" w:space="0" w:color="000000"/>
              <w:left w:val="single" w:sz="4" w:space="0" w:color="000000"/>
              <w:bottom w:val="single" w:sz="4" w:space="0" w:color="000000"/>
              <w:right w:val="single" w:sz="4" w:space="0" w:color="000000"/>
            </w:tcBorders>
          </w:tcPr>
          <w:p>
            <w:pPr/>
          </w:p>
        </w:tc>
        <w:tc>
          <w:tcPr>
            <w:tcW w:w="1045" w:type="dxa"/>
            <w:tcBorders>
              <w:top w:val="single" w:sz="10" w:space="0" w:color="000000"/>
              <w:left w:val="single" w:sz="4" w:space="0" w:color="000000"/>
              <w:bottom w:val="single" w:sz="4" w:space="0" w:color="000000"/>
              <w:right w:val="single" w:sz="4" w:space="0" w:color="000000"/>
            </w:tcBorders>
          </w:tcPr>
          <w:p>
            <w:pPr/>
          </w:p>
        </w:tc>
        <w:tc>
          <w:tcPr>
            <w:tcW w:w="1046" w:type="dxa"/>
            <w:tcBorders>
              <w:top w:val="single" w:sz="10" w:space="0" w:color="000000"/>
              <w:left w:val="single" w:sz="4" w:space="0" w:color="000000"/>
              <w:bottom w:val="single" w:sz="4" w:space="0" w:color="000000"/>
              <w:right w:val="single" w:sz="4" w:space="0" w:color="000000"/>
            </w:tcBorders>
          </w:tcPr>
          <w:p>
            <w:pPr/>
          </w:p>
        </w:tc>
        <w:tc>
          <w:tcPr>
            <w:tcW w:w="1045" w:type="dxa"/>
            <w:tcBorders>
              <w:top w:val="single" w:sz="10" w:space="0" w:color="000000"/>
              <w:left w:val="single" w:sz="4" w:space="0" w:color="000000"/>
              <w:bottom w:val="single" w:sz="4" w:space="0" w:color="000000"/>
              <w:right w:val="single" w:sz="4" w:space="0" w:color="000000"/>
            </w:tcBorders>
          </w:tcPr>
          <w:p>
            <w:pPr/>
          </w:p>
        </w:tc>
        <w:tc>
          <w:tcPr>
            <w:tcW w:w="1046" w:type="dxa"/>
            <w:tcBorders>
              <w:top w:val="single" w:sz="10" w:space="0" w:color="000000"/>
              <w:left w:val="single" w:sz="4" w:space="0" w:color="000000"/>
              <w:bottom w:val="single" w:sz="4" w:space="0" w:color="000000"/>
              <w:right w:val="single" w:sz="4" w:space="0" w:color="000000"/>
            </w:tcBorders>
          </w:tcPr>
          <w:p>
            <w:pP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19"/>
              <w:jc w:val="both"/>
              <w:rPr>
                <w:rFonts w:ascii="宋体" w:hAnsi="宋体" w:cs="宋体" w:eastAsia="宋体" w:hint="default"/>
                <w:sz w:val="15"/>
                <w:szCs w:val="15"/>
              </w:rPr>
            </w:pPr>
            <w:r>
              <w:rPr>
                <w:rFonts w:ascii="宋体" w:hAnsi="宋体" w:cs="宋体" w:eastAsia="宋体" w:hint="default"/>
                <w:sz w:val="15"/>
                <w:szCs w:val="15"/>
              </w:rPr>
              <w:t>大连华信计算 机技术股份有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软件服务外包</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134,704,950.00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2,257,079,074.8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1,014,709,616.8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1,449,817,725.7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5"/>
                <w:szCs w:val="15"/>
              </w:rPr>
            </w:pPr>
            <w:r>
              <w:rPr>
                <w:rFonts w:ascii="Times New Roman"/>
                <w:sz w:val="15"/>
              </w:rPr>
              <w:t>118,301,219.49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5"/>
                <w:szCs w:val="15"/>
              </w:rPr>
            </w:pPr>
            <w:r>
              <w:rPr>
                <w:rFonts w:ascii="Times New Roman"/>
                <w:sz w:val="15"/>
              </w:rPr>
              <w:t>148,523,605.34</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报告期内取得和处置子公司的情况</w:t>
      </w:r>
    </w:p>
    <w:p>
      <w:pPr>
        <w:spacing w:line="240" w:lineRule="auto" w:before="10"/>
        <w:rPr>
          <w:rFonts w:ascii="宋体" w:hAnsi="宋体" w:cs="宋体" w:eastAsia="宋体" w:hint="default"/>
          <w:sz w:val="20"/>
          <w:szCs w:val="20"/>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139"/>
        <w:jc w:val="right"/>
      </w:pPr>
      <w:r>
        <w:rPr/>
        <w:pict>
          <v:shape style="position:absolute;margin-left:56.459999pt;margin-top:-20.948286pt;width:479.25pt;height:116.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北京神州祥升软件有限公司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现金收购方式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进入职前教育领域，提升公司盈利能力</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天津安纳西科技有限公司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现金收购方式</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整合优势资源，加强公司游戏开发与运 营能力。</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北京裂变科技有限公司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公司与管理团队共同投资设立新公司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对公司整体业绩影响较小</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新股东增资导致丧失控制权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对公司整体业绩影响较小</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2"/>
        <w:spacing w:line="240" w:lineRule="auto" w:before="26"/>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2"/>
        <w:rPr>
          <w:rFonts w:ascii="宋体" w:hAnsi="宋体" w:cs="宋体" w:eastAsia="宋体" w:hint="default"/>
          <w:b/>
          <w:bCs/>
          <w:sz w:val="23"/>
          <w:szCs w:val="23"/>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32"/>
          <w:szCs w:val="32"/>
        </w:rPr>
      </w:pPr>
    </w:p>
    <w:p>
      <w:pPr>
        <w:pStyle w:val="Heading6"/>
        <w:spacing w:line="240" w:lineRule="auto"/>
        <w:ind w:left="405" w:right="6971"/>
        <w:jc w:val="center"/>
        <w:rPr>
          <w:b w:val="0"/>
          <w:bCs w:val="0"/>
        </w:rPr>
      </w:pPr>
      <w:r>
        <w:rPr/>
        <w:t>（一）公司所处行业的发展趋势</w:t>
      </w:r>
      <w:r>
        <w:rPr>
          <w:b w:val="0"/>
          <w:bCs w:val="0"/>
        </w:rPr>
      </w:r>
    </w:p>
    <w:p>
      <w:pPr>
        <w:spacing w:line="240" w:lineRule="auto" w:before="10"/>
        <w:rPr>
          <w:rFonts w:ascii="宋体" w:hAnsi="宋体" w:cs="宋体" w:eastAsia="宋体" w:hint="default"/>
          <w:b/>
          <w:bCs/>
          <w:sz w:val="17"/>
          <w:szCs w:val="17"/>
        </w:rPr>
      </w:pPr>
    </w:p>
    <w:p>
      <w:pPr>
        <w:pStyle w:val="Heading6"/>
        <w:spacing w:line="240" w:lineRule="auto"/>
        <w:ind w:left="1556"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ICT</w:t>
      </w:r>
      <w:r>
        <w:rPr/>
        <w:t>运营管理行业发展状况</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035" w:firstLine="422"/>
        <w:jc w:val="left"/>
      </w:pPr>
      <w:r>
        <w:rPr>
          <w:rFonts w:ascii="Times New Roman" w:hAnsi="Times New Roman" w:cs="Times New Roman" w:eastAsia="Times New Roman" w:hint="default"/>
          <w:spacing w:val="-3"/>
        </w:rPr>
        <w:t>ICT</w:t>
      </w:r>
      <w:r>
        <w:rPr>
          <w:spacing w:val="-3"/>
        </w:rPr>
        <w:t>是信息业与通信业两个行业的统称。随着通信技术从有线向无线、从话音向数据、从</w:t>
      </w:r>
      <w:r>
        <w:rPr>
          <w:rFonts w:ascii="Times New Roman" w:hAnsi="Times New Roman" w:cs="Times New Roman" w:eastAsia="Times New Roman" w:hint="default"/>
          <w:spacing w:val="-3"/>
        </w:rPr>
        <w:t>2G</w:t>
      </w:r>
      <w:r>
        <w:rPr>
          <w:spacing w:val="-3"/>
        </w:rPr>
        <w:t>、</w:t>
      </w:r>
      <w:r>
        <w:rPr>
          <w:rFonts w:ascii="Times New Roman" w:hAnsi="Times New Roman" w:cs="Times New Roman" w:eastAsia="Times New Roman" w:hint="default"/>
          <w:spacing w:val="-3"/>
        </w:rPr>
        <w:t>3G</w:t>
      </w:r>
      <w:r>
        <w:rPr>
          <w:spacing w:val="-3"/>
        </w:rPr>
        <w:t>向</w:t>
      </w:r>
      <w:r>
        <w:rPr>
          <w:rFonts w:ascii="Times New Roman" w:hAnsi="Times New Roman" w:cs="Times New Roman" w:eastAsia="Times New Roman" w:hint="default"/>
          <w:spacing w:val="-3"/>
        </w:rPr>
        <w:t>4G</w:t>
      </w:r>
      <w:r>
        <w:rPr>
          <w:spacing w:val="-3"/>
        </w:rPr>
        <w:t>、</w:t>
      </w:r>
      <w:r>
        <w:rPr>
          <w:rFonts w:ascii="Times New Roman" w:hAnsi="Times New Roman" w:cs="Times New Roman" w:eastAsia="Times New Roman" w:hint="default"/>
          <w:spacing w:val="-3"/>
        </w:rPr>
        <w:t>5G</w:t>
      </w:r>
      <w:r>
        <w:rPr>
          <w:spacing w:val="-3"/>
        </w:rPr>
        <w:t>的不断演进，</w:t>
      </w:r>
      <w:r>
        <w:rPr/>
        <w:t> 随着信息技术从</w:t>
      </w:r>
      <w:r>
        <w:rPr>
          <w:rFonts w:ascii="Times New Roman" w:hAnsi="Times New Roman" w:cs="Times New Roman" w:eastAsia="Times New Roman" w:hint="default"/>
        </w:rPr>
        <w:t>Mainframe</w:t>
      </w:r>
      <w:r>
        <w:rPr/>
        <w:t>主机时代、开放系统、个人电脑时代到目前云计算、移动化时代的不断发展，随着</w:t>
      </w:r>
      <w:r>
        <w:rPr>
          <w:rFonts w:ascii="Times New Roman" w:hAnsi="Times New Roman" w:cs="Times New Roman" w:eastAsia="Times New Roman" w:hint="default"/>
        </w:rPr>
        <w:t>IT</w:t>
      </w:r>
      <w:r>
        <w:rPr/>
        <w:t>技术和</w:t>
      </w:r>
      <w:r>
        <w:rPr>
          <w:rFonts w:ascii="Times New Roman" w:hAnsi="Times New Roman" w:cs="Times New Roman" w:eastAsia="Times New Roman" w:hint="default"/>
        </w:rPr>
        <w:t>CT</w:t>
      </w:r>
      <w:r>
        <w:rPr/>
        <w:t>技 术的不断深度融合，</w:t>
      </w:r>
      <w:r>
        <w:rPr>
          <w:rFonts w:ascii="Times New Roman" w:hAnsi="Times New Roman" w:cs="Times New Roman" w:eastAsia="Times New Roman" w:hint="default"/>
        </w:rPr>
        <w:t>ICT</w:t>
      </w:r>
      <w:r>
        <w:rPr/>
        <w:t>早已不只是各行各业生产经营的辅助手段，已经成为象水电那样必不可少、渗透到社会生产生活方 </w:t>
      </w:r>
      <w:r>
        <w:rPr>
          <w:spacing w:val="-2"/>
        </w:rPr>
        <w:t>方面面、时时刻刻与人们息息相关的基础设施。人们可以通过手机、电视、电脑随时随地接触</w:t>
      </w:r>
      <w:r>
        <w:rPr>
          <w:rFonts w:ascii="Times New Roman" w:hAnsi="Times New Roman" w:cs="Times New Roman" w:eastAsia="Times New Roman" w:hint="default"/>
          <w:spacing w:val="-2"/>
        </w:rPr>
        <w:t>ICT</w:t>
      </w:r>
      <w:r>
        <w:rPr>
          <w:spacing w:val="-2"/>
        </w:rPr>
        <w:t>服务，收发邮件处理工作、</w:t>
      </w:r>
      <w:r>
        <w:rPr>
          <w:spacing w:val="-83"/>
        </w:rPr>
        <w:t> </w:t>
      </w:r>
      <w:r>
        <w:rPr>
          <w:spacing w:val="-83"/>
        </w:rPr>
      </w:r>
      <w:r>
        <w:rPr/>
        <w:t>与朋友视频聊天、网购商品完成支付等等，系统界面也变得越来越简单易用。</w:t>
      </w:r>
    </w:p>
    <w:p>
      <w:pPr>
        <w:pStyle w:val="BodyText"/>
        <w:spacing w:line="451" w:lineRule="auto" w:before="74"/>
        <w:ind w:right="0" w:firstLine="422"/>
        <w:jc w:val="left"/>
      </w:pPr>
      <w:r>
        <w:rPr>
          <w:spacing w:val="-4"/>
        </w:rPr>
        <w:t>与此同时，</w:t>
      </w:r>
      <w:r>
        <w:rPr>
          <w:rFonts w:ascii="Times New Roman" w:hAnsi="Times New Roman" w:cs="Times New Roman" w:eastAsia="Times New Roman" w:hint="default"/>
          <w:spacing w:val="-4"/>
        </w:rPr>
        <w:t>ICT</w:t>
      </w:r>
      <w:r>
        <w:rPr>
          <w:spacing w:val="-4"/>
        </w:rPr>
        <w:t>后端系统规模越来越庞大、结构越来越复杂、分工越来越细致、更新升级越来越频繁。如此庞大、复杂、</w:t>
      </w:r>
      <w:r>
        <w:rPr/>
        <w:t> 变更频繁的系统需要长期、稳定、持续、安全运行，从而提供正确、快速的不间断服务。显而易见，这些变化对</w:t>
      </w:r>
      <w:r>
        <w:rPr>
          <w:rFonts w:ascii="Times New Roman" w:hAnsi="Times New Roman" w:cs="Times New Roman" w:eastAsia="Times New Roman" w:hint="default"/>
        </w:rPr>
        <w:t>ICT</w:t>
      </w:r>
      <w:r>
        <w:rPr/>
        <w:t>系统的 规划、设计、研发、运行、维护、支持等工作带来的挑战也会按几何倍数甚至指数倍数增长，对</w:t>
      </w:r>
      <w:r>
        <w:rPr>
          <w:rFonts w:ascii="Times New Roman" w:hAnsi="Times New Roman" w:cs="Times New Roman" w:eastAsia="Times New Roman" w:hint="default"/>
        </w:rPr>
        <w:t>ICT</w:t>
      </w:r>
      <w:r>
        <w:rPr/>
        <w:t>运营人才知识和能力的 要求要来越高，对运营管理工具的需求也越来越旺盛。</w:t>
      </w:r>
      <w:r>
        <w:rPr>
          <w:rFonts w:ascii="Times New Roman" w:hAnsi="Times New Roman" w:cs="Times New Roman" w:eastAsia="Times New Roman" w:hint="default"/>
        </w:rPr>
        <w:t>ICT</w:t>
      </w:r>
      <w:r>
        <w:rPr/>
        <w:t>的运营管理具备需求刚性以及业务粘性强的特征，未来市场空间 会保持持续、稳定的发展。</w:t>
      </w:r>
    </w:p>
    <w:p>
      <w:pPr>
        <w:pStyle w:val="BodyText"/>
        <w:spacing w:line="477" w:lineRule="auto" w:before="74"/>
        <w:ind w:right="0" w:firstLine="422"/>
        <w:jc w:val="left"/>
      </w:pPr>
      <w:r>
        <w:rPr/>
        <w:t>国家十三五规划纲要将构建高效的信息网络、发展现代互联网产业体系、实施国家大数据战略、强化信息安全保障等 作为</w:t>
      </w:r>
      <w:r>
        <w:rPr>
          <w:rFonts w:ascii="Times New Roman" w:hAnsi="Times New Roman" w:cs="Times New Roman" w:eastAsia="Times New Roman" w:hint="default"/>
        </w:rPr>
        <w:t>“</w:t>
      </w:r>
      <w:r>
        <w:rPr/>
        <w:t>拓展网络经济空间</w:t>
      </w:r>
      <w:r>
        <w:rPr>
          <w:rFonts w:ascii="Times New Roman" w:hAnsi="Times New Roman" w:cs="Times New Roman" w:eastAsia="Times New Roman" w:hint="default"/>
        </w:rPr>
        <w:t>”</w:t>
      </w:r>
      <w:r>
        <w:rPr/>
        <w:t>的几大发展方向，这无疑为运营管理业务提供了广阔的发展空间。</w:t>
      </w:r>
    </w:p>
    <w:p>
      <w:pPr>
        <w:pStyle w:val="Heading6"/>
        <w:spacing w:line="240" w:lineRule="auto" w:before="21"/>
        <w:ind w:left="1556" w:right="0"/>
        <w:jc w:val="left"/>
        <w:rPr>
          <w:b w:val="0"/>
          <w:bCs w:val="0"/>
        </w:rPr>
      </w:pPr>
      <w:r>
        <w:rPr>
          <w:rFonts w:ascii="Times New Roman" w:hAnsi="Times New Roman" w:cs="Times New Roman" w:eastAsia="Times New Roman" w:hint="default"/>
        </w:rPr>
        <w:t>2</w:t>
      </w:r>
      <w:r>
        <w:rPr/>
        <w:t>、手机游戏行业发展趋势</w:t>
      </w:r>
      <w:r>
        <w:rPr>
          <w:b w:val="0"/>
          <w:bCs w:val="0"/>
        </w:rPr>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3" w:lineRule="auto" w:before="83"/>
        <w:ind w:right="0" w:firstLine="420"/>
        <w:jc w:val="left"/>
      </w:pPr>
      <w:r>
        <w:rPr>
          <w:spacing w:val="7"/>
        </w:rPr>
        <w:t>经历了</w:t>
      </w:r>
      <w:r>
        <w:rPr>
          <w:rFonts w:ascii="Times New Roman" w:hAnsi="Times New Roman" w:cs="Times New Roman" w:eastAsia="Times New Roman" w:hint="default"/>
          <w:spacing w:val="7"/>
        </w:rPr>
        <w:t>2014</w:t>
      </w:r>
      <w:r>
        <w:rPr>
          <w:spacing w:val="7"/>
        </w:rPr>
        <w:t>年移动游戏行业的疯狂增长，整个手游市场已经开始趋于理性，</w:t>
      </w:r>
      <w:r>
        <w:rPr>
          <w:rFonts w:ascii="Times New Roman" w:hAnsi="Times New Roman" w:cs="Times New Roman" w:eastAsia="Times New Roman" w:hint="default"/>
          <w:spacing w:val="7"/>
        </w:rPr>
        <w:t>2015</w:t>
      </w:r>
      <w:r>
        <w:rPr>
          <w:spacing w:val="7"/>
        </w:rPr>
        <w:t>年手游市场竞争相当激烈。根据</w:t>
      </w:r>
      <w:r>
        <w:rPr/>
        <w:t> </w:t>
      </w:r>
      <w:r>
        <w:rPr>
          <w:rFonts w:ascii="Times New Roman" w:hAnsi="Times New Roman" w:cs="Times New Roman" w:eastAsia="Times New Roman" w:hint="default"/>
        </w:rPr>
        <w:t>TalkingData</w:t>
      </w:r>
      <w:r>
        <w:rPr/>
        <w:t>发布的《</w:t>
      </w:r>
      <w:r>
        <w:rPr>
          <w:rFonts w:ascii="Times New Roman" w:hAnsi="Times New Roman" w:cs="Times New Roman" w:eastAsia="Times New Roman" w:hint="default"/>
        </w:rPr>
        <w:t>2015</w:t>
      </w:r>
      <w:r>
        <w:rPr/>
        <w:t>年移动游戏行业报告》数据显示，</w:t>
      </w:r>
      <w:r>
        <w:rPr>
          <w:rFonts w:ascii="Times New Roman" w:hAnsi="Times New Roman" w:cs="Times New Roman" w:eastAsia="Times New Roman" w:hint="default"/>
        </w:rPr>
        <w:t>2015</w:t>
      </w:r>
      <w:r>
        <w:rPr/>
        <w:t>年移动游戏行业收入接近</w:t>
      </w:r>
      <w:r>
        <w:rPr>
          <w:rFonts w:ascii="Times New Roman" w:hAnsi="Times New Roman" w:cs="Times New Roman" w:eastAsia="Times New Roman" w:hint="default"/>
        </w:rPr>
        <w:t>500</w:t>
      </w:r>
      <w:r>
        <w:rPr/>
        <w:t>亿大关，达到</w:t>
      </w:r>
      <w:r>
        <w:rPr>
          <w:rFonts w:ascii="Times New Roman" w:hAnsi="Times New Roman" w:cs="Times New Roman" w:eastAsia="Times New Roman" w:hint="default"/>
        </w:rPr>
        <w:t>492.7</w:t>
      </w:r>
      <w:r>
        <w:rPr/>
        <w:t>亿，同比增 长</w:t>
      </w:r>
      <w:r>
        <w:rPr>
          <w:rFonts w:ascii="Times New Roman" w:hAnsi="Times New Roman" w:cs="Times New Roman" w:eastAsia="Times New Roman" w:hint="default"/>
        </w:rPr>
        <w:t>97.8%</w:t>
      </w:r>
      <w:r>
        <w:rPr/>
        <w:t>，收入规模较</w:t>
      </w:r>
      <w:r>
        <w:rPr>
          <w:rFonts w:ascii="Times New Roman" w:hAnsi="Times New Roman" w:cs="Times New Roman" w:eastAsia="Times New Roman" w:hint="default"/>
        </w:rPr>
        <w:t>3</w:t>
      </w:r>
      <w:r>
        <w:rPr/>
        <w:t>年前翻了近十倍，移动游戏市场的高度增长推动整个产业升级转型，为游戏与动漫、影视、文学、</w:t>
      </w:r>
      <w:r>
        <w:rPr>
          <w:spacing w:val="-24"/>
        </w:rPr>
        <w:t> </w:t>
      </w:r>
      <w:r>
        <w:rPr>
          <w:spacing w:val="-24"/>
        </w:rPr>
      </w:r>
      <w:r>
        <w:rPr/>
        <w:t>综艺等的融合发展创造有利的市场环境。同时截止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Q4</w:t>
      </w:r>
      <w:r>
        <w:rPr/>
        <w:t>，移动游戏</w:t>
      </w:r>
      <w:r>
        <w:rPr>
          <w:rFonts w:ascii="Times New Roman" w:hAnsi="Times New Roman" w:cs="Times New Roman" w:eastAsia="Times New Roman" w:hint="default"/>
        </w:rPr>
        <w:t>CP</w:t>
      </w:r>
      <w:r>
        <w:rPr/>
        <w:t>规模达到</w:t>
      </w:r>
      <w:r>
        <w:rPr>
          <w:rFonts w:ascii="Times New Roman" w:hAnsi="Times New Roman" w:cs="Times New Roman" w:eastAsia="Times New Roman" w:hint="default"/>
        </w:rPr>
        <w:t>3.18</w:t>
      </w:r>
      <w:r>
        <w:rPr/>
        <w:t>万家，增速进一步放缓，用户逐渐</w:t>
      </w:r>
      <w:r>
        <w:rPr>
          <w:spacing w:val="-41"/>
        </w:rPr>
        <w:t> </w:t>
      </w:r>
      <w:r>
        <w:rPr>
          <w:spacing w:val="-3"/>
        </w:rPr>
        <w:t>流向少数游戏。移动游戏市场集中度趋势开始增强，渠道、人才、</w:t>
      </w:r>
      <w:r>
        <w:rPr>
          <w:rFonts w:ascii="Times New Roman" w:hAnsi="Times New Roman" w:cs="Times New Roman" w:eastAsia="Times New Roman" w:hint="default"/>
          <w:spacing w:val="-3"/>
        </w:rPr>
        <w:t>IP</w:t>
      </w:r>
      <w:r>
        <w:rPr>
          <w:spacing w:val="-3"/>
        </w:rPr>
        <w:t>等优质资源不断流向大型企业，大型企业通过增强研发、</w:t>
      </w:r>
      <w:r>
        <w:rPr>
          <w:spacing w:val="-77"/>
        </w:rPr>
        <w:t> </w:t>
      </w:r>
      <w:r>
        <w:rPr>
          <w:spacing w:val="-77"/>
        </w:rPr>
      </w:r>
      <w:r>
        <w:rPr>
          <w:spacing w:val="-2"/>
        </w:rPr>
        <w:t>投资和运营推广等投入，如多条产品线研发、转向中重度作品以及并购中小团队等，提升用户粘性，降低了产品单一和接续</w:t>
      </w:r>
      <w:r>
        <w:rPr>
          <w:spacing w:val="-66"/>
        </w:rPr>
        <w:t> </w:t>
      </w:r>
      <w:r>
        <w:rPr>
          <w:spacing w:val="-66"/>
        </w:rPr>
      </w:r>
      <w:r>
        <w:rPr/>
        <w:t>空缺的风险。大量中小</w:t>
      </w:r>
      <w:r>
        <w:rPr>
          <w:rFonts w:ascii="Times New Roman" w:hAnsi="Times New Roman" w:cs="Times New Roman" w:eastAsia="Times New Roman" w:hint="default"/>
        </w:rPr>
        <w:t>CP</w:t>
      </w:r>
      <w:r>
        <w:rPr/>
        <w:t>面临被整合或淘汰的危机。移动游戏整体款数的增长也较去年同期出现下降，休闲、卡牌和角色</w:t>
      </w:r>
      <w:r>
        <w:rPr>
          <w:spacing w:val="-45"/>
        </w:rPr>
        <w:t> </w:t>
      </w:r>
      <w:r>
        <w:rPr>
          <w:spacing w:val="-45"/>
        </w:rPr>
      </w:r>
      <w:r>
        <w:rPr/>
        <w:t>扮演类移动游戏仍然占据前三甲。</w:t>
      </w:r>
    </w:p>
    <w:p>
      <w:pPr>
        <w:pStyle w:val="BodyText"/>
        <w:spacing w:line="451" w:lineRule="auto" w:before="72"/>
        <w:ind w:right="1131" w:firstLine="420"/>
        <w:jc w:val="both"/>
      </w:pPr>
      <w:r>
        <w:rPr>
          <w:rFonts w:ascii="Times New Roman" w:hAnsi="Times New Roman" w:cs="Times New Roman" w:eastAsia="Times New Roman" w:hint="default"/>
        </w:rPr>
        <w:t>2015</w:t>
      </w:r>
      <w:r>
        <w:rPr/>
        <w:t>年游戏市场用户规模呈现小幅下降趋势，但移动游戏市场仍处于高速发展时期。根据</w:t>
      </w:r>
      <w:r>
        <w:rPr>
          <w:rFonts w:ascii="Times New Roman" w:hAnsi="Times New Roman" w:cs="Times New Roman" w:eastAsia="Times New Roman" w:hint="default"/>
        </w:rPr>
        <w:t>CNNIC</w:t>
      </w:r>
      <w:r>
        <w:rPr/>
        <w:t>《第</w:t>
      </w:r>
      <w:r>
        <w:rPr>
          <w:rFonts w:ascii="Times New Roman" w:hAnsi="Times New Roman" w:cs="Times New Roman" w:eastAsia="Times New Roman" w:hint="default"/>
        </w:rPr>
        <w:t>36</w:t>
      </w:r>
      <w:r>
        <w:rPr/>
        <w:t>次中国互联网 络发展状况统计报告》数据，截止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月，我国使用手机上网玩游戏的用户规模达到</w:t>
      </w:r>
      <w:r>
        <w:rPr>
          <w:rFonts w:ascii="Times New Roman" w:hAnsi="Times New Roman" w:cs="Times New Roman" w:eastAsia="Times New Roman" w:hint="default"/>
        </w:rPr>
        <w:t>2.67</w:t>
      </w:r>
      <w:r>
        <w:rPr/>
        <w:t>亿，占整体手机网民的</w:t>
      </w:r>
      <w:r>
        <w:rPr>
          <w:rFonts w:ascii="Times New Roman" w:hAnsi="Times New Roman" w:cs="Times New Roman" w:eastAsia="Times New Roman" w:hint="default"/>
        </w:rPr>
        <w:t>45%</w:t>
      </w:r>
      <w:r>
        <w:rPr/>
        <w:t>。</w:t>
      </w:r>
      <w:r>
        <w:rPr>
          <w:spacing w:val="-17"/>
        </w:rPr>
        <w:t> </w:t>
      </w:r>
      <w:r>
        <w:rPr>
          <w:spacing w:val="-2"/>
        </w:rPr>
        <w:t>未来手机游戏进入寡头化，经典游戏</w:t>
      </w:r>
      <w:r>
        <w:rPr>
          <w:rFonts w:ascii="Times New Roman" w:hAnsi="Times New Roman" w:cs="Times New Roman" w:eastAsia="Times New Roman" w:hint="default"/>
          <w:spacing w:val="-2"/>
        </w:rPr>
        <w:t>IP</w:t>
      </w:r>
      <w:r>
        <w:rPr>
          <w:spacing w:val="-2"/>
        </w:rPr>
        <w:t>改编产品呈现出很强的玩家吸引力。虽然轻度游戏在用户规模上占据绝对优势，但是</w:t>
      </w:r>
      <w:r>
        <w:rPr>
          <w:spacing w:val="-44"/>
        </w:rPr>
        <w:t> </w:t>
      </w:r>
      <w:r>
        <w:rPr>
          <w:spacing w:val="-44"/>
        </w:rPr>
      </w:r>
      <w:r>
        <w:rPr>
          <w:spacing w:val="-2"/>
        </w:rPr>
        <w:t>伴随</w:t>
      </w:r>
      <w:r>
        <w:rPr>
          <w:rFonts w:ascii="Times New Roman" w:hAnsi="Times New Roman" w:cs="Times New Roman" w:eastAsia="Times New Roman" w:hint="default"/>
          <w:spacing w:val="-2"/>
        </w:rPr>
        <w:t>IP</w:t>
      </w:r>
      <w:r>
        <w:rPr>
          <w:spacing w:val="-2"/>
        </w:rPr>
        <w:t>的爆发，设备以及网络环境的升级，未来重度游戏还有明显的机会可以挖掘。重度游戏相对轻度休闲游戏，游戏的内</w:t>
      </w:r>
      <w:r>
        <w:rPr>
          <w:spacing w:val="-45"/>
        </w:rPr>
        <w:t> </w:t>
      </w:r>
      <w:r>
        <w:rPr>
          <w:spacing w:val="-45"/>
        </w:rPr>
      </w:r>
      <w:r>
        <w:rPr/>
        <w:t>容更加丰富，玩家更为成熟，付费意愿更为明显。</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Heading6"/>
        <w:spacing w:line="240" w:lineRule="auto"/>
        <w:ind w:left="1449" w:right="0"/>
        <w:jc w:val="left"/>
        <w:rPr>
          <w:b w:val="0"/>
          <w:bCs w:val="0"/>
        </w:rPr>
      </w:pPr>
      <w:r>
        <w:rPr/>
        <w:t>（二）公司未来发展战略规划及</w:t>
      </w:r>
      <w:r>
        <w:rPr>
          <w:rFonts w:ascii="Times New Roman" w:hAnsi="Times New Roman" w:cs="Times New Roman" w:eastAsia="Times New Roman" w:hint="default"/>
        </w:rPr>
        <w:t>2016</w:t>
      </w:r>
      <w:r>
        <w:rPr/>
        <w:t>年经营计划</w:t>
      </w:r>
      <w:r>
        <w:rPr>
          <w:b w:val="0"/>
          <w:bCs w:val="0"/>
        </w:rPr>
      </w:r>
    </w:p>
    <w:p>
      <w:pPr>
        <w:spacing w:line="240" w:lineRule="auto" w:before="10"/>
        <w:rPr>
          <w:rFonts w:ascii="宋体" w:hAnsi="宋体" w:cs="宋体" w:eastAsia="宋体" w:hint="default"/>
          <w:b/>
          <w:bCs/>
          <w:sz w:val="16"/>
          <w:szCs w:val="16"/>
        </w:rPr>
      </w:pPr>
    </w:p>
    <w:p>
      <w:pPr>
        <w:pStyle w:val="BodyText"/>
        <w:spacing w:line="451" w:lineRule="auto"/>
        <w:ind w:left="1553" w:right="1118" w:firstLine="97"/>
        <w:jc w:val="left"/>
      </w:pPr>
      <w:r>
        <w:rPr>
          <w:rFonts w:ascii="Times New Roman" w:hAnsi="Times New Roman" w:cs="Times New Roman" w:eastAsia="Times New Roman" w:hint="default"/>
          <w:b/>
          <w:bCs/>
        </w:rPr>
        <w:t>1</w:t>
      </w:r>
      <w:r>
        <w:rPr>
          <w:rFonts w:ascii="宋体" w:hAnsi="宋体" w:cs="宋体" w:eastAsia="宋体" w:hint="default"/>
          <w:b/>
          <w:bCs/>
        </w:rPr>
        <w:t>、战略规划</w:t>
      </w:r>
      <w:r>
        <w:rPr>
          <w:rFonts w:ascii="宋体" w:hAnsi="宋体" w:cs="宋体" w:eastAsia="宋体" w:hint="default"/>
          <w:b/>
          <w:bCs/>
          <w:w w:val="99"/>
        </w:rPr>
        <w:t> </w:t>
      </w:r>
      <w:r>
        <w:rPr/>
        <w:t>公司自上市以来，顺应信息产业的发展趋势，紧密围绕主营业务，遵循内生式增长与外延式扩张相结合的发展战略，</w:t>
      </w:r>
    </w:p>
    <w:p>
      <w:pPr>
        <w:pStyle w:val="BodyText"/>
        <w:spacing w:line="458" w:lineRule="auto" w:before="74"/>
        <w:ind w:right="0"/>
        <w:jc w:val="left"/>
      </w:pPr>
      <w:r>
        <w:rPr/>
        <w:t>在计算机软件应用、互联网领域进行布局、拓展与深化，截止目前，公司构建</w:t>
      </w:r>
      <w:r>
        <w:rPr>
          <w:rFonts w:ascii="Times New Roman" w:hAnsi="Times New Roman" w:cs="Times New Roman" w:eastAsia="Times New Roman" w:hint="default"/>
        </w:rPr>
        <w:t>ICT</w:t>
      </w:r>
      <w:r>
        <w:rPr/>
        <w:t>运营管理板块、手机游戏板块、物联网技 </w:t>
      </w:r>
      <w:r>
        <w:rPr>
          <w:spacing w:val="-4"/>
        </w:rPr>
        <w:t>术应用等核心业务板块以及创新孵化板块，形成信息技术领域内相关多元化发展格局。公司将紧密围绕市场需求、深耕细作，</w:t>
      </w:r>
      <w:r>
        <w:rPr>
          <w:spacing w:val="-44"/>
        </w:rPr>
        <w:t> </w:t>
      </w:r>
      <w:r>
        <w:rPr>
          <w:spacing w:val="-44"/>
        </w:rPr>
      </w:r>
      <w:r>
        <w:rPr/>
        <w:t>进一步巩固和提高</w:t>
      </w:r>
      <w:r>
        <w:rPr>
          <w:rFonts w:ascii="Times New Roman" w:hAnsi="Times New Roman" w:cs="Times New Roman" w:eastAsia="Times New Roman" w:hint="default"/>
        </w:rPr>
        <w:t>ICT</w:t>
      </w:r>
      <w:r>
        <w:rPr/>
        <w:t>运营管理领域的领先市场地位，提升游戏市场竞争力，积极推进智慧线的市场拓展，努力培育职业教 育、大数据、互联网金融等创新孵化业务，不断提升企业盈利能力及市场竞争力，构建公司持续发展的长效战略格局。</w:t>
      </w:r>
    </w:p>
    <w:p>
      <w:pPr>
        <w:pStyle w:val="Heading6"/>
        <w:spacing w:line="240" w:lineRule="auto" w:before="68"/>
        <w:ind w:left="1651" w:right="0"/>
        <w:jc w:val="left"/>
        <w:rPr>
          <w:b w:val="0"/>
          <w:bCs w:val="0"/>
        </w:rPr>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年经营计划</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30" w:firstLine="420"/>
        <w:jc w:val="both"/>
      </w:pPr>
      <w:r>
        <w:rPr>
          <w:rFonts w:ascii="Times New Roman" w:hAnsi="Times New Roman" w:cs="Times New Roman" w:eastAsia="Times New Roman" w:hint="default"/>
          <w:spacing w:val="-2"/>
        </w:rPr>
        <w:t>2016</w:t>
      </w:r>
      <w:r>
        <w:rPr>
          <w:spacing w:val="-2"/>
        </w:rPr>
        <w:t>年度，公司将顺应信息产业的发展趋势，进一步巩固和提高</w:t>
      </w:r>
      <w:r>
        <w:rPr>
          <w:rFonts w:ascii="Times New Roman" w:hAnsi="Times New Roman" w:cs="Times New Roman" w:eastAsia="Times New Roman" w:hint="default"/>
          <w:spacing w:val="-2"/>
        </w:rPr>
        <w:t>ICT</w:t>
      </w:r>
      <w:r>
        <w:rPr>
          <w:spacing w:val="-2"/>
        </w:rPr>
        <w:t>运营管理领域的领先市场地位，提升游戏市场竞争</w:t>
      </w:r>
      <w:r>
        <w:rPr/>
        <w:t> </w:t>
      </w:r>
      <w:r>
        <w:rPr>
          <w:spacing w:val="-2"/>
        </w:rPr>
        <w:t>力，积极推进智慧线的市场拓展，努力培育职业教育、大数据、互联网金融等创新孵化业务，促进</w:t>
      </w:r>
      <w:r>
        <w:rPr>
          <w:rFonts w:ascii="Times New Roman" w:hAnsi="Times New Roman" w:cs="Times New Roman" w:eastAsia="Times New Roman" w:hint="default"/>
          <w:spacing w:val="-2"/>
        </w:rPr>
        <w:t>2016</w:t>
      </w:r>
      <w:r>
        <w:rPr>
          <w:spacing w:val="-2"/>
        </w:rPr>
        <w:t>年度的经营业绩较去</w:t>
      </w:r>
      <w:r>
        <w:rPr>
          <w:spacing w:val="-62"/>
        </w:rPr>
        <w:t> </w:t>
      </w:r>
      <w:r>
        <w:rPr>
          <w:spacing w:val="-62"/>
        </w:rPr>
      </w:r>
      <w:r>
        <w:rPr/>
        <w:t>年有较大幅度的增长。</w:t>
      </w:r>
    </w:p>
    <w:p>
      <w:pPr>
        <w:pStyle w:val="BodyText"/>
        <w:spacing w:line="458" w:lineRule="auto" w:before="74"/>
        <w:ind w:right="1130" w:firstLine="420"/>
        <w:jc w:val="both"/>
      </w:pPr>
      <w:r>
        <w:rPr/>
        <w:t>（</w:t>
      </w:r>
      <w:r>
        <w:rPr>
          <w:rFonts w:ascii="Times New Roman" w:hAnsi="Times New Roman" w:cs="Times New Roman" w:eastAsia="Times New Roman" w:hint="default"/>
        </w:rPr>
        <w:t>1</w:t>
      </w:r>
      <w:r>
        <w:rPr/>
        <w:t>）进一步发挥市场和技术优势，深入研究云计算、大数据、移动化等新兴技术带来的更为复杂的</w:t>
      </w:r>
      <w:r>
        <w:rPr>
          <w:rFonts w:ascii="Times New Roman" w:hAnsi="Times New Roman" w:cs="Times New Roman" w:eastAsia="Times New Roman" w:hint="default"/>
        </w:rPr>
        <w:t>ICT</w:t>
      </w:r>
      <w:r>
        <w:rPr/>
        <w:t>环境中运行维 护、支持服务、安全保障、优化改进的新需求、新规律和新方法，推出适应新兴技术架构、融合</w:t>
      </w:r>
      <w:r>
        <w:rPr>
          <w:rFonts w:ascii="Times New Roman" w:hAnsi="Times New Roman" w:cs="Times New Roman" w:eastAsia="Times New Roman" w:hint="default"/>
        </w:rPr>
        <w:t>DevOps</w:t>
      </w:r>
      <w:r>
        <w:rPr/>
        <w:t>理念、满足运维工</w:t>
      </w:r>
      <w:r>
        <w:rPr>
          <w:spacing w:val="-46"/>
        </w:rPr>
        <w:t> </w:t>
      </w:r>
      <w:r>
        <w:rPr>
          <w:spacing w:val="-46"/>
        </w:rPr>
      </w:r>
      <w:r>
        <w:rPr>
          <w:spacing w:val="-2"/>
        </w:rPr>
        <w:t>作需要的软硬件产品和解决方案，进一步扩大在运维管理领域的技术优势和领先地位，在保持现有客户和业务稳定持续增长</w:t>
      </w:r>
      <w:r>
        <w:rPr>
          <w:spacing w:val="-64"/>
        </w:rPr>
        <w:t> </w:t>
      </w:r>
      <w:r>
        <w:rPr>
          <w:spacing w:val="-64"/>
        </w:rPr>
      </w:r>
      <w:r>
        <w:rPr/>
        <w:t>的同时，大力拓展新行业、新客户和新领域。</w:t>
      </w:r>
    </w:p>
    <w:p>
      <w:pPr>
        <w:pStyle w:val="BodyText"/>
        <w:spacing w:line="240" w:lineRule="auto" w:before="68"/>
        <w:ind w:left="1553" w:right="0"/>
        <w:jc w:val="left"/>
      </w:pPr>
      <w:r>
        <w:rPr/>
        <w:t>（</w:t>
      </w:r>
      <w:r>
        <w:rPr>
          <w:rFonts w:ascii="Times New Roman" w:hAnsi="Times New Roman" w:cs="Times New Roman" w:eastAsia="Times New Roman" w:hint="default"/>
        </w:rPr>
        <w:t>2</w:t>
      </w:r>
      <w:r>
        <w:rPr/>
        <w:t>）继续做好飞信的开发与支撑服务工作，促进其持续稳定发展。同时，积极配合中国移动的融合通信战略，为其融</w:t>
      </w:r>
    </w:p>
    <w:p>
      <w:pPr>
        <w:spacing w:after="0" w:line="240" w:lineRule="auto"/>
        <w:jc w:val="left"/>
        <w:sectPr>
          <w:pgSz w:w="11910" w:h="16840"/>
          <w:pgMar w:header="851" w:footer="979" w:top="1380" w:bottom="1160" w:left="0" w:right="0"/>
        </w:sectPr>
      </w:pPr>
    </w:p>
    <w:p>
      <w:pPr>
        <w:pStyle w:val="BodyText"/>
        <w:spacing w:line="463" w:lineRule="auto" w:before="141"/>
        <w:ind w:right="1130"/>
        <w:jc w:val="both"/>
      </w:pPr>
      <w:r>
        <w:rPr>
          <w:spacing w:val="-2"/>
        </w:rPr>
        <w:t>合通信平台提供高质量的技术服务，提升用户体验、促进融合通信项目健康、稳定的发展。公司承建的中国移动北方基地融</w:t>
      </w:r>
      <w:r>
        <w:rPr>
          <w:spacing w:val="-65"/>
        </w:rPr>
        <w:t> </w:t>
      </w:r>
      <w:r>
        <w:rPr>
          <w:spacing w:val="-65"/>
        </w:rPr>
      </w:r>
      <w:r>
        <w:rPr>
          <w:spacing w:val="-2"/>
        </w:rPr>
        <w:t>合通信试点项目，已经具备</w:t>
      </w:r>
      <w:r>
        <w:rPr>
          <w:rFonts w:ascii="Times New Roman" w:hAnsi="Times New Roman" w:cs="Times New Roman" w:eastAsia="Times New Roman" w:hint="default"/>
          <w:spacing w:val="-2"/>
        </w:rPr>
        <w:t>60</w:t>
      </w:r>
      <w:r>
        <w:rPr>
          <w:spacing w:val="-2"/>
        </w:rPr>
        <w:t>多万用户试商用能力，</w:t>
      </w:r>
      <w:r>
        <w:rPr>
          <w:rFonts w:ascii="Times New Roman" w:hAnsi="Times New Roman" w:cs="Times New Roman" w:eastAsia="Times New Roman" w:hint="default"/>
          <w:spacing w:val="-2"/>
        </w:rPr>
        <w:t>2016</w:t>
      </w:r>
      <w:r>
        <w:rPr>
          <w:spacing w:val="-2"/>
        </w:rPr>
        <w:t>年公司将配合中国移动推进融合通信产品商用，并积极争取扩容项</w:t>
      </w:r>
      <w:r>
        <w:rPr>
          <w:spacing w:val="-60"/>
        </w:rPr>
        <w:t> </w:t>
      </w:r>
      <w:r>
        <w:rPr>
          <w:spacing w:val="-60"/>
        </w:rPr>
      </w:r>
      <w:r>
        <w:rPr/>
        <w:t>目建设和系统支撑的机会。</w:t>
      </w:r>
    </w:p>
    <w:p>
      <w:pPr>
        <w:pStyle w:val="BodyText"/>
        <w:spacing w:line="477" w:lineRule="auto" w:before="65"/>
        <w:ind w:right="1025" w:firstLine="420"/>
        <w:jc w:val="left"/>
      </w:pPr>
      <w:r>
        <w:rPr>
          <w:spacing w:val="-1"/>
        </w:rPr>
        <w:t>此外，公司将密切跟踪国内电信运营商在融合通信方面的需求，为移动互联网用户的协作沟通提供集融合通讯、社交、</w:t>
      </w:r>
      <w:r>
        <w:rPr/>
        <w:t> 信息服务于一体的立体化通信解决方案，积极拓展国内电信运营商融合通信业务。</w:t>
      </w:r>
    </w:p>
    <w:p>
      <w:pPr>
        <w:pStyle w:val="BodyText"/>
        <w:spacing w:line="451" w:lineRule="auto" w:before="54"/>
        <w:ind w:right="0" w:firstLine="420"/>
        <w:jc w:val="left"/>
      </w:pPr>
      <w:r>
        <w:rPr/>
        <w:t>（</w:t>
      </w:r>
      <w:r>
        <w:rPr>
          <w:rFonts w:ascii="Times New Roman" w:hAnsi="Times New Roman" w:cs="Times New Roman" w:eastAsia="Times New Roman" w:hint="default"/>
        </w:rPr>
        <w:t>3</w:t>
      </w:r>
      <w:r>
        <w:rPr/>
        <w:t>）信息安全管理的发展将从主动安全管理向智能安全管理的变革演化，</w:t>
      </w:r>
      <w:r>
        <w:rPr>
          <w:rFonts w:ascii="Times New Roman" w:hAnsi="Times New Roman" w:cs="Times New Roman" w:eastAsia="Times New Roman" w:hint="default"/>
        </w:rPr>
        <w:t>2016</w:t>
      </w:r>
      <w:r>
        <w:rPr>
          <w:rFonts w:ascii="Times New Roman" w:hAnsi="Times New Roman" w:cs="Times New Roman" w:eastAsia="Times New Roman" w:hint="default"/>
          <w:spacing w:val="30"/>
        </w:rPr>
        <w:t> </w:t>
      </w:r>
      <w:r>
        <w:rPr/>
        <w:t>年公司将积极开展信息安全业务交付 模式的创新，在云安全、移动应用安全、大数据安全感知以及安全云服务等方面推出新产品和服务。</w:t>
      </w:r>
    </w:p>
    <w:p>
      <w:pPr>
        <w:pStyle w:val="BodyText"/>
        <w:spacing w:line="458" w:lineRule="auto" w:before="74"/>
        <w:ind w:right="1040" w:firstLine="420"/>
        <w:jc w:val="left"/>
      </w:pPr>
      <w:r>
        <w:rPr/>
        <w:t>（</w:t>
      </w:r>
      <w:r>
        <w:rPr>
          <w:rFonts w:ascii="Times New Roman" w:hAnsi="Times New Roman" w:cs="Times New Roman" w:eastAsia="Times New Roman" w:hint="default"/>
        </w:rPr>
        <w:t>4</w:t>
      </w:r>
      <w:r>
        <w:rPr/>
        <w:t>）依托技术、人才和市场的积累，重新聚焦海外策略类</w:t>
      </w:r>
      <w:r>
        <w:rPr>
          <w:rFonts w:ascii="Times New Roman" w:hAnsi="Times New Roman" w:cs="Times New Roman" w:eastAsia="Times New Roman" w:hint="default"/>
        </w:rPr>
        <w:t>(SLG)</w:t>
      </w:r>
      <w:r>
        <w:rPr/>
        <w:t>游戏的研发和发行，打造数款有竞争力、受用户欢迎 </w:t>
      </w:r>
      <w:r>
        <w:rPr>
          <w:spacing w:val="-7"/>
        </w:rPr>
        <w:t>的手机游戏，推出《战争与秩序》、《小小帝国</w:t>
      </w:r>
      <w:r>
        <w:rPr>
          <w:rFonts w:ascii="Times New Roman" w:hAnsi="Times New Roman" w:cs="Times New Roman" w:eastAsia="Times New Roman" w:hint="default"/>
          <w:spacing w:val="-7"/>
        </w:rPr>
        <w:t>2</w:t>
      </w:r>
      <w:r>
        <w:rPr>
          <w:spacing w:val="-7"/>
        </w:rPr>
        <w:t>》、《人在天朝</w:t>
      </w:r>
      <w:r>
        <w:rPr>
          <w:rFonts w:ascii="Times New Roman" w:hAnsi="Times New Roman" w:cs="Times New Roman" w:eastAsia="Times New Roman" w:hint="default"/>
          <w:spacing w:val="-7"/>
        </w:rPr>
        <w:t>2</w:t>
      </w:r>
      <w:r>
        <w:rPr>
          <w:spacing w:val="-7"/>
        </w:rPr>
        <w:t>》等；利用与国内外游戏发行渠道广泛建立的深度合作关系，</w:t>
      </w:r>
      <w:r>
        <w:rPr>
          <w:spacing w:val="-51"/>
        </w:rPr>
        <w:t> </w:t>
      </w:r>
      <w:r>
        <w:rPr>
          <w:spacing w:val="-5"/>
        </w:rPr>
        <w:t>继续推进已发行的《忍者萌剑传》、《有杀气童话》等流水情况逐步增长的优质游戏，并采取多种方式、积极开展新的游戏内</w:t>
      </w:r>
      <w:r>
        <w:rPr>
          <w:spacing w:val="-79"/>
        </w:rPr>
        <w:t> </w:t>
      </w:r>
      <w:r>
        <w:rPr>
          <w:spacing w:val="-79"/>
        </w:rPr>
      </w:r>
      <w:r>
        <w:rPr/>
        <w:t>容引进。</w:t>
      </w:r>
    </w:p>
    <w:p>
      <w:pPr>
        <w:pStyle w:val="BodyText"/>
        <w:spacing w:line="451" w:lineRule="auto" w:before="68"/>
        <w:ind w:left="1134" w:right="1132" w:firstLine="270"/>
        <w:jc w:val="both"/>
      </w:pPr>
      <w:r>
        <w:rPr>
          <w:spacing w:val="-2"/>
        </w:rPr>
        <w:t>（</w:t>
      </w:r>
      <w:r>
        <w:rPr>
          <w:rFonts w:ascii="Times New Roman" w:hAnsi="Times New Roman" w:cs="Times New Roman" w:eastAsia="Times New Roman" w:hint="default"/>
          <w:spacing w:val="-2"/>
        </w:rPr>
        <w:t>5</w:t>
      </w:r>
      <w:r>
        <w:rPr>
          <w:spacing w:val="-2"/>
        </w:rPr>
        <w:t>）进一步优化智慧线产品的技术性能，推进相关市场资质认证工作，大力推进智慧线在周界安防领域的市场销售的大</w:t>
      </w:r>
      <w:r>
        <w:rPr/>
        <w:t> 规模落地；与此同时，推进创新孵化业务的进展，提升其在各自细分市场领域的竞争力。</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Heading6"/>
        <w:spacing w:line="240" w:lineRule="auto"/>
        <w:ind w:left="1405" w:right="0"/>
        <w:jc w:val="left"/>
        <w:rPr>
          <w:b w:val="0"/>
          <w:bCs w:val="0"/>
        </w:rPr>
      </w:pPr>
      <w:r>
        <w:rPr/>
        <w:t>（三）对公司未来发展战略和经营目标的实现产生不利影响的风险因素分析</w:t>
      </w:r>
      <w:r>
        <w:rPr>
          <w:b w:val="0"/>
          <w:bCs w:val="0"/>
        </w:rPr>
      </w:r>
    </w:p>
    <w:p>
      <w:pPr>
        <w:spacing w:line="240" w:lineRule="auto" w:before="10"/>
        <w:rPr>
          <w:rFonts w:ascii="宋体" w:hAnsi="宋体" w:cs="宋体" w:eastAsia="宋体" w:hint="default"/>
          <w:b/>
          <w:bCs/>
          <w:sz w:val="17"/>
          <w:szCs w:val="17"/>
        </w:rPr>
      </w:pPr>
    </w:p>
    <w:p>
      <w:pPr>
        <w:spacing w:line="451" w:lineRule="auto" w:before="0"/>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、运维管理业务对电信行业依赖的风险</w:t>
      </w:r>
      <w:r>
        <w:rPr>
          <w:rFonts w:ascii="宋体" w:hAnsi="宋体" w:cs="宋体" w:eastAsia="宋体" w:hint="default"/>
          <w:b/>
          <w:bCs/>
          <w:w w:val="99"/>
          <w:sz w:val="18"/>
          <w:szCs w:val="18"/>
        </w:rPr>
        <w:t> </w:t>
      </w:r>
      <w:r>
        <w:rPr>
          <w:rFonts w:ascii="宋体" w:hAnsi="宋体" w:cs="宋体" w:eastAsia="宋体" w:hint="default"/>
          <w:spacing w:val="-2"/>
          <w:sz w:val="18"/>
          <w:szCs w:val="18"/>
        </w:rPr>
        <w:t>电信行业是公司运维管理业务的重点市场领域，公司对电信行业的依赖程度较高。如果未来电信行业发生不可预测的不</w:t>
      </w:r>
    </w:p>
    <w:p>
      <w:pPr>
        <w:pStyle w:val="BodyText"/>
        <w:spacing w:line="465" w:lineRule="auto" w:before="74"/>
        <w:ind w:right="1130"/>
        <w:jc w:val="both"/>
      </w:pPr>
      <w:r>
        <w:rPr>
          <w:spacing w:val="-2"/>
        </w:rPr>
        <w:t>利变化或者电信运营商对信息化建设的投资规模大幅下降，将对公司的盈利能力产生较大不利影响。公司运维管理业务聚焦</w:t>
      </w:r>
      <w:r>
        <w:rPr>
          <w:spacing w:val="-64"/>
        </w:rPr>
        <w:t> </w:t>
      </w:r>
      <w:r>
        <w:rPr>
          <w:spacing w:val="-64"/>
        </w:rPr>
      </w:r>
      <w:r>
        <w:rPr>
          <w:spacing w:val="-2"/>
        </w:rPr>
        <w:t>于电信行业是市场的必然选择，是公司业务战略的必然选择。电信行业与其他行业相比，其信息化程度较高，系统规模庞大</w:t>
      </w:r>
      <w:r>
        <w:rPr>
          <w:spacing w:val="-66"/>
        </w:rPr>
        <w:t> </w:t>
      </w:r>
      <w:r>
        <w:rPr>
          <w:spacing w:val="-66"/>
        </w:rPr>
      </w:r>
      <w:r>
        <w:rPr/>
        <w:t>且复杂，对</w:t>
      </w:r>
      <w:r>
        <w:rPr>
          <w:rFonts w:ascii="Times New Roman" w:hAnsi="Times New Roman" w:cs="Times New Roman" w:eastAsia="Times New Roman" w:hint="default"/>
        </w:rPr>
        <w:t>IT</w:t>
      </w:r>
      <w:r>
        <w:rPr/>
        <w:t>运维管理的认同和接受程度也较高，</w:t>
      </w:r>
      <w:r>
        <w:rPr>
          <w:rFonts w:ascii="Times New Roman" w:hAnsi="Times New Roman" w:cs="Times New Roman" w:eastAsia="Times New Roman" w:hint="default"/>
        </w:rPr>
        <w:t>IT</w:t>
      </w:r>
      <w:r>
        <w:rPr/>
        <w:t>投资规模大，是运维管理重点应用领域。电信行业的重组、</w:t>
      </w:r>
      <w:r>
        <w:rPr>
          <w:rFonts w:ascii="Times New Roman" w:hAnsi="Times New Roman" w:cs="Times New Roman" w:eastAsia="Times New Roman" w:hint="default"/>
        </w:rPr>
        <w:t>4G</w:t>
      </w:r>
      <w:r>
        <w:rPr/>
        <w:t>网络的</w:t>
      </w:r>
      <w:r>
        <w:rPr>
          <w:spacing w:val="-20"/>
        </w:rPr>
        <w:t> </w:t>
      </w:r>
      <w:r>
        <w:rPr>
          <w:spacing w:val="-2"/>
        </w:rPr>
        <w:t>建设，以及电信运营商之间的竞争等，必然促使运营商通过加大网络建设、不断开发新的业务、提高</w:t>
      </w:r>
      <w:r>
        <w:rPr>
          <w:rFonts w:ascii="Times New Roman" w:hAnsi="Times New Roman" w:cs="Times New Roman" w:eastAsia="Times New Roman" w:hint="default"/>
          <w:spacing w:val="-2"/>
        </w:rPr>
        <w:t>IT</w:t>
      </w:r>
      <w:r>
        <w:rPr>
          <w:spacing w:val="-2"/>
        </w:rPr>
        <w:t>系统运行效率等方式</w:t>
      </w:r>
      <w:r>
        <w:rPr>
          <w:spacing w:val="-51"/>
        </w:rPr>
        <w:t> </w:t>
      </w:r>
      <w:r>
        <w:rPr>
          <w:spacing w:val="-2"/>
        </w:rPr>
        <w:t>以满足用户多样化、个性化、快捷、高效的通信需求，巩固和争取更多市场份额。因此，未来几年，电信运营商对运维管理</w:t>
      </w:r>
      <w:r>
        <w:rPr>
          <w:spacing w:val="-72"/>
        </w:rPr>
        <w:t> </w:t>
      </w:r>
      <w:r>
        <w:rPr>
          <w:spacing w:val="-72"/>
        </w:rPr>
      </w:r>
      <w:r>
        <w:rPr/>
        <w:t>的投资将继续保持增长态势，为公司运维管理业务的发展提供了有力的市场基础。</w:t>
      </w:r>
    </w:p>
    <w:p>
      <w:pPr>
        <w:pStyle w:val="BodyText"/>
        <w:spacing w:line="477" w:lineRule="auto" w:before="63"/>
        <w:ind w:right="1131" w:firstLine="360"/>
        <w:jc w:val="both"/>
      </w:pPr>
      <w:r>
        <w:rPr>
          <w:spacing w:val="-2"/>
        </w:rPr>
        <w:t>公司将紧密跟踪电信运营商多样化的业务需求，进一步丰富运维管理业务线、提升产品性能与功能，深化和巩固在电信</w:t>
      </w:r>
      <w:r>
        <w:rPr/>
        <w:t> </w:t>
      </w:r>
      <w:r>
        <w:rPr>
          <w:spacing w:val="-2"/>
        </w:rPr>
        <w:t>行业的市场地位。同时，进一步加大向金融、能源、政府部门等领域的横向拓展的力度，提升在该等领域市场份额，稳定经</w:t>
      </w:r>
      <w:r>
        <w:rPr>
          <w:spacing w:val="-70"/>
        </w:rPr>
        <w:t> </w:t>
      </w:r>
      <w:r>
        <w:rPr>
          <w:spacing w:val="-70"/>
        </w:rPr>
      </w:r>
      <w:r>
        <w:rPr/>
        <w:t>营，降低风险。</w:t>
      </w:r>
    </w:p>
    <w:p>
      <w:pPr>
        <w:pStyle w:val="BodyText"/>
        <w:spacing w:line="451" w:lineRule="auto" w:before="54"/>
        <w:ind w:left="1493" w:right="0" w:firstLine="1"/>
        <w:jc w:val="left"/>
      </w:pPr>
      <w:r>
        <w:rPr>
          <w:rFonts w:ascii="Times New Roman" w:hAnsi="Times New Roman" w:cs="Times New Roman" w:eastAsia="Times New Roman" w:hint="default"/>
          <w:b/>
          <w:bCs/>
        </w:rPr>
        <w:t>2</w:t>
      </w:r>
      <w:r>
        <w:rPr>
          <w:rFonts w:ascii="宋体" w:hAnsi="宋体" w:cs="宋体" w:eastAsia="宋体" w:hint="default"/>
          <w:b/>
          <w:bCs/>
        </w:rPr>
        <w:t>、游戏产品开发风险</w:t>
      </w:r>
      <w:r>
        <w:rPr>
          <w:rFonts w:ascii="宋体" w:hAnsi="宋体" w:cs="宋体" w:eastAsia="宋体" w:hint="default"/>
          <w:b/>
          <w:bCs/>
          <w:w w:val="99"/>
        </w:rPr>
        <w:t> </w:t>
      </w:r>
      <w:r>
        <w:rPr>
          <w:spacing w:val="-2"/>
        </w:rPr>
        <w:t>游戏产品具有更新快、可模仿性较高、玩家喜好转换快、市场竞争激烈等特点，如果公司无法持续推出受玩家认可的成</w:t>
      </w:r>
    </w:p>
    <w:p>
      <w:pPr>
        <w:pStyle w:val="BodyText"/>
        <w:spacing w:line="477" w:lineRule="auto" w:before="74"/>
        <w:ind w:right="1133"/>
        <w:jc w:val="both"/>
      </w:pPr>
      <w:r>
        <w:rPr>
          <w:spacing w:val="-2"/>
        </w:rPr>
        <w:t>功的游戏产品，或由于游戏研发周期延长、推广时间延长等原因造成游戏无法按计划推出，从而造成老游戏盈利能力出现下</w:t>
      </w:r>
      <w:r>
        <w:rPr>
          <w:spacing w:val="-66"/>
        </w:rPr>
        <w:t> </w:t>
      </w:r>
      <w:r>
        <w:rPr>
          <w:spacing w:val="-66"/>
        </w:rPr>
      </w:r>
      <w:r>
        <w:rPr/>
        <w:t>滑时，新游戏无法成功按时推出难以弥补老游戏收入的下滑，则将对公司的运营产生不利影响。</w:t>
      </w:r>
    </w:p>
    <w:p>
      <w:pPr>
        <w:spacing w:after="0" w:line="477" w:lineRule="auto"/>
        <w:jc w:val="both"/>
        <w:sectPr>
          <w:pgSz w:w="11910" w:h="16840"/>
          <w:pgMar w:header="851" w:footer="979" w:top="1380" w:bottom="1160" w:left="0" w:right="0"/>
        </w:sectPr>
      </w:pPr>
    </w:p>
    <w:p>
      <w:pPr>
        <w:pStyle w:val="BodyText"/>
        <w:spacing w:line="451" w:lineRule="auto" w:before="141"/>
        <w:ind w:left="1493" w:right="1033" w:firstLine="1"/>
        <w:jc w:val="left"/>
      </w:pPr>
      <w:r>
        <w:rPr>
          <w:rFonts w:ascii="Times New Roman" w:hAnsi="Times New Roman" w:cs="Times New Roman" w:eastAsia="Times New Roman" w:hint="default"/>
          <w:b/>
          <w:bCs/>
        </w:rPr>
        <w:t>3</w:t>
      </w:r>
      <w:r>
        <w:rPr>
          <w:rFonts w:ascii="宋体" w:hAnsi="宋体" w:cs="宋体" w:eastAsia="宋体" w:hint="default"/>
          <w:b/>
          <w:bCs/>
        </w:rPr>
        <w:t>、对高端人才的持续需求</w:t>
      </w:r>
      <w:r>
        <w:rPr>
          <w:rFonts w:ascii="宋体" w:hAnsi="宋体" w:cs="宋体" w:eastAsia="宋体" w:hint="default"/>
          <w:b/>
          <w:bCs/>
          <w:w w:val="99"/>
        </w:rPr>
        <w:t> </w:t>
      </w:r>
      <w:r>
        <w:rPr/>
        <w:t>公司属于知识密集型、智力密集型行业，高端人才储备不足将制约着企业的进一步发展。随着公司业务规模不断扩大，</w:t>
      </w:r>
    </w:p>
    <w:p>
      <w:pPr>
        <w:pStyle w:val="BodyText"/>
        <w:spacing w:line="468" w:lineRule="auto" w:before="74"/>
        <w:ind w:right="0"/>
        <w:jc w:val="left"/>
      </w:pPr>
      <w:r>
        <w:rPr>
          <w:spacing w:val="-4"/>
        </w:rPr>
        <w:t>以及互联网、网络优化业务领域等业务线、产品线的不断丰富，对软件高级技术人员、营销人员和管理人员具有较大的需求。</w:t>
      </w:r>
      <w:r>
        <w:rPr>
          <w:spacing w:val="-46"/>
        </w:rPr>
        <w:t> </w:t>
      </w:r>
      <w:r>
        <w:rPr>
          <w:spacing w:val="-46"/>
        </w:rPr>
      </w:r>
      <w:r>
        <w:rPr>
          <w:spacing w:val="-2"/>
        </w:rPr>
        <w:t>如何保持现有技术队伍和管理层的稳定、提高业务人员专业水平和综合素质、培养和引进优秀人才，对公司的快速发展至关</w:t>
      </w:r>
      <w:r>
        <w:rPr>
          <w:spacing w:val="-66"/>
        </w:rPr>
        <w:t> </w:t>
      </w:r>
      <w:r>
        <w:rPr>
          <w:spacing w:val="-66"/>
        </w:rPr>
      </w:r>
      <w:r>
        <w:rPr/>
        <w:t>重要。为此，公司将始终坚持</w:t>
      </w:r>
      <w:r>
        <w:rPr>
          <w:rFonts w:ascii="Times New Roman" w:hAnsi="Times New Roman" w:cs="Times New Roman" w:eastAsia="Times New Roman" w:hint="default"/>
        </w:rPr>
        <w:t>“</w:t>
      </w:r>
      <w:r>
        <w:rPr/>
        <w:t>高绩效、高贡献、高回报</w:t>
      </w:r>
      <w:r>
        <w:rPr>
          <w:rFonts w:ascii="Times New Roman" w:hAnsi="Times New Roman" w:cs="Times New Roman" w:eastAsia="Times New Roman" w:hint="default"/>
        </w:rPr>
        <w:t>”</w:t>
      </w:r>
      <w:r>
        <w:rPr/>
        <w:t>的人才发展观，通过提升薪资竞争力提高人才的吸引力，通过为员 工创造良好的职业发展环境、营造适宜的企业文化氛围等系统性的措施来吸引、留住和激励人才。</w:t>
      </w:r>
    </w:p>
    <w:p>
      <w:pPr>
        <w:pStyle w:val="BodyText"/>
        <w:spacing w:line="451" w:lineRule="auto" w:before="61"/>
        <w:ind w:left="1494" w:right="1118" w:firstLine="1"/>
        <w:jc w:val="left"/>
      </w:pPr>
      <w:r>
        <w:rPr>
          <w:rFonts w:ascii="Times New Roman" w:hAnsi="Times New Roman" w:cs="Times New Roman" w:eastAsia="Times New Roman" w:hint="default"/>
          <w:b/>
          <w:bCs/>
        </w:rPr>
        <w:t>4</w:t>
      </w:r>
      <w:r>
        <w:rPr>
          <w:rFonts w:ascii="宋体" w:hAnsi="宋体" w:cs="宋体" w:eastAsia="宋体" w:hint="default"/>
          <w:b/>
          <w:bCs/>
        </w:rPr>
        <w:t>、集团化管理</w:t>
      </w:r>
      <w:r>
        <w:rPr>
          <w:rFonts w:ascii="宋体" w:hAnsi="宋体" w:cs="宋体" w:eastAsia="宋体" w:hint="default"/>
          <w:b/>
          <w:bCs/>
          <w:w w:val="99"/>
        </w:rPr>
        <w:t> </w:t>
      </w:r>
      <w:r>
        <w:rPr>
          <w:spacing w:val="-2"/>
        </w:rPr>
        <w:t>随着公司资产规模、业务规模的扩大，在战略规划、组织机构设置、企业文化建设、资源配置、运营管理，特别是资金</w:t>
      </w:r>
    </w:p>
    <w:p>
      <w:pPr>
        <w:pStyle w:val="BodyText"/>
        <w:spacing w:line="475" w:lineRule="auto" w:before="74"/>
        <w:ind w:left="1134" w:right="1130"/>
        <w:jc w:val="both"/>
      </w:pPr>
      <w:r>
        <w:rPr>
          <w:spacing w:val="-2"/>
        </w:rPr>
        <w:t>管理、人才管理、内部控制等方面以及如何整合、发挥协同效应，都将对管理水平提出更大的挑战。为此，公司继续坚持基</w:t>
      </w:r>
      <w:r>
        <w:rPr>
          <w:spacing w:val="-68"/>
        </w:rPr>
        <w:t> </w:t>
      </w:r>
      <w:r>
        <w:rPr>
          <w:spacing w:val="-68"/>
        </w:rPr>
      </w:r>
      <w:r>
        <w:rPr>
          <w:spacing w:val="-2"/>
        </w:rPr>
        <w:t>于扁平化的组织体系和以绩效为核心的管理机制，缩短决策链条、提升决策效率，以交付价值为指导思想深入组织结构的优</w:t>
      </w:r>
      <w:r>
        <w:rPr>
          <w:spacing w:val="-66"/>
        </w:rPr>
        <w:t> </w:t>
      </w:r>
      <w:r>
        <w:rPr>
          <w:spacing w:val="-66"/>
        </w:rPr>
      </w:r>
      <w:r>
        <w:rPr/>
        <w:t>化与调整，不断加强内部管控，建立规范化的流程管理和项目管理体系，控制成本支出、提升整体管理效能。</w:t>
      </w:r>
    </w:p>
    <w:p>
      <w:pPr>
        <w:spacing w:line="240" w:lineRule="auto" w:before="8"/>
        <w:rPr>
          <w:rFonts w:ascii="宋体" w:hAnsi="宋体" w:cs="宋体" w:eastAsia="宋体" w:hint="default"/>
          <w:sz w:val="17"/>
          <w:szCs w:val="17"/>
        </w:rPr>
      </w:pPr>
    </w:p>
    <w:p>
      <w:pPr>
        <w:pStyle w:val="Heading2"/>
        <w:spacing w:line="240" w:lineRule="auto"/>
        <w:ind w:left="1133"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年度业绩情况、</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 发展策略等方面。</w:t>
            </w:r>
          </w:p>
        </w:tc>
      </w:tr>
    </w:tbl>
    <w:p>
      <w:pPr>
        <w:spacing w:after="0" w:line="302"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right="1114"/>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32"/>
          <w:szCs w:val="32"/>
        </w:rPr>
      </w:pPr>
    </w:p>
    <w:p>
      <w:pPr>
        <w:pStyle w:val="Heading6"/>
        <w:spacing w:line="240" w:lineRule="auto"/>
        <w:ind w:right="0"/>
        <w:jc w:val="left"/>
        <w:rPr>
          <w:b w:val="0"/>
          <w:bCs w:val="0"/>
        </w:rPr>
      </w:pPr>
      <w:r>
        <w:rPr/>
        <w:t>报告期内普通股利润分配政策，特别是现金分红政策的制定、执行或调整情况</w:t>
      </w:r>
      <w:r>
        <w:rPr>
          <w:b w:val="0"/>
          <w:bCs w:val="0"/>
        </w:rPr>
      </w:r>
    </w:p>
    <w:p>
      <w:pPr>
        <w:spacing w:line="240" w:lineRule="auto" w:before="9"/>
        <w:rPr>
          <w:rFonts w:ascii="宋体" w:hAnsi="宋体" w:cs="宋体" w:eastAsia="宋体" w:hint="default"/>
          <w:b/>
          <w:bCs/>
          <w:sz w:val="20"/>
          <w:szCs w:val="20"/>
        </w:rPr>
      </w:pPr>
    </w:p>
    <w:p>
      <w:pPr>
        <w:spacing w:before="0"/>
        <w:ind w:left="149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6"/>
          <w:szCs w:val="16"/>
        </w:rPr>
      </w:pPr>
    </w:p>
    <w:p>
      <w:pPr>
        <w:pStyle w:val="BodyText"/>
        <w:spacing w:line="240" w:lineRule="auto"/>
        <w:ind w:left="1494" w:right="0"/>
        <w:jc w:val="left"/>
      </w:pP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15</w:t>
      </w:r>
      <w:r>
        <w:rPr>
          <w:spacing w:val="8"/>
        </w:rPr>
        <w:t>日，公司</w:t>
      </w:r>
      <w:r>
        <w:rPr>
          <w:rFonts w:ascii="Times New Roman" w:hAnsi="Times New Roman" w:cs="Times New Roman" w:eastAsia="Times New Roman" w:hint="default"/>
          <w:spacing w:val="8"/>
        </w:rPr>
        <w:t>2014</w:t>
      </w:r>
      <w:r>
        <w:rPr>
          <w:spacing w:val="8"/>
        </w:rPr>
        <w:t>年度股东大会审议通过了《</w:t>
      </w:r>
      <w:r>
        <w:rPr>
          <w:rFonts w:ascii="Times New Roman" w:hAnsi="Times New Roman" w:cs="Times New Roman" w:eastAsia="Times New Roman" w:hint="default"/>
          <w:spacing w:val="8"/>
        </w:rPr>
        <w:t>2014</w:t>
      </w:r>
      <w:r>
        <w:rPr>
          <w:spacing w:val="8"/>
        </w:rPr>
        <w:t>年度利润分派预案》，</w:t>
      </w:r>
      <w:r>
        <w:rPr>
          <w:spacing w:val="56"/>
        </w:rPr>
        <w:t> </w:t>
      </w:r>
      <w:r>
        <w:rPr>
          <w:spacing w:val="8"/>
        </w:rPr>
        <w:t>以公司</w:t>
      </w:r>
      <w:r>
        <w:rPr>
          <w:rFonts w:ascii="Times New Roman" w:hAnsi="Times New Roman" w:cs="Times New Roman" w:eastAsia="Times New Roman" w:hint="default"/>
          <w:spacing w:val="8"/>
        </w:rPr>
        <w:t>2015</w:t>
      </w:r>
      <w:r>
        <w:rPr>
          <w:spacing w:val="8"/>
        </w:rPr>
        <w:t>年</w:t>
      </w:r>
      <w:r>
        <w:rPr>
          <w:rFonts w:ascii="Times New Roman" w:hAnsi="Times New Roman" w:cs="Times New Roman" w:eastAsia="Times New Roman" w:hint="default"/>
          <w:spacing w:val="8"/>
        </w:rPr>
        <w:t>3</w:t>
      </w:r>
      <w:r>
        <w:rPr>
          <w:spacing w:val="8"/>
        </w:rPr>
        <w:t>月</w:t>
      </w:r>
      <w:r>
        <w:rPr>
          <w:rFonts w:ascii="Times New Roman" w:hAnsi="Times New Roman" w:cs="Times New Roman" w:eastAsia="Times New Roman" w:hint="default"/>
          <w:spacing w:val="8"/>
        </w:rPr>
        <w:t>31</w:t>
      </w:r>
      <w:r>
        <w:rPr>
          <w:spacing w:val="8"/>
        </w:rPr>
        <w:t>日总股本</w:t>
      </w:r>
    </w:p>
    <w:p>
      <w:pPr>
        <w:spacing w:line="240" w:lineRule="auto" w:before="9"/>
        <w:rPr>
          <w:rFonts w:ascii="宋体" w:hAnsi="宋体" w:cs="宋体" w:eastAsia="宋体" w:hint="default"/>
          <w:sz w:val="16"/>
          <w:szCs w:val="16"/>
        </w:rPr>
      </w:pPr>
    </w:p>
    <w:p>
      <w:pPr>
        <w:pStyle w:val="BodyText"/>
        <w:spacing w:line="451" w:lineRule="auto"/>
        <w:ind w:right="1123"/>
        <w:jc w:val="left"/>
      </w:pPr>
      <w:r>
        <w:rPr>
          <w:rFonts w:ascii="Times New Roman" w:hAnsi="Times New Roman" w:cs="Times New Roman" w:eastAsia="Times New Roman" w:hint="default"/>
        </w:rPr>
        <w:t>1,327,841,494</w:t>
      </w:r>
      <w:r>
        <w:rPr/>
        <w:t>为基数，向全体股东以每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1.2</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股。此</w:t>
      </w:r>
      <w:r>
        <w:rPr>
          <w:spacing w:val="-85"/>
        </w:rPr>
        <w:t> </w:t>
      </w:r>
      <w:r>
        <w:rPr/>
        <w:t>次共计分配现金红利</w:t>
      </w:r>
      <w:r>
        <w:rPr>
          <w:rFonts w:ascii="Times New Roman" w:hAnsi="Times New Roman" w:cs="Times New Roman" w:eastAsia="Times New Roman" w:hint="default"/>
        </w:rPr>
        <w:t>159,340,979.28</w:t>
      </w:r>
      <w:r>
        <w:rPr/>
        <w:t>元（含税），转增</w:t>
      </w:r>
      <w:r>
        <w:rPr>
          <w:rFonts w:ascii="Times New Roman" w:hAnsi="Times New Roman" w:cs="Times New Roman" w:eastAsia="Times New Roman" w:hint="default"/>
        </w:rPr>
        <w:t>663,920,747</w:t>
      </w:r>
      <w:r>
        <w:rPr/>
        <w:t>股。</w:t>
      </w:r>
    </w:p>
    <w:p>
      <w:pPr>
        <w:pStyle w:val="BodyText"/>
        <w:spacing w:line="458" w:lineRule="auto" w:before="43"/>
        <w:ind w:right="0" w:firstLine="360"/>
        <w:jc w:val="left"/>
      </w:pPr>
      <w:r>
        <w:rPr>
          <w:spacing w:val="-2"/>
        </w:rPr>
        <w:t>鉴于公司股东大会审议通过了《关于发行股份及支付现金购买资产业绩承诺补偿方案暨定向回购李毅、李章晶及天津骆</w:t>
      </w:r>
      <w:r>
        <w:rPr/>
        <w:t> </w:t>
      </w:r>
      <w:r>
        <w:rPr>
          <w:spacing w:val="6"/>
        </w:rPr>
        <w:t>壳应补偿公司股份的议案》，并于</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22</w:t>
      </w:r>
      <w:r>
        <w:rPr>
          <w:spacing w:val="6"/>
        </w:rPr>
        <w:t>日完成了相应股份的回购及注销。公司股份总数由</w:t>
      </w:r>
      <w:r>
        <w:rPr>
          <w:rFonts w:ascii="Times New Roman" w:hAnsi="Times New Roman" w:cs="Times New Roman" w:eastAsia="Times New Roman" w:hint="default"/>
          <w:spacing w:val="6"/>
        </w:rPr>
        <w:t>1,327,841,494</w:t>
      </w:r>
      <w:r>
        <w:rPr>
          <w:spacing w:val="6"/>
        </w:rPr>
        <w:t>变更为</w:t>
      </w:r>
      <w:r>
        <w:rPr>
          <w:spacing w:val="-66"/>
        </w:rPr>
        <w:t> </w:t>
      </w:r>
      <w:r>
        <w:rPr>
          <w:spacing w:val="-66"/>
        </w:rPr>
      </w:r>
      <w:r>
        <w:rPr>
          <w:rFonts w:ascii="Times New Roman" w:hAnsi="Times New Roman" w:cs="Times New Roman" w:eastAsia="Times New Roman" w:hint="default"/>
        </w:rPr>
        <w:t>1,322,550,024</w:t>
      </w:r>
      <w:r>
        <w:rPr/>
        <w:t>股。 按照</w:t>
      </w:r>
      <w:r>
        <w:rPr>
          <w:rFonts w:ascii="Times New Roman" w:hAnsi="Times New Roman" w:cs="Times New Roman" w:eastAsia="Times New Roman" w:hint="default"/>
        </w:rPr>
        <w:t>“</w:t>
      </w:r>
      <w:r>
        <w:rPr/>
        <w:t>现金分红总额、送红股总额、转增股本总额固定不变</w:t>
      </w:r>
      <w:r>
        <w:rPr>
          <w:rFonts w:ascii="Times New Roman" w:hAnsi="Times New Roman" w:cs="Times New Roman" w:eastAsia="Times New Roman" w:hint="default"/>
        </w:rPr>
        <w:t>”</w:t>
      </w:r>
      <w:r>
        <w:rPr/>
        <w:t>的原则，公司按最新股本计算的</w:t>
      </w:r>
      <w:r>
        <w:rPr>
          <w:rFonts w:ascii="Times New Roman" w:hAnsi="Times New Roman" w:cs="Times New Roman" w:eastAsia="Times New Roman" w:hint="default"/>
        </w:rPr>
        <w:t>2014</w:t>
      </w:r>
      <w:r>
        <w:rPr/>
        <w:t>年度权</w:t>
      </w:r>
      <w:r>
        <w:rPr>
          <w:spacing w:val="-26"/>
        </w:rPr>
        <w:t> </w:t>
      </w:r>
      <w:r>
        <w:rPr>
          <w:spacing w:val="-3"/>
        </w:rPr>
        <w:t>益分派方案为：以公司总股本</w:t>
      </w:r>
      <w:r>
        <w:rPr>
          <w:rFonts w:ascii="Times New Roman" w:hAnsi="Times New Roman" w:cs="Times New Roman" w:eastAsia="Times New Roman" w:hint="default"/>
          <w:spacing w:val="-3"/>
        </w:rPr>
        <w:t>1,322,550,024</w:t>
      </w:r>
      <w:r>
        <w:rPr>
          <w:spacing w:val="-3"/>
        </w:rPr>
        <w:t>股为基数，向全体股东以每 </w:t>
      </w:r>
      <w:r>
        <w:rPr>
          <w:rFonts w:ascii="Times New Roman" w:hAnsi="Times New Roman" w:cs="Times New Roman" w:eastAsia="Times New Roman" w:hint="default"/>
        </w:rPr>
        <w:t>10 </w:t>
      </w:r>
      <w:r>
        <w:rPr/>
        <w:t>股派发现金红利</w:t>
      </w:r>
      <w:r>
        <w:rPr>
          <w:spacing w:val="31"/>
        </w:rPr>
        <w:t> </w:t>
      </w:r>
      <w:r>
        <w:rPr>
          <w:rFonts w:ascii="Times New Roman" w:hAnsi="Times New Roman" w:cs="Times New Roman" w:eastAsia="Times New Roman" w:hint="default"/>
          <w:spacing w:val="-5"/>
        </w:rPr>
        <w:t>1.204801</w:t>
      </w:r>
      <w:r>
        <w:rPr>
          <w:spacing w:val="-5"/>
        </w:rPr>
        <w:t>元人民币现金（含税），</w:t>
      </w:r>
      <w:r>
        <w:rPr/>
        <w:t> 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5.020004</w:t>
      </w:r>
      <w:r>
        <w:rPr/>
        <w:t>股。</w:t>
      </w:r>
    </w:p>
    <w:p>
      <w:pPr>
        <w:pStyle w:val="BodyText"/>
        <w:spacing w:line="451" w:lineRule="auto" w:before="38"/>
        <w:ind w:left="1134" w:right="1122" w:firstLine="360"/>
        <w:jc w:val="left"/>
      </w:pPr>
      <w:r>
        <w:rPr/>
        <w:t>根据</w:t>
      </w:r>
      <w:r>
        <w:rPr>
          <w:rFonts w:ascii="Times New Roman" w:hAnsi="Times New Roman" w:cs="Times New Roman" w:eastAsia="Times New Roman" w:hint="default"/>
        </w:rPr>
        <w:t>2014</w:t>
      </w:r>
      <w:r>
        <w:rPr/>
        <w:t>年度股东大会决议，公司于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日在巨潮资讯网刊登了《</w:t>
      </w:r>
      <w:r>
        <w:rPr>
          <w:rFonts w:ascii="Times New Roman" w:hAnsi="Times New Roman" w:cs="Times New Roman" w:eastAsia="Times New Roman" w:hint="default"/>
        </w:rPr>
        <w:t>2014</w:t>
      </w:r>
      <w:r>
        <w:rPr/>
        <w:t>年度权益分派实施的公告》，本次权益 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日。截止本报告期末，该利润分配方案已实施完毕。</w:t>
      </w:r>
    </w:p>
    <w:p>
      <w:pPr>
        <w:spacing w:line="240" w:lineRule="auto" w:before="5"/>
        <w:rPr>
          <w:rFonts w:ascii="宋体" w:hAnsi="宋体" w:cs="宋体" w:eastAsia="宋体" w:hint="default"/>
          <w:sz w:val="20"/>
          <w:szCs w:val="20"/>
        </w:rPr>
      </w:pPr>
    </w:p>
    <w:tbl>
      <w:tblPr>
        <w:tblW w:w="0" w:type="auto"/>
        <w:jc w:val="left"/>
        <w:tblInd w:w="1129" w:type="dxa"/>
        <w:tblLayout w:type="fixed"/>
        <w:tblCellMar>
          <w:top w:w="0" w:type="dxa"/>
          <w:left w:w="0" w:type="dxa"/>
          <w:bottom w:w="0" w:type="dxa"/>
          <w:right w:w="0" w:type="dxa"/>
        </w:tblCellMar>
        <w:tblLook w:val="01E0"/>
      </w:tblPr>
      <w:tblGrid>
        <w:gridCol w:w="5104"/>
        <w:gridCol w:w="4464"/>
      </w:tblGrid>
      <w:tr>
        <w:trPr>
          <w:trHeight w:val="44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80"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right="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22" w:hRule="exact"/>
        </w:trPr>
        <w:tc>
          <w:tcPr>
            <w:tcW w:w="5104" w:type="dxa"/>
            <w:tcBorders>
              <w:top w:val="single" w:sz="31" w:space="0" w:color="D2D2D2"/>
              <w:left w:val="single" w:sz="4" w:space="0" w:color="000000"/>
              <w:bottom w:val="nil" w:sz="6" w:space="0" w:color="auto"/>
              <w:right w:val="single" w:sz="4" w:space="0" w:color="000000"/>
            </w:tcBorders>
          </w:tcPr>
          <w:p>
            <w:pPr/>
          </w:p>
        </w:tc>
        <w:tc>
          <w:tcPr>
            <w:tcW w:w="4464" w:type="dxa"/>
            <w:vMerge w:val="restart"/>
            <w:tcBorders>
              <w:top w:val="single" w:sz="4" w:space="0" w:color="000000"/>
              <w:left w:val="single" w:sz="13"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6" w:hRule="exact"/>
        </w:trPr>
        <w:tc>
          <w:tcPr>
            <w:tcW w:w="51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464" w:type="dxa"/>
            <w:vMerge/>
            <w:tcBorders>
              <w:left w:val="single" w:sz="13" w:space="0" w:color="D2D2D2"/>
              <w:bottom w:val="single" w:sz="4" w:space="0" w:color="000000"/>
              <w:right w:val="single" w:sz="4" w:space="0" w:color="000000"/>
            </w:tcBorders>
          </w:tcPr>
          <w:p>
            <w:pPr/>
          </w:p>
        </w:tc>
      </w:tr>
      <w:tr>
        <w:trPr>
          <w:trHeight w:val="122" w:hRule="exact"/>
        </w:trPr>
        <w:tc>
          <w:tcPr>
            <w:tcW w:w="5104" w:type="dxa"/>
            <w:tcBorders>
              <w:top w:val="single" w:sz="66" w:space="0" w:color="D2D2D2"/>
              <w:left w:val="single" w:sz="4" w:space="0" w:color="000000"/>
              <w:bottom w:val="nil" w:sz="6" w:space="0" w:color="auto"/>
              <w:right w:val="single" w:sz="4" w:space="0" w:color="000000"/>
            </w:tcBorders>
          </w:tcPr>
          <w:p>
            <w:pPr/>
          </w:p>
        </w:tc>
        <w:tc>
          <w:tcPr>
            <w:tcW w:w="4464" w:type="dxa"/>
            <w:vMerge w:val="restart"/>
            <w:tcBorders>
              <w:top w:val="single" w:sz="4" w:space="0" w:color="000000"/>
              <w:left w:val="single" w:sz="13"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6" w:hRule="exact"/>
        </w:trPr>
        <w:tc>
          <w:tcPr>
            <w:tcW w:w="51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464" w:type="dxa"/>
            <w:vMerge/>
            <w:tcBorders>
              <w:left w:val="single" w:sz="13" w:space="0" w:color="D2D2D2"/>
              <w:bottom w:val="single" w:sz="4" w:space="0" w:color="000000"/>
              <w:right w:val="single" w:sz="4" w:space="0" w:color="000000"/>
            </w:tcBorders>
          </w:tcPr>
          <w:p>
            <w:pPr/>
          </w:p>
        </w:tc>
      </w:tr>
      <w:tr>
        <w:trPr>
          <w:trHeight w:val="122" w:hRule="exact"/>
        </w:trPr>
        <w:tc>
          <w:tcPr>
            <w:tcW w:w="5104" w:type="dxa"/>
            <w:tcBorders>
              <w:top w:val="single" w:sz="31" w:space="0" w:color="D2D2D2"/>
              <w:left w:val="single" w:sz="4" w:space="0" w:color="000000"/>
              <w:bottom w:val="nil" w:sz="6" w:space="0" w:color="auto"/>
              <w:right w:val="single" w:sz="4" w:space="0" w:color="000000"/>
            </w:tcBorders>
          </w:tcPr>
          <w:p>
            <w:pPr/>
          </w:p>
        </w:tc>
        <w:tc>
          <w:tcPr>
            <w:tcW w:w="4464" w:type="dxa"/>
            <w:vMerge w:val="restart"/>
            <w:tcBorders>
              <w:top w:val="single" w:sz="4" w:space="0" w:color="000000"/>
              <w:left w:val="single" w:sz="13" w:space="0" w:color="D2D2D2"/>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36" w:hRule="exact"/>
        </w:trPr>
        <w:tc>
          <w:tcPr>
            <w:tcW w:w="51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464" w:type="dxa"/>
            <w:vMerge/>
            <w:tcBorders>
              <w:left w:val="single" w:sz="13" w:space="0" w:color="D2D2D2"/>
              <w:bottom w:val="single" w:sz="4" w:space="0" w:color="000000"/>
              <w:right w:val="single" w:sz="4" w:space="0" w:color="000000"/>
            </w:tcBorders>
          </w:tcPr>
          <w:p>
            <w:pPr/>
          </w:p>
        </w:tc>
      </w:tr>
      <w:tr>
        <w:trPr>
          <w:trHeight w:val="794" w:hRule="exact"/>
        </w:trPr>
        <w:tc>
          <w:tcPr>
            <w:tcW w:w="5104"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90"/>
              <w:ind w:left="22" w:right="3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 到了充分保护：</w:t>
            </w:r>
          </w:p>
        </w:tc>
        <w:tc>
          <w:tcPr>
            <w:tcW w:w="4464" w:type="dxa"/>
            <w:tcBorders>
              <w:top w:val="single" w:sz="4" w:space="0" w:color="000000"/>
              <w:left w:val="single" w:sz="13" w:space="0" w:color="D2D2D2"/>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17" w:hRule="exact"/>
        </w:trPr>
        <w:tc>
          <w:tcPr>
            <w:tcW w:w="5104"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464"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8"/>
              <w:ind w:right="9"/>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宋体" w:hAnsi="宋体" w:cs="宋体" w:eastAsia="宋体" w:hint="default"/>
          <w:sz w:val="6"/>
          <w:szCs w:val="6"/>
        </w:rPr>
      </w:pPr>
    </w:p>
    <w:p>
      <w:pPr>
        <w:pStyle w:val="Heading6"/>
        <w:spacing w:line="240" w:lineRule="auto" w:before="44"/>
        <w:ind w:left="1134" w:right="0"/>
        <w:jc w:val="left"/>
        <w:rPr>
          <w:b w:val="0"/>
          <w:bCs w:val="0"/>
        </w:rPr>
      </w:pPr>
      <w:r>
        <w:rPr/>
        <w:t>公司报告期利润分配预案及资本公积金转增股本预案与公司章程和分红管理办法等的相关规定一致</w:t>
      </w:r>
      <w:r>
        <w:rPr>
          <w:b w:val="0"/>
          <w:bCs w:val="0"/>
        </w:rPr>
      </w:r>
    </w:p>
    <w:p>
      <w:pPr>
        <w:spacing w:line="240" w:lineRule="auto" w:before="12"/>
        <w:rPr>
          <w:rFonts w:ascii="宋体" w:hAnsi="宋体" w:cs="宋体" w:eastAsia="宋体" w:hint="default"/>
          <w:b/>
          <w:bCs/>
          <w:sz w:val="20"/>
          <w:szCs w:val="20"/>
        </w:rPr>
      </w:pPr>
    </w:p>
    <w:p>
      <w:pPr>
        <w:pStyle w:val="BodyText"/>
        <w:spacing w:line="504" w:lineRule="auto"/>
        <w:ind w:right="4273"/>
        <w:jc w:val="left"/>
      </w:pPr>
      <w:r>
        <w:rPr>
          <w:rFonts w:ascii="Times New Roman" w:hAnsi="Times New Roman" w:cs="Times New Roman" w:eastAsia="Times New Roman" w:hint="default"/>
          <w:b/>
          <w:bCs/>
        </w:rPr>
        <w:t>√ </w:t>
      </w:r>
      <w:r>
        <w:rPr>
          <w:rFonts w:ascii="宋体" w:hAnsi="宋体" w:cs="宋体" w:eastAsia="宋体" w:hint="default"/>
          <w:b/>
          <w:bCs/>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p>
      <w:pPr>
        <w:spacing w:after="0" w:line="504" w:lineRule="auto"/>
        <w:jc w:val="left"/>
        <w:sectPr>
          <w:pgSz w:w="11910" w:h="16840"/>
          <w:pgMar w:header="851" w:footer="979" w:top="138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44"/>
        <w:ind w:left="0" w:right="1139"/>
        <w:jc w:val="right"/>
      </w:pPr>
      <w:r>
        <w:rPr/>
        <w:pict>
          <v:shape style="position:absolute;margin-left:56.459999pt;margin-top:-126.088295pt;width:479.2pt;height:270.7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6"/>
                    <w:gridCol w:w="5863"/>
                  </w:tblGrid>
                  <w:tr>
                    <w:trPr>
                      <w:trHeight w:val="409" w:hRule="exact"/>
                    </w:trPr>
                    <w:tc>
                      <w:tcPr>
                        <w:tcW w:w="370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97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451" w:lineRule="auto" w:before="12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经立信会计师事务所（特殊普通合伙）审计，公司</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年度实现归属于上市公司股东的净利润</w:t>
                        </w:r>
                        <w:r>
                          <w:rPr>
                            <w:rFonts w:ascii="Times New Roman" w:hAnsi="Times New Roman" w:cs="Times New Roman" w:eastAsia="Times New Roman" w:hint="default"/>
                            <w:spacing w:val="-3"/>
                            <w:sz w:val="18"/>
                            <w:szCs w:val="18"/>
                          </w:rPr>
                          <w:t>351,341,166.79</w:t>
                        </w:r>
                        <w:r>
                          <w:rPr>
                            <w:rFonts w:ascii="宋体" w:hAnsi="宋体" w:cs="宋体" w:eastAsia="宋体" w:hint="default"/>
                            <w:spacing w:val="-3"/>
                            <w:sz w:val="18"/>
                            <w:szCs w:val="18"/>
                          </w:rPr>
                          <w:t>元，其中</w:t>
                        </w:r>
                        <w:r>
                          <w:rPr>
                            <w:rFonts w:ascii="宋体" w:hAnsi="宋体" w:cs="宋体" w:eastAsia="宋体" w:hint="default"/>
                            <w:sz w:val="18"/>
                            <w:szCs w:val="18"/>
                          </w:rPr>
                          <w:t> </w:t>
                        </w:r>
                        <w:r>
                          <w:rPr>
                            <w:rFonts w:ascii="宋体" w:hAnsi="宋体" w:cs="宋体" w:eastAsia="宋体" w:hint="default"/>
                            <w:spacing w:val="-1"/>
                            <w:sz w:val="18"/>
                            <w:szCs w:val="18"/>
                          </w:rPr>
                          <w:t>母公司实现净利润</w:t>
                        </w:r>
                        <w:r>
                          <w:rPr>
                            <w:rFonts w:ascii="Times New Roman" w:hAnsi="Times New Roman" w:cs="Times New Roman" w:eastAsia="Times New Roman" w:hint="default"/>
                            <w:spacing w:val="-1"/>
                            <w:sz w:val="18"/>
                            <w:szCs w:val="18"/>
                          </w:rPr>
                          <w:t>205,668,131.65</w:t>
                        </w:r>
                        <w:r>
                          <w:rPr>
                            <w:rFonts w:ascii="宋体" w:hAnsi="宋体" w:cs="宋体" w:eastAsia="宋体" w:hint="default"/>
                            <w:spacing w:val="-1"/>
                            <w:sz w:val="18"/>
                            <w:szCs w:val="18"/>
                          </w:rPr>
                          <w:t>元。根据《公司法》和《公司章程》的有关规定，按</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年度母公司实现净利润的</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提</w:t>
                        </w:r>
                        <w:r>
                          <w:rPr>
                            <w:rFonts w:ascii="宋体" w:hAnsi="宋体" w:cs="宋体" w:eastAsia="宋体" w:hint="default"/>
                            <w:spacing w:val="-76"/>
                            <w:sz w:val="18"/>
                            <w:szCs w:val="18"/>
                          </w:rPr>
                          <w:t> </w:t>
                        </w:r>
                        <w:r>
                          <w:rPr>
                            <w:rFonts w:ascii="宋体" w:hAnsi="宋体" w:cs="宋体" w:eastAsia="宋体" w:hint="default"/>
                            <w:sz w:val="18"/>
                            <w:szCs w:val="18"/>
                          </w:rPr>
                          <w:t>取法定盈余公积金</w:t>
                        </w:r>
                        <w:r>
                          <w:rPr>
                            <w:rFonts w:ascii="Times New Roman" w:hAnsi="Times New Roman" w:cs="Times New Roman" w:eastAsia="Times New Roman" w:hint="default"/>
                            <w:sz w:val="18"/>
                            <w:szCs w:val="18"/>
                          </w:rPr>
                          <w:t>20,566,813.16</w:t>
                        </w:r>
                        <w:r>
                          <w:rPr>
                            <w:rFonts w:ascii="宋体" w:hAnsi="宋体" w:cs="宋体" w:eastAsia="宋体" w:hint="default"/>
                            <w:sz w:val="18"/>
                            <w:szCs w:val="18"/>
                          </w:rPr>
                          <w:t>元后，截至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日公司可供股东分配的利润为</w:t>
                        </w:r>
                        <w:r>
                          <w:rPr>
                            <w:rFonts w:ascii="Times New Roman" w:hAnsi="Times New Roman" w:cs="Times New Roman" w:eastAsia="Times New Roman" w:hint="default"/>
                            <w:sz w:val="18"/>
                            <w:szCs w:val="18"/>
                          </w:rPr>
                          <w:t>865,156,988.63</w:t>
                        </w:r>
                        <w:r>
                          <w:rPr>
                            <w:rFonts w:ascii="宋体" w:hAnsi="宋体" w:cs="宋体" w:eastAsia="宋体" w:hint="default"/>
                            <w:sz w:val="18"/>
                            <w:szCs w:val="18"/>
                          </w:rPr>
                          <w:t>元。</w:t>
                        </w:r>
                      </w:p>
                      <w:p>
                        <w:pPr>
                          <w:pStyle w:val="TableParagraph"/>
                          <w:spacing w:line="240" w:lineRule="auto" w:before="83"/>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公司现拟定如下分配方案：以未来实施分配方案时股权登记日的总股本为基数，向全体股东每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0.5</w:t>
                        </w:r>
                      </w:p>
                      <w:p>
                        <w:pPr>
                          <w:pStyle w:val="TableParagraph"/>
                          <w:spacing w:line="508" w:lineRule="exact" w:before="24"/>
                          <w:ind w:left="382" w:right="2559" w:hanging="360"/>
                          <w:jc w:val="left"/>
                          <w:rPr>
                            <w:rFonts w:ascii="宋体" w:hAnsi="宋体" w:cs="宋体" w:eastAsia="宋体" w:hint="default"/>
                            <w:sz w:val="18"/>
                            <w:szCs w:val="18"/>
                          </w:rPr>
                        </w:pPr>
                        <w:r>
                          <w:rPr>
                            <w:rFonts w:ascii="宋体" w:hAnsi="宋体" w:cs="宋体" w:eastAsia="宋体" w:hint="default"/>
                            <w:spacing w:val="-4"/>
                            <w:sz w:val="18"/>
                            <w:szCs w:val="18"/>
                          </w:rPr>
                          <w:t>元（含税）。共分配现金红利约</w:t>
                        </w:r>
                        <w:r>
                          <w:rPr>
                            <w:rFonts w:ascii="Times New Roman" w:hAnsi="Times New Roman" w:cs="Times New Roman" w:eastAsia="Times New Roman" w:hint="default"/>
                            <w:spacing w:val="-4"/>
                            <w:sz w:val="18"/>
                            <w:szCs w:val="18"/>
                          </w:rPr>
                          <w:t>99,799,393.40</w:t>
                        </w:r>
                        <w:r>
                          <w:rPr>
                            <w:rFonts w:ascii="宋体" w:hAnsi="宋体" w:cs="宋体" w:eastAsia="宋体" w:hint="default"/>
                            <w:spacing w:val="-4"/>
                            <w:sz w:val="18"/>
                            <w:szCs w:val="18"/>
                          </w:rPr>
                          <w:t>元（含税），剩余未分配利润结转以后年度。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本议案尚需提交</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年度股东大会审议。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487" w:lineRule="auto" w:before="44"/>
        <w:ind w:left="1493" w:right="0" w:hanging="360"/>
        <w:jc w:val="left"/>
        <w:rPr>
          <w:rFonts w:ascii="宋体" w:hAnsi="宋体" w:cs="宋体" w:eastAsia="宋体" w:hint="default"/>
          <w:sz w:val="18"/>
          <w:szCs w:val="18"/>
        </w:rPr>
      </w:pPr>
      <w:r>
        <w:rPr>
          <w:rFonts w:ascii="宋体" w:hAnsi="宋体" w:cs="宋体" w:eastAsia="宋体" w:hint="default"/>
          <w:b/>
          <w:bCs/>
          <w:w w:val="99"/>
          <w:sz w:val="18"/>
          <w:szCs w:val="18"/>
        </w:rPr>
        <w:t>公司近</w:t>
      </w:r>
      <w:r>
        <w:rPr>
          <w:rFonts w:ascii="宋体" w:hAnsi="宋体" w:cs="宋体" w:eastAsia="宋体" w:hint="default"/>
          <w:b/>
          <w:bCs/>
          <w:spacing w:val="-44"/>
          <w:w w:val="99"/>
          <w:sz w:val="18"/>
          <w:szCs w:val="18"/>
        </w:rPr>
        <w:t> </w:t>
      </w:r>
      <w:r>
        <w:rPr>
          <w:rFonts w:ascii="Times New Roman" w:hAnsi="Times New Roman" w:cs="Times New Roman" w:eastAsia="Times New Roman" w:hint="default"/>
          <w:b/>
          <w:bCs/>
          <w:sz w:val="18"/>
          <w:szCs w:val="18"/>
        </w:rPr>
        <w:t>3 </w:t>
      </w:r>
      <w:r>
        <w:rPr>
          <w:rFonts w:ascii="宋体" w:hAnsi="宋体" w:cs="宋体" w:eastAsia="宋体" w:hint="default"/>
          <w:b/>
          <w:bCs/>
          <w:spacing w:val="-2"/>
          <w:w w:val="99"/>
          <w:sz w:val="18"/>
          <w:szCs w:val="18"/>
        </w:rPr>
        <w:t>年（包括本报告期）的普通股股利分配方案（预案）、资本公积金转增股本方案（预案）情况</w:t>
      </w:r>
      <w:r>
        <w:rPr>
          <w:rFonts w:ascii="宋体" w:hAnsi="宋体" w:cs="宋体" w:eastAsia="宋体" w:hint="default"/>
          <w:b/>
          <w:bCs/>
          <w:spacing w:val="-79"/>
          <w:w w:val="99"/>
          <w:sz w:val="18"/>
          <w:szCs w:val="18"/>
        </w:rPr>
        <w:t> </w:t>
      </w:r>
      <w:r>
        <w:rPr>
          <w:rFonts w:ascii="宋体" w:hAnsi="宋体" w:cs="宋体" w:eastAsia="宋体" w:hint="default"/>
          <w:b/>
          <w:bCs/>
          <w:spacing w:val="-79"/>
          <w:w w:val="99"/>
          <w:sz w:val="18"/>
          <w:szCs w:val="18"/>
        </w:rPr>
      </w:r>
      <w:r>
        <w:rPr>
          <w:rFonts w:ascii="宋体" w:hAnsi="宋体" w:cs="宋体" w:eastAsia="宋体" w:hint="default"/>
          <w:spacing w:val="-2"/>
          <w:sz w:val="18"/>
          <w:szCs w:val="18"/>
        </w:rPr>
        <w:t>公司高度重视对股东的投资回报，严格执行公司章程的规定、持续贯彻稳定的股利分配政策，近三年的利润分配及资本</w:t>
      </w:r>
    </w:p>
    <w:p>
      <w:pPr>
        <w:pStyle w:val="BodyText"/>
        <w:spacing w:line="240" w:lineRule="auto" w:before="47"/>
        <w:ind w:right="0"/>
        <w:jc w:val="left"/>
      </w:pPr>
      <w:r>
        <w:rPr/>
        <w:t>公积金转增股本的情况如下：</w:t>
      </w:r>
    </w:p>
    <w:p>
      <w:pPr>
        <w:spacing w:line="240" w:lineRule="auto" w:before="10"/>
        <w:rPr>
          <w:rFonts w:ascii="宋体" w:hAnsi="宋体" w:cs="宋体" w:eastAsia="宋体" w:hint="default"/>
          <w:sz w:val="17"/>
          <w:szCs w:val="17"/>
        </w:rPr>
      </w:pPr>
    </w:p>
    <w:p>
      <w:pPr>
        <w:pStyle w:val="BodyText"/>
        <w:spacing w:line="451" w:lineRule="auto"/>
        <w:ind w:right="0" w:firstLine="36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2013</w:t>
      </w:r>
      <w:r>
        <w:rPr>
          <w:spacing w:val="-4"/>
        </w:rPr>
        <w:t>年度利润分配方案为：向全体股东按每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2.5</w:t>
      </w:r>
      <w:r>
        <w:rPr>
          <w:spacing w:val="-4"/>
        </w:rPr>
        <w:t>元（含税），共计派发现金红利</w:t>
      </w:r>
      <w:r>
        <w:rPr>
          <w:rFonts w:ascii="Times New Roman" w:hAnsi="Times New Roman" w:cs="Times New Roman" w:eastAsia="Times New Roman" w:hint="default"/>
          <w:spacing w:val="-4"/>
        </w:rPr>
        <w:t>15,380.41</w:t>
      </w:r>
      <w:r>
        <w:rPr>
          <w:spacing w:val="-4"/>
        </w:rPr>
        <w:t>万元（含</w:t>
      </w:r>
      <w:r>
        <w:rPr/>
        <w:t> 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615,216,384.00</w:t>
      </w:r>
      <w:r>
        <w:rPr/>
        <w:t>股。</w:t>
      </w:r>
    </w:p>
    <w:p>
      <w:pPr>
        <w:pStyle w:val="BodyText"/>
        <w:spacing w:line="451" w:lineRule="auto" w:before="43"/>
        <w:ind w:left="1134" w:right="0" w:firstLine="360"/>
        <w:jc w:val="left"/>
      </w:pPr>
      <w:r>
        <w:rPr>
          <w:spacing w:val="8"/>
        </w:rPr>
        <w:t>（</w:t>
      </w: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2014</w:t>
      </w:r>
      <w:r>
        <w:rPr>
          <w:spacing w:val="8"/>
        </w:rPr>
        <w:t>年度利润分配方案为：向全体股东按每</w:t>
      </w:r>
      <w:r>
        <w:rPr>
          <w:rFonts w:ascii="Times New Roman" w:hAnsi="Times New Roman" w:cs="Times New Roman" w:eastAsia="Times New Roman" w:hint="default"/>
          <w:spacing w:val="8"/>
        </w:rPr>
        <w:t>10</w:t>
      </w:r>
      <w:r>
        <w:rPr>
          <w:spacing w:val="8"/>
        </w:rPr>
        <w:t>股派发现金红利利</w:t>
      </w:r>
      <w:r>
        <w:rPr>
          <w:spacing w:val="56"/>
        </w:rPr>
        <w:t> </w:t>
      </w:r>
      <w:r>
        <w:rPr>
          <w:rFonts w:ascii="Times New Roman" w:hAnsi="Times New Roman" w:cs="Times New Roman" w:eastAsia="Times New Roman" w:hint="default"/>
          <w:spacing w:val="6"/>
        </w:rPr>
        <w:t>1.204801</w:t>
      </w:r>
      <w:r>
        <w:rPr>
          <w:spacing w:val="6"/>
        </w:rPr>
        <w:t>元（含税），共计派发现金红利</w:t>
      </w:r>
      <w:r>
        <w:rPr/>
        <w:t> </w:t>
      </w:r>
      <w:r>
        <w:rPr>
          <w:rFonts w:ascii="Times New Roman" w:hAnsi="Times New Roman" w:cs="Times New Roman" w:eastAsia="Times New Roman" w:hint="default"/>
        </w:rPr>
        <w:t>159,340,979.28</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5.020004</w:t>
      </w:r>
      <w:r>
        <w:rPr/>
        <w:t>股，共计转增</w:t>
      </w:r>
      <w:r>
        <w:rPr>
          <w:rFonts w:ascii="Times New Roman" w:hAnsi="Times New Roman" w:cs="Times New Roman" w:eastAsia="Times New Roman" w:hint="default"/>
        </w:rPr>
        <w:t>663,920,641.00</w:t>
      </w:r>
      <w:r>
        <w:rPr/>
        <w:t>股。</w:t>
      </w:r>
    </w:p>
    <w:p>
      <w:pPr>
        <w:pStyle w:val="BodyText"/>
        <w:spacing w:line="240" w:lineRule="auto" w:before="43"/>
        <w:ind w:left="149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年度利润分配方案为：以未来实施分配方案时股权登记日的总股本为基数，向全体股东每</w:t>
      </w:r>
      <w:r>
        <w:rPr>
          <w:rFonts w:ascii="Times New Roman" w:hAnsi="Times New Roman" w:cs="Times New Roman" w:eastAsia="Times New Roman" w:hint="default"/>
        </w:rPr>
        <w:t>10</w:t>
      </w:r>
      <w:r>
        <w:rPr/>
        <w:t>股派发现金红利</w:t>
      </w:r>
    </w:p>
    <w:p>
      <w:pPr>
        <w:spacing w:line="240" w:lineRule="auto" w:before="9"/>
        <w:rPr>
          <w:rFonts w:ascii="宋体" w:hAnsi="宋体" w:cs="宋体" w:eastAsia="宋体" w:hint="default"/>
          <w:sz w:val="16"/>
          <w:szCs w:val="16"/>
        </w:rPr>
      </w:pPr>
    </w:p>
    <w:p>
      <w:pPr>
        <w:spacing w:line="489" w:lineRule="auto" w:before="0"/>
        <w:ind w:left="1133" w:right="6597" w:firstLine="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0.5</w:t>
      </w:r>
      <w:r>
        <w:rPr>
          <w:rFonts w:ascii="宋体" w:hAnsi="宋体" w:cs="宋体" w:eastAsia="宋体" w:hint="default"/>
          <w:spacing w:val="-10"/>
          <w:sz w:val="18"/>
          <w:szCs w:val="18"/>
        </w:rPr>
        <w:t>元（含税），送红股</w:t>
      </w:r>
      <w:r>
        <w:rPr>
          <w:rFonts w:ascii="Times New Roman" w:hAnsi="Times New Roman" w:cs="Times New Roman" w:eastAsia="Times New Roman" w:hint="default"/>
          <w:spacing w:val="-10"/>
          <w:sz w:val="18"/>
          <w:szCs w:val="18"/>
        </w:rPr>
        <w:t>0</w:t>
      </w:r>
      <w:r>
        <w:rPr>
          <w:rFonts w:ascii="宋体" w:hAnsi="宋体" w:cs="宋体" w:eastAsia="宋体" w:hint="default"/>
          <w:spacing w:val="-10"/>
          <w:sz w:val="18"/>
          <w:szCs w:val="18"/>
        </w:rPr>
        <w:t>股（含税）。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b/>
          <w:bCs/>
          <w:sz w:val="18"/>
          <w:szCs w:val="18"/>
        </w:rPr>
        <w:t>公司近三年（包括本报告期）普通股现金分红情况表</w:t>
      </w:r>
      <w:r>
        <w:rPr>
          <w:rFonts w:ascii="宋体" w:hAnsi="宋体" w:cs="宋体" w:eastAsia="宋体" w:hint="default"/>
          <w:sz w:val="18"/>
          <w:szCs w:val="18"/>
        </w:rPr>
      </w:r>
    </w:p>
    <w:p>
      <w:pPr>
        <w:pStyle w:val="BodyText"/>
        <w:spacing w:line="240" w:lineRule="auto" w:before="8"/>
        <w:ind w:left="0" w:right="1760"/>
        <w:jc w:val="right"/>
      </w:pPr>
      <w:r>
        <w:rPr/>
        <w:t>单位：元</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999"/>
        <w:gridCol w:w="2563"/>
        <w:gridCol w:w="3260"/>
        <w:gridCol w:w="2862"/>
      </w:tblGrid>
      <w:tr>
        <w:trPr>
          <w:trHeight w:val="161" w:hRule="exact"/>
        </w:trPr>
        <w:tc>
          <w:tcPr>
            <w:tcW w:w="9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5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03" w:right="94" w:hanging="811"/>
              <w:jc w:val="left"/>
              <w:rPr>
                <w:rFonts w:ascii="宋体" w:hAnsi="宋体" w:cs="宋体" w:eastAsia="宋体" w:hint="default"/>
                <w:sz w:val="18"/>
                <w:szCs w:val="18"/>
              </w:rPr>
            </w:pPr>
            <w:r>
              <w:rPr>
                <w:rFonts w:ascii="宋体" w:hAnsi="宋体" w:cs="宋体" w:eastAsia="宋体" w:hint="default"/>
                <w:sz w:val="18"/>
                <w:szCs w:val="18"/>
              </w:rPr>
              <w:t>分红年度合并报表中归属于上市公司普 通股股东的净利润</w:t>
            </w:r>
          </w:p>
        </w:tc>
        <w:tc>
          <w:tcPr>
            <w:tcW w:w="28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6" w:right="75" w:hanging="451"/>
              <w:jc w:val="left"/>
              <w:rPr>
                <w:rFonts w:ascii="宋体" w:hAnsi="宋体" w:cs="宋体" w:eastAsia="宋体" w:hint="default"/>
                <w:sz w:val="18"/>
                <w:szCs w:val="18"/>
              </w:rPr>
            </w:pPr>
            <w:r>
              <w:rPr>
                <w:rFonts w:ascii="宋体" w:hAnsi="宋体" w:cs="宋体" w:eastAsia="宋体" w:hint="default"/>
                <w:sz w:val="18"/>
                <w:szCs w:val="18"/>
              </w:rPr>
              <w:t>占合并报表中归属于上市公司普通 股股东的净利润的比率</w:t>
            </w:r>
          </w:p>
        </w:tc>
      </w:tr>
      <w:tr>
        <w:trPr>
          <w:trHeight w:val="392" w:hRule="exact"/>
        </w:trPr>
        <w:tc>
          <w:tcPr>
            <w:tcW w:w="9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5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3260" w:type="dxa"/>
            <w:vMerge/>
            <w:tcBorders>
              <w:left w:val="single" w:sz="4" w:space="0" w:color="000000"/>
              <w:right w:val="single" w:sz="4" w:space="0" w:color="000000"/>
            </w:tcBorders>
            <w:shd w:val="clear" w:color="auto" w:fill="D2D2D2"/>
          </w:tcPr>
          <w:p>
            <w:pPr/>
          </w:p>
        </w:tc>
        <w:tc>
          <w:tcPr>
            <w:tcW w:w="2862" w:type="dxa"/>
            <w:vMerge/>
            <w:tcBorders>
              <w:left w:val="single" w:sz="4" w:space="0" w:color="000000"/>
              <w:right w:val="single" w:sz="4" w:space="0" w:color="000000"/>
            </w:tcBorders>
            <w:shd w:val="clear" w:color="auto" w:fill="D2D2D2"/>
          </w:tcPr>
          <w:p>
            <w:pPr/>
          </w:p>
        </w:tc>
      </w:tr>
      <w:tr>
        <w:trPr>
          <w:trHeight w:val="161" w:hRule="exact"/>
        </w:trPr>
        <w:tc>
          <w:tcPr>
            <w:tcW w:w="9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5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0" w:type="dxa"/>
            <w:vMerge/>
            <w:tcBorders>
              <w:left w:val="single" w:sz="4" w:space="0" w:color="000000"/>
              <w:bottom w:val="single" w:sz="4" w:space="0" w:color="000000"/>
              <w:right w:val="single" w:sz="4" w:space="0" w:color="000000"/>
            </w:tcBorders>
            <w:shd w:val="clear" w:color="auto" w:fill="D2D2D2"/>
          </w:tcPr>
          <w:p>
            <w:pPr/>
          </w:p>
        </w:tc>
        <w:tc>
          <w:tcPr>
            <w:tcW w:w="2862" w:type="dxa"/>
            <w:vMerge/>
            <w:tcBorders>
              <w:left w:val="single" w:sz="4" w:space="0" w:color="000000"/>
              <w:bottom w:val="single" w:sz="4" w:space="0" w:color="000000"/>
              <w:right w:val="single" w:sz="4" w:space="0" w:color="000000"/>
            </w:tcBorders>
            <w:shd w:val="clear" w:color="auto" w:fill="D2D2D2"/>
          </w:tcPr>
          <w:p>
            <w:pPr/>
          </w:p>
        </w:tc>
      </w:tr>
      <w:tr>
        <w:trPr>
          <w:trHeight w:val="558"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99,799,393.40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351,341,166.79</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28.41%</w:t>
            </w:r>
          </w:p>
        </w:tc>
      </w:tr>
      <w:tr>
        <w:trPr>
          <w:trHeight w:val="558"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159,340,979.28</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633,118,638.76</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25.17%</w:t>
            </w:r>
          </w:p>
        </w:tc>
      </w:tr>
      <w:tr>
        <w:trPr>
          <w:trHeight w:val="558"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153,804,096.00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519,412,992.34</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29.61%</w:t>
            </w:r>
          </w:p>
        </w:tc>
      </w:tr>
    </w:tbl>
    <w:p>
      <w:pPr>
        <w:spacing w:line="240" w:lineRule="auto" w:before="6"/>
        <w:rPr>
          <w:rFonts w:ascii="宋体" w:hAnsi="宋体" w:cs="宋体" w:eastAsia="宋体" w:hint="default"/>
          <w:sz w:val="6"/>
          <w:szCs w:val="6"/>
        </w:rPr>
      </w:pPr>
    </w:p>
    <w:p>
      <w:pPr>
        <w:pStyle w:val="Heading6"/>
        <w:spacing w:line="240" w:lineRule="auto" w:before="44"/>
        <w:ind w:left="1134" w:right="0"/>
        <w:jc w:val="left"/>
        <w:rPr>
          <w:b w:val="0"/>
          <w:bCs w:val="0"/>
        </w:rPr>
      </w:pPr>
      <w:r>
        <w:rPr/>
        <w:t>公司报告期内盈利且母公司可供普通股股东分配利润为正但未提出普通股现金红利分配预案</w:t>
      </w:r>
      <w:r>
        <w:rPr>
          <w:b w:val="0"/>
          <w:bCs w:val="0"/>
        </w:rPr>
      </w:r>
    </w:p>
    <w:p>
      <w:pPr>
        <w:spacing w:line="240" w:lineRule="auto" w:before="12"/>
        <w:rPr>
          <w:rFonts w:ascii="宋体" w:hAnsi="宋体" w:cs="宋体" w:eastAsia="宋体" w:hint="default"/>
          <w:b/>
          <w:bCs/>
          <w:sz w:val="20"/>
          <w:szCs w:val="20"/>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pStyle w:val="Heading2"/>
        <w:spacing w:line="240" w:lineRule="auto" w:before="14"/>
        <w:ind w:left="1133" w:right="0"/>
        <w:jc w:val="left"/>
        <w:rPr>
          <w:b w:val="0"/>
          <w:bCs w:val="0"/>
        </w:rPr>
      </w:pPr>
      <w:r>
        <w:rPr/>
        <w:pict>
          <v:group style="position:absolute;margin-left:55.200001pt;margin-top:2.23563pt;width:485pt;height:.1pt;mso-position-horizontal-relative:page;mso-position-vertical-relative:paragraph;z-index:-1283608" coordorigin="1104,45" coordsize="9700,2">
            <v:shape style="position:absolute;left:1104;top:45;width:9700;height:2" coordorigin="1104,45" coordsize="9700,0" path="m1104,45l10804,45e" filled="false" stroked="true" strokeweight=".72pt" strokecolor="#000000">
              <v:path arrowok="t"/>
            </v:shape>
            <w10:wrap type="none"/>
          </v:group>
        </w:pict>
      </w:r>
      <w:r>
        <w:rPr/>
        <w:pict>
          <v:group style="position:absolute;margin-left:391.119995pt;margin-top:653.799988pt;width:53.75pt;height:106.3pt;mso-position-horizontal-relative:page;mso-position-vertical-relative:page;z-index:-1283536" coordorigin="7822,13076" coordsize="1075,2126">
            <v:group style="position:absolute;left:7946;top:13584;width:951;height:1618" coordorigin="7946,13584" coordsize="951,1618">
              <v:shape style="position:absolute;left:7946;top:13584;width:951;height:1618" coordorigin="7946,13584" coordsize="951,1618" path="m7946,15202l8897,15202,8897,13584,7946,13584,7946,15202xe" filled="true" fillcolor="#ffffff" stroked="false">
                <v:path arrowok="t"/>
                <v:fill type="solid"/>
              </v:shape>
            </v:group>
            <v:group style="position:absolute;left:7969;top:13076;width:904;height:508" coordorigin="7969,13076" coordsize="904,508">
              <v:shape style="position:absolute;left:7969;top:13076;width:904;height:508" coordorigin="7969,13076" coordsize="904,508" path="m7969,13584l8873,13584,8873,13076,7969,13076,7969,13584xe" filled="true" fillcolor="#ffffff" stroked="false">
                <v:path arrowok="t"/>
                <v:fill type="solid"/>
              </v:shape>
              <v:shape style="position:absolute;left:7822;top:134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bookmarkStart w:name="二、承诺事项履行情况" w:id="63"/>
      <w:bookmarkEnd w:id="63"/>
      <w:r>
        <w:rPr>
          <w:b w:val="0"/>
          <w:bCs w:val="0"/>
        </w:rPr>
      </w:r>
      <w:r>
        <w:rPr/>
        <w:t>二、承诺事项履行情况</w:t>
      </w:r>
      <w:r>
        <w:rPr>
          <w:b w:val="0"/>
          <w:bCs w:val="0"/>
        </w:rPr>
      </w:r>
    </w:p>
    <w:p>
      <w:pPr>
        <w:spacing w:line="240" w:lineRule="auto" w:before="8"/>
        <w:rPr>
          <w:rFonts w:ascii="宋体" w:hAnsi="宋体" w:cs="宋体" w:eastAsia="宋体" w:hint="default"/>
          <w:b/>
          <w:bCs/>
          <w:sz w:val="30"/>
          <w:szCs w:val="30"/>
        </w:rPr>
      </w:pPr>
    </w:p>
    <w:p>
      <w:pPr>
        <w:pStyle w:val="Heading3"/>
        <w:spacing w:line="386" w:lineRule="auto"/>
        <w:ind w:left="1133"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13"/>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pict>
          <v:shape style="position:absolute;margin-left:265.122986pt;margin-top:96.6717pt;width:179.75pt;height:117pt;mso-position-horizontal-relative:page;mso-position-vertical-relative:paragraph;z-index:-12836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spacing w:line="240" w:lineRule="auto"/>
                    <w:ind w:left="0" w:right="0"/>
                    <w:jc w:val="left"/>
                  </w:pPr>
                  <w:r>
                    <w:rPr/>
                    <w:t>公司控股股东和实际控制人王宁、</w:t>
                  </w:r>
                </w:p>
              </w:txbxContent>
            </v:textbox>
            <w10:wrap type="none"/>
          </v:shape>
        </w:pict>
      </w:r>
      <w:r>
        <w:rPr/>
        <w:pict>
          <v:group style="position:absolute;margin-left:397.299988pt;margin-top:96.6717pt;width:47.55pt;height:117pt;mso-position-horizontal-relative:page;mso-position-vertical-relative:paragraph;z-index:-1283584" coordorigin="7946,1933" coordsize="951,2340">
            <v:shape style="position:absolute;left:7946;top:1933;width:951;height:2340" coordorigin="7946,1933" coordsize="951,2340" path="m7946,4273l8897,4273,8897,1933,7946,1933,7946,4273xe" filled="true" fillcolor="#ffffff" stroked="false">
              <v:path arrowok="t"/>
              <v:fill type="solid"/>
            </v:shape>
            <w10:wrap type="none"/>
          </v:group>
        </w:pic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987" w:type="dxa"/>
        <w:tblLayout w:type="fixed"/>
        <w:tblCellMar>
          <w:top w:w="0" w:type="dxa"/>
          <w:left w:w="0" w:type="dxa"/>
          <w:bottom w:w="0" w:type="dxa"/>
          <w:right w:w="0" w:type="dxa"/>
        </w:tblCellMar>
        <w:tblLook w:val="01E0"/>
      </w:tblPr>
      <w:tblGrid>
        <w:gridCol w:w="1986"/>
        <w:gridCol w:w="991"/>
        <w:gridCol w:w="994"/>
        <w:gridCol w:w="2977"/>
        <w:gridCol w:w="68"/>
        <w:gridCol w:w="893"/>
        <w:gridCol w:w="1121"/>
        <w:gridCol w:w="1038"/>
      </w:tblGrid>
      <w:tr>
        <w:trPr>
          <w:trHeight w:val="558"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3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1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6"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67" w:right="87" w:hanging="180"/>
              <w:jc w:val="left"/>
              <w:rPr>
                <w:rFonts w:ascii="宋体" w:hAnsi="宋体" w:cs="宋体" w:eastAsia="宋体" w:hint="default"/>
                <w:sz w:val="18"/>
                <w:szCs w:val="18"/>
              </w:rPr>
            </w:pPr>
            <w:r>
              <w:rPr>
                <w:rFonts w:ascii="宋体" w:hAnsi="宋体" w:cs="宋体" w:eastAsia="宋体" w:hint="default"/>
                <w:sz w:val="18"/>
                <w:szCs w:val="18"/>
              </w:rPr>
              <w:t>收购报告书或权益变动 报告书中所作承诺</w:t>
            </w:r>
          </w:p>
        </w:tc>
        <w:tc>
          <w:tcPr>
            <w:tcW w:w="991" w:type="dxa"/>
            <w:tcBorders>
              <w:top w:val="single" w:sz="4" w:space="0" w:color="000000"/>
              <w:left w:val="single" w:sz="13" w:space="0" w:color="D2D2D2"/>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960" w:type="dxa"/>
            <w:gridSpan w:val="2"/>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r>
      <w:tr>
        <w:trPr>
          <w:trHeight w:val="4710" w:hRule="exact"/>
        </w:trPr>
        <w:tc>
          <w:tcPr>
            <w:tcW w:w="198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李力、王宁</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477" w:lineRule="auto"/>
              <w:ind w:left="41" w:right="40"/>
              <w:jc w:val="center"/>
              <w:rPr>
                <w:rFonts w:ascii="宋体" w:hAnsi="宋体" w:cs="宋体" w:eastAsia="宋体" w:hint="default"/>
                <w:sz w:val="18"/>
                <w:szCs w:val="18"/>
              </w:rPr>
            </w:pPr>
            <w:r>
              <w:rPr>
                <w:rFonts w:ascii="宋体" w:hAnsi="宋体" w:cs="宋体" w:eastAsia="宋体" w:hint="default"/>
                <w:sz w:val="18"/>
                <w:szCs w:val="18"/>
              </w:rPr>
              <w:t>天元网络资 产重组期限 承诺</w:t>
            </w:r>
          </w:p>
        </w:tc>
        <w:tc>
          <w:tcPr>
            <w:tcW w:w="2977" w:type="dxa"/>
            <w:vMerge w:val="restart"/>
            <w:tcBorders>
              <w:top w:val="single" w:sz="4" w:space="0" w:color="000000"/>
              <w:left w:val="single" w:sz="4" w:space="0" w:color="000000"/>
              <w:right w:val="single" w:sz="4" w:space="0" w:color="000000"/>
            </w:tcBorders>
          </w:tcPr>
          <w:p>
            <w:pPr>
              <w:pStyle w:val="TableParagraph"/>
              <w:spacing w:line="465" w:lineRule="auto" w:before="129"/>
              <w:ind w:left="22" w:right="23"/>
              <w:jc w:val="left"/>
              <w:rPr>
                <w:rFonts w:ascii="宋体" w:hAnsi="宋体" w:cs="宋体" w:eastAsia="宋体" w:hint="default"/>
                <w:sz w:val="18"/>
                <w:szCs w:val="18"/>
              </w:rPr>
            </w:pPr>
            <w:r>
              <w:rPr>
                <w:rFonts w:ascii="宋体" w:hAnsi="宋体" w:cs="宋体" w:eastAsia="宋体" w:hint="default"/>
                <w:spacing w:val="2"/>
                <w:sz w:val="18"/>
                <w:szCs w:val="18"/>
              </w:rPr>
              <w:t>公司发行股份及支付现金购买北京市</w:t>
            </w:r>
            <w:r>
              <w:rPr>
                <w:rFonts w:ascii="宋体" w:hAnsi="宋体" w:cs="宋体" w:eastAsia="宋体" w:hint="default"/>
                <w:sz w:val="18"/>
                <w:szCs w:val="18"/>
              </w:rPr>
              <w:t> </w:t>
            </w:r>
            <w:r>
              <w:rPr>
                <w:rFonts w:ascii="宋体" w:hAnsi="宋体" w:cs="宋体" w:eastAsia="宋体" w:hint="default"/>
                <w:spacing w:val="4"/>
                <w:sz w:val="18"/>
                <w:szCs w:val="18"/>
              </w:rPr>
              <w:t>天元网络技术股份有限公司</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w:t>
            </w:r>
            <w:r>
              <w:rPr>
                <w:rFonts w:ascii="宋体" w:hAnsi="宋体" w:cs="宋体" w:eastAsia="宋体" w:hint="default"/>
                <w:spacing w:val="-5"/>
                <w:sz w:val="18"/>
                <w:szCs w:val="18"/>
              </w:rPr>
              <w:t>份、北京神州祥升软件有限公司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2"/>
                <w:sz w:val="18"/>
                <w:szCs w:val="18"/>
              </w:rPr>
              <w:t>股权并募集配套资金暨关联交易过程</w:t>
            </w:r>
            <w:r>
              <w:rPr>
                <w:rFonts w:ascii="宋体" w:hAnsi="宋体" w:cs="宋体" w:eastAsia="宋体" w:hint="default"/>
                <w:sz w:val="18"/>
                <w:szCs w:val="18"/>
              </w:rPr>
              <w:t> 中， </w:t>
            </w:r>
            <w:r>
              <w:rPr>
                <w:rFonts w:ascii="宋体" w:hAnsi="宋体" w:cs="宋体" w:eastAsia="宋体" w:hint="default"/>
                <w:spacing w:val="-3"/>
                <w:sz w:val="18"/>
                <w:szCs w:val="18"/>
              </w:rPr>
              <w:t>李力承诺：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、本次认购募集配套资金</w:t>
            </w:r>
            <w:r>
              <w:rPr>
                <w:rFonts w:ascii="宋体" w:hAnsi="宋体" w:cs="宋体" w:eastAsia="宋体" w:hint="default"/>
                <w:sz w:val="18"/>
                <w:szCs w:val="18"/>
              </w:rPr>
              <w:t> </w:t>
            </w:r>
            <w:r>
              <w:rPr>
                <w:rFonts w:ascii="宋体" w:hAnsi="宋体" w:cs="宋体" w:eastAsia="宋体" w:hint="default"/>
                <w:spacing w:val="2"/>
                <w:sz w:val="18"/>
                <w:szCs w:val="18"/>
              </w:rPr>
              <w:t>发行的股票的资金计划采取以包括但</w:t>
            </w:r>
            <w:r>
              <w:rPr>
                <w:rFonts w:ascii="宋体" w:hAnsi="宋体" w:cs="宋体" w:eastAsia="宋体" w:hint="default"/>
                <w:sz w:val="18"/>
                <w:szCs w:val="18"/>
              </w:rPr>
              <w:t> </w:t>
            </w:r>
            <w:r>
              <w:rPr>
                <w:rFonts w:ascii="宋体" w:hAnsi="宋体" w:cs="宋体" w:eastAsia="宋体" w:hint="default"/>
                <w:spacing w:val="2"/>
                <w:sz w:val="18"/>
                <w:szCs w:val="18"/>
              </w:rPr>
              <w:t>不限于以往年度的分红、薪酬、理财</w:t>
            </w:r>
            <w:r>
              <w:rPr>
                <w:rFonts w:ascii="宋体" w:hAnsi="宋体" w:cs="宋体" w:eastAsia="宋体" w:hint="default"/>
                <w:sz w:val="18"/>
                <w:szCs w:val="18"/>
              </w:rPr>
              <w:t> </w:t>
            </w:r>
            <w:r>
              <w:rPr>
                <w:rFonts w:ascii="宋体" w:hAnsi="宋体" w:cs="宋体" w:eastAsia="宋体" w:hint="default"/>
                <w:spacing w:val="2"/>
                <w:sz w:val="18"/>
                <w:szCs w:val="18"/>
              </w:rPr>
              <w:t>等积累的自有资金、借款或股权质押</w:t>
            </w:r>
            <w:r>
              <w:rPr>
                <w:rFonts w:ascii="宋体" w:hAnsi="宋体" w:cs="宋体" w:eastAsia="宋体" w:hint="default"/>
                <w:sz w:val="18"/>
                <w:szCs w:val="18"/>
              </w:rPr>
              <w:t> </w:t>
            </w:r>
            <w:r>
              <w:rPr>
                <w:rFonts w:ascii="宋体" w:hAnsi="宋体" w:cs="宋体" w:eastAsia="宋体" w:hint="default"/>
                <w:spacing w:val="-3"/>
                <w:sz w:val="18"/>
                <w:szCs w:val="18"/>
              </w:rPr>
              <w:t>融资的方式进行筹措。</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、自说明签署</w:t>
            </w:r>
            <w:r>
              <w:rPr>
                <w:rFonts w:ascii="宋体" w:hAnsi="宋体" w:cs="宋体" w:eastAsia="宋体" w:hint="default"/>
                <w:sz w:val="18"/>
                <w:szCs w:val="18"/>
              </w:rPr>
              <w:t> 之日起至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日，无任何</w:t>
            </w:r>
            <w:r>
              <w:rPr>
                <w:rFonts w:ascii="宋体" w:hAnsi="宋体" w:cs="宋体" w:eastAsia="宋体" w:hint="default"/>
                <w:sz w:val="18"/>
                <w:szCs w:val="18"/>
              </w:rPr>
              <w:t> 减持神州泰岳股份的计划。</w:t>
            </w:r>
          </w:p>
        </w:tc>
        <w:tc>
          <w:tcPr>
            <w:tcW w:w="68" w:type="dxa"/>
            <w:vMerge w:val="restart"/>
            <w:tcBorders>
              <w:top w:val="single" w:sz="4" w:space="0" w:color="000000"/>
              <w:left w:val="single" w:sz="4" w:space="0" w:color="000000"/>
              <w:right w:val="nil" w:sz="6" w:space="0" w:color="auto"/>
            </w:tcBorders>
          </w:tcPr>
          <w:p>
            <w:pPr/>
          </w:p>
        </w:tc>
        <w:tc>
          <w:tcPr>
            <w:tcW w:w="893"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477" w:lineRule="auto"/>
              <w:ind w:left="63" w:right="62"/>
              <w:jc w:val="center"/>
              <w:rPr>
                <w:rFonts w:ascii="宋体" w:hAnsi="宋体" w:cs="宋体" w:eastAsia="宋体" w:hint="default"/>
                <w:sz w:val="18"/>
                <w:szCs w:val="18"/>
              </w:rPr>
            </w:pPr>
            <w:r>
              <w:rPr>
                <w:rFonts w:ascii="宋体" w:hAnsi="宋体" w:cs="宋体" w:eastAsia="宋体" w:hint="default"/>
                <w:sz w:val="18"/>
                <w:szCs w:val="18"/>
              </w:rPr>
              <w:t>该交易方案 已经终止； 承诺已履行 完毕</w:t>
            </w:r>
          </w:p>
        </w:tc>
      </w:tr>
      <w:tr>
        <w:trPr>
          <w:trHeight w:val="548" w:hRule="exact"/>
        </w:trPr>
        <w:tc>
          <w:tcPr>
            <w:tcW w:w="19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1" w:type="dxa"/>
            <w:vMerge/>
            <w:tcBorders>
              <w:left w:val="single" w:sz="9" w:space="0" w:color="D2D2D2"/>
              <w:right w:val="single" w:sz="4" w:space="0" w:color="000000"/>
            </w:tcBorders>
          </w:tcPr>
          <w:p>
            <w:pPr/>
          </w:p>
        </w:tc>
        <w:tc>
          <w:tcPr>
            <w:tcW w:w="994" w:type="dxa"/>
            <w:vMerge/>
            <w:tcBorders>
              <w:left w:val="single" w:sz="4" w:space="0" w:color="000000"/>
              <w:right w:val="single" w:sz="4" w:space="0" w:color="000000"/>
            </w:tcBorders>
          </w:tcPr>
          <w:p>
            <w:pPr/>
          </w:p>
        </w:tc>
        <w:tc>
          <w:tcPr>
            <w:tcW w:w="2977" w:type="dxa"/>
            <w:vMerge/>
            <w:tcBorders>
              <w:left w:val="single" w:sz="4" w:space="0" w:color="000000"/>
              <w:right w:val="single" w:sz="4" w:space="0" w:color="000000"/>
            </w:tcBorders>
          </w:tcPr>
          <w:p>
            <w:pPr/>
          </w:p>
        </w:tc>
        <w:tc>
          <w:tcPr>
            <w:tcW w:w="68" w:type="dxa"/>
            <w:vMerge/>
            <w:tcBorders>
              <w:left w:val="single" w:sz="4" w:space="0" w:color="000000"/>
              <w:right w:val="nil" w:sz="6" w:space="0" w:color="auto"/>
            </w:tcBorders>
          </w:tcPr>
          <w:p>
            <w:pPr/>
          </w:p>
        </w:tc>
        <w:tc>
          <w:tcPr>
            <w:tcW w:w="893" w:type="dxa"/>
            <w:tcBorders>
              <w:top w:val="nil" w:sz="6" w:space="0" w:color="auto"/>
              <w:left w:val="nil" w:sz="6" w:space="0" w:color="auto"/>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038" w:type="dxa"/>
            <w:vMerge/>
            <w:tcBorders>
              <w:left w:val="single" w:sz="4" w:space="0" w:color="000000"/>
              <w:right w:val="single" w:sz="4" w:space="0" w:color="000000"/>
            </w:tcBorders>
          </w:tcPr>
          <w:p>
            <w:pPr/>
          </w:p>
        </w:tc>
      </w:tr>
      <w:tr>
        <w:trPr>
          <w:trHeight w:val="448" w:hRule="exact"/>
        </w:trPr>
        <w:tc>
          <w:tcPr>
            <w:tcW w:w="1986"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9" w:space="0" w:color="D2D2D2"/>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977" w:type="dxa"/>
            <w:vMerge/>
            <w:tcBorders>
              <w:left w:val="single" w:sz="4" w:space="0" w:color="000000"/>
              <w:bottom w:val="single" w:sz="4" w:space="0" w:color="000000"/>
              <w:right w:val="single" w:sz="4" w:space="0" w:color="000000"/>
            </w:tcBorders>
          </w:tcPr>
          <w:p>
            <w:pPr/>
          </w:p>
        </w:tc>
        <w:tc>
          <w:tcPr>
            <w:tcW w:w="68" w:type="dxa"/>
            <w:vMerge/>
            <w:tcBorders>
              <w:left w:val="single" w:sz="4" w:space="0" w:color="000000"/>
              <w:bottom w:val="single" w:sz="4" w:space="0" w:color="000000"/>
              <w:right w:val="nil" w:sz="6" w:space="0" w:color="auto"/>
            </w:tcBorders>
          </w:tcPr>
          <w:p>
            <w:pPr/>
          </w:p>
        </w:tc>
        <w:tc>
          <w:tcPr>
            <w:tcW w:w="893" w:type="dxa"/>
            <w:tcBorders>
              <w:top w:val="nil" w:sz="6" w:space="0" w:color="auto"/>
              <w:left w:val="nil" w:sz="6" w:space="0" w:color="auto"/>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038" w:type="dxa"/>
            <w:vMerge/>
            <w:tcBorders>
              <w:left w:val="single" w:sz="4" w:space="0" w:color="000000"/>
              <w:bottom w:val="single" w:sz="4" w:space="0" w:color="000000"/>
              <w:right w:val="single" w:sz="4" w:space="0" w:color="000000"/>
            </w:tcBorders>
          </w:tcPr>
          <w:p>
            <w:pPr/>
          </w:p>
        </w:tc>
      </w:tr>
      <w:tr>
        <w:trPr>
          <w:trHeight w:val="4263" w:hRule="exact"/>
        </w:trPr>
        <w:tc>
          <w:tcPr>
            <w:tcW w:w="1986"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477" w:lineRule="auto"/>
              <w:ind w:left="41" w:right="40"/>
              <w:jc w:val="center"/>
              <w:rPr>
                <w:rFonts w:ascii="宋体" w:hAnsi="宋体" w:cs="宋体" w:eastAsia="宋体" w:hint="default"/>
                <w:sz w:val="18"/>
                <w:szCs w:val="18"/>
              </w:rPr>
            </w:pPr>
            <w:r>
              <w:rPr>
                <w:rFonts w:ascii="宋体" w:hAnsi="宋体" w:cs="宋体" w:eastAsia="宋体" w:hint="default"/>
                <w:sz w:val="18"/>
                <w:szCs w:val="18"/>
              </w:rPr>
              <w:t>壳木软件资 产重组期限 承诺</w:t>
            </w:r>
          </w:p>
        </w:tc>
        <w:tc>
          <w:tcPr>
            <w:tcW w:w="2977" w:type="dxa"/>
            <w:tcBorders>
              <w:top w:val="single" w:sz="4" w:space="0" w:color="000000"/>
              <w:left w:val="single" w:sz="4" w:space="0" w:color="000000"/>
              <w:bottom w:val="single" w:sz="4" w:space="0" w:color="000000"/>
              <w:right w:val="single" w:sz="9" w:space="0" w:color="FFFFFF"/>
            </w:tcBorders>
          </w:tcPr>
          <w:p>
            <w:pPr>
              <w:pStyle w:val="TableParagraph"/>
              <w:spacing w:line="460" w:lineRule="auto" w:before="129"/>
              <w:ind w:left="22" w:right="5"/>
              <w:jc w:val="left"/>
              <w:rPr>
                <w:rFonts w:ascii="宋体" w:hAnsi="宋体" w:cs="宋体" w:eastAsia="宋体" w:hint="default"/>
                <w:sz w:val="18"/>
                <w:szCs w:val="18"/>
              </w:rPr>
            </w:pPr>
            <w:r>
              <w:rPr>
                <w:rFonts w:ascii="宋体" w:hAnsi="宋体" w:cs="宋体" w:eastAsia="宋体" w:hint="default"/>
                <w:spacing w:val="2"/>
                <w:sz w:val="18"/>
                <w:szCs w:val="18"/>
              </w:rPr>
              <w:t>公司发行股份及支付现金购买天津壳</w:t>
            </w:r>
            <w:r>
              <w:rPr>
                <w:rFonts w:ascii="宋体" w:hAnsi="宋体" w:cs="宋体" w:eastAsia="宋体" w:hint="default"/>
                <w:sz w:val="18"/>
                <w:szCs w:val="18"/>
              </w:rPr>
              <w:t> </w:t>
            </w:r>
            <w:r>
              <w:rPr>
                <w:rFonts w:ascii="宋体" w:hAnsi="宋体" w:cs="宋体" w:eastAsia="宋体" w:hint="default"/>
                <w:spacing w:val="9"/>
                <w:sz w:val="18"/>
                <w:szCs w:val="18"/>
              </w:rPr>
              <w:t>木软件有限责任公司（下称</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壳木软 </w:t>
            </w:r>
            <w:r>
              <w:rPr>
                <w:rFonts w:ascii="宋体" w:hAnsi="宋体" w:cs="宋体" w:eastAsia="宋体" w:hint="default"/>
                <w:spacing w:val="4"/>
                <w:sz w:val="18"/>
                <w:szCs w:val="18"/>
              </w:rPr>
              <w:t>件</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股权，发行对象李毅出具</w:t>
            </w:r>
            <w:r>
              <w:rPr>
                <w:rFonts w:ascii="宋体" w:hAnsi="宋体" w:cs="宋体" w:eastAsia="宋体" w:hint="default"/>
                <w:sz w:val="18"/>
                <w:szCs w:val="18"/>
              </w:rPr>
              <w:t> </w:t>
            </w:r>
            <w:r>
              <w:rPr>
                <w:rFonts w:ascii="宋体" w:hAnsi="宋体" w:cs="宋体" w:eastAsia="宋体" w:hint="default"/>
                <w:spacing w:val="2"/>
                <w:sz w:val="18"/>
                <w:szCs w:val="18"/>
              </w:rPr>
              <w:t>了股份锁定及限售安排承诺，具体情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况如下：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、本次向李毅发行的股份自</w:t>
            </w:r>
            <w:r>
              <w:rPr>
                <w:rFonts w:ascii="宋体" w:hAnsi="宋体" w:cs="宋体" w:eastAsia="宋体" w:hint="default"/>
                <w:sz w:val="18"/>
                <w:szCs w:val="18"/>
              </w:rPr>
              <w:t> 发行结束之日起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个月内不得转让 </w:t>
            </w:r>
            <w:r>
              <w:rPr>
                <w:rFonts w:ascii="宋体" w:hAnsi="宋体" w:cs="宋体" w:eastAsia="宋体" w:hint="default"/>
                <w:spacing w:val="14"/>
                <w:sz w:val="18"/>
                <w:szCs w:val="18"/>
              </w:rPr>
              <w:t>神州泰岳在指定媒体披露标的公司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11"/>
                <w:sz w:val="18"/>
                <w:szCs w:val="18"/>
              </w:rPr>
              <w:t>年度、</w:t>
            </w:r>
            <w:r>
              <w:rPr>
                <w:rFonts w:ascii="Times New Roman" w:hAnsi="Times New Roman" w:cs="Times New Roman" w:eastAsia="Times New Roman" w:hint="default"/>
                <w:spacing w:val="-11"/>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年度、</w:t>
            </w:r>
            <w:r>
              <w:rPr>
                <w:rFonts w:ascii="Times New Roman" w:hAnsi="Times New Roman" w:cs="Times New Roman" w:eastAsia="Times New Roman" w:hint="default"/>
                <w:spacing w:val="-11"/>
                <w:sz w:val="18"/>
                <w:szCs w:val="18"/>
              </w:rPr>
              <w:t>2016</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宋体" w:hAnsi="宋体" w:cs="宋体" w:eastAsia="宋体" w:hint="default"/>
                <w:spacing w:val="-20"/>
                <w:sz w:val="18"/>
                <w:szCs w:val="18"/>
              </w:rPr>
              <w:t>年度《专</w:t>
            </w:r>
          </w:p>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pacing w:val="2"/>
                <w:sz w:val="18"/>
                <w:szCs w:val="18"/>
              </w:rPr>
              <w:t>项审核报告》后，本次向李毅发行的</w:t>
            </w:r>
          </w:p>
        </w:tc>
        <w:tc>
          <w:tcPr>
            <w:tcW w:w="68" w:type="dxa"/>
            <w:tcBorders>
              <w:top w:val="single" w:sz="4" w:space="0" w:color="000000"/>
              <w:left w:val="single" w:sz="9" w:space="0" w:color="FFFFFF"/>
              <w:bottom w:val="single" w:sz="4" w:space="0" w:color="000000"/>
              <w:right w:val="nil" w:sz="6" w:space="0" w:color="auto"/>
            </w:tcBorders>
          </w:tcPr>
          <w:p>
            <w:pPr/>
          </w:p>
        </w:tc>
        <w:tc>
          <w:tcPr>
            <w:tcW w:w="8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851" w:footer="979" w:top="138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49.380001pt;margin-top:71.459984pt;width:504.25pt;height:685.1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6"/>
                    <w:gridCol w:w="992"/>
                    <w:gridCol w:w="994"/>
                    <w:gridCol w:w="2977"/>
                    <w:gridCol w:w="960"/>
                    <w:gridCol w:w="1121"/>
                    <w:gridCol w:w="1040"/>
                  </w:tblGrid>
                  <w:tr>
                    <w:trPr>
                      <w:trHeight w:val="10826" w:hRule="exact"/>
                    </w:trPr>
                    <w:tc>
                      <w:tcPr>
                        <w:tcW w:w="1986" w:type="dxa"/>
                        <w:vMerge w:val="restart"/>
                        <w:tcBorders>
                          <w:top w:val="single" w:sz="10" w:space="0" w:color="000000"/>
                          <w:left w:val="single" w:sz="4" w:space="0" w:color="000000"/>
                          <w:right w:val="single" w:sz="4" w:space="0" w:color="000000"/>
                        </w:tcBorders>
                        <w:shd w:val="clear" w:color="auto" w:fill="D2D2D2"/>
                      </w:tcPr>
                      <w:p>
                        <w:pPr/>
                      </w:p>
                    </w:tc>
                    <w:tc>
                      <w:tcPr>
                        <w:tcW w:w="992" w:type="dxa"/>
                        <w:tcBorders>
                          <w:top w:val="single" w:sz="10" w:space="0" w:color="000000"/>
                          <w:left w:val="single" w:sz="4" w:space="0" w:color="000000"/>
                          <w:bottom w:val="single" w:sz="4" w:space="0" w:color="000000"/>
                          <w:right w:val="single" w:sz="4" w:space="0" w:color="000000"/>
                        </w:tcBorders>
                      </w:tcPr>
                      <w:p>
                        <w:pPr/>
                      </w:p>
                    </w:tc>
                    <w:tc>
                      <w:tcPr>
                        <w:tcW w:w="994" w:type="dxa"/>
                        <w:tcBorders>
                          <w:top w:val="single" w:sz="10" w:space="0" w:color="000000"/>
                          <w:left w:val="single" w:sz="4" w:space="0" w:color="000000"/>
                          <w:bottom w:val="single" w:sz="4" w:space="0" w:color="000000"/>
                          <w:right w:val="single" w:sz="4" w:space="0" w:color="000000"/>
                        </w:tcBorders>
                      </w:tcPr>
                      <w:p>
                        <w:pPr/>
                      </w:p>
                    </w:tc>
                    <w:tc>
                      <w:tcPr>
                        <w:tcW w:w="2977" w:type="dxa"/>
                        <w:tcBorders>
                          <w:top w:val="single" w:sz="10" w:space="0" w:color="000000"/>
                          <w:left w:val="single" w:sz="4" w:space="0" w:color="000000"/>
                          <w:bottom w:val="single" w:sz="4" w:space="0" w:color="000000"/>
                          <w:right w:val="single" w:sz="4" w:space="0" w:color="000000"/>
                        </w:tcBorders>
                      </w:tcPr>
                      <w:p>
                        <w:pPr>
                          <w:pStyle w:val="TableParagraph"/>
                          <w:spacing w:line="465" w:lineRule="auto" w:before="93"/>
                          <w:ind w:left="22" w:right="14"/>
                          <w:jc w:val="both"/>
                          <w:rPr>
                            <w:rFonts w:ascii="宋体" w:hAnsi="宋体" w:cs="宋体" w:eastAsia="宋体" w:hint="default"/>
                            <w:sz w:val="18"/>
                            <w:szCs w:val="18"/>
                          </w:rPr>
                        </w:pPr>
                        <w:r>
                          <w:rPr>
                            <w:rFonts w:ascii="宋体" w:hAnsi="宋体" w:cs="宋体" w:eastAsia="宋体" w:hint="default"/>
                            <w:spacing w:val="2"/>
                            <w:sz w:val="18"/>
                            <w:szCs w:val="18"/>
                          </w:rPr>
                          <w:t>股份扣减截至该时点李毅已补偿的和</w:t>
                        </w:r>
                        <w:r>
                          <w:rPr>
                            <w:rFonts w:ascii="宋体" w:hAnsi="宋体" w:cs="宋体" w:eastAsia="宋体" w:hint="default"/>
                            <w:sz w:val="18"/>
                            <w:szCs w:val="18"/>
                          </w:rPr>
                          <w:t> </w:t>
                        </w:r>
                        <w:r>
                          <w:rPr>
                            <w:rFonts w:ascii="宋体" w:hAnsi="宋体" w:cs="宋体" w:eastAsia="宋体" w:hint="default"/>
                            <w:spacing w:val="2"/>
                            <w:sz w:val="18"/>
                            <w:szCs w:val="18"/>
                          </w:rPr>
                          <w:t>应补偿的股份数（若有）后可分别解</w:t>
                        </w:r>
                        <w:r>
                          <w:rPr>
                            <w:rFonts w:ascii="宋体" w:hAnsi="宋体" w:cs="宋体" w:eastAsia="宋体" w:hint="default"/>
                            <w:sz w:val="18"/>
                            <w:szCs w:val="18"/>
                          </w:rPr>
                          <w:t> 锁</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，自本次发行结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束之日起届满</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个月后，本次向李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毅发行的股份的</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扣减已补偿的股 </w:t>
                        </w:r>
                        <w:r>
                          <w:rPr>
                            <w:rFonts w:ascii="宋体" w:hAnsi="宋体" w:cs="宋体" w:eastAsia="宋体" w:hint="default"/>
                            <w:spacing w:val="2"/>
                            <w:sz w:val="18"/>
                            <w:szCs w:val="18"/>
                          </w:rPr>
                          <w:t>份数（若有）后可解锁。认购人承诺</w:t>
                        </w:r>
                        <w:r>
                          <w:rPr>
                            <w:rFonts w:ascii="宋体" w:hAnsi="宋体" w:cs="宋体" w:eastAsia="宋体" w:hint="default"/>
                            <w:sz w:val="18"/>
                            <w:szCs w:val="18"/>
                          </w:rPr>
                          <w:t> </w:t>
                        </w:r>
                        <w:r>
                          <w:rPr>
                            <w:rFonts w:ascii="宋体" w:hAnsi="宋体" w:cs="宋体" w:eastAsia="宋体" w:hint="default"/>
                            <w:spacing w:val="2"/>
                            <w:sz w:val="18"/>
                            <w:szCs w:val="18"/>
                          </w:rPr>
                          <w:t>的标的公司在盈利承诺期内各年度净</w:t>
                        </w:r>
                        <w:r>
                          <w:rPr>
                            <w:rFonts w:ascii="宋体" w:hAnsi="宋体" w:cs="宋体" w:eastAsia="宋体" w:hint="default"/>
                            <w:sz w:val="18"/>
                            <w:szCs w:val="18"/>
                          </w:rPr>
                          <w:t> </w:t>
                        </w:r>
                        <w:r>
                          <w:rPr>
                            <w:rFonts w:ascii="宋体" w:hAnsi="宋体" w:cs="宋体" w:eastAsia="宋体" w:hint="default"/>
                            <w:spacing w:val="4"/>
                            <w:sz w:val="18"/>
                            <w:szCs w:val="18"/>
                          </w:rPr>
                          <w:t>利润数如下：</w:t>
                        </w:r>
                        <w:r>
                          <w:rPr>
                            <w:rFonts w:ascii="Times New Roman" w:hAnsi="Times New Roman" w:cs="Times New Roman" w:eastAsia="Times New Roman" w:hint="default"/>
                            <w:spacing w:val="4"/>
                            <w:sz w:val="18"/>
                            <w:szCs w:val="18"/>
                          </w:rPr>
                          <w:t>2013 </w:t>
                        </w:r>
                        <w:r>
                          <w:rPr>
                            <w:rFonts w:ascii="宋体" w:hAnsi="宋体" w:cs="宋体" w:eastAsia="宋体" w:hint="default"/>
                            <w:spacing w:val="3"/>
                            <w:sz w:val="18"/>
                            <w:szCs w:val="18"/>
                          </w:rPr>
                          <w:t>年度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亿元，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 </w:t>
                        </w:r>
                        <w:r>
                          <w:rPr>
                            <w:rFonts w:ascii="宋体" w:hAnsi="宋体" w:cs="宋体" w:eastAsia="宋体" w:hint="default"/>
                            <w:spacing w:val="-13"/>
                            <w:sz w:val="18"/>
                            <w:szCs w:val="18"/>
                          </w:rPr>
                          <w:t>亿元，</w:t>
                        </w:r>
                        <w:r>
                          <w:rPr>
                            <w:rFonts w:ascii="Times New Roman" w:hAnsi="Times New Roman" w:cs="Times New Roman" w:eastAsia="Times New Roman" w:hint="default"/>
                            <w:spacing w:val="-13"/>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亿 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w:t>
                        </w:r>
                        <w:r>
                          <w:rPr>
                            <w:rFonts w:ascii="宋体" w:hAnsi="宋体" w:cs="宋体" w:eastAsia="宋体" w:hint="default"/>
                            <w:sz w:val="18"/>
                            <w:szCs w:val="18"/>
                          </w:rPr>
                          <w:t>、在盈利 </w:t>
                        </w:r>
                        <w:r>
                          <w:rPr>
                            <w:rFonts w:ascii="宋体" w:hAnsi="宋体" w:cs="宋体" w:eastAsia="宋体" w:hint="default"/>
                            <w:spacing w:val="2"/>
                            <w:sz w:val="18"/>
                            <w:szCs w:val="18"/>
                          </w:rPr>
                          <w:t>承诺期届满时，上市公司将聘请经上</w:t>
                        </w:r>
                        <w:r>
                          <w:rPr>
                            <w:rFonts w:ascii="宋体" w:hAnsi="宋体" w:cs="宋体" w:eastAsia="宋体" w:hint="default"/>
                            <w:sz w:val="18"/>
                            <w:szCs w:val="18"/>
                          </w:rPr>
                          <w:t> </w:t>
                        </w:r>
                        <w:r>
                          <w:rPr>
                            <w:rFonts w:ascii="宋体" w:hAnsi="宋体" w:cs="宋体" w:eastAsia="宋体" w:hint="default"/>
                            <w:spacing w:val="2"/>
                            <w:sz w:val="18"/>
                            <w:szCs w:val="18"/>
                          </w:rPr>
                          <w:t>市公司与管理层股东认可的具有证券</w:t>
                        </w:r>
                        <w:r>
                          <w:rPr>
                            <w:rFonts w:ascii="宋体" w:hAnsi="宋体" w:cs="宋体" w:eastAsia="宋体" w:hint="default"/>
                            <w:sz w:val="18"/>
                            <w:szCs w:val="18"/>
                          </w:rPr>
                          <w:t> </w:t>
                        </w:r>
                        <w:r>
                          <w:rPr>
                            <w:rFonts w:ascii="宋体" w:hAnsi="宋体" w:cs="宋体" w:eastAsia="宋体" w:hint="default"/>
                            <w:spacing w:val="2"/>
                            <w:sz w:val="18"/>
                            <w:szCs w:val="18"/>
                          </w:rPr>
                          <w:t>从业资格的会计师事务所对标的资产</w:t>
                        </w:r>
                        <w:r>
                          <w:rPr>
                            <w:rFonts w:ascii="宋体" w:hAnsi="宋体" w:cs="宋体" w:eastAsia="宋体" w:hint="default"/>
                            <w:sz w:val="18"/>
                            <w:szCs w:val="18"/>
                          </w:rPr>
                          <w:t> </w:t>
                        </w:r>
                        <w:r>
                          <w:rPr>
                            <w:rFonts w:ascii="宋体" w:hAnsi="宋体" w:cs="宋体" w:eastAsia="宋体" w:hint="default"/>
                            <w:spacing w:val="13"/>
                            <w:sz w:val="18"/>
                            <w:szCs w:val="18"/>
                          </w:rPr>
                          <w:t>进行减值测试并出具《</w:t>
                        </w:r>
                        <w:r>
                          <w:rPr>
                            <w:rFonts w:ascii="宋体" w:hAnsi="宋体" w:cs="宋体" w:eastAsia="宋体" w:hint="default"/>
                            <w:spacing w:val="-73"/>
                            <w:sz w:val="18"/>
                            <w:szCs w:val="18"/>
                          </w:rPr>
                          <w:t> </w:t>
                        </w:r>
                        <w:r>
                          <w:rPr>
                            <w:rFonts w:ascii="宋体" w:hAnsi="宋体" w:cs="宋体" w:eastAsia="宋体" w:hint="default"/>
                            <w:spacing w:val="12"/>
                            <w:sz w:val="18"/>
                            <w:szCs w:val="18"/>
                          </w:rPr>
                          <w:t>减值测试报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告》，如果壳木软件资产期末减值额</w:t>
                        </w:r>
                        <w:r>
                          <w:rPr>
                            <w:rFonts w:ascii="Times New Roman" w:hAnsi="Times New Roman" w:cs="Times New Roman" w:eastAsia="Times New Roman" w:hint="default"/>
                            <w:spacing w:val="-4"/>
                            <w:sz w:val="18"/>
                            <w:szCs w:val="18"/>
                          </w:rPr>
                          <w:t>&gt;</w:t>
                        </w:r>
                        <w:r>
                          <w:rPr>
                            <w:rFonts w:ascii="Times New Roman" w:hAnsi="Times New Roman" w:cs="Times New Roman" w:eastAsia="Times New Roman" w:hint="default"/>
                            <w:spacing w:val="-41"/>
                            <w:sz w:val="18"/>
                            <w:szCs w:val="18"/>
                          </w:rPr>
                          <w:t> </w:t>
                        </w:r>
                        <w:r>
                          <w:rPr>
                            <w:rFonts w:ascii="宋体" w:hAnsi="宋体" w:cs="宋体" w:eastAsia="宋体" w:hint="default"/>
                            <w:spacing w:val="2"/>
                            <w:sz w:val="18"/>
                            <w:szCs w:val="18"/>
                          </w:rPr>
                          <w:t>已补偿金额（包括已补偿股份金额和</w:t>
                        </w:r>
                        <w:r>
                          <w:rPr>
                            <w:rFonts w:ascii="宋体" w:hAnsi="宋体" w:cs="宋体" w:eastAsia="宋体" w:hint="default"/>
                            <w:sz w:val="18"/>
                            <w:szCs w:val="18"/>
                          </w:rPr>
                          <w:t> </w:t>
                        </w:r>
                        <w:r>
                          <w:rPr>
                            <w:rFonts w:ascii="宋体" w:hAnsi="宋体" w:cs="宋体" w:eastAsia="宋体" w:hint="default"/>
                            <w:spacing w:val="-9"/>
                            <w:sz w:val="18"/>
                            <w:szCs w:val="18"/>
                          </w:rPr>
                          <w:t>现金金额），则认购人应另行对上市公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司进行补偿，应补偿金额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期末减值额</w:t>
                        </w:r>
                      </w:p>
                      <w:p>
                        <w:pPr>
                          <w:pStyle w:val="TableParagraph"/>
                          <w:spacing w:line="463" w:lineRule="auto" w:before="31"/>
                          <w:ind w:left="22" w:right="-26"/>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在盈利承诺期内因实际净利润数不</w:t>
                        </w:r>
                        <w:r>
                          <w:rPr>
                            <w:rFonts w:ascii="宋体" w:hAnsi="宋体" w:cs="宋体" w:eastAsia="宋体" w:hint="default"/>
                            <w:sz w:val="18"/>
                            <w:szCs w:val="18"/>
                          </w:rPr>
                          <w:t> 足承诺净利润数已支付的补偿额。</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2"/>
                            <w:sz w:val="18"/>
                            <w:szCs w:val="18"/>
                          </w:rPr>
                          <w:t>在因本次交易获得的神州泰岳股份全</w:t>
                        </w:r>
                        <w:r>
                          <w:rPr>
                            <w:rFonts w:ascii="宋体" w:hAnsi="宋体" w:cs="宋体" w:eastAsia="宋体" w:hint="default"/>
                            <w:sz w:val="18"/>
                            <w:szCs w:val="18"/>
                          </w:rPr>
                          <w:t> </w:t>
                        </w:r>
                        <w:r>
                          <w:rPr>
                            <w:rFonts w:ascii="宋体" w:hAnsi="宋体" w:cs="宋体" w:eastAsia="宋体" w:hint="default"/>
                            <w:spacing w:val="2"/>
                            <w:sz w:val="18"/>
                            <w:szCs w:val="18"/>
                          </w:rPr>
                          <w:t>部解锁前，不主动向标的公司及其子</w:t>
                        </w:r>
                        <w:r>
                          <w:rPr>
                            <w:rFonts w:ascii="宋体" w:hAnsi="宋体" w:cs="宋体" w:eastAsia="宋体" w:hint="default"/>
                            <w:sz w:val="18"/>
                            <w:szCs w:val="18"/>
                          </w:rPr>
                          <w:t> 公司提出离职。</w:t>
                        </w:r>
                      </w:p>
                    </w:tc>
                    <w:tc>
                      <w:tcPr>
                        <w:tcW w:w="960" w:type="dxa"/>
                        <w:tcBorders>
                          <w:top w:val="single" w:sz="10" w:space="0" w:color="000000"/>
                          <w:left w:val="single" w:sz="4" w:space="0" w:color="000000"/>
                          <w:bottom w:val="single" w:sz="4" w:space="0" w:color="000000"/>
                          <w:right w:val="single" w:sz="4" w:space="0" w:color="000000"/>
                        </w:tcBorders>
                      </w:tcPr>
                      <w:p>
                        <w:pPr/>
                      </w:p>
                    </w:tc>
                    <w:tc>
                      <w:tcPr>
                        <w:tcW w:w="1121" w:type="dxa"/>
                        <w:tcBorders>
                          <w:top w:val="single" w:sz="10" w:space="0" w:color="000000"/>
                          <w:left w:val="single" w:sz="4" w:space="0" w:color="000000"/>
                          <w:bottom w:val="single" w:sz="4" w:space="0" w:color="000000"/>
                          <w:right w:val="single" w:sz="4" w:space="0" w:color="000000"/>
                        </w:tcBorders>
                      </w:tcPr>
                      <w:p>
                        <w:pPr/>
                      </w:p>
                    </w:tc>
                    <w:tc>
                      <w:tcPr>
                        <w:tcW w:w="1040" w:type="dxa"/>
                        <w:tcBorders>
                          <w:top w:val="single" w:sz="10" w:space="0" w:color="000000"/>
                          <w:left w:val="single" w:sz="4" w:space="0" w:color="000000"/>
                          <w:bottom w:val="single" w:sz="4" w:space="0" w:color="000000"/>
                          <w:right w:val="single" w:sz="4" w:space="0" w:color="000000"/>
                        </w:tcBorders>
                      </w:tcPr>
                      <w:p>
                        <w:pPr/>
                      </w:p>
                    </w:tc>
                  </w:tr>
                  <w:tr>
                    <w:trPr>
                      <w:trHeight w:val="2859" w:hRule="exact"/>
                    </w:trPr>
                    <w:tc>
                      <w:tcPr>
                        <w:tcW w:w="198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477" w:lineRule="auto"/>
                          <w:ind w:left="41" w:right="40"/>
                          <w:jc w:val="center"/>
                          <w:rPr>
                            <w:rFonts w:ascii="宋体" w:hAnsi="宋体" w:cs="宋体" w:eastAsia="宋体" w:hint="default"/>
                            <w:sz w:val="18"/>
                            <w:szCs w:val="18"/>
                          </w:rPr>
                        </w:pPr>
                        <w:r>
                          <w:rPr>
                            <w:rFonts w:ascii="宋体" w:hAnsi="宋体" w:cs="宋体" w:eastAsia="宋体" w:hint="default"/>
                            <w:sz w:val="18"/>
                            <w:szCs w:val="18"/>
                          </w:rPr>
                          <w:t>壳木软件资 产重组期限 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470" w:lineRule="auto" w:before="129"/>
                          <w:ind w:left="22"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、壳木软件的任职期限内，未经神州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泰岳书面同意，不得在神州泰岳及其</w:t>
                        </w:r>
                        <w:r>
                          <w:rPr>
                            <w:rFonts w:ascii="宋体" w:hAnsi="宋体" w:cs="宋体" w:eastAsia="宋体" w:hint="default"/>
                            <w:sz w:val="18"/>
                            <w:szCs w:val="18"/>
                          </w:rPr>
                          <w:t> </w:t>
                        </w:r>
                        <w:r>
                          <w:rPr>
                            <w:rFonts w:ascii="宋体" w:hAnsi="宋体" w:cs="宋体" w:eastAsia="宋体" w:hint="default"/>
                            <w:spacing w:val="2"/>
                            <w:sz w:val="18"/>
                            <w:szCs w:val="18"/>
                          </w:rPr>
                          <w:t>子公司、壳木软件以外，从事游戏开</w:t>
                        </w:r>
                        <w:r>
                          <w:rPr>
                            <w:rFonts w:ascii="宋体" w:hAnsi="宋体" w:cs="宋体" w:eastAsia="宋体" w:hint="default"/>
                            <w:sz w:val="18"/>
                            <w:szCs w:val="18"/>
                          </w:rPr>
                          <w:t> </w:t>
                        </w:r>
                        <w:r>
                          <w:rPr>
                            <w:rFonts w:ascii="宋体" w:hAnsi="宋体" w:cs="宋体" w:eastAsia="宋体" w:hint="default"/>
                            <w:spacing w:val="2"/>
                            <w:sz w:val="18"/>
                            <w:szCs w:val="18"/>
                          </w:rPr>
                          <w:t>发、运营及维护业务或通过直接或间</w:t>
                        </w:r>
                        <w:r>
                          <w:rPr>
                            <w:rFonts w:ascii="宋体" w:hAnsi="宋体" w:cs="宋体" w:eastAsia="宋体" w:hint="default"/>
                            <w:sz w:val="18"/>
                            <w:szCs w:val="18"/>
                          </w:rPr>
                          <w:t> </w:t>
                        </w:r>
                        <w:r>
                          <w:rPr>
                            <w:rFonts w:ascii="宋体" w:hAnsi="宋体" w:cs="宋体" w:eastAsia="宋体" w:hint="default"/>
                            <w:spacing w:val="14"/>
                            <w:sz w:val="18"/>
                            <w:szCs w:val="18"/>
                          </w:rPr>
                          <w:t>接控制的其他经营主体从事该等业</w:t>
                        </w:r>
                      </w:p>
                      <w:p>
                        <w:pPr>
                          <w:pStyle w:val="TableParagraph"/>
                          <w:spacing w:line="240" w:lineRule="auto" w:before="59"/>
                          <w:ind w:left="22" w:right="0"/>
                          <w:jc w:val="both"/>
                          <w:rPr>
                            <w:rFonts w:ascii="宋体" w:hAnsi="宋体" w:cs="宋体" w:eastAsia="宋体" w:hint="default"/>
                            <w:sz w:val="18"/>
                            <w:szCs w:val="18"/>
                          </w:rPr>
                        </w:pPr>
                        <w:r>
                          <w:rPr>
                            <w:rFonts w:ascii="宋体" w:hAnsi="宋体" w:cs="宋体" w:eastAsia="宋体" w:hint="default"/>
                            <w:spacing w:val="2"/>
                            <w:sz w:val="18"/>
                            <w:szCs w:val="18"/>
                          </w:rPr>
                          <w:t>务；不得在其他与神州泰岳及其子公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tbl>
      <w:tblPr>
        <w:tblW w:w="0" w:type="auto"/>
        <w:jc w:val="left"/>
        <w:tblInd w:w="987" w:type="dxa"/>
        <w:tblLayout w:type="fixed"/>
        <w:tblCellMar>
          <w:top w:w="0" w:type="dxa"/>
          <w:left w:w="0" w:type="dxa"/>
          <w:bottom w:w="0" w:type="dxa"/>
          <w:right w:w="0" w:type="dxa"/>
        </w:tblCellMar>
        <w:tblLook w:val="01E0"/>
      </w:tblPr>
      <w:tblGrid>
        <w:gridCol w:w="1986"/>
        <w:gridCol w:w="992"/>
        <w:gridCol w:w="994"/>
        <w:gridCol w:w="2977"/>
        <w:gridCol w:w="960"/>
        <w:gridCol w:w="1121"/>
        <w:gridCol w:w="1038"/>
      </w:tblGrid>
      <w:tr>
        <w:trPr>
          <w:trHeight w:val="3806" w:hRule="exact"/>
        </w:trPr>
        <w:tc>
          <w:tcPr>
            <w:tcW w:w="198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10" w:space="0" w:color="000000"/>
              <w:left w:val="single" w:sz="4" w:space="0" w:color="000000"/>
              <w:bottom w:val="single" w:sz="4" w:space="0" w:color="000000"/>
              <w:right w:val="single" w:sz="4" w:space="0" w:color="000000"/>
            </w:tcBorders>
          </w:tcPr>
          <w:p>
            <w:pPr/>
          </w:p>
        </w:tc>
        <w:tc>
          <w:tcPr>
            <w:tcW w:w="994" w:type="dxa"/>
            <w:tcBorders>
              <w:top w:val="single" w:sz="10" w:space="0" w:color="000000"/>
              <w:left w:val="single" w:sz="4" w:space="0" w:color="000000"/>
              <w:bottom w:val="single" w:sz="4" w:space="0" w:color="000000"/>
              <w:right w:val="single" w:sz="4" w:space="0" w:color="000000"/>
            </w:tcBorders>
          </w:tcPr>
          <w:p>
            <w:pPr/>
          </w:p>
        </w:tc>
        <w:tc>
          <w:tcPr>
            <w:tcW w:w="2977" w:type="dxa"/>
            <w:tcBorders>
              <w:top w:val="single" w:sz="10" w:space="0" w:color="000000"/>
              <w:left w:val="single" w:sz="4" w:space="0" w:color="000000"/>
              <w:bottom w:val="single" w:sz="4" w:space="0" w:color="000000"/>
              <w:right w:val="single" w:sz="4" w:space="0" w:color="000000"/>
            </w:tcBorders>
          </w:tcPr>
          <w:p>
            <w:pPr>
              <w:pStyle w:val="TableParagraph"/>
              <w:spacing w:line="472" w:lineRule="auto" w:before="88"/>
              <w:ind w:left="22" w:right="20"/>
              <w:jc w:val="both"/>
              <w:rPr>
                <w:rFonts w:ascii="宋体" w:hAnsi="宋体" w:cs="宋体" w:eastAsia="宋体" w:hint="default"/>
                <w:sz w:val="18"/>
                <w:szCs w:val="18"/>
              </w:rPr>
            </w:pPr>
            <w:r>
              <w:rPr>
                <w:rFonts w:ascii="宋体" w:hAnsi="宋体" w:cs="宋体" w:eastAsia="宋体" w:hint="default"/>
                <w:spacing w:val="2"/>
                <w:sz w:val="18"/>
                <w:szCs w:val="18"/>
              </w:rPr>
              <w:t>司、壳木软件有竞争关系的任何企业</w:t>
            </w:r>
            <w:r>
              <w:rPr>
                <w:rFonts w:ascii="宋体" w:hAnsi="宋体" w:cs="宋体" w:eastAsia="宋体" w:hint="default"/>
                <w:sz w:val="18"/>
                <w:szCs w:val="18"/>
              </w:rPr>
              <w:t> </w:t>
            </w:r>
            <w:r>
              <w:rPr>
                <w:rFonts w:ascii="宋体" w:hAnsi="宋体" w:cs="宋体" w:eastAsia="宋体" w:hint="default"/>
                <w:spacing w:val="-3"/>
                <w:sz w:val="18"/>
                <w:szCs w:val="18"/>
              </w:rPr>
              <w:t>或组织任职。</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、自其从壳木软件离职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后两年内不得在神州泰岳及其子公</w:t>
            </w:r>
            <w:r>
              <w:rPr>
                <w:rFonts w:ascii="宋体" w:hAnsi="宋体" w:cs="宋体" w:eastAsia="宋体" w:hint="default"/>
                <w:sz w:val="18"/>
                <w:szCs w:val="18"/>
              </w:rPr>
              <w:t> </w:t>
            </w:r>
            <w:r>
              <w:rPr>
                <w:rFonts w:ascii="宋体" w:hAnsi="宋体" w:cs="宋体" w:eastAsia="宋体" w:hint="default"/>
                <w:spacing w:val="2"/>
                <w:sz w:val="18"/>
                <w:szCs w:val="18"/>
              </w:rPr>
              <w:t>司、壳木软件以外的任何企业或组织</w:t>
            </w:r>
            <w:r>
              <w:rPr>
                <w:rFonts w:ascii="宋体" w:hAnsi="宋体" w:cs="宋体" w:eastAsia="宋体" w:hint="default"/>
                <w:sz w:val="18"/>
                <w:szCs w:val="18"/>
              </w:rPr>
              <w:t> </w:t>
            </w:r>
            <w:r>
              <w:rPr>
                <w:rFonts w:ascii="宋体" w:hAnsi="宋体" w:cs="宋体" w:eastAsia="宋体" w:hint="default"/>
                <w:spacing w:val="2"/>
                <w:sz w:val="18"/>
                <w:szCs w:val="18"/>
              </w:rPr>
              <w:t>任职或担任任何形式的顾问，从事游</w:t>
            </w:r>
            <w:r>
              <w:rPr>
                <w:rFonts w:ascii="宋体" w:hAnsi="宋体" w:cs="宋体" w:eastAsia="宋体" w:hint="default"/>
                <w:sz w:val="18"/>
                <w:szCs w:val="18"/>
              </w:rPr>
              <w:t> </w:t>
            </w:r>
            <w:r>
              <w:rPr>
                <w:rFonts w:ascii="宋体" w:hAnsi="宋体" w:cs="宋体" w:eastAsia="宋体" w:hint="default"/>
                <w:spacing w:val="2"/>
                <w:sz w:val="18"/>
                <w:szCs w:val="18"/>
              </w:rPr>
              <w:t>戏开发、运营及维护业务或通过直接</w:t>
            </w:r>
            <w:r>
              <w:rPr>
                <w:rFonts w:ascii="宋体" w:hAnsi="宋体" w:cs="宋体" w:eastAsia="宋体" w:hint="default"/>
                <w:sz w:val="18"/>
                <w:szCs w:val="18"/>
              </w:rPr>
              <w:t> </w:t>
            </w:r>
            <w:r>
              <w:rPr>
                <w:rFonts w:ascii="宋体" w:hAnsi="宋体" w:cs="宋体" w:eastAsia="宋体" w:hint="default"/>
                <w:spacing w:val="2"/>
                <w:sz w:val="18"/>
                <w:szCs w:val="18"/>
              </w:rPr>
              <w:t>或间接控制的其他经营主体从事该等</w:t>
            </w:r>
            <w:r>
              <w:rPr>
                <w:rFonts w:ascii="宋体" w:hAnsi="宋体" w:cs="宋体" w:eastAsia="宋体" w:hint="default"/>
                <w:sz w:val="18"/>
                <w:szCs w:val="18"/>
              </w:rPr>
              <w:t> 业务。</w:t>
            </w:r>
          </w:p>
        </w:tc>
        <w:tc>
          <w:tcPr>
            <w:tcW w:w="960" w:type="dxa"/>
            <w:tcBorders>
              <w:top w:val="single" w:sz="10" w:space="0" w:color="000000"/>
              <w:left w:val="single" w:sz="4" w:space="0" w:color="000000"/>
              <w:bottom w:val="single" w:sz="4" w:space="0" w:color="000000"/>
              <w:right w:val="single" w:sz="4" w:space="0" w:color="000000"/>
            </w:tcBorders>
          </w:tcPr>
          <w:p>
            <w:pPr/>
          </w:p>
        </w:tc>
        <w:tc>
          <w:tcPr>
            <w:tcW w:w="1121" w:type="dxa"/>
            <w:tcBorders>
              <w:top w:val="single" w:sz="10" w:space="0" w:color="000000"/>
              <w:left w:val="single" w:sz="4" w:space="0" w:color="000000"/>
              <w:bottom w:val="single" w:sz="4" w:space="0" w:color="000000"/>
              <w:right w:val="single" w:sz="4" w:space="0" w:color="000000"/>
            </w:tcBorders>
          </w:tcPr>
          <w:p>
            <w:pPr/>
          </w:p>
        </w:tc>
        <w:tc>
          <w:tcPr>
            <w:tcW w:w="1038" w:type="dxa"/>
            <w:tcBorders>
              <w:top w:val="single" w:sz="10" w:space="0" w:color="000000"/>
              <w:left w:val="single" w:sz="4" w:space="0" w:color="000000"/>
              <w:bottom w:val="single" w:sz="4" w:space="0" w:color="000000"/>
              <w:right w:val="single" w:sz="4" w:space="0" w:color="000000"/>
            </w:tcBorders>
          </w:tcPr>
          <w:p>
            <w:pPr/>
          </w:p>
        </w:tc>
      </w:tr>
      <w:tr>
        <w:trPr>
          <w:trHeight w:val="4302" w:hRule="exact"/>
        </w:trPr>
        <w:tc>
          <w:tcPr>
            <w:tcW w:w="19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477" w:lineRule="auto"/>
              <w:ind w:left="537" w:right="86" w:hanging="450"/>
              <w:jc w:val="left"/>
              <w:rPr>
                <w:rFonts w:ascii="宋体" w:hAnsi="宋体" w:cs="宋体" w:eastAsia="宋体" w:hint="default"/>
                <w:sz w:val="18"/>
                <w:szCs w:val="18"/>
              </w:rPr>
            </w:pPr>
            <w:r>
              <w:rPr>
                <w:rFonts w:ascii="宋体" w:hAnsi="宋体" w:cs="宋体" w:eastAsia="宋体" w:hint="default"/>
                <w:sz w:val="18"/>
                <w:szCs w:val="18"/>
              </w:rPr>
              <w:t>首次公开发行或再融资 时所作承诺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41" w:right="0"/>
              <w:jc w:val="left"/>
              <w:rPr>
                <w:rFonts w:ascii="宋体" w:hAnsi="宋体" w:cs="宋体" w:eastAsia="宋体" w:hint="default"/>
                <w:sz w:val="18"/>
                <w:szCs w:val="18"/>
              </w:rPr>
            </w:pPr>
            <w:r>
              <w:rPr>
                <w:rFonts w:ascii="宋体" w:hAnsi="宋体" w:cs="宋体" w:eastAsia="宋体" w:hint="default"/>
                <w:sz w:val="18"/>
                <w:szCs w:val="18"/>
              </w:rPr>
              <w:t>王宁、李力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477" w:lineRule="auto" w:before="106"/>
              <w:ind w:left="131" w:right="40" w:hanging="90"/>
              <w:jc w:val="left"/>
              <w:rPr>
                <w:rFonts w:ascii="宋体" w:hAnsi="宋体" w:cs="宋体" w:eastAsia="宋体" w:hint="default"/>
                <w:sz w:val="18"/>
                <w:szCs w:val="18"/>
              </w:rPr>
            </w:pPr>
            <w:r>
              <w:rPr>
                <w:rFonts w:ascii="宋体" w:hAnsi="宋体" w:cs="宋体" w:eastAsia="宋体" w:hint="default"/>
                <w:sz w:val="18"/>
                <w:szCs w:val="18"/>
              </w:rPr>
              <w:t>首次公开发 行时承诺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470" w:lineRule="auto" w:before="125"/>
              <w:ind w:left="22"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、将来不以任何方式从事，包括与他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人合作直接或间接从事与公司及其子</w:t>
            </w:r>
            <w:r>
              <w:rPr>
                <w:rFonts w:ascii="宋体" w:hAnsi="宋体" w:cs="宋体" w:eastAsia="宋体" w:hint="default"/>
                <w:sz w:val="18"/>
                <w:szCs w:val="18"/>
              </w:rPr>
              <w:t> </w:t>
            </w:r>
            <w:r>
              <w:rPr>
                <w:rFonts w:ascii="宋体" w:hAnsi="宋体" w:cs="宋体" w:eastAsia="宋体" w:hint="default"/>
                <w:spacing w:val="2"/>
                <w:sz w:val="18"/>
                <w:szCs w:val="18"/>
              </w:rPr>
              <w:t>公司相同、相似或在任何方面构成竞</w:t>
            </w:r>
            <w:r>
              <w:rPr>
                <w:rFonts w:ascii="宋体" w:hAnsi="宋体" w:cs="宋体" w:eastAsia="宋体" w:hint="default"/>
                <w:sz w:val="18"/>
                <w:szCs w:val="18"/>
              </w:rPr>
              <w:t> </w:t>
            </w:r>
            <w:r>
              <w:rPr>
                <w:rFonts w:ascii="宋体" w:hAnsi="宋体" w:cs="宋体" w:eastAsia="宋体" w:hint="default"/>
                <w:spacing w:val="-3"/>
                <w:sz w:val="18"/>
                <w:szCs w:val="18"/>
              </w:rPr>
              <w:t>争的业务；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、承诺将尽可能避免和减</w:t>
            </w:r>
            <w:r>
              <w:rPr>
                <w:rFonts w:ascii="宋体" w:hAnsi="宋体" w:cs="宋体" w:eastAsia="宋体" w:hint="default"/>
                <w:sz w:val="18"/>
                <w:szCs w:val="18"/>
              </w:rPr>
              <w:t> </w:t>
            </w:r>
            <w:r>
              <w:rPr>
                <w:rFonts w:ascii="宋体" w:hAnsi="宋体" w:cs="宋体" w:eastAsia="宋体" w:hint="default"/>
                <w:spacing w:val="2"/>
                <w:sz w:val="18"/>
                <w:szCs w:val="18"/>
              </w:rPr>
              <w:t>少与公司之间的关联交易。若有关的</w:t>
            </w:r>
            <w:r>
              <w:rPr>
                <w:rFonts w:ascii="宋体" w:hAnsi="宋体" w:cs="宋体" w:eastAsia="宋体" w:hint="default"/>
                <w:sz w:val="18"/>
                <w:szCs w:val="18"/>
              </w:rPr>
              <w:t> </w:t>
            </w:r>
            <w:r>
              <w:rPr>
                <w:rFonts w:ascii="宋体" w:hAnsi="宋体" w:cs="宋体" w:eastAsia="宋体" w:hint="default"/>
                <w:spacing w:val="2"/>
                <w:sz w:val="18"/>
                <w:szCs w:val="18"/>
              </w:rPr>
              <w:t>关联交易为公司日常经营所必须或者</w:t>
            </w:r>
            <w:r>
              <w:rPr>
                <w:rFonts w:ascii="宋体" w:hAnsi="宋体" w:cs="宋体" w:eastAsia="宋体" w:hint="default"/>
                <w:sz w:val="18"/>
                <w:szCs w:val="18"/>
              </w:rPr>
              <w:t> </w:t>
            </w:r>
            <w:r>
              <w:rPr>
                <w:rFonts w:ascii="宋体" w:hAnsi="宋体" w:cs="宋体" w:eastAsia="宋体" w:hint="default"/>
                <w:spacing w:val="2"/>
                <w:sz w:val="18"/>
                <w:szCs w:val="18"/>
              </w:rPr>
              <w:t>无法避免，承诺方保证该等关联交易</w:t>
            </w:r>
            <w:r>
              <w:rPr>
                <w:rFonts w:ascii="宋体" w:hAnsi="宋体" w:cs="宋体" w:eastAsia="宋体" w:hint="default"/>
                <w:sz w:val="18"/>
                <w:szCs w:val="18"/>
              </w:rPr>
              <w:t> </w:t>
            </w:r>
            <w:r>
              <w:rPr>
                <w:rFonts w:ascii="宋体" w:hAnsi="宋体" w:cs="宋体" w:eastAsia="宋体" w:hint="default"/>
                <w:spacing w:val="2"/>
                <w:sz w:val="18"/>
                <w:szCs w:val="18"/>
              </w:rPr>
              <w:t>所列之交易条件公允，不损害公司及</w:t>
            </w:r>
            <w:r>
              <w:rPr>
                <w:rFonts w:ascii="宋体" w:hAnsi="宋体" w:cs="宋体" w:eastAsia="宋体" w:hint="default"/>
                <w:sz w:val="18"/>
                <w:szCs w:val="18"/>
              </w:rPr>
              <w:t> 股东利益。</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93"/>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430" w:hRule="exact"/>
        </w:trPr>
        <w:tc>
          <w:tcPr>
            <w:tcW w:w="1986"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477" w:lineRule="auto"/>
              <w:ind w:left="41" w:right="38"/>
              <w:jc w:val="both"/>
              <w:rPr>
                <w:rFonts w:ascii="宋体" w:hAnsi="宋体" w:cs="宋体" w:eastAsia="宋体" w:hint="default"/>
                <w:sz w:val="18"/>
                <w:szCs w:val="18"/>
              </w:rPr>
            </w:pPr>
            <w:r>
              <w:rPr>
                <w:rFonts w:ascii="宋体" w:hAnsi="宋体" w:cs="宋体" w:eastAsia="宋体" w:hint="default"/>
                <w:sz w:val="18"/>
                <w:szCs w:val="18"/>
              </w:rPr>
              <w:t>公司首次公 开发行股票 前的股东</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477" w:lineRule="auto"/>
              <w:ind w:left="131" w:right="40" w:hanging="90"/>
              <w:jc w:val="left"/>
              <w:rPr>
                <w:rFonts w:ascii="宋体" w:hAnsi="宋体" w:cs="宋体" w:eastAsia="宋体" w:hint="default"/>
                <w:sz w:val="18"/>
                <w:szCs w:val="18"/>
              </w:rPr>
            </w:pPr>
            <w:r>
              <w:rPr>
                <w:rFonts w:ascii="宋体" w:hAnsi="宋体" w:cs="宋体" w:eastAsia="宋体" w:hint="default"/>
                <w:sz w:val="18"/>
                <w:szCs w:val="18"/>
              </w:rPr>
              <w:t>首次公开发 行时承诺</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24"/>
              <w:ind w:left="22" w:right="19"/>
              <w:jc w:val="both"/>
              <w:rPr>
                <w:rFonts w:ascii="宋体" w:hAnsi="宋体" w:cs="宋体" w:eastAsia="宋体" w:hint="default"/>
                <w:sz w:val="18"/>
                <w:szCs w:val="18"/>
              </w:rPr>
            </w:pPr>
            <w:r>
              <w:rPr>
                <w:rFonts w:ascii="宋体" w:hAnsi="宋体" w:cs="宋体" w:eastAsia="宋体" w:hint="default"/>
                <w:spacing w:val="2"/>
                <w:sz w:val="18"/>
                <w:szCs w:val="18"/>
              </w:rPr>
              <w:t>在担任公司董事、监事或高级管理人</w:t>
            </w:r>
            <w:r>
              <w:rPr>
                <w:rFonts w:ascii="宋体" w:hAnsi="宋体" w:cs="宋体" w:eastAsia="宋体" w:hint="default"/>
                <w:sz w:val="18"/>
                <w:szCs w:val="18"/>
              </w:rPr>
              <w:t> </w:t>
            </w:r>
            <w:r>
              <w:rPr>
                <w:rFonts w:ascii="宋体" w:hAnsi="宋体" w:cs="宋体" w:eastAsia="宋体" w:hint="default"/>
                <w:spacing w:val="2"/>
                <w:sz w:val="18"/>
                <w:szCs w:val="18"/>
              </w:rPr>
              <w:t>员期间，每年转让的股份不超过本人</w:t>
            </w:r>
            <w:r>
              <w:rPr>
                <w:rFonts w:ascii="宋体" w:hAnsi="宋体" w:cs="宋体" w:eastAsia="宋体" w:hint="default"/>
                <w:sz w:val="18"/>
                <w:szCs w:val="18"/>
              </w:rPr>
              <w:t> </w:t>
            </w:r>
            <w:r>
              <w:rPr>
                <w:rFonts w:ascii="宋体" w:hAnsi="宋体" w:cs="宋体" w:eastAsia="宋体" w:hint="default"/>
                <w:spacing w:val="2"/>
                <w:sz w:val="18"/>
                <w:szCs w:val="18"/>
              </w:rPr>
              <w:t>所持公司股份总数的百分之二十五；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离职后半年内，不转让所持有的公司</w:t>
            </w:r>
            <w:r>
              <w:rPr>
                <w:rFonts w:ascii="宋体" w:hAnsi="宋体" w:cs="宋体" w:eastAsia="宋体" w:hint="default"/>
                <w:sz w:val="18"/>
                <w:szCs w:val="18"/>
              </w:rPr>
              <w:t> 股份。</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93"/>
              <w:jc w:val="right"/>
              <w:rPr>
                <w:rFonts w:ascii="宋体" w:hAnsi="宋体" w:cs="宋体" w:eastAsia="宋体" w:hint="default"/>
                <w:sz w:val="18"/>
                <w:szCs w:val="18"/>
              </w:rPr>
            </w:pPr>
            <w:r>
              <w:rPr>
                <w:rFonts w:ascii="宋体" w:hAnsi="宋体" w:cs="宋体" w:eastAsia="宋体" w:hint="default"/>
                <w:sz w:val="18"/>
                <w:szCs w:val="18"/>
              </w:rPr>
              <w:t>长期有效</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58"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股权激励承诺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392"/>
              <w:jc w:val="right"/>
              <w:rPr>
                <w:rFonts w:ascii="宋体" w:hAnsi="宋体" w:cs="宋体" w:eastAsia="宋体" w:hint="default"/>
                <w:sz w:val="18"/>
                <w:szCs w:val="18"/>
              </w:rPr>
            </w:pPr>
            <w:r>
              <w:rPr>
                <w:rFonts w:ascii="宋体" w:hAnsi="宋体" w:cs="宋体" w:eastAsia="宋体" w:hint="default"/>
                <w:sz w:val="18"/>
                <w:szCs w:val="18"/>
              </w:rPr>
              <w:t>无</w:t>
            </w:r>
          </w:p>
        </w:tc>
        <w:tc>
          <w:tcPr>
            <w:tcW w:w="96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4"/>
              <w:ind w:left="718" w:right="86" w:hanging="631"/>
              <w:jc w:val="left"/>
              <w:rPr>
                <w:rFonts w:ascii="宋体" w:hAnsi="宋体" w:cs="宋体" w:eastAsia="宋体" w:hint="default"/>
                <w:sz w:val="18"/>
                <w:szCs w:val="18"/>
              </w:rPr>
            </w:pPr>
            <w:r>
              <w:rPr>
                <w:rFonts w:ascii="宋体" w:hAnsi="宋体" w:cs="宋体" w:eastAsia="宋体" w:hint="default"/>
                <w:sz w:val="18"/>
                <w:szCs w:val="18"/>
              </w:rPr>
              <w:t>其他对公司中小股东所 作承诺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392"/>
              <w:jc w:val="right"/>
              <w:rPr>
                <w:rFonts w:ascii="宋体" w:hAnsi="宋体" w:cs="宋体" w:eastAsia="宋体" w:hint="default"/>
                <w:sz w:val="18"/>
                <w:szCs w:val="18"/>
              </w:rPr>
            </w:pPr>
            <w:r>
              <w:rPr>
                <w:rFonts w:ascii="宋体" w:hAnsi="宋体" w:cs="宋体" w:eastAsia="宋体" w:hint="default"/>
                <w:sz w:val="18"/>
                <w:szCs w:val="18"/>
              </w:rPr>
              <w:t>无</w:t>
            </w:r>
          </w:p>
        </w:tc>
        <w:tc>
          <w:tcPr>
            <w:tcW w:w="96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0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986"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left="22" w:right="0" w:firstLine="64"/>
              <w:jc w:val="left"/>
              <w:rPr>
                <w:rFonts w:ascii="宋体" w:hAnsi="宋体" w:cs="宋体" w:eastAsia="宋体" w:hint="default"/>
                <w:sz w:val="18"/>
                <w:szCs w:val="18"/>
              </w:rPr>
            </w:pPr>
            <w:r>
              <w:rPr>
                <w:rFonts w:ascii="宋体" w:hAnsi="宋体" w:cs="宋体" w:eastAsia="宋体" w:hint="default"/>
                <w:sz w:val="18"/>
                <w:szCs w:val="18"/>
              </w:rPr>
              <w:t>如承诺超期未履行完毕</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5"/>
                <w:sz w:val="18"/>
                <w:szCs w:val="18"/>
              </w:rPr>
              <w:t>的，应当详细说明未完成</w:t>
            </w:r>
          </w:p>
        </w:tc>
        <w:tc>
          <w:tcPr>
            <w:tcW w:w="80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851" w:footer="979" w:top="1420" w:bottom="1160" w:left="0" w:right="0"/>
        </w:sectPr>
      </w:pPr>
    </w:p>
    <w:p>
      <w:pPr>
        <w:spacing w:line="240" w:lineRule="auto" w:before="4"/>
        <w:rPr>
          <w:rFonts w:ascii="Times New Roman" w:hAnsi="Times New Roman" w:cs="Times New Roman" w:eastAsia="Times New Roman" w:hint="default"/>
          <w:sz w:val="3"/>
          <w:szCs w:val="3"/>
        </w:rPr>
      </w:pPr>
    </w:p>
    <w:p>
      <w:pPr>
        <w:spacing w:line="1015" w:lineRule="exact"/>
        <w:ind w:left="98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503.9pt;height:50.8pt;mso-position-horizontal-relative:char;mso-position-vertical-relative:line" coordorigin="0,0" coordsize="10078,1016">
            <v:group style="position:absolute;left:116;top:7;width:9700;height:2" coordorigin="116,7" coordsize="9700,2">
              <v:shape style="position:absolute;left:116;top:7;width:9700;height:2" coordorigin="116,7" coordsize="9700,0" path="m116,7l9816,7e" filled="false" stroked="true" strokeweight=".72pt" strokecolor="#000000">
                <v:path arrowok="t"/>
              </v:shape>
            </v:group>
            <v:group style="position:absolute;left:1974;top:24;width:2;height:976" coordorigin="1974,24" coordsize="2,976">
              <v:shape style="position:absolute;left:1974;top:24;width:2;height:976" coordorigin="1974,24" coordsize="0,976" path="m1974,24l1974,1000e" filled="false" stroked="true" strokeweight="1.140pt" strokecolor="#d2d2d2">
                <v:path arrowok="t"/>
              </v:shape>
            </v:group>
            <v:group style="position:absolute;left:21;top:24;width:2;height:976" coordorigin="21,24" coordsize="2,976">
              <v:shape style="position:absolute;left:21;top:24;width:2;height:976" coordorigin="21,24" coordsize="0,976" path="m21,24l21,1000e" filled="false" stroked="true" strokeweight="1.140pt" strokecolor="#d2d2d2">
                <v:path arrowok="t"/>
              </v:shape>
            </v:group>
            <v:group style="position:absolute;left:32;top:24;width:1930;height:468" coordorigin="32,24" coordsize="1930,468">
              <v:shape style="position:absolute;left:32;top:24;width:1930;height:468" coordorigin="32,24" coordsize="1930,468" path="m32,492l1962,492,1962,24,32,24,32,492xe" filled="true" fillcolor="#d2d2d2" stroked="false">
                <v:path arrowok="t"/>
                <v:fill type="solid"/>
              </v:shape>
            </v:group>
            <v:group style="position:absolute;left:32;top:492;width:1930;height:508" coordorigin="32,492" coordsize="1930,508">
              <v:shape style="position:absolute;left:32;top:492;width:1930;height:508" coordorigin="32,492" coordsize="1930,508" path="m32,1000l1962,1000,1962,492,32,492,32,1000xe" filled="true" fillcolor="#d2d2d2" stroked="false">
                <v:path arrowok="t"/>
                <v:fill type="solid"/>
              </v:shape>
            </v:group>
            <v:group style="position:absolute;left:10;top:19;width:1977;height:2" coordorigin="10,19" coordsize="1977,2">
              <v:shape style="position:absolute;left:10;top:19;width:1977;height:2" coordorigin="10,19" coordsize="1977,0" path="m10,19l1986,19e" filled="false" stroked="true" strokeweight=".48pt" strokecolor="#000000">
                <v:path arrowok="t"/>
              </v:shape>
            </v:group>
            <v:group style="position:absolute;left:1996;top:19;width:8072;height:2" coordorigin="1996,19" coordsize="8072,2">
              <v:shape style="position:absolute;left:1996;top:19;width:8072;height:2" coordorigin="1996,19" coordsize="8072,0" path="m1996,19l10068,19e" filled="false" stroked="true" strokeweight=".48pt" strokecolor="#000000">
                <v:path arrowok="t"/>
              </v:shape>
            </v:group>
            <v:group style="position:absolute;left:5;top:14;width:2;height:996" coordorigin="5,14" coordsize="2,996">
              <v:shape style="position:absolute;left:5;top:14;width:2;height:996" coordorigin="5,14" coordsize="0,996" path="m5,14l5,1010e" filled="false" stroked="true" strokeweight=".48pt" strokecolor="#000000">
                <v:path arrowok="t"/>
              </v:shape>
            </v:group>
            <v:group style="position:absolute;left:10;top:1006;width:1977;height:2" coordorigin="10,1006" coordsize="1977,2">
              <v:shape style="position:absolute;left:10;top:1006;width:1977;height:2" coordorigin="10,1006" coordsize="1977,0" path="m10,1006l1986,1006e" filled="false" stroked="true" strokeweight=".48pt" strokecolor="#000000">
                <v:path arrowok="t"/>
              </v:shape>
            </v:group>
            <v:group style="position:absolute;left:1991;top:14;width:2;height:996" coordorigin="1991,14" coordsize="2,996">
              <v:shape style="position:absolute;left:1991;top:14;width:2;height:996" coordorigin="1991,14" coordsize="0,996" path="m1991,14l1991,1010e" filled="false" stroked="true" strokeweight=".48pt" strokecolor="#000000">
                <v:path arrowok="t"/>
              </v:shape>
            </v:group>
            <v:group style="position:absolute;left:1996;top:1006;width:8072;height:2" coordorigin="1996,1006" coordsize="8072,2">
              <v:shape style="position:absolute;left:1996;top:1006;width:8072;height:2" coordorigin="1996,1006" coordsize="8072,0" path="m1996,1006l10068,1006e" filled="false" stroked="true" strokeweight=".48pt" strokecolor="#000000">
                <v:path arrowok="t"/>
              </v:shape>
            </v:group>
            <v:group style="position:absolute;left:10073;top:14;width:2;height:996" coordorigin="10073,14" coordsize="2,996">
              <v:shape style="position:absolute;left:10073;top:14;width:2;height:996" coordorigin="10073,14" coordsize="0,996" path="m10073,14l10073,1010e" filled="false" stroked="true" strokeweight=".48pt" strokecolor="#000000">
                <v:path arrowok="t"/>
              </v:shape>
              <v:shape style="position:absolute;left:5;top:12;width:1986;height:994" type="#_x0000_t202" filled="false" stroked="false">
                <v:textbox inset="0,0,0,0">
                  <w:txbxContent>
                    <w:p>
                      <w:pPr>
                        <w:spacing w:before="100"/>
                        <w:ind w:left="0" w:right="0" w:firstLine="0"/>
                        <w:jc w:val="center"/>
                        <w:rPr>
                          <w:rFonts w:ascii="宋体" w:hAnsi="宋体" w:cs="宋体" w:eastAsia="宋体" w:hint="default"/>
                          <w:sz w:val="18"/>
                          <w:szCs w:val="18"/>
                        </w:rPr>
                      </w:pPr>
                      <w:r>
                        <w:rPr>
                          <w:rFonts w:ascii="宋体" w:hAnsi="宋体" w:cs="宋体" w:eastAsia="宋体" w:hint="default"/>
                          <w:sz w:val="18"/>
                          <w:szCs w:val="18"/>
                        </w:rPr>
                        <w:t>履行的具体原因及下一</w:t>
                      </w:r>
                    </w:p>
                    <w:p>
                      <w:pPr>
                        <w:spacing w:line="240" w:lineRule="auto" w:before="4"/>
                        <w:rPr>
                          <w:rFonts w:ascii="Times New Roman" w:hAnsi="Times New Roman" w:cs="Times New Roman" w:eastAsia="Times New Roman" w:hint="default"/>
                          <w:sz w:val="20"/>
                          <w:szCs w:val="20"/>
                        </w:rPr>
                      </w:pPr>
                    </w:p>
                    <w:p>
                      <w:pPr>
                        <w:spacing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步的工作计划</w:t>
                      </w:r>
                    </w:p>
                  </w:txbxContent>
                </v:textbox>
                <w10:wrap type="none"/>
              </v:shape>
            </v:group>
          </v:group>
        </w:pict>
      </w:r>
      <w:r>
        <w:rPr>
          <w:rFonts w:ascii="Times New Roman" w:hAnsi="Times New Roman" w:cs="Times New Roman" w:eastAsia="Times New Roman" w:hint="default"/>
          <w:position w:val="-19"/>
          <w:sz w:val="20"/>
          <w:szCs w:val="20"/>
        </w:rPr>
      </w:r>
    </w:p>
    <w:p>
      <w:pPr>
        <w:spacing w:line="240" w:lineRule="auto" w:before="2"/>
        <w:rPr>
          <w:rFonts w:ascii="Times New Roman" w:hAnsi="Times New Roman" w:cs="Times New Roman" w:eastAsia="Times New Roman" w:hint="default"/>
          <w:sz w:val="28"/>
          <w:szCs w:val="28"/>
        </w:rPr>
      </w:pPr>
    </w:p>
    <w:p>
      <w:pPr>
        <w:pStyle w:val="Heading3"/>
        <w:spacing w:line="386"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13"/>
        <w:rPr>
          <w:rFonts w:ascii="宋体" w:hAnsi="宋体" w:cs="宋体" w:eastAsia="宋体" w:hint="default"/>
          <w:b/>
          <w:bCs/>
          <w:sz w:val="23"/>
          <w:szCs w:val="23"/>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01" w:type="dxa"/>
        <w:tblLayout w:type="fixed"/>
        <w:tblCellMar>
          <w:top w:w="0" w:type="dxa"/>
          <w:left w:w="0" w:type="dxa"/>
          <w:bottom w:w="0" w:type="dxa"/>
          <w:right w:w="0" w:type="dxa"/>
        </w:tblCellMar>
        <w:tblLook w:val="01E0"/>
      </w:tblPr>
      <w:tblGrid>
        <w:gridCol w:w="1138"/>
        <w:gridCol w:w="929"/>
        <w:gridCol w:w="929"/>
        <w:gridCol w:w="1055"/>
        <w:gridCol w:w="1135"/>
        <w:gridCol w:w="1133"/>
        <w:gridCol w:w="1089"/>
        <w:gridCol w:w="2287"/>
      </w:tblGrid>
      <w:tr>
        <w:trPr>
          <w:trHeight w:val="1026" w:hRule="exact"/>
        </w:trPr>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4" w:right="22"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3" w:right="7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1" w:right="113"/>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09"/>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58" w:right="88" w:hanging="270"/>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2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07"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天津壳木软件 有限责任公司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4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15,119.36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7,582.82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01" w:right="109" w:hanging="90"/>
              <w:jc w:val="left"/>
              <w:rPr>
                <w:rFonts w:ascii="宋体" w:hAnsi="宋体" w:cs="宋体" w:eastAsia="宋体" w:hint="default"/>
                <w:sz w:val="18"/>
                <w:szCs w:val="18"/>
              </w:rPr>
            </w:pPr>
            <w:r>
              <w:rPr>
                <w:rFonts w:ascii="宋体" w:hAnsi="宋体" w:cs="宋体" w:eastAsia="宋体" w:hint="default"/>
                <w:sz w:val="18"/>
                <w:szCs w:val="18"/>
              </w:rPr>
              <w:t>新游戏业绩 低于预期</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pacing w:val="5"/>
                <w:sz w:val="18"/>
                <w:szCs w:val="18"/>
              </w:rPr>
              <w:t>发行股份及支付现金购买资</w:t>
            </w:r>
            <w:r>
              <w:rPr>
                <w:rFonts w:ascii="宋体" w:hAnsi="宋体" w:cs="宋体" w:eastAsia="宋体" w:hint="default"/>
                <w:sz w:val="18"/>
                <w:szCs w:val="18"/>
              </w:rPr>
              <w:t> 产报告书</w:t>
            </w:r>
          </w:p>
        </w:tc>
      </w:tr>
      <w:tr>
        <w:trPr>
          <w:trHeight w:val="102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4" w:right="22" w:hanging="90"/>
              <w:jc w:val="left"/>
              <w:rPr>
                <w:rFonts w:ascii="宋体" w:hAnsi="宋体" w:cs="宋体" w:eastAsia="宋体" w:hint="default"/>
                <w:sz w:val="18"/>
                <w:szCs w:val="18"/>
              </w:rPr>
            </w:pPr>
            <w:r>
              <w:rPr>
                <w:rFonts w:ascii="宋体" w:hAnsi="宋体" w:cs="宋体" w:eastAsia="宋体" w:hint="default"/>
                <w:sz w:val="18"/>
                <w:szCs w:val="18"/>
              </w:rPr>
              <w:t>天津安纳西科 技有限公司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4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2,304.77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both"/>
              <w:rPr>
                <w:rFonts w:ascii="宋体" w:hAnsi="宋体" w:cs="宋体" w:eastAsia="宋体" w:hint="default"/>
                <w:sz w:val="18"/>
                <w:szCs w:val="18"/>
              </w:rPr>
            </w:pPr>
            <w:r>
              <w:rPr>
                <w:rFonts w:ascii="宋体" w:hAnsi="宋体" w:cs="宋体" w:eastAsia="宋体" w:hint="default"/>
                <w:spacing w:val="5"/>
                <w:sz w:val="18"/>
                <w:szCs w:val="18"/>
              </w:rPr>
              <w:t>关于全资子公司北京壳木软</w:t>
            </w:r>
            <w:r>
              <w:rPr>
                <w:rFonts w:ascii="宋体" w:hAnsi="宋体" w:cs="宋体" w:eastAsia="宋体" w:hint="default"/>
                <w:sz w:val="18"/>
                <w:szCs w:val="18"/>
              </w:rPr>
              <w:t> </w:t>
            </w:r>
            <w:r>
              <w:rPr>
                <w:rFonts w:ascii="宋体" w:hAnsi="宋体" w:cs="宋体" w:eastAsia="宋体" w:hint="default"/>
                <w:spacing w:val="5"/>
                <w:sz w:val="18"/>
                <w:szCs w:val="18"/>
              </w:rPr>
              <w:t>件有限责任公司对外投资的</w:t>
            </w:r>
            <w:r>
              <w:rPr>
                <w:rFonts w:ascii="宋体" w:hAnsi="宋体" w:cs="宋体" w:eastAsia="宋体" w:hint="default"/>
                <w:sz w:val="18"/>
                <w:szCs w:val="18"/>
              </w:rPr>
              <w:t> 公告</w:t>
            </w:r>
          </w:p>
        </w:tc>
      </w:tr>
      <w:tr>
        <w:trPr>
          <w:trHeight w:val="71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北京神州祥升 软件有限公司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4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4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3,260.74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pacing w:val="5"/>
                <w:sz w:val="18"/>
                <w:szCs w:val="18"/>
              </w:rPr>
              <w:t>收购北京神州祥升软件有限</w:t>
            </w:r>
            <w:r>
              <w:rPr>
                <w:rFonts w:ascii="宋体" w:hAnsi="宋体" w:cs="宋体" w:eastAsia="宋体" w:hint="default"/>
                <w:sz w:val="18"/>
                <w:szCs w:val="18"/>
              </w:rPr>
              <w:t> 公司暨关联交易的公告</w:t>
            </w:r>
          </w:p>
        </w:tc>
      </w:tr>
    </w:tbl>
    <w:p>
      <w:pPr>
        <w:spacing w:line="240" w:lineRule="auto" w:before="7"/>
        <w:rPr>
          <w:rFonts w:ascii="宋体" w:hAnsi="宋体" w:cs="宋体" w:eastAsia="宋体" w:hint="default"/>
          <w:sz w:val="27"/>
          <w:szCs w:val="27"/>
        </w:rPr>
      </w:pPr>
    </w:p>
    <w:p>
      <w:pPr>
        <w:pStyle w:val="BodyText"/>
        <w:spacing w:line="240" w:lineRule="auto" w:before="44"/>
        <w:ind w:left="1134" w:right="0"/>
        <w:jc w:val="left"/>
      </w:pPr>
      <w:r>
        <w:rPr/>
        <w:t>公司股东、交易对手方对公司或相关资产年度经营业绩作出的承诺情况</w:t>
      </w:r>
    </w:p>
    <w:p>
      <w:pPr>
        <w:pStyle w:val="BodyText"/>
        <w:spacing w:line="412" w:lineRule="auto" w:before="116"/>
        <w:ind w:left="1493" w:right="1118"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1"/>
        </w:rPr>
        <w:t>根据立信会计师事务所（特殊普通合伙）出具的信会师报字</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113921</w:t>
      </w:r>
      <w:r>
        <w:rPr>
          <w:spacing w:val="-1"/>
        </w:rPr>
        <w:t>号《审计报告》，经审计的天津壳木软件有</w:t>
      </w:r>
    </w:p>
    <w:p>
      <w:pPr>
        <w:pStyle w:val="BodyText"/>
        <w:spacing w:line="451" w:lineRule="auto" w:before="75"/>
        <w:ind w:right="1123"/>
        <w:jc w:val="left"/>
      </w:pPr>
      <w:r>
        <w:rPr/>
        <w:t>限责任公司</w:t>
      </w:r>
      <w:r>
        <w:rPr>
          <w:rFonts w:ascii="Times New Roman" w:hAnsi="Times New Roman" w:cs="Times New Roman" w:eastAsia="Times New Roman" w:hint="default"/>
        </w:rPr>
        <w:t>2015</w:t>
      </w:r>
      <w:r>
        <w:rPr/>
        <w:t>年度净利润（以扣除非经常性损益后归属于母公司股东的净利润数为计算依据）为</w:t>
      </w:r>
      <w:r>
        <w:rPr>
          <w:rFonts w:ascii="Times New Roman" w:hAnsi="Times New Roman" w:cs="Times New Roman" w:eastAsia="Times New Roman" w:hint="default"/>
        </w:rPr>
        <w:t>7,582.82</w:t>
      </w:r>
      <w:r>
        <w:rPr/>
        <w:t>万元，完成承诺</w:t>
      </w:r>
      <w:r>
        <w:rPr>
          <w:spacing w:val="-84"/>
        </w:rPr>
        <w:t> </w:t>
      </w:r>
      <w:r>
        <w:rPr/>
        <w:t>业绩的</w:t>
      </w:r>
      <w:r>
        <w:rPr>
          <w:rFonts w:ascii="Times New Roman" w:hAnsi="Times New Roman" w:cs="Times New Roman" w:eastAsia="Times New Roman" w:hint="default"/>
        </w:rPr>
        <w:t>50.55%</w:t>
      </w:r>
      <w:r>
        <w:rPr/>
        <w:t>，未完成</w:t>
      </w:r>
      <w:r>
        <w:rPr>
          <w:rFonts w:ascii="Times New Roman" w:hAnsi="Times New Roman" w:cs="Times New Roman" w:eastAsia="Times New Roman" w:hint="default"/>
        </w:rPr>
        <w:t>2015</w:t>
      </w:r>
      <w:r>
        <w:rPr/>
        <w:t>年度业绩承诺。</w:t>
      </w:r>
    </w:p>
    <w:p>
      <w:pPr>
        <w:pStyle w:val="BodyText"/>
        <w:spacing w:line="451" w:lineRule="auto" w:before="43"/>
        <w:ind w:left="1134" w:right="0" w:firstLine="360"/>
        <w:jc w:val="left"/>
      </w:pPr>
      <w:r>
        <w:rPr>
          <w:spacing w:val="-2"/>
        </w:rPr>
        <w:t>天津壳木</w:t>
      </w:r>
      <w:r>
        <w:rPr>
          <w:rFonts w:ascii="Times New Roman" w:hAnsi="Times New Roman" w:cs="Times New Roman" w:eastAsia="Times New Roman" w:hint="default"/>
          <w:spacing w:val="-2"/>
        </w:rPr>
        <w:t>2015</w:t>
      </w:r>
      <w:r>
        <w:rPr>
          <w:spacing w:val="-2"/>
        </w:rPr>
        <w:t>年度未能实现业绩承诺的主要原因为：</w:t>
      </w:r>
      <w:r>
        <w:rPr>
          <w:rFonts w:ascii="Times New Roman" w:hAnsi="Times New Roman" w:cs="Times New Roman" w:eastAsia="Times New Roman" w:hint="default"/>
          <w:spacing w:val="-2"/>
        </w:rPr>
        <w:t>2015</w:t>
      </w:r>
      <w:r>
        <w:rPr>
          <w:spacing w:val="-2"/>
        </w:rPr>
        <w:t>年度手游行业竞争激烈，公司研发的新游戏受研发因素、市场</w:t>
      </w:r>
      <w:r>
        <w:rPr/>
        <w:t> 推广计划等因素影响，上线时间有所推迟，致使市场占有率、流水等均未达预期设想。</w:t>
      </w:r>
    </w:p>
    <w:p>
      <w:pPr>
        <w:pStyle w:val="BodyText"/>
        <w:spacing w:line="477" w:lineRule="auto" w:before="74"/>
        <w:ind w:right="0" w:firstLine="360"/>
        <w:jc w:val="left"/>
      </w:pPr>
      <w:r>
        <w:rPr>
          <w:spacing w:val="-2"/>
        </w:rPr>
        <w:t>根据《发行股份及支付现金购买资产协议》关于盈利预测补偿安排的约定，李毅、天津骆壳、李章晶需以本次交易获得</w:t>
      </w:r>
      <w:r>
        <w:rPr/>
        <w:t> 的上市公司的股份进行补偿。</w:t>
      </w:r>
    </w:p>
    <w:p>
      <w:pPr>
        <w:spacing w:line="240" w:lineRule="auto" w:before="7"/>
        <w:rPr>
          <w:rFonts w:ascii="宋体" w:hAnsi="宋体" w:cs="宋体" w:eastAsia="宋体" w:hint="default"/>
          <w:sz w:val="17"/>
          <w:szCs w:val="17"/>
        </w:rPr>
      </w:pPr>
    </w:p>
    <w:p>
      <w:pPr>
        <w:pStyle w:val="Heading2"/>
        <w:spacing w:line="240" w:lineRule="auto"/>
        <w:ind w:left="1133"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left="1134"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公司报告期不存在控股股东及其关联方对上市公司的非经营性占用资金。</w:t>
      </w:r>
    </w:p>
    <w:p>
      <w:pPr>
        <w:spacing w:line="240" w:lineRule="auto" w:before="9"/>
        <w:rPr>
          <w:rFonts w:ascii="宋体" w:hAnsi="宋体" w:cs="宋体" w:eastAsia="宋体" w:hint="default"/>
          <w:sz w:val="16"/>
          <w:szCs w:val="16"/>
        </w:rPr>
      </w:pPr>
    </w:p>
    <w:p>
      <w:pPr>
        <w:pStyle w:val="Heading2"/>
        <w:spacing w:line="240" w:lineRule="auto"/>
        <w:ind w:left="1133"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3"/>
        <w:rPr>
          <w:rFonts w:ascii="宋体" w:hAnsi="宋体" w:cs="宋体" w:eastAsia="宋体" w:hint="default"/>
          <w:b/>
          <w:bCs/>
          <w:sz w:val="31"/>
          <w:szCs w:val="31"/>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pStyle w:val="Heading2"/>
        <w:spacing w:line="240" w:lineRule="auto" w:before="14"/>
        <w:ind w:left="1133" w:right="0"/>
        <w:jc w:val="left"/>
        <w:rPr>
          <w:b w:val="0"/>
          <w:bCs w:val="0"/>
        </w:rPr>
      </w:pPr>
      <w:r>
        <w:rPr/>
        <w:pict>
          <v:group style="position:absolute;margin-left:55.200001pt;margin-top:2.23563pt;width:485pt;height:.1pt;mso-position-horizontal-relative:page;mso-position-vertical-relative:paragraph;z-index:-1283440"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3"/>
        <w:rPr>
          <w:rFonts w:ascii="宋体" w:hAnsi="宋体" w:cs="宋体" w:eastAsia="宋体" w:hint="default"/>
          <w:b/>
          <w:bCs/>
          <w:sz w:val="23"/>
          <w:szCs w:val="23"/>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8"/>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5"/>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9"/>
          <w:szCs w:val="19"/>
        </w:rPr>
      </w:pPr>
    </w:p>
    <w:p>
      <w:pPr>
        <w:pStyle w:val="Heading6"/>
        <w:spacing w:line="240" w:lineRule="auto"/>
        <w:ind w:left="1483" w:right="0"/>
        <w:jc w:val="left"/>
        <w:rPr>
          <w:b w:val="0"/>
          <w:bCs w:val="0"/>
        </w:rPr>
      </w:pPr>
      <w:r>
        <w:rPr>
          <w:rFonts w:ascii="宋体" w:hAnsi="宋体" w:cs="宋体" w:eastAsia="宋体" w:hint="default"/>
        </w:rPr>
        <w:t>1.</w:t>
      </w:r>
      <w:r>
        <w:rPr>
          <w:rFonts w:ascii="宋体" w:hAnsi="宋体" w:cs="宋体" w:eastAsia="宋体" w:hint="default"/>
          <w:spacing w:val="85"/>
        </w:rPr>
        <w:t> </w:t>
      </w:r>
      <w:r>
        <w:rPr/>
        <w:t>非同一控制下企业合并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tbl>
      <w:tblPr>
        <w:tblW w:w="0" w:type="auto"/>
        <w:jc w:val="left"/>
        <w:tblInd w:w="1126" w:type="dxa"/>
        <w:tblLayout w:type="fixed"/>
        <w:tblCellMar>
          <w:top w:w="0" w:type="dxa"/>
          <w:left w:w="0" w:type="dxa"/>
          <w:bottom w:w="0" w:type="dxa"/>
          <w:right w:w="0" w:type="dxa"/>
        </w:tblCellMar>
        <w:tblLook w:val="01E0"/>
      </w:tblPr>
      <w:tblGrid>
        <w:gridCol w:w="1617"/>
        <w:gridCol w:w="524"/>
        <w:gridCol w:w="1229"/>
        <w:gridCol w:w="628"/>
        <w:gridCol w:w="932"/>
        <w:gridCol w:w="832"/>
        <w:gridCol w:w="1442"/>
        <w:gridCol w:w="1228"/>
        <w:gridCol w:w="1228"/>
      </w:tblGrid>
      <w:tr>
        <w:trPr>
          <w:trHeight w:val="970" w:hRule="exact"/>
        </w:trPr>
        <w:tc>
          <w:tcPr>
            <w:tcW w:w="16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5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74" w:right="73"/>
              <w:jc w:val="both"/>
              <w:rPr>
                <w:rFonts w:ascii="宋体" w:hAnsi="宋体" w:cs="宋体" w:eastAsia="宋体" w:hint="default"/>
                <w:sz w:val="18"/>
                <w:szCs w:val="18"/>
              </w:rPr>
            </w:pPr>
            <w:r>
              <w:rPr>
                <w:rFonts w:ascii="宋体" w:hAnsi="宋体" w:cs="宋体" w:eastAsia="宋体" w:hint="default"/>
                <w:sz w:val="18"/>
                <w:szCs w:val="18"/>
              </w:rPr>
              <w:t>股权 取得 时点</w:t>
            </w:r>
          </w:p>
        </w:tc>
        <w:tc>
          <w:tcPr>
            <w:tcW w:w="12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6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36" w:right="35"/>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40" w:lineRule="auto" w:before="19"/>
              <w:ind w:left="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368" w:right="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8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4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622" w:right="82" w:hanging="540"/>
              <w:jc w:val="left"/>
              <w:rPr>
                <w:rFonts w:ascii="宋体" w:hAnsi="宋体" w:cs="宋体" w:eastAsia="宋体" w:hint="default"/>
                <w:sz w:val="18"/>
                <w:szCs w:val="18"/>
              </w:rPr>
            </w:pPr>
            <w:r>
              <w:rPr>
                <w:rFonts w:ascii="宋体" w:hAnsi="宋体" w:cs="宋体" w:eastAsia="宋体" w:hint="default"/>
                <w:sz w:val="18"/>
                <w:szCs w:val="18"/>
              </w:rPr>
              <w:t>购买日的确定依 据</w:t>
            </w:r>
          </w:p>
        </w:tc>
        <w:tc>
          <w:tcPr>
            <w:tcW w:w="12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66" w:right="65"/>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2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66" w:right="65"/>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p>
        </w:tc>
      </w:tr>
      <w:tr>
        <w:trPr>
          <w:trHeight w:val="1283" w:hRule="exact"/>
        </w:trPr>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316" w:lineRule="auto"/>
              <w:ind w:left="530" w:right="81" w:hanging="451"/>
              <w:jc w:val="left"/>
              <w:rPr>
                <w:rFonts w:ascii="宋体" w:hAnsi="宋体" w:cs="宋体" w:eastAsia="宋体" w:hint="default"/>
                <w:sz w:val="18"/>
                <w:szCs w:val="18"/>
              </w:rPr>
            </w:pPr>
            <w:r>
              <w:rPr>
                <w:rFonts w:ascii="宋体" w:hAnsi="宋体" w:cs="宋体" w:eastAsia="宋体" w:hint="default"/>
                <w:sz w:val="18"/>
                <w:szCs w:val="18"/>
              </w:rPr>
              <w:t>天津安纳西科技有 限公司</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74"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9"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80,000,000.00</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16" w:hanging="20"/>
              <w:jc w:val="center"/>
              <w:rPr>
                <w:rFonts w:ascii="宋体" w:hAnsi="宋体" w:cs="宋体" w:eastAsia="宋体" w:hint="default"/>
                <w:sz w:val="18"/>
                <w:szCs w:val="18"/>
              </w:rPr>
            </w:pPr>
            <w:r>
              <w:rPr>
                <w:rFonts w:ascii="宋体" w:hAnsi="宋体" w:cs="宋体" w:eastAsia="宋体" w:hint="default"/>
                <w:sz w:val="18"/>
                <w:szCs w:val="18"/>
              </w:rPr>
              <w:t>价款已支付</w:t>
            </w:r>
            <w:r>
              <w:rPr>
                <w:rFonts w:ascii="Times New Roman" w:hAnsi="Times New Roman" w:cs="Times New Roman" w:eastAsia="Times New Roman" w:hint="default"/>
                <w:sz w:val="18"/>
                <w:szCs w:val="18"/>
              </w:rPr>
              <w:t>50%</w:t>
            </w:r>
            <w:r>
              <w:rPr>
                <w:rFonts w:ascii="宋体" w:hAnsi="宋体" w:cs="宋体" w:eastAsia="宋体" w:hint="default"/>
                <w:sz w:val="18"/>
                <w:szCs w:val="18"/>
              </w:rPr>
              <w:t>， 工商变更已完成， 双方实质交接程 序完成</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19,399,804.64</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18,720,614.66</w:t>
            </w:r>
          </w:p>
        </w:tc>
      </w:tr>
      <w:tr>
        <w:trPr>
          <w:trHeight w:val="1596" w:hRule="exact"/>
        </w:trPr>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316" w:lineRule="auto"/>
              <w:ind w:left="350" w:right="81" w:hanging="270"/>
              <w:jc w:val="left"/>
              <w:rPr>
                <w:rFonts w:ascii="宋体" w:hAnsi="宋体" w:cs="宋体" w:eastAsia="宋体" w:hint="default"/>
                <w:sz w:val="18"/>
                <w:szCs w:val="18"/>
              </w:rPr>
            </w:pPr>
            <w:r>
              <w:rPr>
                <w:rFonts w:ascii="宋体" w:hAnsi="宋体" w:cs="宋体" w:eastAsia="宋体" w:hint="default"/>
                <w:sz w:val="18"/>
                <w:szCs w:val="18"/>
              </w:rPr>
              <w:t>宁波高新区捷远科 技有限公司</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74"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300" w:lineRule="auto" w:before="65"/>
              <w:ind w:left="164" w:right="73" w:hanging="9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1,600,000.00</w:t>
            </w:r>
          </w:p>
        </w:tc>
        <w:tc>
          <w:tcPr>
            <w:tcW w:w="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w:t>
            </w:r>
          </w:p>
        </w:tc>
        <w:tc>
          <w:tcPr>
            <w:tcW w:w="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p>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月</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center"/>
              <w:rPr>
                <w:rFonts w:ascii="宋体" w:hAnsi="宋体" w:cs="宋体" w:eastAsia="宋体" w:hint="default"/>
                <w:sz w:val="18"/>
                <w:szCs w:val="18"/>
              </w:rPr>
            </w:pPr>
            <w:r>
              <w:rPr>
                <w:rFonts w:ascii="宋体" w:hAnsi="宋体" w:cs="宋体" w:eastAsia="宋体" w:hint="default"/>
                <w:sz w:val="18"/>
                <w:szCs w:val="18"/>
              </w:rPr>
              <w:t>股权转让款项全 </w:t>
            </w:r>
            <w:r>
              <w:rPr>
                <w:rFonts w:ascii="宋体" w:hAnsi="宋体" w:cs="宋体" w:eastAsia="宋体" w:hint="default"/>
                <w:spacing w:val="-3"/>
                <w:sz w:val="18"/>
                <w:szCs w:val="18"/>
              </w:rPr>
              <w:t>部支付完毕，工商</w:t>
            </w:r>
            <w:r>
              <w:rPr>
                <w:rFonts w:ascii="宋体" w:hAnsi="宋体" w:cs="宋体" w:eastAsia="宋体" w:hint="default"/>
                <w:sz w:val="18"/>
                <w:szCs w:val="18"/>
              </w:rPr>
              <w:t> </w:t>
            </w:r>
            <w:r>
              <w:rPr>
                <w:rFonts w:ascii="宋体" w:hAnsi="宋体" w:cs="宋体" w:eastAsia="宋体" w:hint="default"/>
                <w:spacing w:val="-3"/>
                <w:sz w:val="18"/>
                <w:szCs w:val="18"/>
              </w:rPr>
              <w:t>变更已完成，双方</w:t>
            </w:r>
            <w:r>
              <w:rPr>
                <w:rFonts w:ascii="宋体" w:hAnsi="宋体" w:cs="宋体" w:eastAsia="宋体" w:hint="default"/>
                <w:sz w:val="18"/>
                <w:szCs w:val="18"/>
              </w:rPr>
              <w:t> 实质交接程序完 成</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6"/>
        <w:spacing w:line="240" w:lineRule="auto" w:before="88"/>
        <w:ind w:left="1648"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1214"/>
        <w:gridCol w:w="667"/>
        <w:gridCol w:w="1204"/>
        <w:gridCol w:w="676"/>
        <w:gridCol w:w="1196"/>
        <w:gridCol w:w="1123"/>
        <w:gridCol w:w="1124"/>
        <w:gridCol w:w="1228"/>
        <w:gridCol w:w="1228"/>
      </w:tblGrid>
      <w:tr>
        <w:trPr>
          <w:trHeight w:val="1594" w:hRule="exact"/>
        </w:trPr>
        <w:tc>
          <w:tcPr>
            <w:tcW w:w="12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被合并方名称</w:t>
            </w:r>
          </w:p>
        </w:tc>
        <w:tc>
          <w:tcPr>
            <w:tcW w:w="6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55" w:right="55"/>
              <w:jc w:val="both"/>
              <w:rPr>
                <w:rFonts w:ascii="宋体" w:hAnsi="宋体" w:cs="宋体" w:eastAsia="宋体" w:hint="default"/>
                <w:sz w:val="18"/>
                <w:szCs w:val="18"/>
              </w:rPr>
            </w:pPr>
            <w:r>
              <w:rPr>
                <w:rFonts w:ascii="宋体" w:hAnsi="宋体" w:cs="宋体" w:eastAsia="宋体" w:hint="default"/>
                <w:sz w:val="18"/>
                <w:szCs w:val="18"/>
              </w:rPr>
              <w:t>企业合 并中取 得的权 益比例</w:t>
            </w:r>
          </w:p>
          <w:p>
            <w:pPr>
              <w:pStyle w:val="TableParagraph"/>
              <w:spacing w:line="240" w:lineRule="auto" w:before="19"/>
              <w:ind w:left="70"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316" w:lineRule="auto"/>
              <w:ind w:left="53" w:right="53"/>
              <w:jc w:val="center"/>
              <w:rPr>
                <w:rFonts w:ascii="宋体" w:hAnsi="宋体" w:cs="宋体" w:eastAsia="宋体" w:hint="default"/>
                <w:sz w:val="18"/>
                <w:szCs w:val="18"/>
              </w:rPr>
            </w:pPr>
            <w:r>
              <w:rPr>
                <w:rFonts w:ascii="宋体" w:hAnsi="宋体" w:cs="宋体" w:eastAsia="宋体" w:hint="default"/>
                <w:sz w:val="18"/>
                <w:szCs w:val="18"/>
              </w:rPr>
              <w:t>构成同一控制 下企业合并的 依据</w:t>
            </w:r>
          </w:p>
        </w:tc>
        <w:tc>
          <w:tcPr>
            <w:tcW w:w="6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1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316" w:lineRule="auto"/>
              <w:ind w:left="410" w:right="49" w:hanging="360"/>
              <w:jc w:val="left"/>
              <w:rPr>
                <w:rFonts w:ascii="宋体" w:hAnsi="宋体" w:cs="宋体" w:eastAsia="宋体" w:hint="default"/>
                <w:sz w:val="18"/>
                <w:szCs w:val="18"/>
              </w:rPr>
            </w:pPr>
            <w:r>
              <w:rPr>
                <w:rFonts w:ascii="宋体" w:hAnsi="宋体" w:cs="宋体" w:eastAsia="宋体" w:hint="default"/>
                <w:sz w:val="18"/>
                <w:szCs w:val="18"/>
              </w:rPr>
              <w:t>合并日的确定 依据</w:t>
            </w:r>
          </w:p>
        </w:tc>
        <w:tc>
          <w:tcPr>
            <w:tcW w:w="11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316" w:lineRule="auto"/>
              <w:ind w:left="13" w:right="13"/>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并方的收入</w:t>
            </w:r>
          </w:p>
        </w:tc>
        <w:tc>
          <w:tcPr>
            <w:tcW w:w="11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316" w:lineRule="auto"/>
              <w:ind w:left="13" w:right="15"/>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并方的净利润</w:t>
            </w:r>
          </w:p>
        </w:tc>
        <w:tc>
          <w:tcPr>
            <w:tcW w:w="12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316" w:lineRule="auto"/>
              <w:ind w:left="156" w:right="65" w:hanging="90"/>
              <w:jc w:val="left"/>
              <w:rPr>
                <w:rFonts w:ascii="宋体" w:hAnsi="宋体" w:cs="宋体" w:eastAsia="宋体" w:hint="default"/>
                <w:sz w:val="18"/>
                <w:szCs w:val="18"/>
              </w:rPr>
            </w:pPr>
            <w:r>
              <w:rPr>
                <w:rFonts w:ascii="宋体" w:hAnsi="宋体" w:cs="宋体" w:eastAsia="宋体" w:hint="default"/>
                <w:sz w:val="18"/>
                <w:szCs w:val="18"/>
              </w:rPr>
              <w:t>比较期间被合 并方的收入</w:t>
            </w:r>
          </w:p>
        </w:tc>
        <w:tc>
          <w:tcPr>
            <w:tcW w:w="12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比较期间被合 并方的净利润</w:t>
            </w:r>
          </w:p>
        </w:tc>
      </w:tr>
      <w:tr>
        <w:trPr>
          <w:trHeight w:val="1596" w:hRule="exact"/>
        </w:trPr>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316" w:lineRule="auto"/>
              <w:ind w:left="58" w:right="58"/>
              <w:jc w:val="center"/>
              <w:rPr>
                <w:rFonts w:ascii="宋体" w:hAnsi="宋体" w:cs="宋体" w:eastAsia="宋体" w:hint="default"/>
                <w:sz w:val="18"/>
                <w:szCs w:val="18"/>
              </w:rPr>
            </w:pPr>
            <w:r>
              <w:rPr>
                <w:rFonts w:ascii="宋体" w:hAnsi="宋体" w:cs="宋体" w:eastAsia="宋体" w:hint="default"/>
                <w:sz w:val="18"/>
                <w:szCs w:val="18"/>
              </w:rPr>
              <w:t>北京祥神州祥 升软件有限公 司</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100.00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316" w:lineRule="auto"/>
              <w:ind w:left="143" w:right="53" w:hanging="90"/>
              <w:jc w:val="left"/>
              <w:rPr>
                <w:rFonts w:ascii="宋体" w:hAnsi="宋体" w:cs="宋体" w:eastAsia="宋体" w:hint="default"/>
                <w:sz w:val="18"/>
                <w:szCs w:val="18"/>
              </w:rPr>
            </w:pPr>
            <w:r>
              <w:rPr>
                <w:rFonts w:ascii="宋体" w:hAnsi="宋体" w:cs="宋体" w:eastAsia="宋体" w:hint="default"/>
                <w:sz w:val="18"/>
                <w:szCs w:val="18"/>
              </w:rPr>
              <w:t>同受同一实际 控制人控制</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p>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hanging="2"/>
              <w:jc w:val="center"/>
              <w:rPr>
                <w:rFonts w:ascii="宋体" w:hAnsi="宋体" w:cs="宋体" w:eastAsia="宋体" w:hint="default"/>
                <w:sz w:val="18"/>
                <w:szCs w:val="18"/>
              </w:rPr>
            </w:pPr>
            <w:r>
              <w:rPr>
                <w:rFonts w:ascii="宋体" w:hAnsi="宋体" w:cs="宋体" w:eastAsia="宋体" w:hint="default"/>
                <w:sz w:val="18"/>
                <w:szCs w:val="18"/>
              </w:rPr>
              <w:t>按双方协议支 </w:t>
            </w:r>
            <w:r>
              <w:rPr>
                <w:rFonts w:ascii="宋体" w:hAnsi="宋体" w:cs="宋体" w:eastAsia="宋体" w:hint="default"/>
                <w:spacing w:val="-12"/>
                <w:sz w:val="18"/>
                <w:szCs w:val="18"/>
              </w:rPr>
              <w:t>付了首付款，工</w:t>
            </w:r>
            <w:r>
              <w:rPr>
                <w:rFonts w:ascii="宋体" w:hAnsi="宋体" w:cs="宋体" w:eastAsia="宋体" w:hint="default"/>
                <w:sz w:val="18"/>
                <w:szCs w:val="18"/>
              </w:rPr>
              <w:t> 商变更已完成 双方实质交接 程序完成</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77"/>
                <w:sz w:val="18"/>
                <w:szCs w:val="18"/>
              </w:rPr>
              <w:t> </w:t>
            </w:r>
            <w:r>
              <w:rPr>
                <w:rFonts w:ascii="Times New Roman" w:hAnsi="Times New Roman" w:cs="Times New Roman" w:eastAsia="Times New Roman" w:hint="default"/>
                <w:sz w:val="18"/>
                <w:szCs w:val="18"/>
              </w:rPr>
              <w:t>9,581,765.58</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4,025,354.37</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56,452,170.02</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20,150,419.72</w:t>
            </w:r>
          </w:p>
        </w:tc>
      </w:tr>
    </w:tbl>
    <w:p>
      <w:pPr>
        <w:pStyle w:val="Heading6"/>
        <w:spacing w:line="240" w:lineRule="auto" w:before="89"/>
        <w:ind w:left="1586" w:right="0"/>
        <w:jc w:val="left"/>
        <w:rPr>
          <w:b w:val="0"/>
          <w:bCs w:val="0"/>
        </w:rPr>
      </w:pPr>
      <w:r>
        <w:rPr>
          <w:rFonts w:ascii="Times New Roman" w:hAnsi="Times New Roman" w:cs="Times New Roman" w:eastAsia="Times New Roman" w:hint="default"/>
        </w:rPr>
        <w:t>3.</w:t>
      </w:r>
      <w:r>
        <w:rPr/>
        <w:t>处置子公司</w:t>
      </w:r>
      <w:r>
        <w:rPr>
          <w:rFonts w:ascii="Times New Roman" w:hAnsi="Times New Roman" w:cs="Times New Roman" w:eastAsia="Times New Roman" w:hint="default"/>
        </w:rPr>
        <w:t>——</w:t>
      </w:r>
      <w:r>
        <w:rPr/>
        <w:t>单次处置对子公司投资即丧失控制权的情形</w:t>
      </w:r>
      <w:r>
        <w:rPr>
          <w:b w:val="0"/>
          <w:bCs w:val="0"/>
        </w:rPr>
      </w:r>
    </w:p>
    <w:p>
      <w:pPr>
        <w:spacing w:line="240" w:lineRule="auto" w:before="0"/>
        <w:rPr>
          <w:rFonts w:ascii="宋体" w:hAnsi="宋体" w:cs="宋体" w:eastAsia="宋体" w:hint="default"/>
          <w:b/>
          <w:bCs/>
          <w:sz w:val="10"/>
          <w:szCs w:val="10"/>
        </w:rPr>
      </w:pPr>
    </w:p>
    <w:tbl>
      <w:tblPr>
        <w:tblW w:w="0" w:type="auto"/>
        <w:jc w:val="left"/>
        <w:tblInd w:w="1126" w:type="dxa"/>
        <w:tblLayout w:type="fixed"/>
        <w:tblCellMar>
          <w:top w:w="0" w:type="dxa"/>
          <w:left w:w="0" w:type="dxa"/>
          <w:bottom w:w="0" w:type="dxa"/>
          <w:right w:w="0" w:type="dxa"/>
        </w:tblCellMar>
        <w:tblLook w:val="01E0"/>
      </w:tblPr>
      <w:tblGrid>
        <w:gridCol w:w="1236"/>
        <w:gridCol w:w="678"/>
        <w:gridCol w:w="484"/>
        <w:gridCol w:w="610"/>
        <w:gridCol w:w="619"/>
        <w:gridCol w:w="536"/>
        <w:gridCol w:w="787"/>
        <w:gridCol w:w="659"/>
        <w:gridCol w:w="882"/>
        <w:gridCol w:w="884"/>
        <w:gridCol w:w="883"/>
        <w:gridCol w:w="650"/>
        <w:gridCol w:w="751"/>
      </w:tblGrid>
      <w:tr>
        <w:trPr>
          <w:trHeight w:val="659" w:hRule="exact"/>
        </w:trPr>
        <w:tc>
          <w:tcPr>
            <w:tcW w:w="12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309" w:right="0"/>
              <w:jc w:val="left"/>
              <w:rPr>
                <w:rFonts w:ascii="宋体" w:hAnsi="宋体" w:cs="宋体" w:eastAsia="宋体" w:hint="default"/>
                <w:sz w:val="15"/>
                <w:szCs w:val="15"/>
              </w:rPr>
            </w:pPr>
            <w:r>
              <w:rPr>
                <w:rFonts w:ascii="宋体" w:hAnsi="宋体" w:cs="宋体" w:eastAsia="宋体" w:hint="default"/>
                <w:sz w:val="15"/>
                <w:szCs w:val="15"/>
              </w:rPr>
              <w:t>公司名称</w:t>
            </w:r>
          </w:p>
        </w:tc>
        <w:tc>
          <w:tcPr>
            <w:tcW w:w="6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181" w:right="30" w:hanging="150"/>
              <w:jc w:val="left"/>
              <w:rPr>
                <w:rFonts w:ascii="宋体" w:hAnsi="宋体" w:cs="宋体" w:eastAsia="宋体" w:hint="default"/>
                <w:sz w:val="15"/>
                <w:szCs w:val="15"/>
              </w:rPr>
            </w:pPr>
            <w:r>
              <w:rPr>
                <w:rFonts w:ascii="宋体" w:hAnsi="宋体" w:cs="宋体" w:eastAsia="宋体" w:hint="default"/>
                <w:sz w:val="15"/>
                <w:szCs w:val="15"/>
              </w:rPr>
              <w:t>股权处置 价款</w:t>
            </w:r>
          </w:p>
        </w:tc>
        <w:tc>
          <w:tcPr>
            <w:tcW w:w="4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9" w:right="7"/>
              <w:jc w:val="left"/>
              <w:rPr>
                <w:rFonts w:ascii="宋体" w:hAnsi="宋体" w:cs="宋体" w:eastAsia="宋体" w:hint="default"/>
                <w:sz w:val="15"/>
                <w:szCs w:val="15"/>
              </w:rPr>
            </w:pPr>
            <w:r>
              <w:rPr>
                <w:rFonts w:ascii="宋体" w:hAnsi="宋体" w:cs="宋体" w:eastAsia="宋体" w:hint="default"/>
                <w:sz w:val="15"/>
                <w:szCs w:val="15"/>
              </w:rPr>
              <w:t>股权处 置比例</w:t>
            </w:r>
          </w:p>
        </w:tc>
        <w:tc>
          <w:tcPr>
            <w:tcW w:w="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73" w:right="71"/>
              <w:jc w:val="left"/>
              <w:rPr>
                <w:rFonts w:ascii="宋体" w:hAnsi="宋体" w:cs="宋体" w:eastAsia="宋体" w:hint="default"/>
                <w:sz w:val="15"/>
                <w:szCs w:val="15"/>
              </w:rPr>
            </w:pPr>
            <w:r>
              <w:rPr>
                <w:rFonts w:ascii="宋体" w:hAnsi="宋体" w:cs="宋体" w:eastAsia="宋体" w:hint="default"/>
                <w:sz w:val="15"/>
                <w:szCs w:val="15"/>
              </w:rPr>
              <w:t>股权处 置方式</w:t>
            </w:r>
          </w:p>
        </w:tc>
        <w:tc>
          <w:tcPr>
            <w:tcW w:w="6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76" w:right="77"/>
              <w:jc w:val="left"/>
              <w:rPr>
                <w:rFonts w:ascii="宋体" w:hAnsi="宋体" w:cs="宋体" w:eastAsia="宋体" w:hint="default"/>
                <w:sz w:val="15"/>
                <w:szCs w:val="15"/>
              </w:rPr>
            </w:pPr>
            <w:r>
              <w:rPr>
                <w:rFonts w:ascii="宋体" w:hAnsi="宋体" w:cs="宋体" w:eastAsia="宋体" w:hint="default"/>
                <w:sz w:val="15"/>
                <w:szCs w:val="15"/>
              </w:rPr>
              <w:t>丧失控 制权的</w:t>
            </w:r>
          </w:p>
        </w:tc>
        <w:tc>
          <w:tcPr>
            <w:tcW w:w="5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34" w:right="34"/>
              <w:jc w:val="left"/>
              <w:rPr>
                <w:rFonts w:ascii="宋体" w:hAnsi="宋体" w:cs="宋体" w:eastAsia="宋体" w:hint="default"/>
                <w:sz w:val="15"/>
                <w:szCs w:val="15"/>
              </w:rPr>
            </w:pPr>
            <w:r>
              <w:rPr>
                <w:rFonts w:ascii="宋体" w:hAnsi="宋体" w:cs="宋体" w:eastAsia="宋体" w:hint="default"/>
                <w:sz w:val="15"/>
                <w:szCs w:val="15"/>
              </w:rPr>
              <w:t>丧失控 制权时</w:t>
            </w:r>
          </w:p>
        </w:tc>
        <w:tc>
          <w:tcPr>
            <w:tcW w:w="7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11" w:right="8"/>
              <w:jc w:val="left"/>
              <w:rPr>
                <w:rFonts w:ascii="宋体" w:hAnsi="宋体" w:cs="宋体" w:eastAsia="宋体" w:hint="default"/>
                <w:sz w:val="15"/>
                <w:szCs w:val="15"/>
              </w:rPr>
            </w:pPr>
            <w:r>
              <w:rPr>
                <w:rFonts w:ascii="宋体" w:hAnsi="宋体" w:cs="宋体" w:eastAsia="宋体" w:hint="default"/>
                <w:sz w:val="15"/>
                <w:szCs w:val="15"/>
              </w:rPr>
              <w:t>处置价款与 处置投资对</w:t>
            </w:r>
          </w:p>
        </w:tc>
        <w:tc>
          <w:tcPr>
            <w:tcW w:w="6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21" w:right="20"/>
              <w:jc w:val="left"/>
              <w:rPr>
                <w:rFonts w:ascii="宋体" w:hAnsi="宋体" w:cs="宋体" w:eastAsia="宋体" w:hint="default"/>
                <w:sz w:val="15"/>
                <w:szCs w:val="15"/>
              </w:rPr>
            </w:pPr>
            <w:r>
              <w:rPr>
                <w:rFonts w:ascii="宋体" w:hAnsi="宋体" w:cs="宋体" w:eastAsia="宋体" w:hint="default"/>
                <w:sz w:val="15"/>
                <w:szCs w:val="15"/>
              </w:rPr>
              <w:t>丧失控制 权之日剩</w:t>
            </w:r>
          </w:p>
        </w:tc>
        <w:tc>
          <w:tcPr>
            <w:tcW w:w="8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58" w:right="56"/>
              <w:jc w:val="left"/>
              <w:rPr>
                <w:rFonts w:ascii="宋体" w:hAnsi="宋体" w:cs="宋体" w:eastAsia="宋体" w:hint="default"/>
                <w:sz w:val="15"/>
                <w:szCs w:val="15"/>
              </w:rPr>
            </w:pPr>
            <w:r>
              <w:rPr>
                <w:rFonts w:ascii="宋体" w:hAnsi="宋体" w:cs="宋体" w:eastAsia="宋体" w:hint="default"/>
                <w:sz w:val="15"/>
                <w:szCs w:val="15"/>
              </w:rPr>
              <w:t>丧失控制权 之日剩余股</w:t>
            </w:r>
          </w:p>
        </w:tc>
        <w:tc>
          <w:tcPr>
            <w:tcW w:w="8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59" w:right="57"/>
              <w:jc w:val="left"/>
              <w:rPr>
                <w:rFonts w:ascii="宋体" w:hAnsi="宋体" w:cs="宋体" w:eastAsia="宋体" w:hint="default"/>
                <w:sz w:val="15"/>
                <w:szCs w:val="15"/>
              </w:rPr>
            </w:pPr>
            <w:r>
              <w:rPr>
                <w:rFonts w:ascii="宋体" w:hAnsi="宋体" w:cs="宋体" w:eastAsia="宋体" w:hint="default"/>
                <w:sz w:val="15"/>
                <w:szCs w:val="15"/>
              </w:rPr>
              <w:t>丧失控制权 之日剩余股</w:t>
            </w:r>
          </w:p>
        </w:tc>
        <w:tc>
          <w:tcPr>
            <w:tcW w:w="8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58" w:right="59"/>
              <w:jc w:val="left"/>
              <w:rPr>
                <w:rFonts w:ascii="宋体" w:hAnsi="宋体" w:cs="宋体" w:eastAsia="宋体" w:hint="default"/>
                <w:sz w:val="15"/>
                <w:szCs w:val="15"/>
              </w:rPr>
            </w:pPr>
            <w:r>
              <w:rPr>
                <w:rFonts w:ascii="宋体" w:hAnsi="宋体" w:cs="宋体" w:eastAsia="宋体" w:hint="default"/>
                <w:sz w:val="15"/>
                <w:szCs w:val="15"/>
              </w:rPr>
              <w:t>按照公允价 值重新计量</w:t>
            </w:r>
          </w:p>
        </w:tc>
        <w:tc>
          <w:tcPr>
            <w:tcW w:w="6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16" w:right="17"/>
              <w:jc w:val="left"/>
              <w:rPr>
                <w:rFonts w:ascii="宋体" w:hAnsi="宋体" w:cs="宋体" w:eastAsia="宋体" w:hint="default"/>
                <w:sz w:val="15"/>
                <w:szCs w:val="15"/>
              </w:rPr>
            </w:pPr>
            <w:r>
              <w:rPr>
                <w:rFonts w:ascii="宋体" w:hAnsi="宋体" w:cs="宋体" w:eastAsia="宋体" w:hint="default"/>
                <w:sz w:val="15"/>
                <w:szCs w:val="15"/>
              </w:rPr>
              <w:t>丧失控制 权之日剩</w:t>
            </w:r>
          </w:p>
        </w:tc>
        <w:tc>
          <w:tcPr>
            <w:tcW w:w="7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4"/>
              <w:ind w:left="68" w:right="66"/>
              <w:jc w:val="left"/>
              <w:rPr>
                <w:rFonts w:ascii="宋体" w:hAnsi="宋体" w:cs="宋体" w:eastAsia="宋体" w:hint="default"/>
                <w:sz w:val="15"/>
                <w:szCs w:val="15"/>
              </w:rPr>
            </w:pPr>
            <w:r>
              <w:rPr>
                <w:rFonts w:ascii="宋体" w:hAnsi="宋体" w:cs="宋体" w:eastAsia="宋体" w:hint="default"/>
                <w:sz w:val="15"/>
                <w:szCs w:val="15"/>
              </w:rPr>
              <w:t>与原子公 司股权投</w:t>
            </w:r>
          </w:p>
        </w:tc>
      </w:tr>
    </w:tbl>
    <w:p>
      <w:pPr>
        <w:spacing w:after="0" w:line="381" w:lineRule="auto"/>
        <w:jc w:val="left"/>
        <w:rPr>
          <w:rFonts w:ascii="宋体" w:hAnsi="宋体" w:cs="宋体" w:eastAsia="宋体" w:hint="default"/>
          <w:sz w:val="15"/>
          <w:szCs w:val="15"/>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1236"/>
        <w:gridCol w:w="678"/>
        <w:gridCol w:w="484"/>
        <w:gridCol w:w="610"/>
        <w:gridCol w:w="619"/>
        <w:gridCol w:w="536"/>
        <w:gridCol w:w="787"/>
        <w:gridCol w:w="659"/>
        <w:gridCol w:w="882"/>
        <w:gridCol w:w="884"/>
        <w:gridCol w:w="883"/>
        <w:gridCol w:w="650"/>
        <w:gridCol w:w="751"/>
      </w:tblGrid>
      <w:tr>
        <w:trPr>
          <w:trHeight w:val="1602" w:hRule="exact"/>
        </w:trPr>
        <w:tc>
          <w:tcPr>
            <w:tcW w:w="1236" w:type="dxa"/>
            <w:tcBorders>
              <w:top w:val="single" w:sz="12" w:space="0" w:color="000000"/>
              <w:left w:val="single" w:sz="6" w:space="0" w:color="000000"/>
              <w:bottom w:val="single" w:sz="6" w:space="0" w:color="000000"/>
              <w:right w:val="single" w:sz="6" w:space="0" w:color="000000"/>
            </w:tcBorders>
            <w:shd w:val="clear" w:color="auto" w:fill="D9D9D9"/>
          </w:tcPr>
          <w:p>
            <w:pPr/>
          </w:p>
        </w:tc>
        <w:tc>
          <w:tcPr>
            <w:tcW w:w="678" w:type="dxa"/>
            <w:tcBorders>
              <w:top w:val="single" w:sz="12" w:space="0" w:color="000000"/>
              <w:left w:val="single" w:sz="6" w:space="0" w:color="000000"/>
              <w:bottom w:val="single" w:sz="6" w:space="0" w:color="000000"/>
              <w:right w:val="single" w:sz="6" w:space="0" w:color="000000"/>
            </w:tcBorders>
            <w:shd w:val="clear" w:color="auto" w:fill="D9D9D9"/>
          </w:tcPr>
          <w:p>
            <w:pPr/>
          </w:p>
        </w:tc>
        <w:tc>
          <w:tcPr>
            <w:tcW w:w="48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3"/>
              <w:ind w:right="20"/>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610" w:type="dxa"/>
            <w:tcBorders>
              <w:top w:val="single" w:sz="12" w:space="0" w:color="000000"/>
              <w:left w:val="single" w:sz="6" w:space="0" w:color="000000"/>
              <w:bottom w:val="single" w:sz="6" w:space="0" w:color="000000"/>
              <w:right w:val="single" w:sz="6" w:space="0" w:color="000000"/>
            </w:tcBorders>
            <w:shd w:val="clear" w:color="auto" w:fill="D9D9D9"/>
          </w:tcPr>
          <w:p>
            <w:pPr/>
          </w:p>
        </w:tc>
        <w:tc>
          <w:tcPr>
            <w:tcW w:w="61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3"/>
              <w:ind w:left="151" w:right="0"/>
              <w:jc w:val="left"/>
              <w:rPr>
                <w:rFonts w:ascii="宋体" w:hAnsi="宋体" w:cs="宋体" w:eastAsia="宋体" w:hint="default"/>
                <w:sz w:val="15"/>
                <w:szCs w:val="15"/>
              </w:rPr>
            </w:pPr>
            <w:r>
              <w:rPr>
                <w:rFonts w:ascii="宋体" w:hAnsi="宋体" w:cs="宋体" w:eastAsia="宋体" w:hint="default"/>
                <w:sz w:val="15"/>
                <w:szCs w:val="15"/>
              </w:rPr>
              <w:t>时点</w:t>
            </w:r>
          </w:p>
        </w:tc>
        <w:tc>
          <w:tcPr>
            <w:tcW w:w="53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3"/>
              <w:ind w:left="34" w:right="34"/>
              <w:jc w:val="left"/>
              <w:rPr>
                <w:rFonts w:ascii="宋体" w:hAnsi="宋体" w:cs="宋体" w:eastAsia="宋体" w:hint="default"/>
                <w:sz w:val="15"/>
                <w:szCs w:val="15"/>
              </w:rPr>
            </w:pPr>
            <w:r>
              <w:rPr>
                <w:rFonts w:ascii="宋体" w:hAnsi="宋体" w:cs="宋体" w:eastAsia="宋体" w:hint="default"/>
                <w:sz w:val="15"/>
                <w:szCs w:val="15"/>
              </w:rPr>
              <w:t>点的确 定依据</w:t>
            </w:r>
          </w:p>
        </w:tc>
        <w:tc>
          <w:tcPr>
            <w:tcW w:w="7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3"/>
              <w:ind w:left="11" w:right="8"/>
              <w:jc w:val="both"/>
              <w:rPr>
                <w:rFonts w:ascii="宋体" w:hAnsi="宋体" w:cs="宋体" w:eastAsia="宋体" w:hint="default"/>
                <w:sz w:val="15"/>
                <w:szCs w:val="15"/>
              </w:rPr>
            </w:pPr>
            <w:r>
              <w:rPr>
                <w:rFonts w:ascii="宋体" w:hAnsi="宋体" w:cs="宋体" w:eastAsia="宋体" w:hint="default"/>
                <w:sz w:val="15"/>
                <w:szCs w:val="15"/>
              </w:rPr>
              <w:t>应的合并财 务报表层面 享有该子公 司净资产份 额的差额</w:t>
            </w:r>
          </w:p>
        </w:tc>
        <w:tc>
          <w:tcPr>
            <w:tcW w:w="65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3"/>
              <w:ind w:left="171" w:right="20" w:hanging="150"/>
              <w:jc w:val="left"/>
              <w:rPr>
                <w:rFonts w:ascii="宋体" w:hAnsi="宋体" w:cs="宋体" w:eastAsia="宋体" w:hint="default"/>
                <w:sz w:val="15"/>
                <w:szCs w:val="15"/>
              </w:rPr>
            </w:pPr>
            <w:r>
              <w:rPr>
                <w:rFonts w:ascii="宋体" w:hAnsi="宋体" w:cs="宋体" w:eastAsia="宋体" w:hint="default"/>
                <w:sz w:val="15"/>
                <w:szCs w:val="15"/>
              </w:rPr>
              <w:t>余股权的 比例</w:t>
            </w:r>
          </w:p>
        </w:tc>
        <w:tc>
          <w:tcPr>
            <w:tcW w:w="882"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3"/>
              <w:ind w:left="358" w:right="56" w:hanging="300"/>
              <w:jc w:val="left"/>
              <w:rPr>
                <w:rFonts w:ascii="宋体" w:hAnsi="宋体" w:cs="宋体" w:eastAsia="宋体" w:hint="default"/>
                <w:sz w:val="15"/>
                <w:szCs w:val="15"/>
              </w:rPr>
            </w:pPr>
            <w:r>
              <w:rPr>
                <w:rFonts w:ascii="宋体" w:hAnsi="宋体" w:cs="宋体" w:eastAsia="宋体" w:hint="default"/>
                <w:sz w:val="15"/>
                <w:szCs w:val="15"/>
              </w:rPr>
              <w:t>权的账面价 值</w:t>
            </w:r>
          </w:p>
        </w:tc>
        <w:tc>
          <w:tcPr>
            <w:tcW w:w="884"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3"/>
              <w:ind w:left="359" w:right="57" w:hanging="300"/>
              <w:jc w:val="left"/>
              <w:rPr>
                <w:rFonts w:ascii="宋体" w:hAnsi="宋体" w:cs="宋体" w:eastAsia="宋体" w:hint="default"/>
                <w:sz w:val="15"/>
                <w:szCs w:val="15"/>
              </w:rPr>
            </w:pPr>
            <w:r>
              <w:rPr>
                <w:rFonts w:ascii="宋体" w:hAnsi="宋体" w:cs="宋体" w:eastAsia="宋体" w:hint="default"/>
                <w:sz w:val="15"/>
                <w:szCs w:val="15"/>
              </w:rPr>
              <w:t>权的公允价 值</w:t>
            </w:r>
          </w:p>
        </w:tc>
        <w:tc>
          <w:tcPr>
            <w:tcW w:w="88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3"/>
              <w:ind w:left="58" w:right="59"/>
              <w:jc w:val="center"/>
              <w:rPr>
                <w:rFonts w:ascii="宋体" w:hAnsi="宋体" w:cs="宋体" w:eastAsia="宋体" w:hint="default"/>
                <w:sz w:val="15"/>
                <w:szCs w:val="15"/>
              </w:rPr>
            </w:pPr>
            <w:r>
              <w:rPr>
                <w:rFonts w:ascii="宋体" w:hAnsi="宋体" w:cs="宋体" w:eastAsia="宋体" w:hint="default"/>
                <w:sz w:val="15"/>
                <w:szCs w:val="15"/>
              </w:rPr>
              <w:t>剩余股权产 生的利得或 损失</w:t>
            </w:r>
          </w:p>
        </w:tc>
        <w:tc>
          <w:tcPr>
            <w:tcW w:w="650"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3"/>
              <w:ind w:left="16" w:right="17"/>
              <w:jc w:val="center"/>
              <w:rPr>
                <w:rFonts w:ascii="宋体" w:hAnsi="宋体" w:cs="宋体" w:eastAsia="宋体" w:hint="default"/>
                <w:sz w:val="15"/>
                <w:szCs w:val="15"/>
              </w:rPr>
            </w:pPr>
            <w:r>
              <w:rPr>
                <w:rFonts w:ascii="宋体" w:hAnsi="宋体" w:cs="宋体" w:eastAsia="宋体" w:hint="default"/>
                <w:sz w:val="15"/>
                <w:szCs w:val="15"/>
              </w:rPr>
              <w:t>余股权公 允价值的 确定方法 及主要假 设</w:t>
            </w:r>
          </w:p>
        </w:tc>
        <w:tc>
          <w:tcPr>
            <w:tcW w:w="75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381" w:lineRule="auto" w:before="43"/>
              <w:ind w:left="68" w:right="66"/>
              <w:jc w:val="both"/>
              <w:rPr>
                <w:rFonts w:ascii="宋体" w:hAnsi="宋体" w:cs="宋体" w:eastAsia="宋体" w:hint="default"/>
                <w:sz w:val="15"/>
                <w:szCs w:val="15"/>
              </w:rPr>
            </w:pPr>
            <w:r>
              <w:rPr>
                <w:rFonts w:ascii="宋体" w:hAnsi="宋体" w:cs="宋体" w:eastAsia="宋体" w:hint="default"/>
                <w:sz w:val="15"/>
                <w:szCs w:val="15"/>
              </w:rPr>
              <w:t>资相关的 其他综合 收益转入 投资损益 的金额</w:t>
            </w:r>
          </w:p>
        </w:tc>
      </w:tr>
      <w:tr>
        <w:trPr>
          <w:trHeight w:val="2219"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381" w:lineRule="auto" w:before="92"/>
              <w:ind w:left="9" w:right="10"/>
              <w:jc w:val="left"/>
              <w:rPr>
                <w:rFonts w:ascii="宋体" w:hAnsi="宋体" w:cs="宋体" w:eastAsia="宋体" w:hint="default"/>
                <w:sz w:val="15"/>
                <w:szCs w:val="15"/>
              </w:rPr>
            </w:pPr>
            <w:r>
              <w:rPr>
                <w:rFonts w:ascii="宋体" w:hAnsi="宋体" w:cs="宋体" w:eastAsia="宋体" w:hint="default"/>
                <w:sz w:val="15"/>
                <w:szCs w:val="15"/>
              </w:rPr>
              <w:t>北京神州泰岳良品 电子商务有限公司</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9"/>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9"/>
              <w:ind w:right="63"/>
              <w:jc w:val="right"/>
              <w:rPr>
                <w:rFonts w:ascii="Times New Roman" w:hAnsi="Times New Roman" w:cs="Times New Roman" w:eastAsia="Times New Roman" w:hint="default"/>
                <w:sz w:val="15"/>
                <w:szCs w:val="15"/>
              </w:rPr>
            </w:pPr>
            <w:r>
              <w:rPr>
                <w:rFonts w:ascii="Times New Roman"/>
                <w:spacing w:val="-1"/>
                <w:sz w:val="15"/>
              </w:rPr>
              <w:t>46.09</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1"/>
                <w:szCs w:val="11"/>
              </w:rPr>
            </w:pPr>
          </w:p>
          <w:p>
            <w:pPr>
              <w:pStyle w:val="TableParagraph"/>
              <w:spacing w:line="381" w:lineRule="auto"/>
              <w:ind w:left="73" w:right="71"/>
              <w:jc w:val="both"/>
              <w:rPr>
                <w:rFonts w:ascii="宋体" w:hAnsi="宋体" w:cs="宋体" w:eastAsia="宋体" w:hint="default"/>
                <w:sz w:val="15"/>
                <w:szCs w:val="15"/>
              </w:rPr>
            </w:pPr>
            <w:r>
              <w:rPr>
                <w:rFonts w:ascii="宋体" w:hAnsi="宋体" w:cs="宋体" w:eastAsia="宋体" w:hint="default"/>
                <w:sz w:val="15"/>
                <w:szCs w:val="15"/>
              </w:rPr>
              <w:t>新股东 增资导 致丧失 控制权</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7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宋体" w:hAnsi="宋体" w:cs="宋体" w:eastAsia="宋体" w:hint="default"/>
                <w:sz w:val="15"/>
                <w:szCs w:val="15"/>
              </w:rPr>
              <w:t>年</w:t>
            </w:r>
          </w:p>
          <w:p>
            <w:pPr>
              <w:pStyle w:val="TableParagraph"/>
              <w:spacing w:line="240" w:lineRule="auto" w:before="104"/>
              <w:ind w:left="1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381" w:lineRule="auto" w:before="119"/>
              <w:ind w:left="34" w:right="34"/>
              <w:jc w:val="center"/>
              <w:rPr>
                <w:rFonts w:ascii="宋体" w:hAnsi="宋体" w:cs="宋体" w:eastAsia="宋体" w:hint="default"/>
                <w:sz w:val="15"/>
                <w:szCs w:val="15"/>
              </w:rPr>
            </w:pPr>
            <w:r>
              <w:rPr>
                <w:rFonts w:ascii="宋体" w:hAnsi="宋体" w:cs="宋体" w:eastAsia="宋体" w:hint="default"/>
                <w:sz w:val="15"/>
                <w:szCs w:val="15"/>
              </w:rPr>
              <w:t>新股东 增资完 成</w:t>
            </w:r>
          </w:p>
        </w:tc>
        <w:tc>
          <w:tcPr>
            <w:tcW w:w="787"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9"/>
              <w:ind w:left="152" w:right="0"/>
              <w:jc w:val="left"/>
              <w:rPr>
                <w:rFonts w:ascii="Times New Roman" w:hAnsi="Times New Roman" w:cs="Times New Roman" w:eastAsia="Times New Roman" w:hint="default"/>
                <w:sz w:val="15"/>
                <w:szCs w:val="15"/>
              </w:rPr>
            </w:pPr>
            <w:r>
              <w:rPr>
                <w:rFonts w:ascii="Times New Roman"/>
                <w:sz w:val="15"/>
              </w:rPr>
              <w:t>41.91</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9"/>
              <w:ind w:left="2" w:right="0"/>
              <w:jc w:val="left"/>
              <w:rPr>
                <w:rFonts w:ascii="Times New Roman" w:hAnsi="Times New Roman" w:cs="Times New Roman" w:eastAsia="Times New Roman" w:hint="default"/>
                <w:sz w:val="15"/>
                <w:szCs w:val="15"/>
              </w:rPr>
            </w:pPr>
            <w:r>
              <w:rPr>
                <w:rFonts w:ascii="Times New Roman"/>
                <w:sz w:val="15"/>
              </w:rPr>
              <w:t>50,848,177.27</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9"/>
              <w:ind w:left="3" w:right="0"/>
              <w:jc w:val="left"/>
              <w:rPr>
                <w:rFonts w:ascii="Times New Roman" w:hAnsi="Times New Roman" w:cs="Times New Roman" w:eastAsia="Times New Roman" w:hint="default"/>
                <w:sz w:val="15"/>
                <w:szCs w:val="15"/>
              </w:rPr>
            </w:pPr>
            <w:r>
              <w:rPr>
                <w:rFonts w:ascii="Times New Roman"/>
                <w:sz w:val="15"/>
              </w:rPr>
              <w:t>75,384,763.07</w:t>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9"/>
              <w:ind w:left="2" w:right="0"/>
              <w:jc w:val="left"/>
              <w:rPr>
                <w:rFonts w:ascii="Times New Roman" w:hAnsi="Times New Roman" w:cs="Times New Roman" w:eastAsia="Times New Roman" w:hint="default"/>
                <w:sz w:val="15"/>
                <w:szCs w:val="15"/>
              </w:rPr>
            </w:pPr>
            <w:r>
              <w:rPr>
                <w:rFonts w:ascii="Times New Roman"/>
                <w:sz w:val="15"/>
              </w:rPr>
              <w:t>24,536,585.80</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381" w:lineRule="auto" w:before="45"/>
              <w:ind w:left="16" w:right="17"/>
              <w:jc w:val="center"/>
              <w:rPr>
                <w:rFonts w:ascii="宋体" w:hAnsi="宋体" w:cs="宋体" w:eastAsia="宋体" w:hint="default"/>
                <w:sz w:val="15"/>
                <w:szCs w:val="15"/>
              </w:rPr>
            </w:pPr>
            <w:r>
              <w:rPr>
                <w:rFonts w:ascii="宋体" w:hAnsi="宋体" w:cs="宋体" w:eastAsia="宋体" w:hint="default"/>
                <w:sz w:val="15"/>
                <w:szCs w:val="15"/>
              </w:rPr>
              <w:t>本报告期 末增资完 成后，被 稀释后比 例占公司 净资产的 金额</w:t>
            </w:r>
          </w:p>
        </w:tc>
        <w:tc>
          <w:tcPr>
            <w:tcW w:w="751" w:type="dxa"/>
            <w:tcBorders>
              <w:top w:val="single" w:sz="6" w:space="0" w:color="000000"/>
              <w:left w:val="single" w:sz="6" w:space="0" w:color="000000"/>
              <w:bottom w:val="single" w:sz="6" w:space="0" w:color="000000"/>
              <w:right w:val="single" w:sz="6" w:space="0" w:color="000000"/>
            </w:tcBorders>
          </w:tcPr>
          <w:p>
            <w:pPr/>
          </w:p>
        </w:tc>
      </w:tr>
    </w:tbl>
    <w:p>
      <w:pPr>
        <w:pStyle w:val="Heading6"/>
        <w:spacing w:line="240" w:lineRule="auto" w:before="88"/>
        <w:ind w:left="1556" w:right="0"/>
        <w:jc w:val="left"/>
        <w:rPr>
          <w:b w:val="0"/>
          <w:bCs w:val="0"/>
        </w:rPr>
      </w:pPr>
      <w:r>
        <w:rPr>
          <w:rFonts w:ascii="Times New Roman" w:hAnsi="Times New Roman" w:cs="Times New Roman" w:eastAsia="Times New Roman" w:hint="default"/>
        </w:rPr>
        <w:t>4.</w:t>
      </w:r>
      <w:r>
        <w:rPr/>
        <w:t>其他原因的合并范围变动</w:t>
      </w:r>
      <w:r>
        <w:rPr>
          <w:b w:val="0"/>
          <w:bCs w:val="0"/>
        </w:rPr>
      </w:r>
    </w:p>
    <w:p>
      <w:pPr>
        <w:spacing w:line="240" w:lineRule="auto" w:before="9"/>
        <w:rPr>
          <w:rFonts w:ascii="宋体" w:hAnsi="宋体" w:cs="宋体" w:eastAsia="宋体" w:hint="default"/>
          <w:b/>
          <w:bCs/>
          <w:sz w:val="16"/>
          <w:szCs w:val="16"/>
        </w:rPr>
      </w:pPr>
    </w:p>
    <w:p>
      <w:pPr>
        <w:pStyle w:val="Heading6"/>
        <w:spacing w:line="240" w:lineRule="auto"/>
        <w:ind w:left="1586" w:right="0"/>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1</w:t>
      </w:r>
      <w:r>
        <w:rPr/>
        <w:t>）本期因新设纳入合并范围明细如下</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4"/>
        <w:rPr>
          <w:rFonts w:ascii="Times New Roman" w:hAnsi="Times New Roman" w:cs="Times New Roman" w:eastAsia="Times New Roman" w:hint="default"/>
          <w:b/>
          <w:bCs/>
          <w:sz w:val="11"/>
          <w:szCs w:val="11"/>
        </w:rPr>
      </w:pPr>
    </w:p>
    <w:tbl>
      <w:tblPr>
        <w:tblW w:w="0" w:type="auto"/>
        <w:jc w:val="left"/>
        <w:tblInd w:w="1126" w:type="dxa"/>
        <w:tblLayout w:type="fixed"/>
        <w:tblCellMar>
          <w:top w:w="0" w:type="dxa"/>
          <w:left w:w="0" w:type="dxa"/>
          <w:bottom w:w="0" w:type="dxa"/>
          <w:right w:w="0" w:type="dxa"/>
        </w:tblCellMar>
        <w:tblLook w:val="01E0"/>
      </w:tblPr>
      <w:tblGrid>
        <w:gridCol w:w="4254"/>
        <w:gridCol w:w="2693"/>
        <w:gridCol w:w="2712"/>
      </w:tblGrid>
      <w:tr>
        <w:trPr>
          <w:trHeight w:val="347" w:hRule="exact"/>
        </w:trPr>
        <w:tc>
          <w:tcPr>
            <w:tcW w:w="42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新设子公司名称</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27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北京神州泰岳教育科技有限公司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75</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75</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北京融聚世界网络科技有限公司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宁波神州泰岳锐智信息科技有限公司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泰岳小漫（香港）有限公司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ultrapower software MEA</w:t>
            </w:r>
            <w:r>
              <w:rPr>
                <w:rFonts w:ascii="Times New Roman"/>
                <w:spacing w:val="-2"/>
                <w:sz w:val="18"/>
              </w:rPr>
              <w:t> </w:t>
            </w:r>
            <w:r>
              <w:rPr>
                <w:rFonts w:ascii="Times New Roman"/>
                <w:sz w:val="18"/>
              </w:rPr>
              <w:t>FZ-LLC</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Uqsoft (Thailand) Co.,</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【注】</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UQSOFT (RUSSIA)</w:t>
            </w:r>
            <w:r>
              <w:rPr>
                <w:rFonts w:ascii="Times New Roman"/>
                <w:spacing w:val="-2"/>
                <w:sz w:val="18"/>
              </w:rPr>
              <w:t> </w:t>
            </w:r>
            <w:r>
              <w:rPr>
                <w:rFonts w:ascii="Times New Roman"/>
                <w:sz w:val="18"/>
              </w:rPr>
              <w:t>CO.</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北京安纳西互娱科技有限公司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霍尔果斯于艺网络科技有限公司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霍尔果斯小小橙软件开发有限责任公司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神州泰奇软件（新加坡）有限公司【注】</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Uqsoft (Hong Kong)</w:t>
            </w:r>
            <w:r>
              <w:rPr>
                <w:rFonts w:ascii="Times New Roman"/>
                <w:spacing w:val="-3"/>
                <w:sz w:val="18"/>
              </w:rPr>
              <w:t> </w:t>
            </w:r>
            <w:r>
              <w:rPr>
                <w:rFonts w:ascii="Times New Roman"/>
                <w:sz w:val="18"/>
              </w:rPr>
              <w:t>Limited</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8"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北京裂变科技有限公司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w:t>
            </w:r>
          </w:p>
        </w:tc>
      </w:tr>
      <w:tr>
        <w:trPr>
          <w:trHeight w:val="347" w:hRule="exact"/>
        </w:trPr>
        <w:tc>
          <w:tcPr>
            <w:tcW w:w="4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北京左岸风暴科技有限公司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60</w:t>
            </w:r>
          </w:p>
        </w:tc>
        <w:tc>
          <w:tcPr>
            <w:tcW w:w="2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75</w:t>
            </w:r>
          </w:p>
        </w:tc>
      </w:tr>
    </w:tbl>
    <w:p>
      <w:pPr>
        <w:pStyle w:val="BodyText"/>
        <w:spacing w:line="240" w:lineRule="auto" w:before="88"/>
        <w:ind w:left="1494" w:right="0"/>
        <w:jc w:val="left"/>
      </w:pPr>
      <w:r>
        <w:rPr/>
        <w:t>注：</w:t>
      </w:r>
      <w:r>
        <w:rPr>
          <w:rFonts w:ascii="Times New Roman" w:hAnsi="Times New Roman" w:cs="Times New Roman" w:eastAsia="Times New Roman" w:hint="default"/>
        </w:rPr>
        <w:t>Uqsoft (Thailand) Co.,</w:t>
      </w:r>
      <w:r>
        <w:rPr>
          <w:rFonts w:ascii="Times New Roman" w:hAnsi="Times New Roman" w:cs="Times New Roman" w:eastAsia="Times New Roman" w:hint="default"/>
          <w:spacing w:val="-7"/>
        </w:rPr>
        <w:t> </w:t>
      </w:r>
      <w:r>
        <w:rPr>
          <w:rFonts w:ascii="Times New Roman" w:hAnsi="Times New Roman" w:cs="Times New Roman" w:eastAsia="Times New Roman" w:hint="default"/>
        </w:rPr>
        <w:t>Ltd</w:t>
      </w:r>
      <w:r>
        <w:rPr/>
        <w:t>、神州泰奇软件（新加坡）有限公司属于本公司协议控制的公司。</w:t>
      </w:r>
    </w:p>
    <w:p>
      <w:pPr>
        <w:spacing w:line="240" w:lineRule="auto" w:before="9"/>
        <w:rPr>
          <w:rFonts w:ascii="宋体" w:hAnsi="宋体" w:cs="宋体" w:eastAsia="宋体" w:hint="default"/>
          <w:sz w:val="16"/>
          <w:szCs w:val="16"/>
        </w:rPr>
      </w:pPr>
    </w:p>
    <w:p>
      <w:pPr>
        <w:pStyle w:val="Heading6"/>
        <w:spacing w:line="491" w:lineRule="auto"/>
        <w:ind w:right="2126" w:firstLine="722"/>
        <w:jc w:val="left"/>
        <w:rPr>
          <w:rFonts w:ascii="Times New Roman" w:hAnsi="Times New Roman" w:cs="Times New Roman" w:eastAsia="Times New Roman" w:hint="default"/>
          <w:b w:val="0"/>
          <w:bCs w:val="0"/>
        </w:rPr>
      </w:pPr>
      <w:r>
        <w:rPr/>
        <w:t>（</w:t>
      </w:r>
      <w:r>
        <w:rPr>
          <w:rFonts w:ascii="Times New Roman" w:hAnsi="Times New Roman" w:cs="Times New Roman" w:eastAsia="Times New Roman" w:hint="default"/>
        </w:rPr>
        <w:t>2</w:t>
      </w:r>
      <w:r>
        <w:rPr/>
        <w:t>）公司本年因清算减少二级子公司北京神州泰岳通信技术有限公司、四级子公司</w:t>
      </w:r>
      <w:r>
        <w:rPr>
          <w:rFonts w:ascii="Times New Roman" w:hAnsi="Times New Roman" w:cs="Times New Roman" w:eastAsia="Times New Roman" w:hint="default"/>
        </w:rPr>
        <w:t>ULTRAPOWER</w:t>
      </w:r>
      <w:r>
        <w:rPr>
          <w:rFonts w:ascii="Times New Roman" w:hAnsi="Times New Roman" w:cs="Times New Roman" w:eastAsia="Times New Roman" w:hint="default"/>
          <w:w w:val="99"/>
        </w:rPr>
        <w:t> </w:t>
      </w:r>
      <w:r>
        <w:rPr>
          <w:rFonts w:ascii="Times New Roman" w:hAnsi="Times New Roman" w:cs="Times New Roman" w:eastAsia="Times New Roman" w:hint="default"/>
        </w:rPr>
        <w:t>NETHERLANDS</w:t>
      </w:r>
      <w:r>
        <w:rPr>
          <w:rFonts w:ascii="Times New Roman" w:hAnsi="Times New Roman" w:cs="Times New Roman" w:eastAsia="Times New Roman" w:hint="default"/>
          <w:spacing w:val="-2"/>
        </w:rPr>
        <w:t> </w:t>
      </w:r>
      <w:r>
        <w:rPr>
          <w:rFonts w:ascii="Times New Roman" w:hAnsi="Times New Roman" w:cs="Times New Roman" w:eastAsia="Times New Roman" w:hint="default"/>
        </w:rPr>
        <w:t>B.V.</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18"/>
          <w:szCs w:val="18"/>
        </w:rPr>
      </w:pPr>
    </w:p>
    <w:p>
      <w:pPr>
        <w:spacing w:line="240" w:lineRule="auto" w:before="0"/>
        <w:rPr>
          <w:rFonts w:ascii="Times New Roman" w:hAnsi="Times New Roman" w:cs="Times New Roman" w:eastAsia="Times New Roman" w:hint="default"/>
          <w:b/>
          <w:bCs/>
          <w:sz w:val="18"/>
          <w:szCs w:val="18"/>
        </w:rPr>
      </w:pPr>
    </w:p>
    <w:p>
      <w:pPr>
        <w:pStyle w:val="Heading2"/>
        <w:spacing w:line="240" w:lineRule="auto" w:before="120"/>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8"/>
        <w:rPr>
          <w:rFonts w:ascii="宋体" w:hAnsi="宋体" w:cs="宋体" w:eastAsia="宋体" w:hint="default"/>
          <w:b/>
          <w:bCs/>
          <w:sz w:val="32"/>
          <w:szCs w:val="32"/>
        </w:rPr>
      </w:pPr>
    </w:p>
    <w:p>
      <w:pPr>
        <w:pStyle w:val="Heading6"/>
        <w:spacing w:line="240" w:lineRule="auto"/>
        <w:ind w:right="0"/>
        <w:jc w:val="left"/>
        <w:rPr>
          <w:b w:val="0"/>
          <w:bCs w:val="0"/>
        </w:rPr>
      </w:pPr>
      <w:r>
        <w:rPr/>
        <w:t>现聘任的会计师事务所</w:t>
      </w:r>
      <w:r>
        <w:rPr>
          <w:b w:val="0"/>
          <w:bCs w:val="0"/>
        </w:rPr>
      </w:r>
    </w:p>
    <w:p>
      <w:pPr>
        <w:spacing w:line="240" w:lineRule="auto" w:before="12"/>
        <w:rPr>
          <w:rFonts w:ascii="宋体" w:hAnsi="宋体" w:cs="宋体" w:eastAsia="宋体" w:hint="default"/>
          <w:b/>
          <w:bCs/>
          <w:sz w:val="13"/>
          <w:szCs w:val="13"/>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558"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96"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b/>
          <w:bCs/>
          <w:sz w:val="2"/>
          <w:szCs w:val="2"/>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14" w:hRule="exact"/>
        </w:trPr>
        <w:tc>
          <w:tcPr>
            <w:tcW w:w="3886" w:type="dxa"/>
            <w:tcBorders>
              <w:top w:val="single" w:sz="10"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10" w:space="0" w:color="000000"/>
              <w:left w:val="single" w:sz="4" w:space="0" w:color="000000"/>
              <w:bottom w:val="single" w:sz="4" w:space="0" w:color="FFFFFF"/>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120</w:t>
            </w:r>
          </w:p>
        </w:tc>
      </w:tr>
      <w:tr>
        <w:trPr>
          <w:trHeight w:val="558" w:hRule="exact"/>
        </w:trPr>
        <w:tc>
          <w:tcPr>
            <w:tcW w:w="3886"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w:t>
            </w:r>
          </w:p>
        </w:tc>
      </w:tr>
      <w:tr>
        <w:trPr>
          <w:trHeight w:val="558" w:hRule="exact"/>
        </w:trPr>
        <w:tc>
          <w:tcPr>
            <w:tcW w:w="3886"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王一芳、陈迅骅</w:t>
            </w:r>
          </w:p>
        </w:tc>
      </w:tr>
    </w:tbl>
    <w:p>
      <w:pPr>
        <w:spacing w:line="240" w:lineRule="auto" w:before="6"/>
        <w:rPr>
          <w:rFonts w:ascii="宋体" w:hAnsi="宋体" w:cs="宋体" w:eastAsia="宋体" w:hint="default"/>
          <w:b/>
          <w:bCs/>
          <w:sz w:val="6"/>
          <w:szCs w:val="6"/>
        </w:rPr>
      </w:pPr>
    </w:p>
    <w:p>
      <w:pPr>
        <w:pStyle w:val="Heading6"/>
        <w:spacing w:line="240" w:lineRule="auto" w:before="44"/>
        <w:ind w:left="1134" w:right="0"/>
        <w:jc w:val="left"/>
        <w:rPr>
          <w:b w:val="0"/>
          <w:bCs w:val="0"/>
        </w:rPr>
      </w:pPr>
      <w:r>
        <w:rPr/>
        <w:t>是否改聘会计师事务所</w:t>
      </w:r>
      <w:r>
        <w:rPr>
          <w:b w:val="0"/>
          <w:bCs w:val="0"/>
        </w:rPr>
      </w:r>
    </w:p>
    <w:p>
      <w:pPr>
        <w:spacing w:line="240" w:lineRule="auto" w:before="12"/>
        <w:rPr>
          <w:rFonts w:ascii="宋体" w:hAnsi="宋体" w:cs="宋体" w:eastAsia="宋体" w:hint="default"/>
          <w:b/>
          <w:bCs/>
          <w:sz w:val="20"/>
          <w:szCs w:val="20"/>
        </w:rPr>
      </w:pPr>
    </w:p>
    <w:p>
      <w:pPr>
        <w:pStyle w:val="Heading6"/>
        <w:spacing w:line="489" w:lineRule="auto"/>
        <w:ind w:right="6235"/>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r>
        <w:rPr>
          <w:w w:val="99"/>
        </w:rPr>
        <w:t> </w:t>
      </w:r>
      <w:r>
        <w:rPr/>
        <w:t>聘请内部控制审计会计师事务所、财务顾问或保荐人情况</w:t>
      </w:r>
      <w:r>
        <w:rPr>
          <w:b w:val="0"/>
          <w:bCs w:val="0"/>
        </w:rPr>
      </w:r>
    </w:p>
    <w:p>
      <w:pPr>
        <w:spacing w:before="85"/>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7"/>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24"/>
          <w:szCs w:val="24"/>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32"/>
          <w:szCs w:val="32"/>
        </w:rPr>
      </w:pPr>
    </w:p>
    <w:p>
      <w:pPr>
        <w:spacing w:line="489" w:lineRule="auto" w:before="0"/>
        <w:ind w:left="113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公司报告期未发生破产重整相关事项。</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8"/>
        <w:rPr>
          <w:rFonts w:ascii="宋体" w:hAnsi="宋体" w:cs="宋体" w:eastAsia="宋体" w:hint="default"/>
          <w:b/>
          <w:bCs/>
          <w:sz w:val="32"/>
          <w:szCs w:val="32"/>
        </w:rPr>
      </w:pPr>
    </w:p>
    <w:p>
      <w:pPr>
        <w:spacing w:line="489" w:lineRule="auto" w:before="0"/>
        <w:ind w:left="113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本报告期公司无重大诉讼、仲裁事项。</w:t>
      </w:r>
    </w:p>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8"/>
        <w:rPr>
          <w:rFonts w:ascii="宋体" w:hAnsi="宋体" w:cs="宋体" w:eastAsia="宋体" w:hint="default"/>
          <w:b/>
          <w:bCs/>
          <w:sz w:val="32"/>
          <w:szCs w:val="32"/>
        </w:rPr>
      </w:pPr>
    </w:p>
    <w:p>
      <w:pPr>
        <w:pStyle w:val="Heading6"/>
        <w:spacing w:line="240" w:lineRule="auto"/>
        <w:ind w:left="1134" w:right="0"/>
        <w:jc w:val="left"/>
        <w:rPr>
          <w:b w:val="0"/>
          <w:bCs w:val="0"/>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r>
        <w:rPr>
          <w:b w:val="0"/>
          <w:bCs w:val="0"/>
        </w:rPr>
      </w:r>
    </w:p>
    <w:p>
      <w:pPr>
        <w:spacing w:line="240" w:lineRule="auto" w:before="10"/>
        <w:rPr>
          <w:rFonts w:ascii="宋体" w:hAnsi="宋体" w:cs="宋体" w:eastAsia="宋体" w:hint="default"/>
          <w:b/>
          <w:bCs/>
          <w:sz w:val="19"/>
          <w:szCs w:val="19"/>
        </w:rPr>
      </w:pPr>
    </w:p>
    <w:p>
      <w:pPr>
        <w:pStyle w:val="Heading6"/>
        <w:spacing w:line="240" w:lineRule="auto"/>
        <w:ind w:left="1134" w:right="0"/>
        <w:jc w:val="left"/>
        <w:rPr>
          <w:b w:val="0"/>
          <w:bCs w:val="0"/>
        </w:rPr>
      </w:pPr>
      <w:r>
        <w:rPr/>
        <w:t>董事、监事、高级管理人员、持股</w:t>
      </w:r>
      <w:r>
        <w:rPr>
          <w:spacing w:val="-52"/>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1"/>
        <w:rPr>
          <w:rFonts w:ascii="宋体" w:hAnsi="宋体" w:cs="宋体" w:eastAsia="宋体" w:hint="default"/>
          <w:b/>
          <w:bCs/>
          <w:sz w:val="19"/>
          <w:szCs w:val="19"/>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879"/>
        <w:gridCol w:w="2185"/>
        <w:gridCol w:w="1076"/>
        <w:gridCol w:w="1123"/>
        <w:gridCol w:w="4432"/>
      </w:tblGrid>
      <w:tr>
        <w:trPr>
          <w:trHeight w:val="1494" w:hRule="exact"/>
        </w:trPr>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65" w:lineRule="auto" w:before="129"/>
              <w:ind w:left="22" w:right="2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上的股东 名称</w:t>
            </w:r>
          </w:p>
        </w:tc>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28"/>
              <w:ind w:left="907" w:right="96" w:hanging="810"/>
              <w:jc w:val="left"/>
              <w:rPr>
                <w:rFonts w:ascii="宋体" w:hAnsi="宋体" w:cs="宋体" w:eastAsia="宋体" w:hint="default"/>
                <w:sz w:val="18"/>
                <w:szCs w:val="18"/>
              </w:rPr>
            </w:pPr>
            <w:r>
              <w:rPr>
                <w:rFonts w:ascii="宋体" w:hAnsi="宋体" w:cs="宋体" w:eastAsia="宋体" w:hint="default"/>
                <w:sz w:val="18"/>
                <w:szCs w:val="18"/>
              </w:rPr>
              <w:t>违规买卖公司股票的具体 情况</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81" w:right="82"/>
              <w:jc w:val="center"/>
              <w:rPr>
                <w:rFonts w:ascii="宋体" w:hAnsi="宋体" w:cs="宋体" w:eastAsia="宋体" w:hint="default"/>
                <w:sz w:val="18"/>
                <w:szCs w:val="18"/>
              </w:rPr>
            </w:pPr>
            <w:r>
              <w:rPr>
                <w:rFonts w:ascii="宋体" w:hAnsi="宋体" w:cs="宋体" w:eastAsia="宋体" w:hint="default"/>
                <w:sz w:val="18"/>
                <w:szCs w:val="18"/>
              </w:rPr>
              <w:t>涉嫌违规所 得收益收回 的时间</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477" w:lineRule="auto" w:before="129"/>
              <w:ind w:left="22" w:right="8" w:firstLine="82"/>
              <w:jc w:val="both"/>
              <w:rPr>
                <w:rFonts w:ascii="宋体" w:hAnsi="宋体" w:cs="宋体" w:eastAsia="宋体" w:hint="default"/>
                <w:sz w:val="18"/>
                <w:szCs w:val="18"/>
              </w:rPr>
            </w:pPr>
            <w:r>
              <w:rPr>
                <w:rFonts w:ascii="宋体" w:hAnsi="宋体" w:cs="宋体" w:eastAsia="宋体" w:hint="default"/>
                <w:sz w:val="18"/>
                <w:szCs w:val="18"/>
              </w:rPr>
              <w:t>涉嫌违规所 得收益收回 的金额（元）</w:t>
            </w:r>
          </w:p>
        </w:tc>
        <w:tc>
          <w:tcPr>
            <w:tcW w:w="4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10"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102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4" w:right="0"/>
              <w:jc w:val="left"/>
              <w:rPr>
                <w:rFonts w:ascii="宋体" w:hAnsi="宋体" w:cs="宋体" w:eastAsia="宋体" w:hint="default"/>
                <w:sz w:val="18"/>
                <w:szCs w:val="18"/>
              </w:rPr>
            </w:pPr>
            <w:r>
              <w:rPr>
                <w:rFonts w:ascii="宋体" w:hAnsi="宋体" w:cs="宋体" w:eastAsia="宋体" w:hint="default"/>
                <w:sz w:val="18"/>
                <w:szCs w:val="18"/>
              </w:rPr>
              <w:t>李毅</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50"/>
              <w:ind w:left="97" w:right="96"/>
              <w:jc w:val="left"/>
              <w:rPr>
                <w:rFonts w:ascii="宋体" w:hAnsi="宋体" w:cs="宋体" w:eastAsia="宋体" w:hint="default"/>
                <w:sz w:val="18"/>
                <w:szCs w:val="18"/>
              </w:rPr>
            </w:pPr>
            <w:r>
              <w:rPr>
                <w:rFonts w:ascii="宋体" w:hAnsi="宋体" w:cs="宋体" w:eastAsia="宋体" w:hint="default"/>
                <w:sz w:val="18"/>
                <w:szCs w:val="18"/>
              </w:rPr>
              <w:t>本着积极参与公司股价维 稳增持的号召的心愿买入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573,029.00</w:t>
            </w:r>
          </w:p>
        </w:tc>
        <w:tc>
          <w:tcPr>
            <w:tcW w:w="4432"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50"/>
              <w:ind w:left="50" w:right="51"/>
              <w:jc w:val="left"/>
              <w:rPr>
                <w:rFonts w:ascii="宋体" w:hAnsi="宋体" w:cs="宋体" w:eastAsia="宋体" w:hint="default"/>
                <w:sz w:val="18"/>
                <w:szCs w:val="18"/>
              </w:rPr>
            </w:pPr>
            <w:r>
              <w:rPr>
                <w:rFonts w:ascii="宋体" w:hAnsi="宋体" w:cs="宋体" w:eastAsia="宋体" w:hint="default"/>
                <w:sz w:val="18"/>
                <w:szCs w:val="18"/>
              </w:rPr>
              <w:t>公司董事会已向李毅先生进行了沟通、教育及警示。李 毅先生已深刻认识到了本次违规事项的错误，对此次违</w:t>
            </w:r>
          </w:p>
        </w:tc>
      </w:tr>
    </w:tbl>
    <w:p>
      <w:pPr>
        <w:spacing w:after="0" w:line="475"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01" w:type="dxa"/>
        <w:tblLayout w:type="fixed"/>
        <w:tblCellMar>
          <w:top w:w="0" w:type="dxa"/>
          <w:left w:w="0" w:type="dxa"/>
          <w:bottom w:w="0" w:type="dxa"/>
          <w:right w:w="0" w:type="dxa"/>
        </w:tblCellMar>
        <w:tblLook w:val="01E0"/>
      </w:tblPr>
      <w:tblGrid>
        <w:gridCol w:w="879"/>
        <w:gridCol w:w="2185"/>
        <w:gridCol w:w="1076"/>
        <w:gridCol w:w="1123"/>
        <w:gridCol w:w="4434"/>
      </w:tblGrid>
      <w:tr>
        <w:trPr>
          <w:trHeight w:val="1467" w:hRule="exact"/>
        </w:trPr>
        <w:tc>
          <w:tcPr>
            <w:tcW w:w="879" w:type="dxa"/>
            <w:tcBorders>
              <w:top w:val="single" w:sz="10" w:space="0" w:color="000000"/>
              <w:left w:val="single" w:sz="4" w:space="0" w:color="000000"/>
              <w:bottom w:val="single" w:sz="4" w:space="0" w:color="000000"/>
              <w:right w:val="single" w:sz="4" w:space="0" w:color="000000"/>
            </w:tcBorders>
          </w:tcPr>
          <w:p>
            <w:pPr/>
          </w:p>
        </w:tc>
        <w:tc>
          <w:tcPr>
            <w:tcW w:w="2185" w:type="dxa"/>
            <w:tcBorders>
              <w:top w:val="single" w:sz="10" w:space="0" w:color="000000"/>
              <w:left w:val="single" w:sz="4" w:space="0" w:color="000000"/>
              <w:bottom w:val="single" w:sz="4" w:space="0" w:color="000000"/>
              <w:right w:val="single" w:sz="4" w:space="0" w:color="000000"/>
            </w:tcBorders>
          </w:tcPr>
          <w:p>
            <w:pPr>
              <w:pStyle w:val="TableParagraph"/>
              <w:spacing w:line="477" w:lineRule="auto" w:before="93"/>
              <w:ind w:left="22" w:right="21"/>
              <w:jc w:val="both"/>
              <w:rPr>
                <w:rFonts w:ascii="宋体" w:hAnsi="宋体" w:cs="宋体" w:eastAsia="宋体" w:hint="default"/>
                <w:sz w:val="18"/>
                <w:szCs w:val="18"/>
              </w:rPr>
            </w:pPr>
            <w:r>
              <w:rPr>
                <w:rFonts w:ascii="宋体" w:hAnsi="宋体" w:cs="宋体" w:eastAsia="宋体" w:hint="default"/>
                <w:spacing w:val="-3"/>
                <w:sz w:val="18"/>
                <w:szCs w:val="18"/>
              </w:rPr>
              <w:t>了本公司股票，但疏忽了之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前卖出公司股票的情况，结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果导致其构成短线交易。</w:t>
            </w:r>
          </w:p>
        </w:tc>
        <w:tc>
          <w:tcPr>
            <w:tcW w:w="1076" w:type="dxa"/>
            <w:tcBorders>
              <w:top w:val="single" w:sz="10" w:space="0" w:color="000000"/>
              <w:left w:val="single" w:sz="4" w:space="0" w:color="000000"/>
              <w:bottom w:val="single" w:sz="4" w:space="0" w:color="000000"/>
              <w:right w:val="single" w:sz="4" w:space="0" w:color="000000"/>
            </w:tcBorders>
          </w:tcPr>
          <w:p>
            <w:pPr/>
          </w:p>
        </w:tc>
        <w:tc>
          <w:tcPr>
            <w:tcW w:w="1123" w:type="dxa"/>
            <w:tcBorders>
              <w:top w:val="single" w:sz="10" w:space="0" w:color="000000"/>
              <w:left w:val="single" w:sz="4" w:space="0" w:color="000000"/>
              <w:bottom w:val="single" w:sz="4" w:space="0" w:color="000000"/>
              <w:right w:val="single" w:sz="4" w:space="0" w:color="000000"/>
            </w:tcBorders>
          </w:tcPr>
          <w:p>
            <w:pPr/>
          </w:p>
        </w:tc>
        <w:tc>
          <w:tcPr>
            <w:tcW w:w="4434" w:type="dxa"/>
            <w:tcBorders>
              <w:top w:val="single" w:sz="10" w:space="0" w:color="000000"/>
              <w:left w:val="single" w:sz="4" w:space="0" w:color="000000"/>
              <w:bottom w:val="single" w:sz="4" w:space="0" w:color="000000"/>
              <w:right w:val="single" w:sz="4" w:space="0" w:color="000000"/>
            </w:tcBorders>
          </w:tcPr>
          <w:p>
            <w:pPr>
              <w:pStyle w:val="TableParagraph"/>
              <w:spacing w:line="477" w:lineRule="auto" w:before="93"/>
              <w:ind w:left="50" w:right="52"/>
              <w:jc w:val="center"/>
              <w:rPr>
                <w:rFonts w:ascii="宋体" w:hAnsi="宋体" w:cs="宋体" w:eastAsia="宋体" w:hint="default"/>
                <w:sz w:val="18"/>
                <w:szCs w:val="18"/>
              </w:rPr>
            </w:pPr>
            <w:r>
              <w:rPr>
                <w:rFonts w:ascii="宋体" w:hAnsi="宋体" w:cs="宋体" w:eastAsia="宋体" w:hint="default"/>
                <w:sz w:val="18"/>
                <w:szCs w:val="18"/>
              </w:rPr>
              <w:t>规买卖股票的行为深表歉意，自愿接受公司董事会一切 处罚。承诺包括上述短线交易股票在内的所有持有的股</w:t>
            </w:r>
          </w:p>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票在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个月内不再进行交易。</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2"/>
        <w:rPr>
          <w:rFonts w:ascii="宋体" w:hAnsi="宋体" w:cs="宋体" w:eastAsia="宋体" w:hint="default"/>
          <w:b/>
          <w:bCs/>
          <w:sz w:val="23"/>
          <w:szCs w:val="23"/>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412" w:lineRule="auto" w:before="0"/>
        <w:ind w:left="1134" w:right="804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一、公司股权激励计划实施情况：</w:t>
      </w:r>
      <w:r>
        <w:rPr>
          <w:rFonts w:ascii="宋体" w:hAnsi="宋体" w:cs="宋体" w:eastAsia="宋体" w:hint="default"/>
          <w:sz w:val="18"/>
          <w:szCs w:val="18"/>
        </w:rPr>
      </w:r>
    </w:p>
    <w:p>
      <w:pPr>
        <w:pStyle w:val="BodyText"/>
        <w:spacing w:line="451" w:lineRule="auto" w:before="103"/>
        <w:ind w:right="1129"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日，公司第四届董事会第二十九次会议审议通过了《关于公司股权激励计划所涉股票期权与限制性股票</w:t>
      </w:r>
      <w:r>
        <w:rPr/>
        <w:t> 授予的议案》，股权激励计划规定的授予条件已经满足，公司董事会同意授予</w:t>
      </w:r>
      <w:r>
        <w:rPr>
          <w:rFonts w:ascii="Times New Roman" w:hAnsi="Times New Roman" w:cs="Times New Roman" w:eastAsia="Times New Roman" w:hint="default"/>
        </w:rPr>
        <w:t>370</w:t>
      </w:r>
      <w:r>
        <w:rPr/>
        <w:t>名激励对象</w:t>
      </w:r>
      <w:r>
        <w:rPr>
          <w:rFonts w:ascii="Times New Roman" w:hAnsi="Times New Roman" w:cs="Times New Roman" w:eastAsia="Times New Roman" w:hint="default"/>
        </w:rPr>
        <w:t>850</w:t>
      </w:r>
      <w:r>
        <w:rPr/>
        <w:t>万份股票期权，</w:t>
      </w:r>
      <w:r>
        <w:rPr>
          <w:rFonts w:ascii="Times New Roman" w:hAnsi="Times New Roman" w:cs="Times New Roman" w:eastAsia="Times New Roman" w:hint="default"/>
        </w:rPr>
        <w:t>450</w:t>
      </w:r>
      <w:r>
        <w:rPr/>
        <w:t>万份限</w:t>
      </w:r>
      <w:r>
        <w:rPr>
          <w:spacing w:val="-82"/>
        </w:rPr>
        <w:t> </w:t>
      </w:r>
      <w:r>
        <w:rPr/>
        <w:t>制性股票，授予日为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日，期权行权价格为</w:t>
      </w:r>
      <w:r>
        <w:rPr>
          <w:rFonts w:ascii="Times New Roman" w:hAnsi="Times New Roman" w:cs="Times New Roman" w:eastAsia="Times New Roman" w:hint="default"/>
        </w:rPr>
        <w:t>18.3</w:t>
      </w:r>
      <w:r>
        <w:rPr/>
        <w:t>元</w:t>
      </w:r>
      <w:r>
        <w:rPr>
          <w:rFonts w:ascii="Times New Roman" w:hAnsi="Times New Roman" w:cs="Times New Roman" w:eastAsia="Times New Roman" w:hint="default"/>
        </w:rPr>
        <w:t>/</w:t>
      </w:r>
      <w:r>
        <w:rPr/>
        <w:t>股、限制性股票价格为</w:t>
      </w:r>
      <w:r>
        <w:rPr>
          <w:rFonts w:ascii="Times New Roman" w:hAnsi="Times New Roman" w:cs="Times New Roman" w:eastAsia="Times New Roman" w:hint="default"/>
        </w:rPr>
        <w:t>8.97</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日，公司完成 股权激励所涉授予期权与限制性股票的登记工作，其中</w:t>
      </w:r>
      <w:r>
        <w:rPr>
          <w:rFonts w:ascii="Times New Roman" w:hAnsi="Times New Roman" w:cs="Times New Roman" w:eastAsia="Times New Roman" w:hint="default"/>
        </w:rPr>
        <w:t>185</w:t>
      </w:r>
      <w:r>
        <w:rPr/>
        <w:t>名激励对象认购了限制性股票合计</w:t>
      </w:r>
      <w:r>
        <w:rPr>
          <w:rFonts w:ascii="Times New Roman" w:hAnsi="Times New Roman" w:cs="Times New Roman" w:eastAsia="Times New Roman" w:hint="default"/>
        </w:rPr>
        <w:t>418.37</w:t>
      </w:r>
      <w:r>
        <w:rPr/>
        <w:t>万股。</w:t>
      </w:r>
    </w:p>
    <w:p>
      <w:pPr>
        <w:pStyle w:val="BodyText"/>
        <w:spacing w:line="458" w:lineRule="auto" w:before="43"/>
        <w:ind w:right="1023"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16</w:t>
      </w:r>
      <w:r>
        <w:rPr>
          <w:spacing w:val="-2"/>
        </w:rPr>
        <w:t>日，第五届董事会第六次会议审议通过《关于回购注销部分已不符合激励条件的原激励对象已获授的限</w:t>
      </w:r>
      <w:r>
        <w:rPr/>
        <w:t> </w:t>
      </w:r>
      <w:r>
        <w:rPr>
          <w:spacing w:val="-2"/>
        </w:rPr>
        <w:t>制性股票的议案》、《关于注销部分已不符合激励条件的原激励对象已获授的股票期权的议案》、《关于股票期权和限制性</w:t>
      </w:r>
      <w:r>
        <w:rPr>
          <w:spacing w:val="-68"/>
        </w:rPr>
        <w:t> </w:t>
      </w:r>
      <w:r>
        <w:rPr>
          <w:spacing w:val="-68"/>
        </w:rPr>
      </w:r>
      <w:r>
        <w:rPr/>
        <w:t>股票激励计划相关参数调整的议案》，由于</w:t>
      </w:r>
      <w:r>
        <w:rPr>
          <w:rFonts w:ascii="Times New Roman" w:hAnsi="Times New Roman" w:cs="Times New Roman" w:eastAsia="Times New Roman" w:hint="default"/>
        </w:rPr>
        <w:t>37</w:t>
      </w:r>
      <w:r>
        <w:rPr/>
        <w:t>名激励对象离职及公司实施了</w:t>
      </w:r>
      <w:r>
        <w:rPr>
          <w:rFonts w:ascii="Times New Roman" w:hAnsi="Times New Roman" w:cs="Times New Roman" w:eastAsia="Times New Roman" w:hint="default"/>
        </w:rPr>
        <w:t>2012</w:t>
      </w:r>
      <w:r>
        <w:rPr/>
        <w:t>年度权益分配方案，激励对象人数从</w:t>
      </w:r>
      <w:r>
        <w:rPr>
          <w:rFonts w:ascii="Times New Roman" w:hAnsi="Times New Roman" w:cs="Times New Roman" w:eastAsia="Times New Roman" w:hint="default"/>
        </w:rPr>
        <w:t>370</w:t>
      </w:r>
      <w:r>
        <w:rPr/>
        <w:t>人</w:t>
      </w:r>
      <w:r>
        <w:rPr>
          <w:spacing w:val="-83"/>
        </w:rPr>
        <w:t> </w:t>
      </w:r>
      <w:r>
        <w:rPr/>
        <w:t>调整为</w:t>
      </w:r>
      <w:r>
        <w:rPr>
          <w:rFonts w:ascii="Times New Roman" w:hAnsi="Times New Roman" w:cs="Times New Roman" w:eastAsia="Times New Roman" w:hint="default"/>
        </w:rPr>
        <w:t>333</w:t>
      </w:r>
      <w:r>
        <w:rPr/>
        <w:t>人，其中授予激励对象的股票期权的总数由</w:t>
      </w:r>
      <w:r>
        <w:rPr>
          <w:rFonts w:ascii="Times New Roman" w:hAnsi="Times New Roman" w:cs="Times New Roman" w:eastAsia="Times New Roman" w:hint="default"/>
        </w:rPr>
        <w:t>850</w:t>
      </w:r>
      <w:r>
        <w:rPr/>
        <w:t>万份调整为</w:t>
      </w:r>
      <w:r>
        <w:rPr>
          <w:rFonts w:ascii="Times New Roman" w:hAnsi="Times New Roman" w:cs="Times New Roman" w:eastAsia="Times New Roman" w:hint="default"/>
        </w:rPr>
        <w:t>12,182,800</w:t>
      </w:r>
      <w:r>
        <w:rPr/>
        <w:t>股，行权价格由</w:t>
      </w:r>
      <w:r>
        <w:rPr>
          <w:rFonts w:ascii="Times New Roman" w:hAnsi="Times New Roman" w:cs="Times New Roman" w:eastAsia="Times New Roman" w:hint="default"/>
        </w:rPr>
        <w:t>18.3</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11.19</w:t>
      </w:r>
      <w:r>
        <w:rPr/>
        <w:t>元</w:t>
      </w:r>
      <w:r>
        <w:rPr>
          <w:rFonts w:ascii="Times New Roman" w:hAnsi="Times New Roman" w:cs="Times New Roman" w:eastAsia="Times New Roman" w:hint="default"/>
        </w:rPr>
        <w:t>/</w:t>
      </w:r>
      <w:r>
        <w:rPr/>
        <w:t>股； 授予激励对象的限制性股票总数为</w:t>
      </w:r>
      <w:r>
        <w:rPr>
          <w:rFonts w:ascii="Times New Roman" w:hAnsi="Times New Roman" w:cs="Times New Roman" w:eastAsia="Times New Roman" w:hint="default"/>
        </w:rPr>
        <w:t>6,413,120</w:t>
      </w:r>
      <w:r>
        <w:rPr/>
        <w:t>股。</w:t>
      </w:r>
    </w:p>
    <w:p>
      <w:pPr>
        <w:pStyle w:val="BodyText"/>
        <w:spacing w:line="456" w:lineRule="auto" w:before="37"/>
        <w:ind w:right="1130"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日，第五届董事会第十次会议审议通过《关于注销已不符合激励条件的原激励对象已获授的股票期权的</w:t>
      </w:r>
      <w:r>
        <w:rPr/>
        <w:t> 议案》、《关于公司股票期权与限制性股票激励计划第一个行权</w:t>
      </w:r>
      <w:r>
        <w:rPr>
          <w:rFonts w:ascii="Times New Roman" w:hAnsi="Times New Roman" w:cs="Times New Roman" w:eastAsia="Times New Roman" w:hint="default"/>
        </w:rPr>
        <w:t>/</w:t>
      </w:r>
      <w:r>
        <w:rPr/>
        <w:t>解锁期可行权</w:t>
      </w:r>
      <w:r>
        <w:rPr>
          <w:rFonts w:ascii="Times New Roman" w:hAnsi="Times New Roman" w:cs="Times New Roman" w:eastAsia="Times New Roman" w:hint="default"/>
        </w:rPr>
        <w:t>/</w:t>
      </w:r>
      <w:r>
        <w:rPr/>
        <w:t>解锁的议案》、《关于股票期权与限制性股 </w:t>
      </w:r>
      <w:r>
        <w:rPr>
          <w:spacing w:val="-2"/>
        </w:rPr>
        <w:t>票激励计划之股票期权第一个行权期选择自主行权模式的议案》，由于部分激励对象离职，公司将对其获授的股票期权全部</w:t>
      </w:r>
      <w:r>
        <w:rPr>
          <w:spacing w:val="-66"/>
        </w:rPr>
        <w:t> </w:t>
      </w:r>
      <w:r>
        <w:rPr>
          <w:spacing w:val="-66"/>
        </w:rPr>
      </w:r>
      <w:r>
        <w:rPr>
          <w:spacing w:val="-2"/>
        </w:rPr>
        <w:t>进行注销；公司激励计划授予股票期权的</w:t>
      </w:r>
      <w:r>
        <w:rPr>
          <w:rFonts w:ascii="Times New Roman" w:hAnsi="Times New Roman" w:cs="Times New Roman" w:eastAsia="Times New Roman" w:hint="default"/>
          <w:spacing w:val="-2"/>
        </w:rPr>
        <w:t>327</w:t>
      </w:r>
      <w:r>
        <w:rPr>
          <w:spacing w:val="-2"/>
        </w:rPr>
        <w:t>名激励对象在第一个行权期自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日起至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日止，采取自主行</w:t>
      </w:r>
      <w:r>
        <w:rPr>
          <w:spacing w:val="-48"/>
        </w:rPr>
        <w:t> </w:t>
      </w:r>
      <w:r>
        <w:rPr>
          <w:spacing w:val="-48"/>
        </w:rPr>
      </w:r>
      <w:r>
        <w:rPr>
          <w:spacing w:val="-3"/>
        </w:rPr>
        <w:t>权模式进行行权，可行权数量共计</w:t>
      </w:r>
      <w:r>
        <w:rPr>
          <w:rFonts w:ascii="Times New Roman" w:hAnsi="Times New Roman" w:cs="Times New Roman" w:eastAsia="Times New Roman" w:hint="default"/>
          <w:spacing w:val="-3"/>
        </w:rPr>
        <w:t>2,417,360</w:t>
      </w:r>
      <w:r>
        <w:rPr>
          <w:spacing w:val="-3"/>
        </w:rPr>
        <w:t>份。限制性股票的首次上市流通日为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24</w:t>
      </w:r>
      <w:r>
        <w:rPr>
          <w:spacing w:val="-3"/>
        </w:rPr>
        <w:t>日，第一次解锁数量为</w:t>
      </w:r>
      <w:r>
        <w:rPr>
          <w:rFonts w:ascii="Times New Roman" w:hAnsi="Times New Roman" w:cs="Times New Roman" w:eastAsia="Times New Roman" w:hint="default"/>
          <w:spacing w:val="-3"/>
        </w:rPr>
        <w:t>1,282,624</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股。</w:t>
      </w:r>
    </w:p>
    <w:p>
      <w:pPr>
        <w:pStyle w:val="BodyText"/>
        <w:spacing w:line="451" w:lineRule="auto" w:before="70"/>
        <w:ind w:right="1130" w:firstLine="360"/>
        <w:jc w:val="both"/>
      </w:pP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日第五届董事会第十四次会议及</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日公司</w:t>
      </w:r>
      <w:r>
        <w:rPr>
          <w:rFonts w:ascii="Times New Roman" w:hAnsi="Times New Roman" w:cs="Times New Roman" w:eastAsia="Times New Roman" w:hint="default"/>
          <w:spacing w:val="-2"/>
        </w:rPr>
        <w:t>2013</w:t>
      </w:r>
      <w:r>
        <w:rPr>
          <w:spacing w:val="-2"/>
        </w:rPr>
        <w:t>年第二次临时股东大会审议通过了《公司注册</w:t>
      </w:r>
      <w:r>
        <w:rPr/>
        <w:t> 资本变更的议案》，公司将回购原激励对象的原授予限制性股票共</w:t>
      </w:r>
      <w:r>
        <w:rPr>
          <w:rFonts w:ascii="Times New Roman" w:hAnsi="Times New Roman" w:cs="Times New Roman" w:eastAsia="Times New Roman" w:hint="default"/>
        </w:rPr>
        <w:t>280,800</w:t>
      </w:r>
      <w:r>
        <w:rPr/>
        <w:t>股，回购价为</w:t>
      </w:r>
      <w:r>
        <w:rPr>
          <w:rFonts w:ascii="Times New Roman" w:hAnsi="Times New Roman" w:cs="Times New Roman" w:eastAsia="Times New Roman" w:hint="default"/>
        </w:rPr>
        <w:t>5.36</w:t>
      </w:r>
      <w:r>
        <w:rPr/>
        <w:t>元</w:t>
      </w:r>
      <w:r>
        <w:rPr>
          <w:rFonts w:ascii="Times New Roman" w:hAnsi="Times New Roman" w:cs="Times New Roman" w:eastAsia="Times New Roman" w:hint="default"/>
        </w:rPr>
        <w:t>/</w:t>
      </w:r>
      <w:r>
        <w:rPr/>
        <w:t>股。回购注销完成后，公司</w:t>
      </w:r>
      <w:r>
        <w:rPr>
          <w:spacing w:val="-49"/>
        </w:rPr>
        <w:t> </w:t>
      </w:r>
      <w:r>
        <w:rPr>
          <w:spacing w:val="-49"/>
        </w:rPr>
      </w:r>
      <w:r>
        <w:rPr/>
        <w:t>注册资本由人民币</w:t>
      </w:r>
      <w:r>
        <w:rPr>
          <w:rFonts w:ascii="Times New Roman" w:hAnsi="Times New Roman" w:cs="Times New Roman" w:eastAsia="Times New Roman" w:hint="default"/>
        </w:rPr>
        <w:t>613,413,920</w:t>
      </w:r>
      <w:r>
        <w:rPr/>
        <w:t>元减少至人民币</w:t>
      </w:r>
      <w:r>
        <w:rPr>
          <w:rFonts w:ascii="Times New Roman" w:hAnsi="Times New Roman" w:cs="Times New Roman" w:eastAsia="Times New Roman" w:hint="default"/>
        </w:rPr>
        <w:t>613,133,120</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日，回购注销事宜办理完毕。</w:t>
      </w:r>
    </w:p>
    <w:p>
      <w:pPr>
        <w:pStyle w:val="BodyText"/>
        <w:spacing w:line="451" w:lineRule="auto" w:before="43"/>
        <w:ind w:left="1134" w:right="1131"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日，公司第五届董事会第二十五次和第五届监事会第十次会议审议通过了《关于股票期权和限制性股票</w:t>
      </w:r>
      <w:r>
        <w:rPr/>
        <w:t> </w:t>
      </w:r>
      <w:r>
        <w:rPr>
          <w:spacing w:val="-2"/>
        </w:rPr>
        <w:t>激励计划相关参数调整的议案》，由于公司实施了</w:t>
      </w:r>
      <w:r>
        <w:rPr>
          <w:rFonts w:ascii="Times New Roman" w:hAnsi="Times New Roman" w:cs="Times New Roman" w:eastAsia="Times New Roman" w:hint="default"/>
          <w:spacing w:val="-2"/>
        </w:rPr>
        <w:t>2013</w:t>
      </w:r>
      <w:r>
        <w:rPr>
          <w:spacing w:val="-2"/>
        </w:rPr>
        <w:t>年度权益分配方案，公司将相应参数进行调整：授予激励对象的股票</w:t>
      </w:r>
    </w:p>
    <w:p>
      <w:pPr>
        <w:spacing w:after="0" w:line="451" w:lineRule="auto"/>
        <w:jc w:val="both"/>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1" w:lineRule="auto" w:before="83"/>
        <w:ind w:right="1129"/>
        <w:jc w:val="both"/>
      </w:pPr>
      <w:r>
        <w:rPr/>
        <w:t>期权的总数调整为</w:t>
      </w:r>
      <w:r>
        <w:rPr>
          <w:rFonts w:ascii="Times New Roman" w:hAnsi="Times New Roman" w:cs="Times New Roman" w:eastAsia="Times New Roman" w:hint="default"/>
        </w:rPr>
        <w:t>20,199,072</w:t>
      </w:r>
      <w:r>
        <w:rPr/>
        <w:t>股，行权价格由</w:t>
      </w:r>
      <w:r>
        <w:rPr>
          <w:rFonts w:ascii="Times New Roman" w:hAnsi="Times New Roman" w:cs="Times New Roman" w:eastAsia="Times New Roman" w:hint="default"/>
        </w:rPr>
        <w:t>11.19</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5.47</w:t>
      </w:r>
      <w:r>
        <w:rPr/>
        <w:t>元</w:t>
      </w:r>
      <w:r>
        <w:rPr>
          <w:rFonts w:ascii="Times New Roman" w:hAnsi="Times New Roman" w:cs="Times New Roman" w:eastAsia="Times New Roman" w:hint="default"/>
        </w:rPr>
        <w:t>/</w:t>
      </w:r>
      <w:r>
        <w:rPr/>
        <w:t>股；授予激励对象的限制性股票总数为</w:t>
      </w:r>
      <w:r>
        <w:rPr>
          <w:rFonts w:ascii="Times New Roman" w:hAnsi="Times New Roman" w:cs="Times New Roman" w:eastAsia="Times New Roman" w:hint="default"/>
        </w:rPr>
        <w:t>10,260,992</w:t>
      </w:r>
      <w:r>
        <w:rPr/>
        <w:t>股， 回购价格由</w:t>
      </w:r>
      <w:r>
        <w:rPr>
          <w:rFonts w:ascii="Times New Roman" w:hAnsi="Times New Roman" w:cs="Times New Roman" w:eastAsia="Times New Roman" w:hint="default"/>
        </w:rPr>
        <w:t>5.36</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2.555</w:t>
      </w:r>
      <w:r>
        <w:rPr/>
        <w:t>元</w:t>
      </w:r>
      <w:r>
        <w:rPr>
          <w:rFonts w:ascii="Times New Roman" w:hAnsi="Times New Roman" w:cs="Times New Roman" w:eastAsia="Times New Roman" w:hint="default"/>
        </w:rPr>
        <w:t>/</w:t>
      </w:r>
      <w:r>
        <w:rPr/>
        <w:t>股。</w:t>
      </w:r>
    </w:p>
    <w:p>
      <w:pPr>
        <w:pStyle w:val="BodyText"/>
        <w:spacing w:line="458" w:lineRule="auto" w:before="43"/>
        <w:ind w:right="1130" w:firstLine="36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日，公司第五届董事会第三十二次会议和第五届监事会第十二次会议审议通过了《关于注销已不符合激 </w:t>
      </w:r>
      <w:r>
        <w:rPr>
          <w:spacing w:val="-2"/>
        </w:rPr>
        <w:t>励条件的原激励对象已获授的股票期权的议案》、《关于注销股票期权与限制性股票激励计划第一个行权期到期未行权期权</w:t>
      </w:r>
      <w:r>
        <w:rPr>
          <w:spacing w:val="-65"/>
        </w:rPr>
        <w:t> </w:t>
      </w:r>
      <w:r>
        <w:rPr>
          <w:spacing w:val="-65"/>
        </w:rPr>
      </w:r>
      <w:r>
        <w:rPr>
          <w:spacing w:val="-2"/>
        </w:rPr>
        <w:t>的议案》、《关于回购注销已不符合激励条件的原激励对象已获授的限制性股票的议案》、《关于公司股票期权与限制性股</w:t>
      </w:r>
      <w:r>
        <w:rPr>
          <w:spacing w:val="-68"/>
        </w:rPr>
        <w:t> </w:t>
      </w:r>
      <w:r>
        <w:rPr>
          <w:spacing w:val="-68"/>
        </w:rPr>
      </w:r>
      <w:r>
        <w:rPr/>
        <w:t>票激励计划第二个行权</w:t>
      </w:r>
      <w:r>
        <w:rPr>
          <w:rFonts w:ascii="Times New Roman" w:hAnsi="Times New Roman" w:cs="Times New Roman" w:eastAsia="Times New Roman" w:hint="default"/>
        </w:rPr>
        <w:t>/</w:t>
      </w:r>
      <w:r>
        <w:rPr/>
        <w:t>解锁期可行权</w:t>
      </w:r>
      <w:r>
        <w:rPr>
          <w:rFonts w:ascii="Times New Roman" w:hAnsi="Times New Roman" w:cs="Times New Roman" w:eastAsia="Times New Roman" w:hint="default"/>
        </w:rPr>
        <w:t>/</w:t>
      </w:r>
      <w:r>
        <w:rPr/>
        <w:t>解锁的议案》、《关于股票期权与限制性股票激励计划之股票期权第二个行权期选择 自主行权模式的议案》。由于</w:t>
      </w:r>
      <w:r>
        <w:rPr>
          <w:rFonts w:ascii="Times New Roman" w:hAnsi="Times New Roman" w:cs="Times New Roman" w:eastAsia="Times New Roman" w:hint="default"/>
        </w:rPr>
        <w:t>18</w:t>
      </w:r>
      <w:r>
        <w:rPr/>
        <w:t>名激励对象因个人原因已离职，公司对其获授的股票期权</w:t>
      </w:r>
      <w:r>
        <w:rPr>
          <w:rFonts w:ascii="Times New Roman" w:hAnsi="Times New Roman" w:cs="Times New Roman" w:eastAsia="Times New Roman" w:hint="default"/>
        </w:rPr>
        <w:t>932,480</w:t>
      </w:r>
      <w:r>
        <w:rPr/>
        <w:t>份进行注销，限制性股票</w:t>
      </w:r>
      <w:r>
        <w:rPr>
          <w:spacing w:val="-44"/>
        </w:rPr>
        <w:t> </w:t>
      </w:r>
      <w:r>
        <w:rPr>
          <w:spacing w:val="-44"/>
        </w:rPr>
      </w:r>
      <w:r>
        <w:rPr>
          <w:rFonts w:ascii="Times New Roman" w:hAnsi="Times New Roman" w:cs="Times New Roman" w:eastAsia="Times New Roman" w:hint="default"/>
          <w:spacing w:val="-2"/>
        </w:rPr>
        <w:t>269,056</w:t>
      </w:r>
      <w:r>
        <w:rPr>
          <w:spacing w:val="-2"/>
        </w:rPr>
        <w:t>股进行回购注销，回购价格为</w:t>
      </w:r>
      <w:r>
        <w:rPr>
          <w:rFonts w:ascii="Times New Roman" w:hAnsi="Times New Roman" w:cs="Times New Roman" w:eastAsia="Times New Roman" w:hint="default"/>
          <w:spacing w:val="-2"/>
        </w:rPr>
        <w:t>2.555</w:t>
      </w:r>
      <w:r>
        <w:rPr>
          <w:spacing w:val="-2"/>
        </w:rPr>
        <w:t>元</w:t>
      </w:r>
      <w:r>
        <w:rPr>
          <w:rFonts w:ascii="Times New Roman" w:hAnsi="Times New Roman" w:cs="Times New Roman" w:eastAsia="Times New Roman" w:hint="default"/>
          <w:spacing w:val="-2"/>
        </w:rPr>
        <w:t>/</w:t>
      </w:r>
      <w:r>
        <w:rPr>
          <w:spacing w:val="-2"/>
        </w:rPr>
        <w:t>股；注销激励对象万能到期未行权期权</w:t>
      </w:r>
      <w:r>
        <w:rPr>
          <w:rFonts w:ascii="Times New Roman" w:hAnsi="Times New Roman" w:cs="Times New Roman" w:eastAsia="Times New Roman" w:hint="default"/>
          <w:spacing w:val="-2"/>
        </w:rPr>
        <w:t>320,000</w:t>
      </w:r>
      <w:r>
        <w:rPr>
          <w:spacing w:val="-2"/>
        </w:rPr>
        <w:t>份；公司激励计划第二个行权期</w:t>
      </w:r>
      <w:r>
        <w:rPr>
          <w:spacing w:val="-53"/>
        </w:rPr>
        <w:t> </w:t>
      </w:r>
      <w:r>
        <w:rPr>
          <w:spacing w:val="-53"/>
        </w:rPr>
      </w:r>
      <w:r>
        <w:rPr>
          <w:spacing w:val="-2"/>
        </w:rPr>
        <w:t>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日起至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日止，</w:t>
      </w:r>
      <w:r>
        <w:rPr>
          <w:rFonts w:ascii="Times New Roman" w:hAnsi="Times New Roman" w:cs="Times New Roman" w:eastAsia="Times New Roman" w:hint="default"/>
          <w:spacing w:val="-2"/>
        </w:rPr>
        <w:t>313</w:t>
      </w:r>
      <w:r>
        <w:rPr>
          <w:spacing w:val="-2"/>
        </w:rPr>
        <w:t>名激励对象可行权总数量为</w:t>
      </w:r>
      <w:r>
        <w:rPr>
          <w:rFonts w:ascii="Times New Roman" w:hAnsi="Times New Roman" w:cs="Times New Roman" w:eastAsia="Times New Roman" w:hint="default"/>
          <w:spacing w:val="-2"/>
        </w:rPr>
        <w:t>4,601,600</w:t>
      </w:r>
      <w:r>
        <w:rPr>
          <w:spacing w:val="-2"/>
        </w:rPr>
        <w:t>份，采取自主行权模式进行行权；限制性股</w:t>
      </w:r>
      <w:r>
        <w:rPr>
          <w:spacing w:val="-41"/>
        </w:rPr>
        <w:t> </w:t>
      </w:r>
      <w:r>
        <w:rPr>
          <w:spacing w:val="-41"/>
        </w:rPr>
      </w:r>
      <w:r>
        <w:rPr/>
        <w:t>票第二次解锁数量为</w:t>
      </w:r>
      <w:r>
        <w:rPr>
          <w:rFonts w:ascii="Times New Roman" w:hAnsi="Times New Roman" w:cs="Times New Roman" w:eastAsia="Times New Roman" w:hint="default"/>
        </w:rPr>
        <w:t>2,497,984</w:t>
      </w:r>
      <w:r>
        <w:rPr/>
        <w:t>股。</w:t>
      </w:r>
    </w:p>
    <w:p>
      <w:pPr>
        <w:pStyle w:val="BodyText"/>
        <w:spacing w:line="451" w:lineRule="auto" w:before="36"/>
        <w:ind w:right="1131" w:firstLine="360"/>
        <w:jc w:val="both"/>
      </w:pP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日第五届董事会第三十四次会议及</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w:t>
      </w:r>
      <w:r>
        <w:rPr>
          <w:spacing w:val="-2"/>
        </w:rPr>
        <w:t>日公司</w:t>
      </w:r>
      <w:r>
        <w:rPr>
          <w:rFonts w:ascii="Times New Roman" w:hAnsi="Times New Roman" w:cs="Times New Roman" w:eastAsia="Times New Roman" w:hint="default"/>
          <w:spacing w:val="-2"/>
        </w:rPr>
        <w:t>2014</w:t>
      </w:r>
      <w:r>
        <w:rPr>
          <w:spacing w:val="-2"/>
        </w:rPr>
        <w:t>年第二次临时股东大会审议通过了《关于修</w:t>
      </w:r>
      <w:r>
        <w:rPr/>
        <w:t> 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的议案》，因公司股权激励计划第一个行权期激励对象行权、回购注销不符合激励条件的原激励对象已获授</w:t>
      </w:r>
      <w:r>
        <w:rPr>
          <w:spacing w:val="-31"/>
        </w:rPr>
        <w:t> </w:t>
      </w:r>
      <w:r>
        <w:rPr>
          <w:spacing w:val="-31"/>
        </w:rPr>
      </w:r>
      <w:r>
        <w:rPr/>
        <w:t>的限制性股票等原因，公司股份总数由</w:t>
      </w:r>
      <w:r>
        <w:rPr>
          <w:rFonts w:ascii="Times New Roman" w:hAnsi="Times New Roman" w:cs="Times New Roman" w:eastAsia="Times New Roman" w:hint="default"/>
        </w:rPr>
        <w:t>1,323,188,951</w:t>
      </w:r>
      <w:r>
        <w:rPr/>
        <w:t>股变更为</w:t>
      </w:r>
      <w:r>
        <w:rPr>
          <w:rFonts w:ascii="Times New Roman" w:hAnsi="Times New Roman" w:cs="Times New Roman" w:eastAsia="Times New Roman" w:hint="default"/>
        </w:rPr>
        <w:t>1,323,268,087</w:t>
      </w:r>
      <w:r>
        <w:rPr/>
        <w:t>股，注册资本由人民币</w:t>
      </w:r>
      <w:r>
        <w:rPr>
          <w:rFonts w:ascii="Times New Roman" w:hAnsi="Times New Roman" w:cs="Times New Roman" w:eastAsia="Times New Roman" w:hint="default"/>
        </w:rPr>
        <w:t>1,323,188,951.00</w:t>
      </w:r>
      <w:r>
        <w:rPr/>
        <w:t>元变更为 人民币</w:t>
      </w:r>
      <w:r>
        <w:rPr>
          <w:rFonts w:ascii="Times New Roman" w:hAnsi="Times New Roman" w:cs="Times New Roman" w:eastAsia="Times New Roman" w:hint="default"/>
        </w:rPr>
        <w:t>1,323,268,087.00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日，回购注销事宜办理完毕。</w:t>
      </w:r>
    </w:p>
    <w:p>
      <w:pPr>
        <w:pStyle w:val="BodyText"/>
        <w:spacing w:line="451" w:lineRule="auto" w:before="43"/>
        <w:ind w:right="1131" w:firstLine="360"/>
        <w:jc w:val="both"/>
      </w:pP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日，公司第五届董事会第四十九次会议和第五届监事会第十七次会议审议通过了《关于股票期权和限制</w:t>
      </w:r>
      <w:r>
        <w:rPr/>
        <w:t> </w:t>
      </w:r>
      <w:r>
        <w:rPr>
          <w:spacing w:val="-2"/>
        </w:rPr>
        <w:t>性股票激励计划相关参数调整的议案》，由于公司实施了</w:t>
      </w:r>
      <w:r>
        <w:rPr>
          <w:rFonts w:ascii="Times New Roman" w:hAnsi="Times New Roman" w:cs="Times New Roman" w:eastAsia="Times New Roman" w:hint="default"/>
          <w:spacing w:val="-2"/>
        </w:rPr>
        <w:t>2014</w:t>
      </w:r>
      <w:r>
        <w:rPr>
          <w:spacing w:val="-2"/>
        </w:rPr>
        <w:t>年度权益分派方案，公司将相应参数进行调整：授予激励对象</w:t>
      </w:r>
      <w:r>
        <w:rPr>
          <w:spacing w:val="-62"/>
        </w:rPr>
        <w:t> </w:t>
      </w:r>
      <w:r>
        <w:rPr>
          <w:spacing w:val="-62"/>
        </w:rPr>
      </w:r>
      <w:r>
        <w:rPr>
          <w:spacing w:val="8"/>
        </w:rPr>
        <w:t>的期权总份数调整为</w:t>
      </w:r>
      <w:r>
        <w:rPr>
          <w:rFonts w:ascii="Times New Roman" w:hAnsi="Times New Roman" w:cs="Times New Roman" w:eastAsia="Times New Roman" w:hint="default"/>
          <w:spacing w:val="8"/>
        </w:rPr>
        <w:t>20,777,161</w:t>
      </w:r>
      <w:r>
        <w:rPr>
          <w:spacing w:val="8"/>
        </w:rPr>
        <w:t>股，行权价格由</w:t>
      </w:r>
      <w:r>
        <w:rPr>
          <w:rFonts w:ascii="Times New Roman" w:hAnsi="Times New Roman" w:cs="Times New Roman" w:eastAsia="Times New Roman" w:hint="default"/>
          <w:spacing w:val="8"/>
        </w:rPr>
        <w:t>5.47</w:t>
      </w:r>
      <w:r>
        <w:rPr>
          <w:spacing w:val="8"/>
        </w:rPr>
        <w:t>元</w:t>
      </w:r>
      <w:r>
        <w:rPr>
          <w:rFonts w:ascii="Times New Roman" w:hAnsi="Times New Roman" w:cs="Times New Roman" w:eastAsia="Times New Roman" w:hint="default"/>
          <w:spacing w:val="8"/>
        </w:rPr>
        <w:t>/</w:t>
      </w:r>
      <w:r>
        <w:rPr>
          <w:spacing w:val="8"/>
        </w:rPr>
        <w:t>股调整为</w:t>
      </w:r>
      <w:r>
        <w:rPr>
          <w:rFonts w:ascii="Times New Roman" w:hAnsi="Times New Roman" w:cs="Times New Roman" w:eastAsia="Times New Roman" w:hint="default"/>
          <w:spacing w:val="8"/>
        </w:rPr>
        <w:t>3.56</w:t>
      </w:r>
      <w:r>
        <w:rPr>
          <w:spacing w:val="8"/>
        </w:rPr>
        <w:t>元</w:t>
      </w:r>
      <w:r>
        <w:rPr>
          <w:rFonts w:ascii="Times New Roman" w:hAnsi="Times New Roman" w:cs="Times New Roman" w:eastAsia="Times New Roman" w:hint="default"/>
          <w:spacing w:val="8"/>
        </w:rPr>
        <w:t>/</w:t>
      </w:r>
      <w:r>
        <w:rPr>
          <w:spacing w:val="8"/>
        </w:rPr>
        <w:t>股，授予激励对象的限制性股票的数量调整为</w:t>
      </w:r>
      <w:r>
        <w:rPr>
          <w:spacing w:val="-85"/>
        </w:rPr>
        <w:t> </w:t>
      </w:r>
      <w:r>
        <w:rPr>
          <w:spacing w:val="-85"/>
        </w:rPr>
      </w:r>
      <w:r>
        <w:rPr>
          <w:rFonts w:ascii="Times New Roman" w:hAnsi="Times New Roman" w:cs="Times New Roman" w:eastAsia="Times New Roman" w:hint="default"/>
        </w:rPr>
        <w:t>11,255,919</w:t>
      </w:r>
      <w:r>
        <w:rPr/>
        <w:t>股，回购价格由为</w:t>
      </w:r>
      <w:r>
        <w:rPr>
          <w:rFonts w:ascii="Times New Roman" w:hAnsi="Times New Roman" w:cs="Times New Roman" w:eastAsia="Times New Roman" w:hint="default"/>
        </w:rPr>
        <w:t>2.555</w:t>
      </w:r>
      <w:r>
        <w:rPr/>
        <w:t>元</w:t>
      </w:r>
      <w:r>
        <w:rPr>
          <w:rFonts w:ascii="Times New Roman" w:hAnsi="Times New Roman" w:cs="Times New Roman" w:eastAsia="Times New Roman" w:hint="default"/>
        </w:rPr>
        <w:t>/</w:t>
      </w:r>
      <w:r>
        <w:rPr/>
        <w:t>股调整为</w:t>
      </w:r>
      <w:r>
        <w:rPr>
          <w:rFonts w:ascii="Times New Roman" w:hAnsi="Times New Roman" w:cs="Times New Roman" w:eastAsia="Times New Roman" w:hint="default"/>
        </w:rPr>
        <w:t>1.62</w:t>
      </w:r>
      <w:r>
        <w:rPr/>
        <w:t>元</w:t>
      </w:r>
      <w:r>
        <w:rPr>
          <w:rFonts w:ascii="Times New Roman" w:hAnsi="Times New Roman" w:cs="Times New Roman" w:eastAsia="Times New Roman" w:hint="default"/>
        </w:rPr>
        <w:t>/</w:t>
      </w:r>
      <w:r>
        <w:rPr/>
        <w:t>股。</w:t>
      </w:r>
    </w:p>
    <w:p>
      <w:pPr>
        <w:pStyle w:val="BodyText"/>
        <w:spacing w:line="453" w:lineRule="auto" w:before="43"/>
        <w:ind w:right="1131" w:firstLine="360"/>
        <w:jc w:val="both"/>
      </w:pP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日，公司第五届董事会第五十七次会议和第五届监事会第二十次会议审议通过了《关于注销已不符合激</w:t>
      </w:r>
      <w:r>
        <w:rPr/>
        <w:t> </w:t>
      </w:r>
      <w:r>
        <w:rPr>
          <w:spacing w:val="-2"/>
        </w:rPr>
        <w:t>励条件的原激励对象已获授的股票期权的议案》、《关于回购注销已不符合激励条件的原激励对象已获授的限制性股票的议</w:t>
      </w:r>
      <w:r>
        <w:rPr>
          <w:spacing w:val="-65"/>
        </w:rPr>
        <w:t> </w:t>
      </w:r>
      <w:r>
        <w:rPr>
          <w:spacing w:val="-65"/>
        </w:rPr>
      </w:r>
      <w:r>
        <w:rPr/>
        <w:t>案》、《关于公司股票期权与限制性股票激励计划第三个行权</w:t>
      </w:r>
      <w:r>
        <w:rPr>
          <w:rFonts w:ascii="Times New Roman" w:hAnsi="Times New Roman" w:cs="Times New Roman" w:eastAsia="Times New Roman" w:hint="default"/>
        </w:rPr>
        <w:t>/</w:t>
      </w:r>
      <w:r>
        <w:rPr/>
        <w:t>解锁期可行权</w:t>
      </w:r>
      <w:r>
        <w:rPr>
          <w:rFonts w:ascii="Times New Roman" w:hAnsi="Times New Roman" w:cs="Times New Roman" w:eastAsia="Times New Roman" w:hint="default"/>
        </w:rPr>
        <w:t>/</w:t>
      </w:r>
      <w:r>
        <w:rPr/>
        <w:t>解锁的议案》、《关于股票期权与限制性股票 </w:t>
      </w:r>
      <w:r>
        <w:rPr>
          <w:spacing w:val="-2"/>
        </w:rPr>
        <w:t>激励计划之股票期权第三个行权期选择自主行权模式的议案》。由于</w:t>
      </w:r>
      <w:r>
        <w:rPr>
          <w:rFonts w:ascii="Times New Roman" w:hAnsi="Times New Roman" w:cs="Times New Roman" w:eastAsia="Times New Roman" w:hint="default"/>
          <w:spacing w:val="-2"/>
        </w:rPr>
        <w:t>15</w:t>
      </w:r>
      <w:r>
        <w:rPr>
          <w:spacing w:val="-2"/>
        </w:rPr>
        <w:t>名激励对象因个人原因已离职，公司将对其获授但未</w:t>
      </w:r>
      <w:r>
        <w:rPr>
          <w:spacing w:val="-64"/>
        </w:rPr>
        <w:t> </w:t>
      </w:r>
      <w:r>
        <w:rPr>
          <w:spacing w:val="-64"/>
        </w:rPr>
      </w:r>
      <w:r>
        <w:rPr/>
        <w:t>行权的</w:t>
      </w:r>
      <w:r>
        <w:rPr>
          <w:rFonts w:ascii="Times New Roman" w:hAnsi="Times New Roman" w:cs="Times New Roman" w:eastAsia="Times New Roman" w:hint="default"/>
        </w:rPr>
        <w:t>758,450</w:t>
      </w:r>
      <w:r>
        <w:rPr/>
        <w:t>份期权进行注销，获授但未解禁限制性股票</w:t>
      </w:r>
      <w:r>
        <w:rPr>
          <w:rFonts w:ascii="Times New Roman" w:hAnsi="Times New Roman" w:cs="Times New Roman" w:eastAsia="Times New Roman" w:hint="default"/>
        </w:rPr>
        <w:t>513,323</w:t>
      </w:r>
      <w:r>
        <w:rPr/>
        <w:t>股进行回购注销，回购价格为</w:t>
      </w:r>
      <w:r>
        <w:rPr>
          <w:rFonts w:ascii="Times New Roman" w:hAnsi="Times New Roman" w:cs="Times New Roman" w:eastAsia="Times New Roman" w:hint="default"/>
        </w:rPr>
        <w:t>1.62</w:t>
      </w:r>
      <w:r>
        <w:rPr/>
        <w:t>元</w:t>
      </w:r>
      <w:r>
        <w:rPr>
          <w:rFonts w:ascii="Times New Roman" w:hAnsi="Times New Roman" w:cs="Times New Roman" w:eastAsia="Times New Roman" w:hint="default"/>
        </w:rPr>
        <w:t>/</w:t>
      </w:r>
      <w:r>
        <w:rPr/>
        <w:t>股；本次注销和本次 </w:t>
      </w:r>
      <w:r>
        <w:rPr>
          <w:spacing w:val="-1"/>
        </w:rPr>
        <w:t>回购后，《激励计划》授予的激励对象人数调整为</w:t>
      </w:r>
      <w:r>
        <w:rPr>
          <w:rFonts w:ascii="Times New Roman" w:hAnsi="Times New Roman" w:cs="Times New Roman" w:eastAsia="Times New Roman" w:hint="default"/>
          <w:spacing w:val="-1"/>
        </w:rPr>
        <w:t>298</w:t>
      </w:r>
      <w:r>
        <w:rPr>
          <w:spacing w:val="-1"/>
        </w:rPr>
        <w:t>人，《激励计划》第三、四个行权</w:t>
      </w:r>
      <w:r>
        <w:rPr>
          <w:rFonts w:ascii="Times New Roman" w:hAnsi="Times New Roman" w:cs="Times New Roman" w:eastAsia="Times New Roman" w:hint="default"/>
          <w:spacing w:val="-1"/>
        </w:rPr>
        <w:t>/</w:t>
      </w:r>
      <w:r>
        <w:rPr>
          <w:spacing w:val="-1"/>
        </w:rPr>
        <w:t>解锁期剩余的股票期权和限制性股</w:t>
      </w:r>
      <w:r>
        <w:rPr>
          <w:spacing w:val="-78"/>
        </w:rPr>
        <w:t> </w:t>
      </w:r>
      <w:r>
        <w:rPr>
          <w:spacing w:val="-2"/>
        </w:rPr>
        <w:t>票数量分别调整为</w:t>
      </w:r>
      <w:r>
        <w:rPr>
          <w:rFonts w:ascii="Times New Roman" w:hAnsi="Times New Roman" w:cs="Times New Roman" w:eastAsia="Times New Roman" w:hint="default"/>
          <w:spacing w:val="-2"/>
        </w:rPr>
        <w:t>19,976,365</w:t>
      </w:r>
      <w:r>
        <w:rPr>
          <w:spacing w:val="-2"/>
        </w:rPr>
        <w:t>份、</w:t>
      </w:r>
      <w:r>
        <w:rPr>
          <w:rFonts w:ascii="Times New Roman" w:hAnsi="Times New Roman" w:cs="Times New Roman" w:eastAsia="Times New Roman" w:hint="default"/>
          <w:spacing w:val="-2"/>
        </w:rPr>
        <w:t>10,742,596</w:t>
      </w:r>
      <w:r>
        <w:rPr>
          <w:spacing w:val="-2"/>
        </w:rPr>
        <w:t>股。公司激励计划第三个行权期自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日起至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日止，</w:t>
      </w:r>
      <w:r>
        <w:rPr>
          <w:rFonts w:ascii="Times New Roman" w:hAnsi="Times New Roman" w:cs="Times New Roman" w:eastAsia="Times New Roman" w:hint="default"/>
          <w:spacing w:val="-2"/>
        </w:rPr>
        <w:t>295</w:t>
      </w:r>
      <w:r>
        <w:rPr>
          <w:spacing w:val="-2"/>
        </w:rPr>
        <w:t>名激</w:t>
      </w:r>
      <w:r>
        <w:rPr>
          <w:spacing w:val="-30"/>
        </w:rPr>
        <w:t> </w:t>
      </w:r>
      <w:r>
        <w:rPr/>
        <w:t>励对象可行权总数量为</w:t>
      </w:r>
      <w:r>
        <w:rPr>
          <w:rFonts w:ascii="Times New Roman" w:hAnsi="Times New Roman" w:cs="Times New Roman" w:eastAsia="Times New Roman" w:hint="default"/>
        </w:rPr>
        <w:t>9,988,180</w:t>
      </w:r>
      <w:r>
        <w:rPr/>
        <w:t>份，采取自主行权模式进行行权；限制性股票第三次解锁数量为</w:t>
      </w:r>
      <w:r>
        <w:rPr>
          <w:rFonts w:ascii="Times New Roman" w:hAnsi="Times New Roman" w:cs="Times New Roman" w:eastAsia="Times New Roman" w:hint="default"/>
        </w:rPr>
        <w:t>5,371,302</w:t>
      </w:r>
      <w:r>
        <w:rPr/>
        <w:t>股。</w:t>
      </w:r>
    </w:p>
    <w:p>
      <w:pPr>
        <w:pStyle w:val="BodyText"/>
        <w:spacing w:line="240" w:lineRule="auto" w:before="41"/>
        <w:ind w:left="1493" w:right="0"/>
        <w:jc w:val="left"/>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日，公司第五届董事会第六十七次会议及于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日公司</w:t>
      </w:r>
      <w:r>
        <w:rPr>
          <w:rFonts w:ascii="Times New Roman" w:hAnsi="Times New Roman" w:cs="Times New Roman" w:eastAsia="Times New Roman" w:hint="default"/>
        </w:rPr>
        <w:t>2016</w:t>
      </w:r>
      <w:r>
        <w:rPr/>
        <w:t>年第一次临时股东大会审议通过了</w:t>
      </w:r>
    </w:p>
    <w:p>
      <w:pPr>
        <w:spacing w:line="240" w:lineRule="auto" w:before="10"/>
        <w:rPr>
          <w:rFonts w:ascii="宋体" w:hAnsi="宋体" w:cs="宋体" w:eastAsia="宋体" w:hint="default"/>
          <w:sz w:val="16"/>
          <w:szCs w:val="16"/>
        </w:rPr>
      </w:pPr>
    </w:p>
    <w:p>
      <w:pPr>
        <w:pStyle w:val="BodyText"/>
        <w:spacing w:line="463" w:lineRule="auto"/>
        <w:ind w:right="1130"/>
        <w:jc w:val="both"/>
      </w:pPr>
      <w:r>
        <w:rPr>
          <w:spacing w:val="-2"/>
        </w:rPr>
        <w:t>《关于公司注册资本变更的议案》等议案，因公司股权激励计划激励对象自主行权、回购注销不符合激励条件的原激励对象</w:t>
      </w:r>
      <w:r>
        <w:rPr>
          <w:spacing w:val="-66"/>
        </w:rPr>
        <w:t> </w:t>
      </w:r>
      <w:r>
        <w:rPr>
          <w:spacing w:val="-66"/>
        </w:rPr>
      </w:r>
      <w:r>
        <w:rPr/>
        <w:t>已获授的限制性股票等原因，公司股份总数由</w:t>
      </w:r>
      <w:r>
        <w:rPr>
          <w:rFonts w:ascii="Times New Roman" w:hAnsi="Times New Roman" w:cs="Times New Roman" w:eastAsia="Times New Roman" w:hint="default"/>
        </w:rPr>
        <w:t>1,986,470,666</w:t>
      </w:r>
      <w:r>
        <w:rPr/>
        <w:t>股变更为</w:t>
      </w:r>
      <w:r>
        <w:rPr>
          <w:rFonts w:ascii="Times New Roman" w:hAnsi="Times New Roman" w:cs="Times New Roman" w:eastAsia="Times New Roman" w:hint="default"/>
        </w:rPr>
        <w:t>1,993,382,320</w:t>
      </w:r>
      <w:r>
        <w:rPr/>
        <w:t>股，注册资本由人民币</w:t>
      </w:r>
      <w:r>
        <w:rPr>
          <w:rFonts w:ascii="Times New Roman" w:hAnsi="Times New Roman" w:cs="Times New Roman" w:eastAsia="Times New Roman" w:hint="default"/>
        </w:rPr>
        <w:t>1,986,470,666.00</w:t>
      </w:r>
      <w:r>
        <w:rPr/>
        <w:t>元 变更为人民币</w:t>
      </w:r>
      <w:r>
        <w:rPr>
          <w:rFonts w:ascii="Times New Roman" w:hAnsi="Times New Roman" w:cs="Times New Roman" w:eastAsia="Times New Roman" w:hint="default"/>
        </w:rPr>
        <w:t>1,993,382,320.00</w:t>
      </w:r>
      <w:r>
        <w:rPr/>
        <w:t>元。</w:t>
      </w:r>
    </w:p>
    <w:p>
      <w:pPr>
        <w:spacing w:after="0" w:line="463" w:lineRule="auto"/>
        <w:jc w:val="both"/>
        <w:sectPr>
          <w:pgSz w:w="11910" w:h="16840"/>
          <w:pgMar w:header="851" w:footer="979" w:top="1380" w:bottom="1160" w:left="0" w:right="0"/>
        </w:sectPr>
      </w:pPr>
    </w:p>
    <w:p>
      <w:pPr>
        <w:spacing w:line="451" w:lineRule="auto" w:before="141"/>
        <w:ind w:left="1495" w:right="3058" w:hanging="2"/>
        <w:jc w:val="left"/>
        <w:rPr>
          <w:rFonts w:ascii="宋体" w:hAnsi="宋体" w:cs="宋体" w:eastAsia="宋体" w:hint="default"/>
          <w:sz w:val="18"/>
          <w:szCs w:val="18"/>
        </w:rPr>
      </w:pPr>
      <w:r>
        <w:rPr>
          <w:rFonts w:ascii="宋体" w:hAnsi="宋体" w:cs="宋体" w:eastAsia="宋体" w:hint="default"/>
          <w:sz w:val="18"/>
          <w:szCs w:val="18"/>
        </w:rPr>
        <w:t>根据《企业会计准则》的有关规定，报告期内，公司合计确认了</w:t>
      </w:r>
      <w:r>
        <w:rPr>
          <w:rFonts w:ascii="Times New Roman" w:hAnsi="Times New Roman" w:cs="Times New Roman" w:eastAsia="Times New Roman" w:hint="default"/>
          <w:sz w:val="18"/>
          <w:szCs w:val="18"/>
        </w:rPr>
        <w:t>330.24</w:t>
      </w:r>
      <w:r>
        <w:rPr>
          <w:rFonts w:ascii="宋体" w:hAnsi="宋体" w:cs="宋体" w:eastAsia="宋体" w:hint="default"/>
          <w:sz w:val="18"/>
          <w:szCs w:val="18"/>
        </w:rPr>
        <w:t>万元的股权激励成本。 </w:t>
      </w:r>
      <w:r>
        <w:rPr>
          <w:rFonts w:ascii="宋体" w:hAnsi="宋体" w:cs="宋体" w:eastAsia="宋体" w:hint="default"/>
          <w:b/>
          <w:bCs/>
          <w:sz w:val="18"/>
          <w:szCs w:val="18"/>
        </w:rPr>
        <w:t>股权激励主要事项临时报告披露网站查询</w:t>
      </w:r>
      <w:r>
        <w:rPr>
          <w:rFonts w:ascii="宋体" w:hAnsi="宋体" w:cs="宋体" w:eastAsia="宋体" w:hint="default"/>
          <w:sz w:val="18"/>
          <w:szCs w:val="18"/>
        </w:rPr>
      </w:r>
    </w:p>
    <w:tbl>
      <w:tblPr>
        <w:tblW w:w="0" w:type="auto"/>
        <w:jc w:val="left"/>
        <w:tblInd w:w="985" w:type="dxa"/>
        <w:tblLayout w:type="fixed"/>
        <w:tblCellMar>
          <w:top w:w="0" w:type="dxa"/>
          <w:left w:w="0" w:type="dxa"/>
          <w:bottom w:w="0" w:type="dxa"/>
          <w:right w:w="0" w:type="dxa"/>
        </w:tblCellMar>
        <w:tblLook w:val="01E0"/>
      </w:tblPr>
      <w:tblGrid>
        <w:gridCol w:w="5672"/>
        <w:gridCol w:w="1559"/>
        <w:gridCol w:w="2977"/>
      </w:tblGrid>
      <w:tr>
        <w:trPr>
          <w:trHeight w:val="426" w:hRule="exact"/>
        </w:trPr>
        <w:tc>
          <w:tcPr>
            <w:tcW w:w="56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5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9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第四届董事会第二十三次会议决议公告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第四届监事会第十二次会议决议公告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第四届董事会第二十八次会议决议公告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第四届监事会第十四次会议决议公告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2"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第四届董事会第二十九次会议决议公告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第四届监事会第十五次会议决议公告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关于股权激励计划授予相关事项的公告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第四届董事会第三十次会议决议公告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4"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关于股权激励计划授予的期权与限制性股票登记完成公告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2"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第五届董事会第六次会议决议公告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1051"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25"/>
              <w:ind w:left="1927" w:right="38" w:hanging="1891"/>
              <w:jc w:val="left"/>
              <w:rPr>
                <w:rFonts w:ascii="宋体" w:hAnsi="宋体" w:cs="宋体" w:eastAsia="宋体" w:hint="default"/>
                <w:sz w:val="18"/>
                <w:szCs w:val="18"/>
              </w:rPr>
            </w:pPr>
            <w:r>
              <w:rPr>
                <w:rFonts w:ascii="宋体" w:hAnsi="宋体" w:cs="宋体" w:eastAsia="宋体" w:hint="default"/>
                <w:sz w:val="18"/>
                <w:szCs w:val="18"/>
              </w:rPr>
              <w:t>关于股票期权和限制性股票激励计划相关参数调整及注销部分已授予限 制性股票和期权的公告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关于公司回购股权激励股份的债权人公告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第五届董事会第十次会议决议公告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关于首期股权激励计划限制性股票第一期可解锁的公告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关于首期股权激励计划期权第一个行权期可行权公告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2"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股权激励计划期权第一个行权期采用自主行权模式的提示性公告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股权激励计划限制性股票第一次解锁股份上市流通的提示性公告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4"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关于部分股票期权注销及部分限制性股票回购注销的完成公告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第五届董事会第二十五次会议决议公告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80" w:bottom="1160" w:left="0" w:right="0"/>
        </w:sectPr>
      </w:pPr>
    </w:p>
    <w:tbl>
      <w:tblPr>
        <w:tblW w:w="0" w:type="auto"/>
        <w:jc w:val="left"/>
        <w:tblInd w:w="985" w:type="dxa"/>
        <w:tblLayout w:type="fixed"/>
        <w:tblCellMar>
          <w:top w:w="0" w:type="dxa"/>
          <w:left w:w="0" w:type="dxa"/>
          <w:bottom w:w="0" w:type="dxa"/>
          <w:right w:w="0" w:type="dxa"/>
        </w:tblCellMar>
        <w:tblLook w:val="01E0"/>
      </w:tblPr>
      <w:tblGrid>
        <w:gridCol w:w="5672"/>
        <w:gridCol w:w="1559"/>
        <w:gridCol w:w="2977"/>
      </w:tblGrid>
      <w:tr>
        <w:trPr>
          <w:trHeight w:val="596" w:hRule="exact"/>
        </w:trPr>
        <w:tc>
          <w:tcPr>
            <w:tcW w:w="56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第五届监事会第十次会议决议公告</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9"/>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关于股票期权和限制性股票激励计划相关参数调整的公告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4"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关于股票期权和限制性股票激励计划相关参数调整的补充公告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关于部分已授予股票期权注销完成公告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2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关于公司回购股权激励股份的债权人公告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2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1051"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33"/>
              <w:ind w:left="2557" w:right="37" w:hanging="2521"/>
              <w:jc w:val="left"/>
              <w:rPr>
                <w:rFonts w:ascii="宋体" w:hAnsi="宋体" w:cs="宋体" w:eastAsia="宋体" w:hint="default"/>
                <w:sz w:val="18"/>
                <w:szCs w:val="18"/>
              </w:rPr>
            </w:pPr>
            <w:r>
              <w:rPr>
                <w:rFonts w:ascii="宋体" w:hAnsi="宋体" w:cs="宋体" w:eastAsia="宋体" w:hint="default"/>
                <w:sz w:val="18"/>
                <w:szCs w:val="18"/>
              </w:rPr>
              <w:t>关于股票期权和限制性股票激励计划注销部分已授予限制性股票和期权 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2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2"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关于股票期权与限制性股票激励计划股票期权第二个行权期可行权公告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2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关于股票期权与限制性股票激励计划限制性股票第二期可解锁的公告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2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第五届董事会第三十二次会议决议公告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2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第五届监事会第十二次会议决议公告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2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2"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股权激励计划限制性股票第二次解锁股份上市流通的提示性公告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股权激励计划期权第二个行权期采用自主行权模式的提示性公告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关于部分已授予股票期权注销完成公告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关于部分已授予限制性股票回购注销完成的公告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第五届董事会第四十九次会议决议公告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第五届监事会第十七次会议决议公告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2"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关于股票期权和限制性股票激励计划相关参数调整的公告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1051"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33"/>
              <w:ind w:left="2557" w:right="37" w:hanging="2521"/>
              <w:jc w:val="left"/>
              <w:rPr>
                <w:rFonts w:ascii="宋体" w:hAnsi="宋体" w:cs="宋体" w:eastAsia="宋体" w:hint="default"/>
                <w:sz w:val="18"/>
                <w:szCs w:val="18"/>
              </w:rPr>
            </w:pPr>
            <w:r>
              <w:rPr>
                <w:rFonts w:ascii="宋体" w:hAnsi="宋体" w:cs="宋体" w:eastAsia="宋体" w:hint="default"/>
                <w:sz w:val="18"/>
                <w:szCs w:val="18"/>
              </w:rPr>
              <w:t>关于股票期权和限制性股票激励计划注销部分已授予限制性股票和期权 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4"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关于公司回购股权激励股份的债权人公告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关于股票期权与限制性股票激励计划第三个行权期符合行权条件的公告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关于股票期权与限制性股票激励计划限制性股票第三期可解锁的公告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420" w:bottom="1160" w:left="0" w:right="0"/>
        </w:sectPr>
      </w:pPr>
    </w:p>
    <w:p>
      <w:pPr>
        <w:spacing w:line="240" w:lineRule="auto" w:before="5"/>
        <w:rPr>
          <w:rFonts w:ascii="宋体" w:hAnsi="宋体" w:cs="宋体" w:eastAsia="宋体" w:hint="default"/>
          <w:b/>
          <w:bCs/>
          <w:sz w:val="2"/>
          <w:szCs w:val="2"/>
        </w:rPr>
      </w:pPr>
    </w:p>
    <w:tbl>
      <w:tblPr>
        <w:tblW w:w="0" w:type="auto"/>
        <w:jc w:val="left"/>
        <w:tblInd w:w="985" w:type="dxa"/>
        <w:tblLayout w:type="fixed"/>
        <w:tblCellMar>
          <w:top w:w="0" w:type="dxa"/>
          <w:left w:w="0" w:type="dxa"/>
          <w:bottom w:w="0" w:type="dxa"/>
          <w:right w:w="0" w:type="dxa"/>
        </w:tblCellMar>
        <w:tblLook w:val="01E0"/>
      </w:tblPr>
      <w:tblGrid>
        <w:gridCol w:w="5672"/>
        <w:gridCol w:w="1559"/>
        <w:gridCol w:w="2977"/>
      </w:tblGrid>
      <w:tr>
        <w:trPr>
          <w:trHeight w:val="596" w:hRule="exact"/>
        </w:trPr>
        <w:tc>
          <w:tcPr>
            <w:tcW w:w="56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第五届董事会第五十七次会议决议公告</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9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第五届监事会第二十次会议决议公告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4"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关于部分已授予股票期权注销完成公告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关于股票期权与限制性股票激励计划限制性股票第三期解除限售公告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23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关于股票期权与限制性股票激励计划第三个行权期自主行权公告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86"/>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5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第五届董事会第六十七次会议决议公告</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4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Heading6"/>
        <w:spacing w:line="240" w:lineRule="auto" w:before="44"/>
        <w:ind w:left="1134" w:right="0"/>
        <w:jc w:val="left"/>
        <w:rPr>
          <w:b w:val="0"/>
          <w:bCs w:val="0"/>
        </w:rPr>
      </w:pPr>
      <w:r>
        <w:rPr/>
        <w:t>二、公司员工持股计划实施情况：</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left="1493" w:right="0"/>
        <w:jc w:val="left"/>
      </w:pPr>
      <w:r>
        <w:rPr>
          <w:rFonts w:ascii="Times New Roman" w:hAnsi="Times New Roman" w:cs="Times New Roman" w:eastAsia="Times New Roman" w:hint="default"/>
        </w:rPr>
        <w:t>1</w:t>
      </w:r>
      <w:r>
        <w:rPr/>
        <w:t>）公司因筹划员工持股计划相关事项，经申请于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日起停牌。并于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日开市起复牌。</w:t>
      </w:r>
    </w:p>
    <w:p>
      <w:pPr>
        <w:spacing w:line="240" w:lineRule="auto" w:before="9"/>
        <w:rPr>
          <w:rFonts w:ascii="宋体" w:hAnsi="宋体" w:cs="宋体" w:eastAsia="宋体" w:hint="default"/>
          <w:sz w:val="16"/>
          <w:szCs w:val="16"/>
        </w:rPr>
      </w:pPr>
    </w:p>
    <w:p>
      <w:pPr>
        <w:pStyle w:val="BodyText"/>
        <w:spacing w:line="451" w:lineRule="auto"/>
        <w:ind w:left="1134" w:right="1050"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日公司第五届董事会第五十二次会议、第五届监事会第十八次会议审议通过《北京神州泰岳软件股份有</w:t>
      </w:r>
      <w:r>
        <w:rPr/>
        <w:t> 限公司第一期员工持股计划（草案）》及摘要、《关于提请股东大会授权董事会办理公司员工持股计划相关事宜的议案》、</w:t>
      </w:r>
    </w:p>
    <w:p>
      <w:pPr>
        <w:pStyle w:val="BodyText"/>
        <w:spacing w:line="451" w:lineRule="auto" w:before="74"/>
        <w:ind w:right="1118"/>
        <w:jc w:val="left"/>
      </w:pPr>
      <w:r>
        <w:rPr>
          <w:spacing w:val="-2"/>
        </w:rPr>
        <w:t>《北京神州泰岳软件股份有限公司第一期员工持股计划管理办法》、《关于召开</w:t>
      </w:r>
      <w:r>
        <w:rPr>
          <w:rFonts w:ascii="Times New Roman" w:hAnsi="Times New Roman" w:cs="Times New Roman" w:eastAsia="Times New Roman" w:hint="default"/>
          <w:spacing w:val="-2"/>
        </w:rPr>
        <w:t>2015</w:t>
      </w:r>
      <w:r>
        <w:rPr>
          <w:spacing w:val="-2"/>
        </w:rPr>
        <w:t>年第三次临时股东大会的议案》等相关</w:t>
      </w:r>
      <w:r>
        <w:rPr>
          <w:spacing w:val="-61"/>
        </w:rPr>
        <w:t> </w:t>
      </w:r>
      <w:r>
        <w:rPr>
          <w:spacing w:val="-61"/>
        </w:rPr>
      </w:r>
      <w:r>
        <w:rPr/>
        <w:t>议案。</w:t>
      </w:r>
    </w:p>
    <w:p>
      <w:pPr>
        <w:pStyle w:val="BodyText"/>
        <w:spacing w:line="463" w:lineRule="auto" w:before="74"/>
        <w:ind w:left="1134" w:right="1132"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日公司</w:t>
      </w:r>
      <w:r>
        <w:rPr>
          <w:rFonts w:ascii="Times New Roman" w:hAnsi="Times New Roman" w:cs="Times New Roman" w:eastAsia="Times New Roman" w:hint="default"/>
          <w:spacing w:val="-2"/>
        </w:rPr>
        <w:t>2015</w:t>
      </w:r>
      <w:r>
        <w:rPr>
          <w:spacing w:val="-2"/>
        </w:rPr>
        <w:t>年第三次临时股东大会审议通过《北京神州泰岳软件股份有限公司第一期员工持股计划（草</w:t>
      </w:r>
      <w:r>
        <w:rPr/>
        <w:t> </w:t>
      </w:r>
      <w:r>
        <w:rPr>
          <w:spacing w:val="-2"/>
        </w:rPr>
        <w:t>案）》及摘要、《关于提请股东大会授权董事会办理公司员工持股计划相关事宜的议案》、《北京神州泰岳软件股份有限公</w:t>
      </w:r>
      <w:r>
        <w:rPr>
          <w:spacing w:val="-67"/>
        </w:rPr>
        <w:t> </w:t>
      </w:r>
      <w:r>
        <w:rPr>
          <w:spacing w:val="-67"/>
        </w:rPr>
      </w:r>
      <w:r>
        <w:rPr/>
        <w:t>司第一期员工持股计划管理办法》等相关议案。</w:t>
      </w:r>
    </w:p>
    <w:p>
      <w:pPr>
        <w:pStyle w:val="BodyText"/>
        <w:spacing w:line="451" w:lineRule="auto" w:before="65"/>
        <w:ind w:right="1134" w:firstLine="36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日，公司第一期员工持股计划已完成股票购买，共计</w:t>
      </w:r>
      <w:r>
        <w:rPr>
          <w:rFonts w:ascii="Times New Roman" w:hAnsi="Times New Roman" w:cs="Times New Roman" w:eastAsia="Times New Roman" w:hint="default"/>
          <w:spacing w:val="-1"/>
        </w:rPr>
        <w:t>7,301.08</w:t>
      </w:r>
      <w:r>
        <w:rPr>
          <w:spacing w:val="-1"/>
        </w:rPr>
        <w:t>万股，占公司总股本的比例为</w:t>
      </w:r>
      <w:r>
        <w:rPr>
          <w:rFonts w:ascii="Times New Roman" w:hAnsi="Times New Roman" w:cs="Times New Roman" w:eastAsia="Times New Roman" w:hint="default"/>
          <w:spacing w:val="-1"/>
        </w:rPr>
        <w:t>3.66%</w:t>
      </w:r>
      <w:r>
        <w:rPr>
          <w:spacing w:val="-1"/>
        </w:rPr>
        <w:t>，购</w:t>
      </w:r>
      <w:r>
        <w:rPr>
          <w:spacing w:val="-3"/>
        </w:rPr>
        <w:t> </w:t>
      </w:r>
      <w:r>
        <w:rPr/>
        <w:t>买均价为</w:t>
      </w:r>
      <w:r>
        <w:rPr>
          <w:rFonts w:ascii="Times New Roman" w:hAnsi="Times New Roman" w:cs="Times New Roman" w:eastAsia="Times New Roman" w:hint="default"/>
        </w:rPr>
        <w:t>11.08</w:t>
      </w:r>
      <w:r>
        <w:rPr/>
        <w:t>元</w:t>
      </w:r>
      <w:r>
        <w:rPr>
          <w:rFonts w:ascii="Times New Roman" w:hAnsi="Times New Roman" w:cs="Times New Roman" w:eastAsia="Times New Roman" w:hint="default"/>
        </w:rPr>
        <w:t>/</w:t>
      </w:r>
      <w:r>
        <w:rPr/>
        <w:t>股。锁定期为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w:t>
      </w:r>
    </w:p>
    <w:p>
      <w:pPr>
        <w:pStyle w:val="Heading6"/>
        <w:spacing w:line="240" w:lineRule="auto" w:before="43"/>
        <w:ind w:left="1495" w:right="0"/>
        <w:jc w:val="left"/>
        <w:rPr>
          <w:b w:val="0"/>
          <w:bCs w:val="0"/>
        </w:rPr>
      </w:pPr>
      <w:r>
        <w:rPr/>
        <w:t>员工持股计划主要事项临时报告披露网站查询</w:t>
      </w:r>
      <w:r>
        <w:rPr>
          <w:b w:val="0"/>
          <w:bCs w:val="0"/>
        </w:rPr>
      </w:r>
    </w:p>
    <w:p>
      <w:pPr>
        <w:spacing w:line="240" w:lineRule="auto" w:before="13"/>
        <w:rPr>
          <w:rFonts w:ascii="宋体" w:hAnsi="宋体" w:cs="宋体" w:eastAsia="宋体" w:hint="default"/>
          <w:b/>
          <w:bCs/>
          <w:sz w:val="10"/>
          <w:szCs w:val="10"/>
        </w:rPr>
      </w:pPr>
    </w:p>
    <w:tbl>
      <w:tblPr>
        <w:tblW w:w="0" w:type="auto"/>
        <w:jc w:val="left"/>
        <w:tblInd w:w="1126" w:type="dxa"/>
        <w:tblLayout w:type="fixed"/>
        <w:tblCellMar>
          <w:top w:w="0" w:type="dxa"/>
          <w:left w:w="0" w:type="dxa"/>
          <w:bottom w:w="0" w:type="dxa"/>
          <w:right w:w="0" w:type="dxa"/>
        </w:tblCellMar>
        <w:tblLook w:val="01E0"/>
      </w:tblPr>
      <w:tblGrid>
        <w:gridCol w:w="3829"/>
        <w:gridCol w:w="2550"/>
        <w:gridCol w:w="3191"/>
      </w:tblGrid>
      <w:tr>
        <w:trPr>
          <w:trHeight w:val="583" w:hRule="exact"/>
        </w:trPr>
        <w:tc>
          <w:tcPr>
            <w:tcW w:w="3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5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584"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关于筹划员工持股计划的停牌公告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2"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第五届董事会第五十二次会议决议公告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第五届监事会第十八次会议决议公告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第一期员工持股计划（草案）摘要</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4"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第一期员工持股计划（草案）</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关于筹划员工持股计划暨公司复牌的公告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5"/>
        <w:rPr>
          <w:rFonts w:ascii="宋体" w:hAnsi="宋体" w:cs="宋体" w:eastAsia="宋体" w:hint="default"/>
          <w:b/>
          <w:bCs/>
          <w:sz w:val="2"/>
          <w:szCs w:val="2"/>
        </w:rPr>
      </w:pPr>
    </w:p>
    <w:tbl>
      <w:tblPr>
        <w:tblW w:w="0" w:type="auto"/>
        <w:jc w:val="left"/>
        <w:tblInd w:w="1126" w:type="dxa"/>
        <w:tblLayout w:type="fixed"/>
        <w:tblCellMar>
          <w:top w:w="0" w:type="dxa"/>
          <w:left w:w="0" w:type="dxa"/>
          <w:bottom w:w="0" w:type="dxa"/>
          <w:right w:w="0" w:type="dxa"/>
        </w:tblCellMar>
        <w:tblLook w:val="01E0"/>
      </w:tblPr>
      <w:tblGrid>
        <w:gridCol w:w="3829"/>
        <w:gridCol w:w="2550"/>
        <w:gridCol w:w="3191"/>
      </w:tblGrid>
      <w:tr>
        <w:trPr>
          <w:trHeight w:val="1064" w:hRule="exact"/>
        </w:trPr>
        <w:tc>
          <w:tcPr>
            <w:tcW w:w="3829" w:type="dxa"/>
            <w:tcBorders>
              <w:top w:val="single" w:sz="12" w:space="0" w:color="000000"/>
              <w:left w:val="single" w:sz="6" w:space="0" w:color="000000"/>
              <w:bottom w:val="single" w:sz="6" w:space="0" w:color="000000"/>
              <w:right w:val="single" w:sz="6" w:space="0" w:color="000000"/>
            </w:tcBorders>
          </w:tcPr>
          <w:p>
            <w:pPr>
              <w:pStyle w:val="TableParagraph"/>
              <w:spacing w:line="477" w:lineRule="auto" w:before="146"/>
              <w:ind w:left="195" w:right="16" w:hanging="180"/>
              <w:jc w:val="left"/>
              <w:rPr>
                <w:rFonts w:ascii="宋体" w:hAnsi="宋体" w:cs="宋体" w:eastAsia="宋体" w:hint="default"/>
                <w:sz w:val="18"/>
                <w:szCs w:val="18"/>
              </w:rPr>
            </w:pPr>
            <w:r>
              <w:rPr>
                <w:rFonts w:ascii="宋体" w:hAnsi="宋体" w:cs="宋体" w:eastAsia="宋体" w:hint="default"/>
                <w:sz w:val="18"/>
                <w:szCs w:val="18"/>
              </w:rPr>
              <w:t>独立董事关于《北京神州泰岳软件股份有限公司 第一期员工持股计划（草案）》的独立意见</w:t>
            </w:r>
          </w:p>
        </w:tc>
        <w:tc>
          <w:tcPr>
            <w:tcW w:w="2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31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1052"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85" w:right="16" w:hanging="270"/>
              <w:jc w:val="left"/>
              <w:rPr>
                <w:rFonts w:ascii="宋体" w:hAnsi="宋体" w:cs="宋体" w:eastAsia="宋体" w:hint="default"/>
                <w:sz w:val="18"/>
                <w:szCs w:val="18"/>
              </w:rPr>
            </w:pPr>
            <w:r>
              <w:rPr>
                <w:rFonts w:ascii="宋体" w:hAnsi="宋体" w:cs="宋体" w:eastAsia="宋体" w:hint="default"/>
                <w:sz w:val="18"/>
                <w:szCs w:val="18"/>
              </w:rPr>
              <w:t>北京市天元律师事务所关于北京神州泰岳软件股 份有限公司实施员工持股计划的法律意见</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年第三次临时股东大会决议公告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关于第一期员工持股计划实施进展的公告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583" w:hRule="exact"/>
        </w:trPr>
        <w:tc>
          <w:tcPr>
            <w:tcW w:w="3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关于第一期员工持股计划完成股票购买的公告</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北京光合 起源网络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公司董 事担任 董事的 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购买版 </w:t>
            </w:r>
            <w:r>
              <w:rPr>
                <w:rFonts w:ascii="宋体" w:hAnsi="宋体" w:cs="宋体" w:eastAsia="宋体" w:hint="default"/>
                <w:spacing w:val="-18"/>
                <w:sz w:val="18"/>
                <w:szCs w:val="18"/>
              </w:rPr>
              <w:t>权金、支</w:t>
            </w:r>
            <w:r>
              <w:rPr>
                <w:rFonts w:ascii="宋体" w:hAnsi="宋体" w:cs="宋体" w:eastAsia="宋体" w:hint="default"/>
                <w:sz w:val="18"/>
                <w:szCs w:val="18"/>
              </w:rPr>
              <w:t> 付分成 款</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市场化 原则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844.27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844.27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844.27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844.27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大连华信 计算机技 术股份有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公司董 事担任 董事的 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软件服 务外包</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市场化 原则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649.64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649.64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649.64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649.64</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北京云中 融信网络 科技有限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公司董 事担任 董事的 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出售商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出售商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市场化 原则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521.7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521.7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北京碧水 源净水电 子商务有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02"/>
              <w:jc w:val="both"/>
              <w:rPr>
                <w:rFonts w:ascii="宋体" w:hAnsi="宋体" w:cs="宋体" w:eastAsia="宋体" w:hint="default"/>
                <w:sz w:val="18"/>
                <w:szCs w:val="18"/>
              </w:rPr>
            </w:pPr>
            <w:r>
              <w:rPr>
                <w:rFonts w:ascii="宋体" w:hAnsi="宋体" w:cs="宋体" w:eastAsia="宋体" w:hint="default"/>
                <w:sz w:val="18"/>
                <w:szCs w:val="18"/>
              </w:rPr>
              <w:t>公司董 事担任 董事的 联营企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出售商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出售商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市场化 原则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41.39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789"/>
        <w:gridCol w:w="677"/>
        <w:gridCol w:w="677"/>
        <w:gridCol w:w="694"/>
        <w:gridCol w:w="691"/>
        <w:gridCol w:w="675"/>
        <w:gridCol w:w="674"/>
        <w:gridCol w:w="673"/>
        <w:gridCol w:w="674"/>
        <w:gridCol w:w="674"/>
        <w:gridCol w:w="674"/>
        <w:gridCol w:w="674"/>
        <w:gridCol w:w="670"/>
        <w:gridCol w:w="642"/>
      </w:tblGrid>
      <w:tr>
        <w:trPr>
          <w:trHeight w:val="373" w:hRule="exact"/>
        </w:trPr>
        <w:tc>
          <w:tcPr>
            <w:tcW w:w="789" w:type="dxa"/>
            <w:tcBorders>
              <w:top w:val="single" w:sz="10" w:space="0" w:color="000000"/>
              <w:left w:val="single" w:sz="4" w:space="0" w:color="000000"/>
              <w:bottom w:val="single" w:sz="4" w:space="0" w:color="000000"/>
              <w:right w:val="single" w:sz="4" w:space="0" w:color="000000"/>
            </w:tcBorders>
          </w:tcPr>
          <w:p>
            <w:pPr/>
          </w:p>
        </w:tc>
        <w:tc>
          <w:tcPr>
            <w:tcW w:w="6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业</w:t>
            </w:r>
          </w:p>
        </w:tc>
        <w:tc>
          <w:tcPr>
            <w:tcW w:w="677" w:type="dxa"/>
            <w:tcBorders>
              <w:top w:val="single" w:sz="10" w:space="0" w:color="000000"/>
              <w:left w:val="single" w:sz="4" w:space="0" w:color="000000"/>
              <w:bottom w:val="single" w:sz="4" w:space="0" w:color="000000"/>
              <w:right w:val="single" w:sz="4" w:space="0" w:color="000000"/>
            </w:tcBorders>
          </w:tcPr>
          <w:p>
            <w:pPr/>
          </w:p>
        </w:tc>
        <w:tc>
          <w:tcPr>
            <w:tcW w:w="694" w:type="dxa"/>
            <w:tcBorders>
              <w:top w:val="single" w:sz="10" w:space="0" w:color="000000"/>
              <w:left w:val="single" w:sz="4" w:space="0" w:color="000000"/>
              <w:bottom w:val="single" w:sz="4" w:space="0" w:color="000000"/>
              <w:right w:val="single" w:sz="4" w:space="0" w:color="000000"/>
            </w:tcBorders>
          </w:tcPr>
          <w:p>
            <w:pPr/>
          </w:p>
        </w:tc>
        <w:tc>
          <w:tcPr>
            <w:tcW w:w="691" w:type="dxa"/>
            <w:tcBorders>
              <w:top w:val="single" w:sz="10" w:space="0" w:color="000000"/>
              <w:left w:val="single" w:sz="4" w:space="0" w:color="000000"/>
              <w:bottom w:val="single" w:sz="4" w:space="0" w:color="000000"/>
              <w:right w:val="single" w:sz="4" w:space="0" w:color="000000"/>
            </w:tcBorders>
          </w:tcPr>
          <w:p>
            <w:pPr/>
          </w:p>
        </w:tc>
        <w:tc>
          <w:tcPr>
            <w:tcW w:w="675"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73"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74" w:type="dxa"/>
            <w:tcBorders>
              <w:top w:val="single" w:sz="10" w:space="0" w:color="000000"/>
              <w:left w:val="single" w:sz="4" w:space="0" w:color="000000"/>
              <w:bottom w:val="single" w:sz="4" w:space="0" w:color="000000"/>
              <w:right w:val="single" w:sz="4" w:space="0" w:color="000000"/>
            </w:tcBorders>
          </w:tcPr>
          <w:p>
            <w:pPr/>
          </w:p>
        </w:tc>
        <w:tc>
          <w:tcPr>
            <w:tcW w:w="670" w:type="dxa"/>
            <w:tcBorders>
              <w:top w:val="single" w:sz="10" w:space="0" w:color="000000"/>
              <w:left w:val="single" w:sz="4" w:space="0" w:color="000000"/>
              <w:bottom w:val="single" w:sz="4" w:space="0" w:color="000000"/>
              <w:right w:val="single" w:sz="4" w:space="0" w:color="000000"/>
            </w:tcBorders>
          </w:tcPr>
          <w:p>
            <w:pPr/>
          </w:p>
        </w:tc>
        <w:tc>
          <w:tcPr>
            <w:tcW w:w="642"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4" w:right="0"/>
              <w:jc w:val="left"/>
              <w:rPr>
                <w:rFonts w:ascii="Times New Roman" w:hAnsi="Times New Roman" w:cs="Times New Roman" w:eastAsia="Times New Roman" w:hint="default"/>
                <w:sz w:val="18"/>
                <w:szCs w:val="18"/>
              </w:rPr>
            </w:pPr>
            <w:r>
              <w:rPr>
                <w:rFonts w:ascii="Times New Roman"/>
                <w:sz w:val="18"/>
              </w:rPr>
              <w:t>2,057</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6" w:right="0"/>
              <w:jc w:val="left"/>
              <w:rPr>
                <w:rFonts w:ascii="Times New Roman" w:hAnsi="Times New Roman" w:cs="Times New Roman" w:eastAsia="Times New Roman" w:hint="default"/>
                <w:sz w:val="18"/>
                <w:szCs w:val="18"/>
              </w:rPr>
            </w:pPr>
            <w:r>
              <w:rPr>
                <w:rFonts w:ascii="Times New Roman"/>
                <w:sz w:val="18"/>
              </w:rPr>
              <w:t>2,057</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50"/>
        <w:gridCol w:w="751"/>
        <w:gridCol w:w="798"/>
        <w:gridCol w:w="800"/>
        <w:gridCol w:w="798"/>
        <w:gridCol w:w="796"/>
        <w:gridCol w:w="798"/>
        <w:gridCol w:w="797"/>
        <w:gridCol w:w="796"/>
        <w:gridCol w:w="796"/>
        <w:gridCol w:w="798"/>
        <w:gridCol w:w="796"/>
      </w:tblGrid>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4"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3"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7" w:firstLine="10"/>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7"/>
              <w:ind w:left="3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北京云中 融信网络 科技有限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公司董 事担任 董事的 联营企 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出售资产</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无形资产 转让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45"/>
              <w:jc w:val="left"/>
              <w:rPr>
                <w:rFonts w:ascii="宋体" w:hAnsi="宋体" w:cs="宋体" w:eastAsia="宋体" w:hint="default"/>
                <w:sz w:val="18"/>
                <w:szCs w:val="18"/>
              </w:rPr>
            </w:pPr>
            <w:r>
              <w:rPr>
                <w:rFonts w:ascii="宋体" w:hAnsi="宋体" w:cs="宋体" w:eastAsia="宋体" w:hint="default"/>
                <w:sz w:val="18"/>
                <w:szCs w:val="18"/>
              </w:rPr>
              <w:t>市场化原 则</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1,928.94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1,979.52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50.58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6"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1338"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2"/>
              <w:jc w:val="both"/>
              <w:rPr>
                <w:rFonts w:ascii="宋体" w:hAnsi="宋体" w:cs="宋体" w:eastAsia="宋体" w:hint="default"/>
                <w:sz w:val="18"/>
                <w:szCs w:val="18"/>
              </w:rPr>
            </w:pPr>
            <w:r>
              <w:rPr>
                <w:rFonts w:ascii="宋体" w:hAnsi="宋体" w:cs="宋体" w:eastAsia="宋体" w:hint="default"/>
                <w:sz w:val="18"/>
                <w:szCs w:val="18"/>
              </w:rPr>
              <w:t>北京启天同 信科技有限 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8"/>
              <w:jc w:val="both"/>
              <w:rPr>
                <w:rFonts w:ascii="宋体" w:hAnsi="宋体" w:cs="宋体" w:eastAsia="宋体" w:hint="default"/>
                <w:sz w:val="18"/>
                <w:szCs w:val="18"/>
              </w:rPr>
            </w:pPr>
            <w:r>
              <w:rPr>
                <w:rFonts w:ascii="宋体" w:hAnsi="宋体" w:cs="宋体" w:eastAsia="宋体" w:hint="default"/>
                <w:sz w:val="18"/>
                <w:szCs w:val="18"/>
              </w:rPr>
              <w:t>公司实际控 制人直接控 制的公司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北京神州泰 岳智能数据 技术有限公 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3,859.07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3,466.48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-110.89</w:t>
            </w:r>
          </w:p>
        </w:tc>
      </w:tr>
      <w:tr>
        <w:trPr>
          <w:trHeight w:val="714"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32"/>
          <w:szCs w:val="32"/>
        </w:rPr>
      </w:pPr>
    </w:p>
    <w:p>
      <w:pPr>
        <w:pStyle w:val="BodyText"/>
        <w:spacing w:line="489" w:lineRule="auto"/>
        <w:ind w:right="7873"/>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是否存在非经营性关联债权债务往来</w:t>
      </w:r>
    </w:p>
    <w:p>
      <w:pPr>
        <w:spacing w:line="489" w:lineRule="auto" w:before="85"/>
        <w:ind w:left="1133" w:right="94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应收关联方债权</w:t>
      </w:r>
    </w:p>
    <w:tbl>
      <w:tblPr>
        <w:tblW w:w="0" w:type="auto"/>
        <w:jc w:val="left"/>
        <w:tblInd w:w="1129" w:type="dxa"/>
        <w:tblLayout w:type="fixed"/>
        <w:tblCellMar>
          <w:top w:w="0" w:type="dxa"/>
          <w:left w:w="0" w:type="dxa"/>
          <w:bottom w:w="0" w:type="dxa"/>
          <w:right w:w="0" w:type="dxa"/>
        </w:tblCellMar>
        <w:tblLook w:val="01E0"/>
      </w:tblPr>
      <w:tblGrid>
        <w:gridCol w:w="935"/>
        <w:gridCol w:w="944"/>
        <w:gridCol w:w="956"/>
        <w:gridCol w:w="958"/>
        <w:gridCol w:w="956"/>
        <w:gridCol w:w="958"/>
        <w:gridCol w:w="956"/>
        <w:gridCol w:w="958"/>
        <w:gridCol w:w="956"/>
        <w:gridCol w:w="991"/>
      </w:tblGrid>
      <w:tr>
        <w:trPr>
          <w:trHeight w:val="102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3" w:right="2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93"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7"/>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338"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80"/>
              <w:jc w:val="left"/>
              <w:rPr>
                <w:rFonts w:ascii="宋体" w:hAnsi="宋体" w:cs="宋体" w:eastAsia="宋体" w:hint="default"/>
                <w:sz w:val="18"/>
                <w:szCs w:val="18"/>
              </w:rPr>
            </w:pPr>
            <w:r>
              <w:rPr>
                <w:rFonts w:ascii="宋体" w:hAnsi="宋体" w:cs="宋体" w:eastAsia="宋体" w:hint="default"/>
                <w:sz w:val="18"/>
                <w:szCs w:val="18"/>
              </w:rPr>
              <w:t>神州泰岳 顶策科技</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pacing w:val="-5"/>
                <w:sz w:val="18"/>
                <w:szCs w:val="18"/>
              </w:rPr>
              <w:t>（北京）有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22" w:right="191"/>
              <w:jc w:val="both"/>
              <w:rPr>
                <w:rFonts w:ascii="宋体" w:hAnsi="宋体" w:cs="宋体" w:eastAsia="宋体" w:hint="default"/>
                <w:sz w:val="18"/>
                <w:szCs w:val="18"/>
              </w:rPr>
            </w:pPr>
            <w:r>
              <w:rPr>
                <w:rFonts w:ascii="宋体" w:hAnsi="宋体" w:cs="宋体" w:eastAsia="宋体" w:hint="default"/>
                <w:sz w:val="18"/>
                <w:szCs w:val="18"/>
              </w:rPr>
              <w:t>公司董事 担任董事 的联营企 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财务资助</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273.4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282.5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461" w:right="0"/>
              <w:jc w:val="left"/>
              <w:rPr>
                <w:rFonts w:ascii="Times New Roman" w:hAnsi="Times New Roman" w:cs="Times New Roman" w:eastAsia="Times New Roman" w:hint="default"/>
                <w:sz w:val="18"/>
                <w:szCs w:val="18"/>
              </w:rPr>
            </w:pPr>
            <w:r>
              <w:rPr>
                <w:rFonts w:ascii="Times New Roman"/>
                <w:sz w:val="18"/>
              </w:rPr>
              <w:t>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 w:right="45"/>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影响较小</w:t>
            </w:r>
          </w:p>
        </w:tc>
      </w:tr>
    </w:tbl>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3"/>
          <w:szCs w:val="13"/>
        </w:rPr>
      </w:pPr>
    </w:p>
    <w:tbl>
      <w:tblPr>
        <w:tblW w:w="0" w:type="auto"/>
        <w:jc w:val="left"/>
        <w:tblInd w:w="1119" w:type="dxa"/>
        <w:tblLayout w:type="fixed"/>
        <w:tblCellMar>
          <w:top w:w="0" w:type="dxa"/>
          <w:left w:w="0" w:type="dxa"/>
          <w:bottom w:w="0" w:type="dxa"/>
          <w:right w:w="0" w:type="dxa"/>
        </w:tblCellMar>
        <w:tblLook w:val="01E0"/>
      </w:tblPr>
      <w:tblGrid>
        <w:gridCol w:w="3695"/>
        <w:gridCol w:w="1845"/>
        <w:gridCol w:w="2128"/>
        <w:gridCol w:w="1991"/>
      </w:tblGrid>
      <w:tr>
        <w:trPr>
          <w:trHeight w:val="341" w:hRule="exact"/>
        </w:trPr>
        <w:tc>
          <w:tcPr>
            <w:tcW w:w="3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承租资产种类</w:t>
            </w:r>
          </w:p>
        </w:tc>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1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8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43"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4,027,454.16</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3,686,096.40</w:t>
            </w:r>
          </w:p>
        </w:tc>
      </w:tr>
      <w:tr>
        <w:trPr>
          <w:trHeight w:val="342"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华信永道（北京）科技有限公司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1,571,357.67</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1,528,442.71</w:t>
            </w:r>
          </w:p>
        </w:tc>
      </w:tr>
      <w:tr>
        <w:trPr>
          <w:trHeight w:val="342"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10,217,684.65</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6,293,961.90</w:t>
            </w:r>
          </w:p>
        </w:tc>
      </w:tr>
      <w:tr>
        <w:trPr>
          <w:trHeight w:val="342"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宁波泰岳梧桐投资管理有限公司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1,209,991.86</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246,384.08</w:t>
            </w:r>
          </w:p>
        </w:tc>
      </w:tr>
      <w:tr>
        <w:trPr>
          <w:trHeight w:val="342"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北京光合起源网络科技有限公司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487,500.00</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90,000.00</w:t>
            </w:r>
          </w:p>
        </w:tc>
      </w:tr>
      <w:tr>
        <w:trPr>
          <w:trHeight w:val="342"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深圳市前海泰岳梧桐投资基金管理有限公司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349,100.25</w:t>
            </w:r>
          </w:p>
        </w:tc>
        <w:tc>
          <w:tcPr>
            <w:tcW w:w="199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687,900.00</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493,200.00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1493" w:right="0"/>
        <w:jc w:val="left"/>
      </w:pPr>
      <w:r>
        <w:rPr/>
        <w:t>公司报告期不存在承包情况。</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32"/>
          <w:szCs w:val="32"/>
        </w:rPr>
      </w:pPr>
    </w:p>
    <w:p>
      <w:pPr>
        <w:spacing w:line="489" w:lineRule="auto" w:before="0"/>
        <w:ind w:left="1133" w:right="319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公司将北辰泰岳大厦部分楼层及停车位用于经营租赁租出，本年共取得租赁收入</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2,978.99</w:t>
      </w:r>
      <w:r>
        <w:rPr>
          <w:rFonts w:ascii="宋体" w:hAnsi="宋体" w:cs="宋体" w:eastAsia="宋体" w:hint="default"/>
          <w:sz w:val="18"/>
          <w:szCs w:val="18"/>
        </w:rPr>
        <w:t>万元。 </w:t>
      </w:r>
      <w:r>
        <w:rPr>
          <w:rFonts w:ascii="宋体" w:hAnsi="宋体" w:cs="宋体" w:eastAsia="宋体" w:hint="default"/>
          <w:b/>
          <w:bCs/>
          <w:sz w:val="18"/>
          <w:szCs w:val="18"/>
        </w:rPr>
        <w:t>为公司带来的损益达到公司报告期利润总额</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以上的项目</w:t>
      </w:r>
      <w:r>
        <w:rPr>
          <w:rFonts w:ascii="宋体" w:hAnsi="宋体" w:cs="宋体" w:eastAsia="宋体" w:hint="default"/>
          <w:sz w:val="18"/>
          <w:szCs w:val="18"/>
        </w:rPr>
      </w:r>
    </w:p>
    <w:p>
      <w:pPr>
        <w:spacing w:before="5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19"/>
          <w:szCs w:val="19"/>
        </w:rPr>
      </w:pPr>
    </w:p>
    <w:p>
      <w:pPr>
        <w:pStyle w:val="BodyText"/>
        <w:spacing w:line="240" w:lineRule="auto"/>
        <w:ind w:left="1493"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56"/>
        <w:gridCol w:w="886"/>
        <w:gridCol w:w="1307"/>
        <w:gridCol w:w="246"/>
        <w:gridCol w:w="816"/>
        <w:gridCol w:w="1036"/>
        <w:gridCol w:w="135"/>
        <w:gridCol w:w="914"/>
        <w:gridCol w:w="792"/>
        <w:gridCol w:w="779"/>
      </w:tblGrid>
      <w:tr>
        <w:trPr>
          <w:trHeight w:val="402"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56"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9" w:right="12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886"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30"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56" w:type="dxa"/>
            <w:tcBorders>
              <w:top w:val="single" w:sz="4" w:space="0" w:color="000000"/>
              <w:left w:val="single" w:sz="4" w:space="0" w:color="000000"/>
              <w:bottom w:val="single" w:sz="4" w:space="0" w:color="000000"/>
              <w:right w:val="single" w:sz="5" w:space="0" w:color="000000"/>
            </w:tcBorders>
          </w:tcPr>
          <w:p>
            <w:pPr/>
          </w:p>
        </w:tc>
        <w:tc>
          <w:tcPr>
            <w:tcW w:w="886" w:type="dxa"/>
            <w:tcBorders>
              <w:top w:val="single" w:sz="4" w:space="0" w:color="000000"/>
              <w:left w:val="single" w:sz="5"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049" w:type="dxa"/>
            <w:gridSpan w:val="2"/>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9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0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0"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9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0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0"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7" w:right="7"/>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886" w:type="dxa"/>
            <w:vMerge w:val="restart"/>
            <w:tcBorders>
              <w:top w:val="single" w:sz="4" w:space="0" w:color="000000"/>
              <w:left w:val="single" w:sz="4" w:space="0" w:color="000000"/>
              <w:right w:val="single" w:sz="4" w:space="0" w:color="000000"/>
            </w:tcBorders>
            <w:shd w:val="clear" w:color="auto" w:fill="D2D2D2"/>
          </w:tcPr>
          <w:p>
            <w:pPr/>
          </w:p>
        </w:tc>
        <w:tc>
          <w:tcPr>
            <w:tcW w:w="1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0" w:type="dxa"/>
            <w:gridSpan w:val="2"/>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15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17" w:right="53" w:hanging="271"/>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1"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70" w:type="dxa"/>
            <w:gridSpan w:val="2"/>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56" w:type="dxa"/>
            <w:vMerge/>
            <w:tcBorders>
              <w:left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553" w:type="dxa"/>
            <w:gridSpan w:val="2"/>
            <w:vMerge/>
            <w:tcBorders>
              <w:left w:val="single" w:sz="4" w:space="0" w:color="000000"/>
              <w:right w:val="single" w:sz="4" w:space="0" w:color="000000"/>
            </w:tcBorders>
            <w:shd w:val="clear" w:color="auto" w:fill="D2D2D2"/>
          </w:tcPr>
          <w:p>
            <w:pPr/>
          </w:p>
        </w:tc>
        <w:tc>
          <w:tcPr>
            <w:tcW w:w="816" w:type="dxa"/>
            <w:vMerge/>
            <w:tcBorders>
              <w:left w:val="single" w:sz="4" w:space="0" w:color="000000"/>
              <w:right w:val="single" w:sz="4" w:space="0" w:color="000000"/>
            </w:tcBorders>
            <w:shd w:val="clear" w:color="auto" w:fill="D2D2D2"/>
          </w:tcPr>
          <w:p>
            <w:pPr/>
          </w:p>
        </w:tc>
        <w:tc>
          <w:tcPr>
            <w:tcW w:w="117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
        </w:tc>
        <w:tc>
          <w:tcPr>
            <w:tcW w:w="1553" w:type="dxa"/>
            <w:gridSpan w:val="2"/>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1170" w:type="dxa"/>
            <w:gridSpan w:val="2"/>
            <w:vMerge w:val="restart"/>
            <w:tcBorders>
              <w:top w:val="nil" w:sz="6" w:space="0" w:color="auto"/>
              <w:left w:val="single" w:sz="4" w:space="0" w:color="000000"/>
              <w:right w:val="single" w:sz="4" w:space="0" w:color="000000"/>
            </w:tcBorders>
            <w:shd w:val="clear" w:color="auto" w:fill="D2D2D2"/>
          </w:tcPr>
          <w:p>
            <w:pPr/>
          </w:p>
        </w:tc>
        <w:tc>
          <w:tcPr>
            <w:tcW w:w="914"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1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0" w:type="dxa"/>
            <w:gridSpan w:val="2"/>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578" w:right="39" w:hanging="541"/>
              <w:jc w:val="left"/>
              <w:rPr>
                <w:rFonts w:ascii="宋体" w:hAnsi="宋体" w:cs="宋体" w:eastAsia="宋体" w:hint="default"/>
                <w:sz w:val="18"/>
                <w:szCs w:val="18"/>
              </w:rPr>
            </w:pPr>
            <w:r>
              <w:rPr>
                <w:rFonts w:ascii="宋体" w:hAnsi="宋体" w:cs="宋体" w:eastAsia="宋体" w:hint="default"/>
                <w:sz w:val="18"/>
                <w:szCs w:val="18"/>
              </w:rPr>
              <w:t>北京新媒传信科技有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5,000</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98" w:right="39" w:hanging="360"/>
              <w:jc w:val="left"/>
              <w:rPr>
                <w:rFonts w:ascii="宋体" w:hAnsi="宋体" w:cs="宋体" w:eastAsia="宋体" w:hint="default"/>
                <w:sz w:val="18"/>
                <w:szCs w:val="18"/>
              </w:rPr>
            </w:pPr>
            <w:r>
              <w:rPr>
                <w:rFonts w:ascii="宋体" w:hAnsi="宋体" w:cs="宋体" w:eastAsia="宋体" w:hint="default"/>
                <w:sz w:val="18"/>
                <w:szCs w:val="18"/>
              </w:rPr>
              <w:t>北京神州泰岳系统集 成有限公司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20,000</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6,190.01</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18" w:right="39" w:hanging="180"/>
              <w:jc w:val="left"/>
              <w:rPr>
                <w:rFonts w:ascii="宋体" w:hAnsi="宋体" w:cs="宋体" w:eastAsia="宋体" w:hint="default"/>
                <w:sz w:val="18"/>
                <w:szCs w:val="18"/>
              </w:rPr>
            </w:pPr>
            <w:r>
              <w:rPr>
                <w:rFonts w:ascii="宋体" w:hAnsi="宋体" w:cs="宋体" w:eastAsia="宋体" w:hint="default"/>
                <w:sz w:val="18"/>
                <w:szCs w:val="18"/>
              </w:rPr>
              <w:t>北京神州泰岳智能数 据技术有限公司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5,000</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98" w:right="39" w:hanging="360"/>
              <w:jc w:val="left"/>
              <w:rPr>
                <w:rFonts w:ascii="宋体" w:hAnsi="宋体" w:cs="宋体" w:eastAsia="宋体" w:hint="default"/>
                <w:sz w:val="18"/>
                <w:szCs w:val="18"/>
              </w:rPr>
            </w:pPr>
            <w:r>
              <w:rPr>
                <w:rFonts w:ascii="宋体" w:hAnsi="宋体" w:cs="宋体" w:eastAsia="宋体" w:hint="default"/>
                <w:sz w:val="18"/>
                <w:szCs w:val="18"/>
              </w:rPr>
              <w:t>北京互联时代通讯科 技有限公司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5,000</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51" w:footer="979" w:top="138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right="0"/>
        <w:jc w:val="left"/>
        <w:rPr>
          <w:b w:val="0"/>
          <w:bCs w:val="0"/>
        </w:rPr>
      </w:pPr>
      <w:r>
        <w:rPr/>
        <w:pict>
          <v:shape style="position:absolute;margin-left:57.029999pt;margin-top:-524.896301pt;width:478.95pt;height:519.3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8"/>
                    <w:gridCol w:w="931"/>
                    <w:gridCol w:w="904"/>
                    <w:gridCol w:w="1314"/>
                    <w:gridCol w:w="258"/>
                    <w:gridCol w:w="787"/>
                    <w:gridCol w:w="1048"/>
                    <w:gridCol w:w="129"/>
                    <w:gridCol w:w="922"/>
                    <w:gridCol w:w="786"/>
                    <w:gridCol w:w="788"/>
                  </w:tblGrid>
                  <w:tr>
                    <w:trPr>
                      <w:trHeight w:val="726" w:hRule="exact"/>
                    </w:trPr>
                    <w:tc>
                      <w:tcPr>
                        <w:tcW w:w="2629" w:type="dxa"/>
                        <w:gridSpan w:val="2"/>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8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475" w:type="dxa"/>
                        <w:gridSpan w:val="3"/>
                        <w:tcBorders>
                          <w:top w:val="single" w:sz="10"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1964" w:type="dxa"/>
                        <w:gridSpan w:val="3"/>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110"/>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97" w:type="dxa"/>
                        <w:gridSpan w:val="3"/>
                        <w:tcBorders>
                          <w:top w:val="single" w:sz="10"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6,693.51</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475" w:type="dxa"/>
                        <w:gridSpan w:val="3"/>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0"/>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9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6,190.01</w:t>
                        </w:r>
                      </w:p>
                    </w:tc>
                  </w:tr>
                  <w:tr>
                    <w:trPr>
                      <w:trHeight w:val="39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698" w:type="dxa"/>
                        <w:vMerge w:val="restart"/>
                        <w:tcBorders>
                          <w:top w:val="single" w:sz="4" w:space="0" w:color="000000"/>
                          <w:left w:val="single" w:sz="4" w:space="0" w:color="000000"/>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10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04" w:type="dxa"/>
                        <w:vMerge w:val="restart"/>
                        <w:tcBorders>
                          <w:top w:val="single" w:sz="4" w:space="0" w:color="000000"/>
                          <w:left w:val="single" w:sz="4" w:space="0" w:color="000000"/>
                          <w:right w:val="single" w:sz="4" w:space="0" w:color="000000"/>
                        </w:tcBorders>
                        <w:shd w:val="clear" w:color="auto" w:fill="D2D2D2"/>
                      </w:tcPr>
                      <w:p>
                        <w:pPr/>
                      </w:p>
                    </w:tc>
                    <w:tc>
                      <w:tcPr>
                        <w:tcW w:w="13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1051"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98"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904" w:type="dxa"/>
                        <w:vMerge/>
                        <w:tcBorders>
                          <w:left w:val="single" w:sz="4" w:space="0" w:color="000000"/>
                          <w:bottom w:val="nil" w:sz="6" w:space="0" w:color="auto"/>
                          <w:right w:val="single" w:sz="4" w:space="0" w:color="000000"/>
                        </w:tcBorders>
                        <w:shd w:val="clear" w:color="auto" w:fill="D2D2D2"/>
                      </w:tcPr>
                      <w:p>
                        <w:pPr/>
                      </w:p>
                    </w:tc>
                    <w:tc>
                      <w:tcPr>
                        <w:tcW w:w="13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6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8"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vMerge/>
                        <w:tcBorders>
                          <w:left w:val="single" w:sz="4" w:space="0" w:color="000000"/>
                          <w:right w:val="single" w:sz="4" w:space="0" w:color="000000"/>
                        </w:tcBorders>
                        <w:shd w:val="clear" w:color="auto" w:fill="D2D2D2"/>
                      </w:tcPr>
                      <w:p>
                        <w:pPr/>
                      </w:p>
                    </w:tc>
                    <w:tc>
                      <w:tcPr>
                        <w:tcW w:w="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4" w:type="dxa"/>
                        <w:vMerge/>
                        <w:tcBorders>
                          <w:left w:val="single" w:sz="4" w:space="0" w:color="000000"/>
                          <w:right w:val="single" w:sz="4" w:space="0" w:color="000000"/>
                        </w:tcBorders>
                        <w:shd w:val="clear" w:color="auto" w:fill="D2D2D2"/>
                      </w:tcPr>
                      <w:p>
                        <w:pPr/>
                      </w:p>
                    </w:tc>
                    <w:tc>
                      <w:tcPr>
                        <w:tcW w:w="1044" w:type="dxa"/>
                        <w:gridSpan w:val="2"/>
                        <w:vMerge/>
                        <w:tcBorders>
                          <w:left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56" w:hRule="exact"/>
                    </w:trPr>
                    <w:tc>
                      <w:tcPr>
                        <w:tcW w:w="1698"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c>
                      <w:tcPr>
                        <w:tcW w:w="904" w:type="dxa"/>
                        <w:vMerge w:val="restart"/>
                        <w:tcBorders>
                          <w:top w:val="nil" w:sz="6" w:space="0" w:color="auto"/>
                          <w:left w:val="single" w:sz="4" w:space="0" w:color="000000"/>
                          <w:right w:val="single" w:sz="4" w:space="0" w:color="000000"/>
                        </w:tcBorders>
                        <w:shd w:val="clear" w:color="auto" w:fill="D2D2D2"/>
                      </w:tcPr>
                      <w:p>
                        <w:pPr/>
                      </w:p>
                    </w:tc>
                    <w:tc>
                      <w:tcPr>
                        <w:tcW w:w="1314" w:type="dxa"/>
                        <w:vMerge/>
                        <w:tcBorders>
                          <w:left w:val="single" w:sz="4" w:space="0" w:color="000000"/>
                          <w:bottom w:val="nil" w:sz="6" w:space="0" w:color="auto"/>
                          <w:right w:val="single" w:sz="4" w:space="0" w:color="000000"/>
                        </w:tcBorders>
                        <w:shd w:val="clear" w:color="auto" w:fill="D2D2D2"/>
                      </w:tcPr>
                      <w:p>
                        <w:pPr/>
                      </w:p>
                    </w:tc>
                    <w:tc>
                      <w:tcPr>
                        <w:tcW w:w="1044" w:type="dxa"/>
                        <w:gridSpan w:val="2"/>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1051"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8"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904" w:type="dxa"/>
                        <w:vMerge/>
                        <w:tcBorders>
                          <w:left w:val="single" w:sz="4" w:space="0" w:color="000000"/>
                          <w:bottom w:val="single" w:sz="4" w:space="0" w:color="000000"/>
                          <w:right w:val="single" w:sz="4" w:space="0" w:color="000000"/>
                        </w:tcBorders>
                        <w:shd w:val="clear" w:color="auto" w:fill="D2D2D2"/>
                      </w:tcPr>
                      <w:p>
                        <w:pPr/>
                      </w:p>
                    </w:tc>
                    <w:tc>
                      <w:tcPr>
                        <w:tcW w:w="13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1051"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1"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
                    </w:tc>
                    <w:tc>
                      <w:tcPr>
                        <w:tcW w:w="1044" w:type="dxa"/>
                        <w:gridSpan w:val="2"/>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51" w:type="dxa"/>
                        <w:gridSpan w:val="2"/>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1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0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6"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1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w:t>
                        </w:r>
                      </w:p>
                    </w:tc>
                    <w:tc>
                      <w:tcPr>
                        <w:tcW w:w="20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6"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1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35,000</w:t>
                        </w:r>
                      </w:p>
                    </w:tc>
                    <w:tc>
                      <w:tcPr>
                        <w:tcW w:w="20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6"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6,693.51</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1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35,000</w:t>
                        </w:r>
                      </w:p>
                    </w:tc>
                    <w:tc>
                      <w:tcPr>
                        <w:tcW w:w="20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6"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6,190.01</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393"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3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r>
                  <w:tr>
                    <w:trPr>
                      <w:trHeight w:val="714"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责任的情况说明（如有）</w:t>
                        </w:r>
                      </w:p>
                    </w:tc>
                    <w:tc>
                      <w:tcPr>
                        <w:tcW w:w="471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spacing w:line="412" w:lineRule="auto" w:before="0"/>
        <w:ind w:left="1494" w:right="7692"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公司报告期无违规对外担保情况。</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44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1493" w:right="0"/>
        <w:jc w:val="left"/>
      </w:pPr>
      <w:r>
        <w:rPr/>
        <w:t>公司报告期不存在委托理财。</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412" w:lineRule="auto" w:before="0"/>
        <w:ind w:left="1493" w:right="805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公司报告期不存在委托贷款。</w:t>
      </w:r>
    </w:p>
    <w:p>
      <w:pPr>
        <w:spacing w:line="240" w:lineRule="auto" w:before="13"/>
        <w:rPr>
          <w:rFonts w:ascii="宋体" w:hAnsi="宋体" w:cs="宋体" w:eastAsia="宋体" w:hint="default"/>
          <w:sz w:val="22"/>
          <w:szCs w:val="22"/>
        </w:rPr>
      </w:pPr>
    </w:p>
    <w:p>
      <w:pPr>
        <w:pStyle w:val="Heading3"/>
        <w:spacing w:line="240" w:lineRule="auto"/>
        <w:ind w:left="1133"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412" w:lineRule="auto" w:before="0"/>
        <w:ind w:left="1493" w:right="769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公司报告期不存在其他重大合同。</w:t>
      </w:r>
    </w:p>
    <w:p>
      <w:pPr>
        <w:spacing w:line="240" w:lineRule="auto" w:before="3"/>
        <w:rPr>
          <w:rFonts w:ascii="宋体" w:hAnsi="宋体" w:cs="宋体" w:eastAsia="宋体" w:hint="default"/>
          <w:sz w:val="21"/>
          <w:szCs w:val="21"/>
        </w:rPr>
      </w:pPr>
    </w:p>
    <w:p>
      <w:pPr>
        <w:pStyle w:val="Heading2"/>
        <w:spacing w:line="240" w:lineRule="auto"/>
        <w:ind w:left="1133" w:right="0"/>
        <w:jc w:val="left"/>
        <w:rPr>
          <w:b w:val="0"/>
          <w:bCs w:val="0"/>
        </w:rPr>
      </w:pPr>
      <w:bookmarkStart w:name="十七、其他重大事项的说明" w:id="96"/>
      <w:bookmarkEnd w:id="96"/>
      <w:r>
        <w:rPr>
          <w:b w:val="0"/>
          <w:bCs w:val="0"/>
        </w:rPr>
      </w:r>
      <w:r>
        <w:rPr/>
        <w:t>十七、其他重大事项的说明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pStyle w:val="BodyText"/>
        <w:spacing w:line="451" w:lineRule="auto"/>
        <w:ind w:right="1068" w:firstLine="360"/>
        <w:jc w:val="both"/>
      </w:pPr>
      <w:r>
        <w:rPr/>
        <w:t>（</w:t>
      </w:r>
      <w:r>
        <w:rPr>
          <w:rFonts w:ascii="Times New Roman" w:hAnsi="Times New Roman" w:cs="Times New Roman" w:eastAsia="Times New Roman" w:hint="default"/>
        </w:rPr>
        <w:t>1</w:t>
      </w:r>
      <w:r>
        <w:rPr/>
        <w:t>）公司参股公司大连华信计算机技术股份有限公司于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日在全国中小企业股份转让系统（简称</w:t>
      </w:r>
      <w:r>
        <w:rPr>
          <w:rFonts w:ascii="Times New Roman" w:hAnsi="Times New Roman" w:cs="Times New Roman" w:eastAsia="Times New Roman" w:hint="default"/>
        </w:rPr>
        <w:t>“</w:t>
      </w:r>
      <w:r>
        <w:rPr/>
        <w:t>新三板</w:t>
      </w:r>
      <w:r>
        <w:rPr>
          <w:rFonts w:ascii="Times New Roman" w:hAnsi="Times New Roman" w:cs="Times New Roman" w:eastAsia="Times New Roman" w:hint="default"/>
        </w:rPr>
        <w:t>”</w:t>
      </w:r>
      <w:r>
        <w:rPr/>
        <w:t>） </w:t>
      </w:r>
      <w:r>
        <w:rPr>
          <w:spacing w:val="-2"/>
        </w:rPr>
        <w:t>正式挂牌。大连华信的证券简称：华信股份，证券代码：</w:t>
      </w:r>
      <w:r>
        <w:rPr>
          <w:rFonts w:ascii="Times New Roman" w:hAnsi="Times New Roman" w:cs="Times New Roman" w:eastAsia="Times New Roman" w:hint="default"/>
          <w:spacing w:val="-2"/>
        </w:rPr>
        <w:t>832715</w:t>
      </w:r>
      <w:r>
        <w:rPr>
          <w:spacing w:val="-2"/>
        </w:rPr>
        <w:t>，转让方式为协议转让。具体内容详见公司披露于中国证监</w:t>
      </w:r>
      <w:r>
        <w:rPr>
          <w:spacing w:val="-61"/>
        </w:rPr>
        <w:t> </w:t>
      </w:r>
      <w:r>
        <w:rPr>
          <w:spacing w:val="-61"/>
        </w:rPr>
      </w:r>
      <w:r>
        <w:rPr/>
        <w:t>会指定的创业板信息披露网站（</w:t>
      </w:r>
      <w:hyperlink r:id="rId13">
        <w:r>
          <w:rPr>
            <w:rFonts w:ascii="Times New Roman" w:hAnsi="Times New Roman" w:cs="Times New Roman" w:eastAsia="Times New Roman" w:hint="default"/>
          </w:rPr>
          <w:t>www.cninfo.com.cn</w:t>
        </w:r>
      </w:hyperlink>
      <w:r>
        <w:rPr/>
        <w:t>）相关公告。</w:t>
      </w:r>
    </w:p>
    <w:p>
      <w:pPr>
        <w:pStyle w:val="BodyText"/>
        <w:spacing w:line="451" w:lineRule="auto" w:before="43"/>
        <w:ind w:right="0" w:firstLine="3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日，公司获悉因诉讼尚在进行中，并预计在一段时间内不会有明确结果，公司参股公司</w:t>
      </w:r>
      <w:r>
        <w:rPr>
          <w:rFonts w:ascii="Times New Roman" w:hAnsi="Times New Roman" w:cs="Times New Roman" w:eastAsia="Times New Roman" w:hint="default"/>
        </w:rPr>
        <w:t>—</w:t>
      </w:r>
      <w:r>
        <w:rPr/>
        <w:t>北京中清 </w:t>
      </w:r>
      <w:r>
        <w:rPr>
          <w:spacing w:val="-3"/>
        </w:rPr>
        <w:t>龙图网络技术有限公司（简称</w:t>
      </w:r>
      <w:r>
        <w:rPr>
          <w:rFonts w:ascii="Times New Roman" w:hAnsi="Times New Roman" w:cs="Times New Roman" w:eastAsia="Times New Roman" w:hint="default"/>
          <w:spacing w:val="-3"/>
        </w:rPr>
        <w:t>“</w:t>
      </w:r>
      <w:r>
        <w:rPr>
          <w:spacing w:val="-3"/>
        </w:rPr>
        <w:t>中清龙图</w:t>
      </w:r>
      <w:r>
        <w:rPr>
          <w:rFonts w:ascii="Times New Roman" w:hAnsi="Times New Roman" w:cs="Times New Roman" w:eastAsia="Times New Roman" w:hint="default"/>
          <w:spacing w:val="-3"/>
        </w:rPr>
        <w:t>”</w:t>
      </w:r>
      <w:r>
        <w:rPr>
          <w:spacing w:val="-3"/>
        </w:rPr>
        <w:t>）终止借壳江苏友利投资控股股份有限公司（简称：友利控股，证券代码：</w:t>
      </w:r>
      <w:r>
        <w:rPr>
          <w:rFonts w:ascii="Times New Roman" w:hAnsi="Times New Roman" w:cs="Times New Roman" w:eastAsia="Times New Roman" w:hint="default"/>
          <w:spacing w:val="-3"/>
        </w:rPr>
        <w:t>000584</w:t>
      </w:r>
      <w:r>
        <w:rPr>
          <w:spacing w:val="-3"/>
        </w:rPr>
        <w:t>）</w:t>
      </w:r>
      <w:r>
        <w:rPr>
          <w:spacing w:val="-69"/>
        </w:rPr>
        <w:t> </w:t>
      </w:r>
      <w:r>
        <w:rPr/>
        <w:t>上市事宜。具体内容详见公司披露于中国证监会指定的创业板信息披露网站（</w:t>
      </w:r>
      <w:hyperlink r:id="rId13">
        <w:r>
          <w:rPr>
            <w:rFonts w:ascii="Times New Roman" w:hAnsi="Times New Roman" w:cs="Times New Roman" w:eastAsia="Times New Roman" w:hint="default"/>
          </w:rPr>
          <w:t>www.cninfo.com.cn</w:t>
        </w:r>
      </w:hyperlink>
      <w:r>
        <w:rPr/>
        <w:t>）相关公告。</w:t>
      </w:r>
    </w:p>
    <w:p>
      <w:pPr>
        <w:spacing w:line="240" w:lineRule="auto" w:before="9"/>
        <w:rPr>
          <w:rFonts w:ascii="宋体" w:hAnsi="宋体" w:cs="宋体" w:eastAsia="宋体" w:hint="default"/>
          <w:sz w:val="16"/>
          <w:szCs w:val="16"/>
        </w:rPr>
      </w:pPr>
    </w:p>
    <w:p>
      <w:pPr>
        <w:pStyle w:val="Heading2"/>
        <w:spacing w:line="240" w:lineRule="auto"/>
        <w:ind w:left="1133" w:right="0"/>
        <w:jc w:val="left"/>
        <w:rPr>
          <w:b w:val="0"/>
          <w:bCs w:val="0"/>
        </w:rPr>
      </w:pPr>
      <w:bookmarkStart w:name="十八、公司子公司重大事项" w:id="97"/>
      <w:bookmarkEnd w:id="97"/>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2"/>
          <w:szCs w:val="22"/>
        </w:rPr>
      </w:pPr>
    </w:p>
    <w:p>
      <w:pPr>
        <w:pStyle w:val="BodyText"/>
        <w:spacing w:line="451" w:lineRule="auto"/>
        <w:ind w:right="1130" w:firstLine="360"/>
        <w:jc w:val="both"/>
      </w:pPr>
      <w:r>
        <w:rPr/>
        <w:pict>
          <v:shape style="position:absolute;margin-left:55.860001pt;margin-top:112.571724pt;width:484.05pt;height:76.2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5"/>
                    <w:gridCol w:w="4980"/>
                    <w:gridCol w:w="2373"/>
                    <w:gridCol w:w="1511"/>
                  </w:tblGrid>
                  <w:tr>
                    <w:trPr>
                      <w:trHeight w:val="504"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58" w:right="0"/>
                          <w:jc w:val="center"/>
                          <w:rPr>
                            <w:rFonts w:ascii="宋体" w:hAnsi="宋体" w:cs="宋体" w:eastAsia="宋体" w:hint="default"/>
                            <w:sz w:val="18"/>
                            <w:szCs w:val="18"/>
                          </w:rPr>
                        </w:pPr>
                        <w:r>
                          <w:rPr>
                            <w:rFonts w:ascii="宋体" w:hAnsi="宋体" w:cs="宋体" w:eastAsia="宋体" w:hint="default"/>
                            <w:b/>
                            <w:bCs/>
                            <w:sz w:val="18"/>
                            <w:szCs w:val="18"/>
                          </w:rPr>
                          <w:t>股东姓名或名称</w:t>
                        </w:r>
                        <w:r>
                          <w:rPr>
                            <w:rFonts w:ascii="宋体" w:hAnsi="宋体" w:cs="宋体" w:eastAsia="宋体" w:hint="default"/>
                            <w:sz w:val="18"/>
                            <w:szCs w:val="18"/>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57" w:right="0"/>
                          <w:jc w:val="center"/>
                          <w:rPr>
                            <w:rFonts w:ascii="宋体" w:hAnsi="宋体" w:cs="宋体" w:eastAsia="宋体" w:hint="default"/>
                            <w:sz w:val="18"/>
                            <w:szCs w:val="18"/>
                          </w:rPr>
                        </w:pPr>
                        <w:r>
                          <w:rPr>
                            <w:rFonts w:ascii="宋体" w:hAnsi="宋体" w:cs="宋体" w:eastAsia="宋体" w:hint="default"/>
                            <w:b/>
                            <w:bCs/>
                            <w:sz w:val="18"/>
                            <w:szCs w:val="18"/>
                          </w:rPr>
                          <w:t>出资金额（万元）</w:t>
                        </w:r>
                        <w:r>
                          <w:rPr>
                            <w:rFonts w:ascii="宋体" w:hAnsi="宋体" w:cs="宋体" w:eastAsia="宋体" w:hint="default"/>
                            <w:sz w:val="18"/>
                            <w:szCs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04"/>
                          <w:jc w:val="right"/>
                          <w:rPr>
                            <w:rFonts w:ascii="宋体" w:hAnsi="宋体" w:cs="宋体" w:eastAsia="宋体" w:hint="default"/>
                            <w:sz w:val="18"/>
                            <w:szCs w:val="18"/>
                          </w:rPr>
                        </w:pPr>
                        <w:r>
                          <w:rPr>
                            <w:rFonts w:ascii="宋体" w:hAnsi="宋体" w:cs="宋体" w:eastAsia="宋体" w:hint="default"/>
                            <w:b/>
                            <w:bCs/>
                            <w:w w:val="95"/>
                            <w:sz w:val="18"/>
                            <w:szCs w:val="18"/>
                          </w:rPr>
                          <w:t>出资比例</w:t>
                        </w:r>
                        <w:r>
                          <w:rPr>
                            <w:rFonts w:ascii="宋体" w:hAnsi="宋体" w:cs="宋体" w:eastAsia="宋体" w:hint="default"/>
                            <w:sz w:val="18"/>
                            <w:szCs w:val="18"/>
                          </w:rPr>
                        </w:r>
                      </w:p>
                    </w:tc>
                  </w:tr>
                  <w:tr>
                    <w:trPr>
                      <w:trHeight w:val="503"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359" w:right="0"/>
                          <w:jc w:val="center"/>
                          <w:rPr>
                            <w:rFonts w:ascii="Times New Roman" w:hAnsi="Times New Roman" w:cs="Times New Roman" w:eastAsia="Times New Roman" w:hint="default"/>
                            <w:sz w:val="18"/>
                            <w:szCs w:val="18"/>
                          </w:rPr>
                        </w:pPr>
                        <w:r>
                          <w:rPr>
                            <w:rFonts w:ascii="Times New Roman"/>
                            <w:sz w:val="18"/>
                          </w:rPr>
                          <w:t>1</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57" w:right="0"/>
                          <w:jc w:val="center"/>
                          <w:rPr>
                            <w:rFonts w:ascii="宋体" w:hAnsi="宋体" w:cs="宋体" w:eastAsia="宋体" w:hint="default"/>
                            <w:sz w:val="18"/>
                            <w:szCs w:val="18"/>
                          </w:rPr>
                        </w:pPr>
                        <w:r>
                          <w:rPr>
                            <w:rFonts w:ascii="宋体" w:hAnsi="宋体" w:cs="宋体" w:eastAsia="宋体" w:hint="default"/>
                            <w:sz w:val="18"/>
                            <w:szCs w:val="18"/>
                          </w:rPr>
                          <w:t>神州泰岳</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60" w:right="0"/>
                          <w:jc w:val="center"/>
                          <w:rPr>
                            <w:rFonts w:ascii="Times New Roman" w:hAnsi="Times New Roman" w:cs="Times New Roman" w:eastAsia="Times New Roman" w:hint="default"/>
                            <w:sz w:val="18"/>
                            <w:szCs w:val="18"/>
                          </w:rPr>
                        </w:pPr>
                        <w:r>
                          <w:rPr>
                            <w:rFonts w:ascii="Times New Roman"/>
                            <w:b/>
                            <w:sz w:val="18"/>
                          </w:rPr>
                          <w:t>8,400.00</w:t>
                        </w:r>
                        <w:r>
                          <w:rPr>
                            <w:rFonts w:ascii="Times New Roman"/>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83"/>
                          <w:jc w:val="right"/>
                          <w:rPr>
                            <w:rFonts w:ascii="Times New Roman" w:hAnsi="Times New Roman" w:cs="Times New Roman" w:eastAsia="Times New Roman" w:hint="default"/>
                            <w:sz w:val="18"/>
                            <w:szCs w:val="18"/>
                          </w:rPr>
                        </w:pPr>
                        <w:r>
                          <w:rPr>
                            <w:rFonts w:ascii="Times New Roman"/>
                            <w:b/>
                            <w:sz w:val="18"/>
                          </w:rPr>
                          <w:t>40.0087%</w:t>
                        </w:r>
                        <w:r>
                          <w:rPr>
                            <w:rFonts w:ascii="Times New Roman"/>
                            <w:sz w:val="18"/>
                          </w:rPr>
                        </w:r>
                      </w:p>
                    </w:tc>
                  </w:tr>
                  <w:tr>
                    <w:trPr>
                      <w:trHeight w:val="503"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359" w:right="0"/>
                          <w:jc w:val="center"/>
                          <w:rPr>
                            <w:rFonts w:ascii="Times New Roman" w:hAnsi="Times New Roman" w:cs="Times New Roman" w:eastAsia="Times New Roman" w:hint="default"/>
                            <w:sz w:val="18"/>
                            <w:szCs w:val="18"/>
                          </w:rPr>
                        </w:pPr>
                        <w:r>
                          <w:rPr>
                            <w:rFonts w:ascii="Times New Roman"/>
                            <w:sz w:val="18"/>
                          </w:rPr>
                          <w:t>2</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57" w:right="0"/>
                          <w:jc w:val="center"/>
                          <w:rPr>
                            <w:rFonts w:ascii="宋体" w:hAnsi="宋体" w:cs="宋体" w:eastAsia="宋体" w:hint="default"/>
                            <w:sz w:val="18"/>
                            <w:szCs w:val="18"/>
                          </w:rPr>
                        </w:pPr>
                        <w:r>
                          <w:rPr>
                            <w:rFonts w:ascii="宋体" w:hAnsi="宋体" w:cs="宋体" w:eastAsia="宋体" w:hint="default"/>
                            <w:sz w:val="18"/>
                            <w:szCs w:val="18"/>
                          </w:rPr>
                          <w:t>西藏凯达</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60" w:right="0"/>
                          <w:jc w:val="center"/>
                          <w:rPr>
                            <w:rFonts w:ascii="Times New Roman" w:hAnsi="Times New Roman" w:cs="Times New Roman" w:eastAsia="Times New Roman" w:hint="default"/>
                            <w:sz w:val="18"/>
                            <w:szCs w:val="18"/>
                          </w:rPr>
                        </w:pPr>
                        <w:r>
                          <w:rPr>
                            <w:rFonts w:ascii="Times New Roman"/>
                            <w:b/>
                            <w:sz w:val="18"/>
                          </w:rPr>
                          <w:t>6,918.22</w:t>
                        </w:r>
                        <w:r>
                          <w:rPr>
                            <w:rFonts w:ascii="Times New Roman"/>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83"/>
                          <w:jc w:val="right"/>
                          <w:rPr>
                            <w:rFonts w:ascii="Times New Roman" w:hAnsi="Times New Roman" w:cs="Times New Roman" w:eastAsia="Times New Roman" w:hint="default"/>
                            <w:sz w:val="18"/>
                            <w:szCs w:val="18"/>
                          </w:rPr>
                        </w:pPr>
                        <w:r>
                          <w:rPr>
                            <w:rFonts w:ascii="Times New Roman"/>
                            <w:b/>
                            <w:sz w:val="18"/>
                          </w:rPr>
                          <w:t>32.9511%</w:t>
                        </w:r>
                        <w:r>
                          <w:rPr>
                            <w:rFonts w:ascii="Times New Roman"/>
                            <w:sz w:val="18"/>
                          </w:rPr>
                        </w:r>
                      </w:p>
                    </w:tc>
                  </w:tr>
                </w:tbl>
                <w:p>
                  <w:pPr/>
                </w:p>
              </w:txbxContent>
            </v:textbox>
            <w10:wrap type="none"/>
          </v:shape>
        </w:pict>
      </w:r>
      <w:r>
        <w:rPr>
          <w:rFonts w:ascii="Times New Roman" w:hAnsi="Times New Roman" w:cs="Times New Roman" w:eastAsia="Times New Roman" w:hint="default"/>
        </w:rPr>
        <w:t>1</w:t>
      </w:r>
      <w:r>
        <w:rPr/>
        <w:t>、公司第五届董事会第五十九次会议、第五届董事会第六十三次会议审议了《关于控股子公司对外融资的议案》，同 </w:t>
      </w:r>
      <w:r>
        <w:rPr>
          <w:spacing w:val="-1"/>
        </w:rPr>
        <w:t>意由西藏凯达投资有限公司（简称</w:t>
      </w:r>
      <w:r>
        <w:rPr>
          <w:rFonts w:ascii="Times New Roman" w:hAnsi="Times New Roman" w:cs="Times New Roman" w:eastAsia="Times New Roman" w:hint="default"/>
          <w:spacing w:val="-1"/>
        </w:rPr>
        <w:t>“</w:t>
      </w:r>
      <w:r>
        <w:rPr>
          <w:spacing w:val="-1"/>
        </w:rPr>
        <w:t>西藏凯达</w:t>
      </w:r>
      <w:r>
        <w:rPr>
          <w:rFonts w:ascii="Times New Roman" w:hAnsi="Times New Roman" w:cs="Times New Roman" w:eastAsia="Times New Roman" w:hint="default"/>
          <w:spacing w:val="-1"/>
        </w:rPr>
        <w:t>”</w:t>
      </w:r>
      <w:r>
        <w:rPr>
          <w:spacing w:val="-1"/>
        </w:rPr>
        <w:t>）及其关联方广州展泽投资管理有限公司（简称</w:t>
      </w:r>
      <w:r>
        <w:rPr>
          <w:rFonts w:ascii="Times New Roman" w:hAnsi="Times New Roman" w:cs="Times New Roman" w:eastAsia="Times New Roman" w:hint="default"/>
          <w:spacing w:val="-1"/>
        </w:rPr>
        <w:t>“</w:t>
      </w:r>
      <w:r>
        <w:rPr>
          <w:spacing w:val="-1"/>
        </w:rPr>
        <w:t>广州展泽</w:t>
      </w:r>
      <w:r>
        <w:rPr>
          <w:rFonts w:ascii="Times New Roman" w:hAnsi="Times New Roman" w:cs="Times New Roman" w:eastAsia="Times New Roman" w:hint="default"/>
          <w:spacing w:val="-1"/>
        </w:rPr>
        <w:t>”</w:t>
      </w:r>
      <w:r>
        <w:rPr>
          <w:spacing w:val="-1"/>
        </w:rPr>
        <w:t>）与天津品聚网络</w:t>
      </w:r>
      <w:r>
        <w:rPr>
          <w:spacing w:val="-78"/>
        </w:rPr>
        <w:t> </w:t>
      </w:r>
      <w:r>
        <w:rPr>
          <w:spacing w:val="-78"/>
        </w:rPr>
      </w:r>
      <w:r>
        <w:rPr/>
        <w:t>科技合伙企业（有限合伙）共同对控股子公司</w:t>
      </w:r>
      <w:r>
        <w:rPr>
          <w:rFonts w:ascii="Times New Roman" w:hAnsi="Times New Roman" w:cs="Times New Roman" w:eastAsia="Times New Roman" w:hint="default"/>
        </w:rPr>
        <w:t>——</w:t>
      </w:r>
      <w:r>
        <w:rPr/>
        <w:t>北京神州泰岳良品电子商务有限公司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神州良品</w:t>
      </w:r>
      <w:r>
        <w:rPr>
          <w:rFonts w:ascii="Times New Roman" w:hAnsi="Times New Roman" w:cs="Times New Roman" w:eastAsia="Times New Roman" w:hint="default"/>
        </w:rPr>
        <w:t>”</w:t>
      </w:r>
      <w:r>
        <w:rPr/>
        <w:t>）进行增资，投资</w:t>
      </w:r>
      <w:r>
        <w:rPr>
          <w:spacing w:val="-44"/>
        </w:rPr>
        <w:t> </w:t>
      </w:r>
      <w:r>
        <w:rPr>
          <w:spacing w:val="-44"/>
        </w:rPr>
      </w:r>
      <w:r>
        <w:rPr/>
        <w:t>金额为</w:t>
      </w:r>
      <w:r>
        <w:rPr>
          <w:rFonts w:ascii="Times New Roman" w:hAnsi="Times New Roman" w:cs="Times New Roman" w:eastAsia="Times New Roman" w:hint="default"/>
        </w:rPr>
        <w:t>12,118.97</w:t>
      </w:r>
      <w:r>
        <w:rPr/>
        <w:t>万元，同时西藏凯达受让神州良品股东之一北京中利丰贸易发展有限公司</w:t>
      </w:r>
      <w:r>
        <w:rPr>
          <w:rFonts w:ascii="Times New Roman" w:hAnsi="Times New Roman" w:cs="Times New Roman" w:eastAsia="Times New Roman" w:hint="default"/>
        </w:rPr>
        <w:t>5%</w:t>
      </w:r>
      <w:r>
        <w:rPr/>
        <w:t>的股权。增资完成后，神州良</w:t>
      </w:r>
      <w:r>
        <w:rPr>
          <w:spacing w:val="-58"/>
        </w:rPr>
        <w:t> </w:t>
      </w:r>
      <w:r>
        <w:rPr>
          <w:spacing w:val="-58"/>
        </w:rPr>
      </w:r>
      <w:r>
        <w:rPr/>
        <w:t>品的注册资本为人民币</w:t>
      </w:r>
      <w:r>
        <w:rPr>
          <w:rFonts w:ascii="Times New Roman" w:hAnsi="Times New Roman" w:cs="Times New Roman" w:eastAsia="Times New Roman" w:hint="default"/>
        </w:rPr>
        <w:t>20,995.41</w:t>
      </w:r>
      <w:r>
        <w:rPr/>
        <w:t>万元，股权结构如下：</w:t>
      </w:r>
    </w:p>
    <w:p>
      <w:pPr>
        <w:spacing w:after="0" w:line="451" w:lineRule="auto"/>
        <w:jc w:val="both"/>
        <w:sectPr>
          <w:pgSz w:w="11910" w:h="16840"/>
          <w:pgMar w:header="851" w:footer="979" w:top="1380" w:bottom="1160" w:left="0" w:right="0"/>
        </w:sectPr>
      </w:pPr>
    </w:p>
    <w:p>
      <w:pPr>
        <w:spacing w:line="240" w:lineRule="auto" w:before="5"/>
        <w:rPr>
          <w:rFonts w:ascii="宋体" w:hAnsi="宋体" w:cs="宋体" w:eastAsia="宋体" w:hint="default"/>
          <w:sz w:val="2"/>
          <w:szCs w:val="2"/>
        </w:rPr>
      </w:pPr>
    </w:p>
    <w:tbl>
      <w:tblPr>
        <w:tblW w:w="0" w:type="auto"/>
        <w:jc w:val="left"/>
        <w:tblInd w:w="1117" w:type="dxa"/>
        <w:tblLayout w:type="fixed"/>
        <w:tblCellMar>
          <w:top w:w="0" w:type="dxa"/>
          <w:left w:w="0" w:type="dxa"/>
          <w:bottom w:w="0" w:type="dxa"/>
          <w:right w:w="0" w:type="dxa"/>
        </w:tblCellMar>
        <w:tblLook w:val="01E0"/>
      </w:tblPr>
      <w:tblGrid>
        <w:gridCol w:w="795"/>
        <w:gridCol w:w="4980"/>
        <w:gridCol w:w="2373"/>
        <w:gridCol w:w="1511"/>
      </w:tblGrid>
      <w:tr>
        <w:trPr>
          <w:trHeight w:val="517" w:hRule="exact"/>
        </w:trPr>
        <w:tc>
          <w:tcPr>
            <w:tcW w:w="7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5"/>
              <w:ind w:right="163"/>
              <w:jc w:val="right"/>
              <w:rPr>
                <w:rFonts w:ascii="Times New Roman" w:hAnsi="Times New Roman" w:cs="Times New Roman" w:eastAsia="Times New Roman" w:hint="default"/>
                <w:sz w:val="18"/>
                <w:szCs w:val="18"/>
              </w:rPr>
            </w:pPr>
            <w:r>
              <w:rPr>
                <w:rFonts w:ascii="Times New Roman"/>
                <w:sz w:val="18"/>
              </w:rPr>
              <w:t>3</w:t>
            </w:r>
          </w:p>
        </w:tc>
        <w:tc>
          <w:tcPr>
            <w:tcW w:w="49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357" w:right="0"/>
              <w:jc w:val="center"/>
              <w:rPr>
                <w:rFonts w:ascii="宋体" w:hAnsi="宋体" w:cs="宋体" w:eastAsia="宋体" w:hint="default"/>
                <w:sz w:val="18"/>
                <w:szCs w:val="18"/>
              </w:rPr>
            </w:pPr>
            <w:r>
              <w:rPr>
                <w:rFonts w:ascii="宋体" w:hAnsi="宋体" w:cs="宋体" w:eastAsia="宋体" w:hint="default"/>
                <w:sz w:val="18"/>
                <w:szCs w:val="18"/>
              </w:rPr>
              <w:t>广州展泽</w:t>
            </w:r>
          </w:p>
        </w:tc>
        <w:tc>
          <w:tcPr>
            <w:tcW w:w="23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8"/>
              <w:ind w:right="749"/>
              <w:jc w:val="right"/>
              <w:rPr>
                <w:rFonts w:ascii="Times New Roman" w:hAnsi="Times New Roman" w:cs="Times New Roman" w:eastAsia="Times New Roman" w:hint="default"/>
                <w:sz w:val="18"/>
                <w:szCs w:val="18"/>
              </w:rPr>
            </w:pPr>
            <w:r>
              <w:rPr>
                <w:rFonts w:ascii="Times New Roman"/>
                <w:b/>
                <w:sz w:val="18"/>
              </w:rPr>
              <w:t>291.48</w:t>
            </w:r>
            <w:r>
              <w:rPr>
                <w:rFonts w:ascii="Times New Roman"/>
                <w:sz w:val="18"/>
              </w:rPr>
            </w:r>
          </w:p>
        </w:tc>
        <w:tc>
          <w:tcPr>
            <w:tcW w:w="15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8"/>
              <w:ind w:right="227"/>
              <w:jc w:val="right"/>
              <w:rPr>
                <w:rFonts w:ascii="Times New Roman" w:hAnsi="Times New Roman" w:cs="Times New Roman" w:eastAsia="Times New Roman" w:hint="default"/>
                <w:sz w:val="18"/>
                <w:szCs w:val="18"/>
              </w:rPr>
            </w:pPr>
            <w:r>
              <w:rPr>
                <w:rFonts w:ascii="Times New Roman"/>
                <w:b/>
                <w:sz w:val="18"/>
              </w:rPr>
              <w:t>1.3883%</w:t>
            </w:r>
            <w:r>
              <w:rPr>
                <w:rFonts w:ascii="Times New Roman"/>
                <w:sz w:val="18"/>
              </w:rPr>
            </w:r>
          </w:p>
        </w:tc>
      </w:tr>
      <w:tr>
        <w:trPr>
          <w:trHeight w:val="503"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63"/>
              <w:jc w:val="right"/>
              <w:rPr>
                <w:rFonts w:ascii="Times New Roman" w:hAnsi="Times New Roman" w:cs="Times New Roman" w:eastAsia="Times New Roman" w:hint="default"/>
                <w:sz w:val="18"/>
                <w:szCs w:val="18"/>
              </w:rPr>
            </w:pPr>
            <w:r>
              <w:rPr>
                <w:rFonts w:ascii="Times New Roman"/>
                <w:sz w:val="18"/>
              </w:rPr>
              <w:t>4</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57" w:right="0"/>
              <w:jc w:val="center"/>
              <w:rPr>
                <w:rFonts w:ascii="宋体" w:hAnsi="宋体" w:cs="宋体" w:eastAsia="宋体" w:hint="default"/>
                <w:sz w:val="18"/>
                <w:szCs w:val="18"/>
              </w:rPr>
            </w:pPr>
            <w:r>
              <w:rPr>
                <w:rFonts w:ascii="宋体" w:hAnsi="宋体" w:cs="宋体" w:eastAsia="宋体" w:hint="default"/>
                <w:sz w:val="18"/>
                <w:szCs w:val="18"/>
              </w:rPr>
              <w:t>北京中秀明天科技有限公司</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749"/>
              <w:jc w:val="right"/>
              <w:rPr>
                <w:rFonts w:ascii="Times New Roman" w:hAnsi="Times New Roman" w:cs="Times New Roman" w:eastAsia="Times New Roman" w:hint="default"/>
                <w:sz w:val="18"/>
                <w:szCs w:val="18"/>
              </w:rPr>
            </w:pPr>
            <w:r>
              <w:rPr>
                <w:rFonts w:ascii="Times New Roman"/>
                <w:b/>
                <w:sz w:val="18"/>
              </w:rPr>
              <w:t>600.00</w:t>
            </w:r>
            <w:r>
              <w:rPr>
                <w:rFonts w:ascii="Times New Roman"/>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27"/>
              <w:jc w:val="right"/>
              <w:rPr>
                <w:rFonts w:ascii="Times New Roman" w:hAnsi="Times New Roman" w:cs="Times New Roman" w:eastAsia="Times New Roman" w:hint="default"/>
                <w:sz w:val="18"/>
                <w:szCs w:val="18"/>
              </w:rPr>
            </w:pPr>
            <w:r>
              <w:rPr>
                <w:rFonts w:ascii="Times New Roman"/>
                <w:b/>
                <w:sz w:val="18"/>
              </w:rPr>
              <w:t>2.8578%</w:t>
            </w:r>
            <w:r>
              <w:rPr>
                <w:rFonts w:ascii="Times New Roman"/>
                <w:sz w:val="18"/>
              </w:rPr>
            </w:r>
          </w:p>
        </w:tc>
      </w:tr>
      <w:tr>
        <w:trPr>
          <w:trHeight w:val="503"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63"/>
              <w:jc w:val="right"/>
              <w:rPr>
                <w:rFonts w:ascii="Times New Roman" w:hAnsi="Times New Roman" w:cs="Times New Roman" w:eastAsia="Times New Roman" w:hint="default"/>
                <w:sz w:val="18"/>
                <w:szCs w:val="18"/>
              </w:rPr>
            </w:pPr>
            <w:r>
              <w:rPr>
                <w:rFonts w:ascii="Times New Roman"/>
                <w:sz w:val="18"/>
              </w:rPr>
              <w:t>5</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57" w:right="0"/>
              <w:jc w:val="center"/>
              <w:rPr>
                <w:rFonts w:ascii="宋体" w:hAnsi="宋体" w:cs="宋体" w:eastAsia="宋体" w:hint="default"/>
                <w:sz w:val="18"/>
                <w:szCs w:val="18"/>
              </w:rPr>
            </w:pPr>
            <w:r>
              <w:rPr>
                <w:rFonts w:ascii="宋体" w:hAnsi="宋体" w:cs="宋体" w:eastAsia="宋体" w:hint="default"/>
                <w:sz w:val="18"/>
                <w:szCs w:val="18"/>
              </w:rPr>
              <w:t>奇点新源国际技术开发（北京）有限公司</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749"/>
              <w:jc w:val="right"/>
              <w:rPr>
                <w:rFonts w:ascii="Times New Roman" w:hAnsi="Times New Roman" w:cs="Times New Roman" w:eastAsia="Times New Roman" w:hint="default"/>
                <w:sz w:val="18"/>
                <w:szCs w:val="18"/>
              </w:rPr>
            </w:pPr>
            <w:r>
              <w:rPr>
                <w:rFonts w:ascii="Times New Roman"/>
                <w:b/>
                <w:sz w:val="18"/>
              </w:rPr>
              <w:t>500.00</w:t>
            </w:r>
            <w:r>
              <w:rPr>
                <w:rFonts w:ascii="Times New Roman"/>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27"/>
              <w:jc w:val="right"/>
              <w:rPr>
                <w:rFonts w:ascii="Times New Roman" w:hAnsi="Times New Roman" w:cs="Times New Roman" w:eastAsia="Times New Roman" w:hint="default"/>
                <w:sz w:val="18"/>
                <w:szCs w:val="18"/>
              </w:rPr>
            </w:pPr>
            <w:r>
              <w:rPr>
                <w:rFonts w:ascii="Times New Roman"/>
                <w:b/>
                <w:sz w:val="18"/>
              </w:rPr>
              <w:t>2.3815%</w:t>
            </w:r>
            <w:r>
              <w:rPr>
                <w:rFonts w:ascii="Times New Roman"/>
                <w:sz w:val="18"/>
              </w:rPr>
            </w:r>
          </w:p>
        </w:tc>
      </w:tr>
      <w:tr>
        <w:trPr>
          <w:trHeight w:val="503"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63"/>
              <w:jc w:val="right"/>
              <w:rPr>
                <w:rFonts w:ascii="Times New Roman" w:hAnsi="Times New Roman" w:cs="Times New Roman" w:eastAsia="Times New Roman" w:hint="default"/>
                <w:sz w:val="18"/>
                <w:szCs w:val="18"/>
              </w:rPr>
            </w:pPr>
            <w:r>
              <w:rPr>
                <w:rFonts w:ascii="Times New Roman"/>
                <w:sz w:val="18"/>
              </w:rPr>
              <w:t>6</w:t>
            </w:r>
          </w:p>
        </w:tc>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57" w:right="0"/>
              <w:jc w:val="center"/>
              <w:rPr>
                <w:rFonts w:ascii="宋体" w:hAnsi="宋体" w:cs="宋体" w:eastAsia="宋体" w:hint="default"/>
                <w:sz w:val="18"/>
                <w:szCs w:val="18"/>
              </w:rPr>
            </w:pPr>
            <w:r>
              <w:rPr>
                <w:rFonts w:ascii="宋体" w:hAnsi="宋体" w:cs="宋体" w:eastAsia="宋体" w:hint="default"/>
                <w:sz w:val="18"/>
                <w:szCs w:val="18"/>
              </w:rPr>
              <w:t>天津品聚网络科技合伙企业（有限合伙）</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681"/>
              <w:jc w:val="right"/>
              <w:rPr>
                <w:rFonts w:ascii="Times New Roman" w:hAnsi="Times New Roman" w:cs="Times New Roman" w:eastAsia="Times New Roman" w:hint="default"/>
                <w:sz w:val="18"/>
                <w:szCs w:val="18"/>
              </w:rPr>
            </w:pPr>
            <w:r>
              <w:rPr>
                <w:rFonts w:ascii="Times New Roman"/>
                <w:b/>
                <w:sz w:val="18"/>
              </w:rPr>
              <w:t>4,285.71</w:t>
            </w:r>
            <w:r>
              <w:rPr>
                <w:rFonts w:ascii="Times New Roman"/>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83"/>
              <w:jc w:val="right"/>
              <w:rPr>
                <w:rFonts w:ascii="Times New Roman" w:hAnsi="Times New Roman" w:cs="Times New Roman" w:eastAsia="Times New Roman" w:hint="default"/>
                <w:sz w:val="18"/>
                <w:szCs w:val="18"/>
              </w:rPr>
            </w:pPr>
            <w:r>
              <w:rPr>
                <w:rFonts w:ascii="Times New Roman"/>
                <w:b/>
                <w:sz w:val="18"/>
              </w:rPr>
              <w:t>20.4126%</w:t>
            </w:r>
            <w:r>
              <w:rPr>
                <w:rFonts w:ascii="Times New Roman"/>
                <w:sz w:val="18"/>
              </w:rPr>
            </w:r>
          </w:p>
        </w:tc>
      </w:tr>
      <w:tr>
        <w:trPr>
          <w:trHeight w:val="504" w:hRule="exact"/>
        </w:trPr>
        <w:tc>
          <w:tcPr>
            <w:tcW w:w="57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637"/>
              <w:jc w:val="right"/>
              <w:rPr>
                <w:rFonts w:ascii="Times New Roman" w:hAnsi="Times New Roman" w:cs="Times New Roman" w:eastAsia="Times New Roman" w:hint="default"/>
                <w:sz w:val="18"/>
                <w:szCs w:val="18"/>
              </w:rPr>
            </w:pPr>
            <w:r>
              <w:rPr>
                <w:rFonts w:ascii="Times New Roman"/>
                <w:b/>
                <w:sz w:val="18"/>
              </w:rPr>
              <w:t>20,995.41</w:t>
            </w:r>
            <w:r>
              <w:rPr>
                <w:rFonts w:ascii="Times New Roman"/>
                <w:sz w:val="18"/>
              </w:rPr>
            </w:r>
          </w:p>
        </w:tc>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37"/>
              <w:jc w:val="right"/>
              <w:rPr>
                <w:rFonts w:ascii="Times New Roman" w:hAnsi="Times New Roman" w:cs="Times New Roman" w:eastAsia="Times New Roman" w:hint="default"/>
                <w:sz w:val="18"/>
                <w:szCs w:val="18"/>
              </w:rPr>
            </w:pPr>
            <w:r>
              <w:rPr>
                <w:rFonts w:ascii="Times New Roman"/>
                <w:b/>
                <w:sz w:val="18"/>
              </w:rPr>
              <w:t>100.0000%</w:t>
            </w:r>
            <w:r>
              <w:rPr>
                <w:rFonts w:ascii="Times New Roman"/>
                <w:sz w:val="18"/>
              </w:rPr>
            </w:r>
          </w:p>
        </w:tc>
      </w:tr>
    </w:tbl>
    <w:p>
      <w:pPr>
        <w:pStyle w:val="BodyText"/>
        <w:spacing w:line="240" w:lineRule="auto" w:before="88"/>
        <w:ind w:left="1494" w:right="0"/>
        <w:jc w:val="left"/>
      </w:pPr>
      <w:r>
        <w:rPr/>
        <w:t>（具体内容详见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日巨潮资讯网相关公告）。</w:t>
      </w:r>
    </w:p>
    <w:p>
      <w:pPr>
        <w:spacing w:line="240" w:lineRule="auto" w:before="9"/>
        <w:rPr>
          <w:rFonts w:ascii="宋体" w:hAnsi="宋体" w:cs="宋体" w:eastAsia="宋体" w:hint="default"/>
          <w:sz w:val="16"/>
          <w:szCs w:val="16"/>
        </w:rPr>
      </w:pPr>
    </w:p>
    <w:p>
      <w:pPr>
        <w:pStyle w:val="BodyText"/>
        <w:spacing w:line="451" w:lineRule="auto"/>
        <w:ind w:right="1132" w:firstLine="360"/>
        <w:jc w:val="both"/>
      </w:pPr>
      <w:r>
        <w:rPr>
          <w:rFonts w:ascii="Times New Roman" w:hAnsi="Times New Roman" w:cs="Times New Roman" w:eastAsia="Times New Roman" w:hint="default"/>
        </w:rPr>
        <w:t>2</w:t>
      </w:r>
      <w:r>
        <w:rPr/>
        <w:t>、北京裂变科技有限公司（简称</w:t>
      </w:r>
      <w:r>
        <w:rPr>
          <w:rFonts w:ascii="Times New Roman" w:hAnsi="Times New Roman" w:cs="Times New Roman" w:eastAsia="Times New Roman" w:hint="default"/>
        </w:rPr>
        <w:t>“</w:t>
      </w:r>
      <w:r>
        <w:rPr/>
        <w:t>裂变科技</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月，注册资本</w:t>
      </w:r>
      <w:r>
        <w:rPr>
          <w:rFonts w:ascii="Times New Roman" w:hAnsi="Times New Roman" w:cs="Times New Roman" w:eastAsia="Times New Roman" w:hint="default"/>
        </w:rPr>
        <w:t>100</w:t>
      </w:r>
      <w:r>
        <w:rPr/>
        <w:t>万元，其中北京泰岳智桥信息技术有限 公司（简称</w:t>
      </w:r>
      <w:r>
        <w:rPr>
          <w:rFonts w:ascii="Times New Roman" w:hAnsi="Times New Roman" w:cs="Times New Roman" w:eastAsia="Times New Roman" w:hint="default"/>
        </w:rPr>
        <w:t>“</w:t>
      </w:r>
      <w:r>
        <w:rPr/>
        <w:t>泰岳智桥</w:t>
      </w:r>
      <w:r>
        <w:rPr>
          <w:rFonts w:ascii="Times New Roman" w:hAnsi="Times New Roman" w:cs="Times New Roman" w:eastAsia="Times New Roman" w:hint="default"/>
        </w:rPr>
        <w:t>”</w:t>
      </w:r>
      <w:r>
        <w:rPr/>
        <w:t>）占</w:t>
      </w:r>
      <w:r>
        <w:rPr>
          <w:rFonts w:ascii="Times New Roman" w:hAnsi="Times New Roman" w:cs="Times New Roman" w:eastAsia="Times New Roman" w:hint="default"/>
        </w:rPr>
        <w:t>75%</w:t>
      </w:r>
      <w:r>
        <w:rPr/>
        <w:t>，天津优创裂变科技发展合伙企业（有限合伙）（简称</w:t>
      </w:r>
      <w:r>
        <w:rPr>
          <w:rFonts w:ascii="Times New Roman" w:hAnsi="Times New Roman" w:cs="Times New Roman" w:eastAsia="Times New Roman" w:hint="default"/>
        </w:rPr>
        <w:t>“</w:t>
      </w:r>
      <w:r>
        <w:rPr/>
        <w:t>管理团队</w:t>
      </w:r>
      <w:r>
        <w:rPr>
          <w:rFonts w:ascii="Times New Roman" w:hAnsi="Times New Roman" w:cs="Times New Roman" w:eastAsia="Times New Roman" w:hint="default"/>
        </w:rPr>
        <w:t>”</w:t>
      </w:r>
      <w:r>
        <w:rPr/>
        <w:t>）占</w:t>
      </w:r>
      <w:r>
        <w:rPr>
          <w:rFonts w:ascii="Times New Roman" w:hAnsi="Times New Roman" w:cs="Times New Roman" w:eastAsia="Times New Roman" w:hint="default"/>
        </w:rPr>
        <w:t>25%</w:t>
      </w:r>
      <w:r>
        <w:rPr/>
        <w:t>，主要在中东地</w:t>
      </w:r>
      <w:r>
        <w:rPr>
          <w:spacing w:val="-76"/>
        </w:rPr>
        <w:t> </w:t>
      </w:r>
      <w:r>
        <w:rPr>
          <w:spacing w:val="-76"/>
        </w:rPr>
      </w:r>
      <w:r>
        <w:rPr/>
        <w:t>区从事视频秀业务。</w:t>
      </w:r>
    </w:p>
    <w:p>
      <w:pPr>
        <w:pStyle w:val="BodyText"/>
        <w:spacing w:line="451" w:lineRule="auto" w:before="74"/>
        <w:ind w:right="0"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日，公司第五届董事会第六十五次审议通过《关于与自然人王玉辉共同对控股子公司增资与相关各方签署 增资协议的议案》，同意泰岳智桥对裂变科技增资增资</w:t>
      </w:r>
      <w:r>
        <w:rPr>
          <w:rFonts w:ascii="Times New Roman" w:hAnsi="Times New Roman" w:cs="Times New Roman" w:eastAsia="Times New Roman" w:hint="default"/>
        </w:rPr>
        <w:t>1,900</w:t>
      </w:r>
      <w:r>
        <w:rPr/>
        <w:t>万元；同时引入外部融资自然人王玉辉对裂变科技增资</w:t>
      </w:r>
      <w:r>
        <w:rPr>
          <w:rFonts w:ascii="Times New Roman" w:hAnsi="Times New Roman" w:cs="Times New Roman" w:eastAsia="Times New Roman" w:hint="default"/>
        </w:rPr>
        <w:t>2,000</w:t>
      </w:r>
      <w:r>
        <w:rPr/>
        <w:t>万</w:t>
      </w:r>
      <w:r>
        <w:rPr>
          <w:spacing w:val="-83"/>
        </w:rPr>
        <w:t> </w:t>
      </w:r>
      <w:r>
        <w:rPr>
          <w:spacing w:val="-5"/>
        </w:rPr>
        <w:t>元。本次增资完成后，裂变科技注册资本由</w:t>
      </w:r>
      <w:r>
        <w:rPr>
          <w:rFonts w:ascii="Times New Roman" w:hAnsi="Times New Roman" w:cs="Times New Roman" w:eastAsia="Times New Roman" w:hint="default"/>
          <w:spacing w:val="-5"/>
        </w:rPr>
        <w:t>100</w:t>
      </w:r>
      <w:r>
        <w:rPr>
          <w:spacing w:val="-5"/>
        </w:rPr>
        <w:t>万元增加至</w:t>
      </w:r>
      <w:r>
        <w:rPr>
          <w:rFonts w:ascii="Times New Roman" w:hAnsi="Times New Roman" w:cs="Times New Roman" w:eastAsia="Times New Roman" w:hint="default"/>
          <w:spacing w:val="-5"/>
        </w:rPr>
        <w:t>1,000</w:t>
      </w:r>
      <w:r>
        <w:rPr>
          <w:spacing w:val="-5"/>
        </w:rPr>
        <w:t>万元，其中泰岳智桥股权比例为</w:t>
      </w:r>
      <w:r>
        <w:rPr>
          <w:rFonts w:ascii="Times New Roman" w:hAnsi="Times New Roman" w:cs="Times New Roman" w:eastAsia="Times New Roman" w:hint="default"/>
          <w:spacing w:val="-5"/>
        </w:rPr>
        <w:t>65%</w:t>
      </w:r>
      <w:r>
        <w:rPr>
          <w:spacing w:val="-5"/>
        </w:rPr>
        <w:t>，管理团队股权比例</w:t>
      </w:r>
      <w:r>
        <w:rPr>
          <w:rFonts w:ascii="Times New Roman" w:hAnsi="Times New Roman" w:cs="Times New Roman" w:eastAsia="Times New Roman" w:hint="default"/>
          <w:spacing w:val="-5"/>
        </w:rPr>
        <w:t>25%</w:t>
      </w:r>
      <w:r>
        <w:rPr>
          <w:spacing w:val="-5"/>
        </w:rPr>
        <w:t>，</w:t>
      </w:r>
      <w:r>
        <w:rPr>
          <w:spacing w:val="-32"/>
        </w:rPr>
        <w:t> </w:t>
      </w:r>
      <w:r>
        <w:rPr/>
        <w:t>王玉辉股权比例</w:t>
      </w:r>
      <w:r>
        <w:rPr>
          <w:rFonts w:ascii="Times New Roman" w:hAnsi="Times New Roman" w:cs="Times New Roman" w:eastAsia="Times New Roman" w:hint="default"/>
        </w:rPr>
        <w:t>10%</w:t>
      </w:r>
      <w:r>
        <w:rPr/>
        <w:t>。</w:t>
      </w:r>
    </w:p>
    <w:p>
      <w:pPr>
        <w:pStyle w:val="BodyText"/>
        <w:spacing w:line="451" w:lineRule="auto" w:before="43"/>
        <w:ind w:right="1040" w:firstLine="360"/>
        <w:jc w:val="left"/>
      </w:pPr>
      <w:r>
        <w:rPr>
          <w:rFonts w:ascii="Times New Roman" w:hAnsi="Times New Roman" w:cs="Times New Roman" w:eastAsia="Times New Roman" w:hint="default"/>
          <w:spacing w:val="-2"/>
        </w:rPr>
        <w:t>3</w:t>
      </w:r>
      <w:r>
        <w:rPr>
          <w:spacing w:val="-2"/>
        </w:rPr>
        <w:t>、北京云中融信网络科技有限公司（简称</w:t>
      </w:r>
      <w:r>
        <w:rPr>
          <w:rFonts w:ascii="Times New Roman" w:hAnsi="Times New Roman" w:cs="Times New Roman" w:eastAsia="Times New Roman" w:hint="default"/>
          <w:spacing w:val="-2"/>
        </w:rPr>
        <w:t>“</w:t>
      </w:r>
      <w:r>
        <w:rPr>
          <w:spacing w:val="-2"/>
        </w:rPr>
        <w:t>云中融信</w:t>
      </w:r>
      <w:r>
        <w:rPr>
          <w:rFonts w:ascii="Times New Roman" w:hAnsi="Times New Roman" w:cs="Times New Roman" w:eastAsia="Times New Roman" w:hint="default"/>
          <w:spacing w:val="-2"/>
        </w:rPr>
        <w:t>”</w:t>
      </w:r>
      <w:r>
        <w:rPr>
          <w:spacing w:val="-2"/>
        </w:rPr>
        <w:t>）系公司控股子公司，成立于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日，注册资本</w:t>
      </w:r>
      <w:r>
        <w:rPr>
          <w:rFonts w:ascii="Times New Roman" w:hAnsi="Times New Roman" w:cs="Times New Roman" w:eastAsia="Times New Roman" w:hint="default"/>
          <w:spacing w:val="-2"/>
        </w:rPr>
        <w:t>600</w:t>
      </w:r>
      <w:r>
        <w:rPr>
          <w:spacing w:val="-2"/>
        </w:rPr>
        <w:t>万元，</w:t>
      </w:r>
      <w:r>
        <w:rPr/>
        <w:t> 其中公司持有</w:t>
      </w:r>
      <w:r>
        <w:rPr>
          <w:rFonts w:ascii="Times New Roman" w:hAnsi="Times New Roman" w:cs="Times New Roman" w:eastAsia="Times New Roman" w:hint="default"/>
        </w:rPr>
        <w:t>75%</w:t>
      </w:r>
      <w:r>
        <w:rPr/>
        <w:t>，天津云中融信网络科技合伙企业（有限合伙）（简称</w:t>
      </w:r>
      <w:r>
        <w:rPr>
          <w:rFonts w:ascii="Times New Roman" w:hAnsi="Times New Roman" w:cs="Times New Roman" w:eastAsia="Times New Roman" w:hint="default"/>
        </w:rPr>
        <w:t>“</w:t>
      </w:r>
      <w:r>
        <w:rPr/>
        <w:t>天津融云</w:t>
      </w:r>
      <w:r>
        <w:rPr>
          <w:rFonts w:ascii="Times New Roman" w:hAnsi="Times New Roman" w:cs="Times New Roman" w:eastAsia="Times New Roman" w:hint="default"/>
        </w:rPr>
        <w:t>”</w:t>
      </w:r>
      <w:r>
        <w:rPr/>
        <w:t>）持有</w:t>
      </w:r>
      <w:r>
        <w:rPr>
          <w:rFonts w:ascii="Times New Roman" w:hAnsi="Times New Roman" w:cs="Times New Roman" w:eastAsia="Times New Roman" w:hint="default"/>
        </w:rPr>
        <w:t>25%</w: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日，云</w:t>
      </w:r>
      <w:r>
        <w:rPr>
          <w:spacing w:val="-12"/>
        </w:rPr>
        <w:t> </w:t>
      </w:r>
      <w:r>
        <w:rPr/>
        <w:t>中融信总资产</w:t>
      </w:r>
      <w:r>
        <w:rPr>
          <w:rFonts w:ascii="Times New Roman" w:hAnsi="Times New Roman" w:cs="Times New Roman" w:eastAsia="Times New Roman" w:hint="default"/>
        </w:rPr>
        <w:t>2563.04</w:t>
      </w:r>
      <w:r>
        <w:rPr/>
        <w:t>万元、净资产</w:t>
      </w:r>
      <w:r>
        <w:rPr>
          <w:rFonts w:ascii="Times New Roman" w:hAnsi="Times New Roman" w:cs="Times New Roman" w:eastAsia="Times New Roman" w:hint="default"/>
        </w:rPr>
        <w:t>583.51</w:t>
      </w:r>
      <w:r>
        <w:rPr/>
        <w:t>万元，</w:t>
      </w:r>
      <w:r>
        <w:rPr>
          <w:rFonts w:ascii="Times New Roman" w:hAnsi="Times New Roman" w:cs="Times New Roman" w:eastAsia="Times New Roman" w:hint="default"/>
        </w:rPr>
        <w:t>2015</w:t>
      </w:r>
      <w:r>
        <w:rPr/>
        <w:t>年上半年营业收入</w:t>
      </w:r>
      <w:r>
        <w:rPr>
          <w:rFonts w:ascii="Times New Roman" w:hAnsi="Times New Roman" w:cs="Times New Roman" w:eastAsia="Times New Roman" w:hint="default"/>
        </w:rPr>
        <w:t>0</w:t>
      </w:r>
      <w:r>
        <w:rPr/>
        <w:t>元，净利润</w:t>
      </w:r>
      <w:r>
        <w:rPr>
          <w:rFonts w:ascii="Times New Roman" w:hAnsi="Times New Roman" w:cs="Times New Roman" w:eastAsia="Times New Roman" w:hint="default"/>
        </w:rPr>
        <w:t>-16.49</w:t>
      </w:r>
      <w:r>
        <w:rPr/>
        <w:t>万元。</w:t>
      </w:r>
    </w:p>
    <w:p>
      <w:pPr>
        <w:pStyle w:val="BodyText"/>
        <w:spacing w:line="458" w:lineRule="auto" w:before="43"/>
        <w:ind w:right="1128" w:firstLine="360"/>
        <w:jc w:val="right"/>
      </w:pPr>
      <w:r>
        <w:rPr>
          <w:spacing w:val="-2"/>
        </w:rPr>
        <w:t>云中融信专业为互联网开发者提供基于云计算架构的即时通讯基础能力和云端服务。由于该业务投入大、产出慢，现阶</w:t>
      </w:r>
      <w:r>
        <w:rPr/>
        <w:t> 段不适合由上市公司进行投资。</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日，公司第五届董事会第五十三次会议审议通过《关于转让控股子公司部分股 权的议案》，同意将所持有融云</w:t>
      </w:r>
      <w:r>
        <w:rPr>
          <w:rFonts w:ascii="Times New Roman" w:hAnsi="Times New Roman" w:cs="Times New Roman" w:eastAsia="Times New Roman" w:hint="default"/>
        </w:rPr>
        <w:t>60%</w:t>
      </w:r>
      <w:r>
        <w:rPr/>
        <w:t>的股权以</w:t>
      </w:r>
      <w:r>
        <w:rPr>
          <w:rFonts w:ascii="Times New Roman" w:hAnsi="Times New Roman" w:cs="Times New Roman" w:eastAsia="Times New Roman" w:hint="default"/>
        </w:rPr>
        <w:t>360</w:t>
      </w:r>
      <w:r>
        <w:rPr/>
        <w:t>万元的价格转让给云中融信，公司持有云中融信的股权比例为</w:t>
      </w:r>
      <w:r>
        <w:rPr>
          <w:rFonts w:ascii="Times New Roman" w:hAnsi="Times New Roman" w:cs="Times New Roman" w:eastAsia="Times New Roman" w:hint="default"/>
        </w:rPr>
        <w:t>15%</w:t>
      </w:r>
      <w:r>
        <w:rPr/>
        <w:t>。根据</w:t>
      </w:r>
      <w:r>
        <w:rPr>
          <w:spacing w:val="-40"/>
        </w:rPr>
        <w:t> </w:t>
      </w:r>
      <w:r>
        <w:rPr>
          <w:spacing w:val="-1"/>
        </w:rPr>
        <w:t>公司内部创新创业的相关规则，对于在云中融信设立之前由上市公司所进行的投入（</w:t>
      </w:r>
      <w:r>
        <w:rPr>
          <w:rFonts w:ascii="Times New Roman" w:hAnsi="Times New Roman" w:cs="Times New Roman" w:eastAsia="Times New Roman" w:hint="default"/>
          <w:spacing w:val="-1"/>
        </w:rPr>
        <w:t>1,979.52</w:t>
      </w:r>
      <w:r>
        <w:rPr>
          <w:spacing w:val="-1"/>
        </w:rPr>
        <w:t>万元）由云中融信全部承担。</w:t>
      </w:r>
      <w:r>
        <w:rPr>
          <w:spacing w:val="-55"/>
        </w:rPr>
        <w:t> </w:t>
      </w:r>
      <w:r>
        <w:rPr>
          <w:spacing w:val="-55"/>
        </w:rPr>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7</w:t>
      </w:r>
      <w:r>
        <w:rPr>
          <w:spacing w:val="-2"/>
        </w:rPr>
        <w:t>日，公司第五届董事会第六十八次会议审议通过《关于对参股公司进行增资的议案》，与天津融云共同出资</w:t>
      </w:r>
    </w:p>
    <w:p>
      <w:pPr>
        <w:pStyle w:val="BodyText"/>
        <w:spacing w:line="451" w:lineRule="auto" w:before="37"/>
        <w:ind w:right="0"/>
        <w:jc w:val="left"/>
      </w:pPr>
      <w:r>
        <w:rPr>
          <w:rFonts w:ascii="Times New Roman" w:hAnsi="Times New Roman" w:cs="Times New Roman" w:eastAsia="Times New Roman" w:hint="default"/>
        </w:rPr>
        <w:t>4,000</w:t>
      </w:r>
      <w:r>
        <w:rPr/>
        <w:t>万元对云中融信进行同比例增资。增资完成后，融云公司注册资本为</w:t>
      </w:r>
      <w:r>
        <w:rPr>
          <w:rFonts w:ascii="Times New Roman" w:hAnsi="Times New Roman" w:cs="Times New Roman" w:eastAsia="Times New Roman" w:hint="default"/>
        </w:rPr>
        <w:t>4,600</w:t>
      </w:r>
      <w:r>
        <w:rPr/>
        <w:t>万元，其中神州泰岳持股比例为</w:t>
      </w:r>
      <w:r>
        <w:rPr>
          <w:rFonts w:ascii="Times New Roman" w:hAnsi="Times New Roman" w:cs="Times New Roman" w:eastAsia="Times New Roman" w:hint="default"/>
        </w:rPr>
        <w:t>15%</w:t>
      </w:r>
      <w:r>
        <w:rPr/>
        <w:t>；天津</w:t>
      </w:r>
      <w:r>
        <w:rPr>
          <w:spacing w:val="-55"/>
        </w:rPr>
        <w:t> </w:t>
      </w:r>
      <w:r>
        <w:rPr/>
        <w:t>融云持股比例为</w:t>
      </w:r>
      <w:r>
        <w:rPr>
          <w:rFonts w:ascii="Times New Roman" w:hAnsi="Times New Roman" w:cs="Times New Roman" w:eastAsia="Times New Roman" w:hint="default"/>
        </w:rPr>
        <w:t>85%</w:t>
      </w:r>
      <w:r>
        <w:rPr/>
        <w:t>。</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十九、社会责任情况" w:id="98"/>
      <w:bookmarkEnd w:id="98"/>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1493" w:right="1040"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4"/>
        </w:rPr>
        <w:t>公司积极履行社会责任，将追求利润和承担社会责任有机的融合在一起，和整个社会的发展和谐同步，用爱心回馈社会。</w:t>
      </w:r>
    </w:p>
    <w:p>
      <w:pPr>
        <w:pStyle w:val="BodyText"/>
        <w:spacing w:line="451" w:lineRule="auto" w:before="103"/>
        <w:ind w:right="0"/>
        <w:jc w:val="left"/>
      </w:pPr>
      <w:r>
        <w:rPr/>
        <w:t>自</w:t>
      </w:r>
      <w:r>
        <w:rPr>
          <w:rFonts w:ascii="Times New Roman" w:hAnsi="Times New Roman" w:cs="Times New Roman" w:eastAsia="Times New Roman" w:hint="default"/>
        </w:rPr>
        <w:t>2010</w:t>
      </w:r>
      <w:r>
        <w:rPr/>
        <w:t>年至今已累计向中国青少年发展基金会（以下简称</w:t>
      </w:r>
      <w:r>
        <w:rPr>
          <w:rFonts w:ascii="Times New Roman" w:hAnsi="Times New Roman" w:cs="Times New Roman" w:eastAsia="Times New Roman" w:hint="default"/>
        </w:rPr>
        <w:t>“</w:t>
      </w:r>
      <w:r>
        <w:rPr/>
        <w:t>中国青基会</w:t>
      </w:r>
      <w:r>
        <w:rPr>
          <w:rFonts w:ascii="Times New Roman" w:hAnsi="Times New Roman" w:cs="Times New Roman" w:eastAsia="Times New Roman" w:hint="default"/>
        </w:rPr>
        <w:t>”</w:t>
      </w:r>
      <w:r>
        <w:rPr/>
        <w:t>）捐款</w:t>
      </w:r>
      <w:r>
        <w:rPr>
          <w:rFonts w:ascii="Times New Roman" w:hAnsi="Times New Roman" w:cs="Times New Roman" w:eastAsia="Times New Roman" w:hint="default"/>
        </w:rPr>
        <w:t>110</w:t>
      </w:r>
      <w:r>
        <w:rPr/>
        <w:t>万元，其中，在河北、河南省援建三所希</w:t>
      </w:r>
      <w:r>
        <w:rPr>
          <w:spacing w:val="-67"/>
        </w:rPr>
        <w:t> </w:t>
      </w:r>
      <w:r>
        <w:rPr>
          <w:spacing w:val="-67"/>
        </w:rPr>
      </w:r>
      <w:r>
        <w:rPr/>
        <w:t>望小学，并资助一所学校援建</w:t>
      </w:r>
      <w:r>
        <w:rPr>
          <w:rFonts w:ascii="Times New Roman" w:hAnsi="Times New Roman" w:cs="Times New Roman" w:eastAsia="Times New Roman" w:hint="default"/>
        </w:rPr>
        <w:t>“</w:t>
      </w:r>
      <w:r>
        <w:rPr/>
        <w:t>希望工程快乐体育园地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希望工程快乐音乐教室</w:t>
      </w:r>
      <w:r>
        <w:rPr>
          <w:rFonts w:ascii="Times New Roman" w:hAnsi="Times New Roman" w:cs="Times New Roman" w:eastAsia="Times New Roman" w:hint="default"/>
        </w:rPr>
        <w:t>”</w:t>
      </w:r>
      <w:r>
        <w:rPr/>
        <w:t>项目。具体情况如下：</w:t>
      </w:r>
    </w:p>
    <w:p>
      <w:pPr>
        <w:spacing w:after="0" w:line="451"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1" w:lineRule="auto" w:before="83"/>
        <w:ind w:right="1131" w:firstLine="360"/>
        <w:jc w:val="both"/>
      </w:pPr>
      <w:r>
        <w:rPr>
          <w:rFonts w:ascii="Times New Roman" w:hAnsi="Times New Roman" w:cs="Times New Roman" w:eastAsia="Times New Roman" w:hint="default"/>
          <w:spacing w:val="-2"/>
        </w:rPr>
        <w:t>2010</w:t>
      </w:r>
      <w:r>
        <w:rPr>
          <w:spacing w:val="-2"/>
        </w:rPr>
        <w:t>年公司与中国青基会签署合作协议，援建河北省承德市平泉县凤凰岭镇一所希望小学，资助费用共计</w:t>
      </w:r>
      <w:r>
        <w:rPr>
          <w:rFonts w:ascii="Times New Roman" w:hAnsi="Times New Roman" w:cs="Times New Roman" w:eastAsia="Times New Roman" w:hint="default"/>
          <w:spacing w:val="-2"/>
        </w:rPr>
        <w:t>40</w:t>
      </w:r>
      <w:r>
        <w:rPr>
          <w:spacing w:val="-2"/>
        </w:rPr>
        <w:t>万元，小学</w:t>
      </w:r>
      <w:r>
        <w:rPr/>
        <w:t> 已于同年年底竣工并投入使用。</w:t>
      </w:r>
    </w:p>
    <w:p>
      <w:pPr>
        <w:pStyle w:val="BodyText"/>
        <w:spacing w:line="451" w:lineRule="auto" w:before="74"/>
        <w:ind w:right="1128" w:firstLine="360"/>
        <w:jc w:val="both"/>
      </w:pPr>
      <w:r>
        <w:rPr>
          <w:rFonts w:ascii="Times New Roman" w:hAnsi="Times New Roman" w:cs="Times New Roman" w:eastAsia="Times New Roman" w:hint="default"/>
        </w:rPr>
        <w:t>2011</w:t>
      </w:r>
      <w:r>
        <w:rPr/>
        <w:t>公司一行赴平泉县凤凰岭镇神州泰岳希望小学举行落成仪式，并为该学校捐赠</w:t>
      </w:r>
      <w:r>
        <w:rPr>
          <w:rFonts w:ascii="Times New Roman" w:hAnsi="Times New Roman" w:cs="Times New Roman" w:eastAsia="Times New Roman" w:hint="default"/>
        </w:rPr>
        <w:t>“</w:t>
      </w:r>
      <w:r>
        <w:rPr/>
        <w:t>希望工程快乐体育园地</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希望工</w:t>
      </w:r>
      <w:r>
        <w:rPr>
          <w:spacing w:val="1"/>
        </w:rPr>
        <w:t> </w:t>
      </w:r>
      <w:r>
        <w:rPr>
          <w:spacing w:val="-2"/>
        </w:rPr>
        <w:t>程快乐音乐教室</w:t>
      </w:r>
      <w:r>
        <w:rPr>
          <w:rFonts w:ascii="Times New Roman" w:hAnsi="Times New Roman" w:cs="Times New Roman" w:eastAsia="Times New Roman" w:hint="default"/>
          <w:spacing w:val="-2"/>
        </w:rPr>
        <w:t>”</w:t>
      </w:r>
      <w:r>
        <w:rPr>
          <w:spacing w:val="-2"/>
        </w:rPr>
        <w:t>项目，资助费用共计</w:t>
      </w:r>
      <w:r>
        <w:rPr>
          <w:rFonts w:ascii="Times New Roman" w:hAnsi="Times New Roman" w:cs="Times New Roman" w:eastAsia="Times New Roman" w:hint="default"/>
          <w:spacing w:val="-2"/>
        </w:rPr>
        <w:t>5</w:t>
      </w:r>
      <w:r>
        <w:rPr>
          <w:spacing w:val="-2"/>
        </w:rPr>
        <w:t>万元。同年，资助河北省顺平县高于铺镇一所希望小学，资助费用共计</w:t>
      </w:r>
      <w:r>
        <w:rPr>
          <w:rFonts w:ascii="Times New Roman" w:hAnsi="Times New Roman" w:cs="Times New Roman" w:eastAsia="Times New Roman" w:hint="default"/>
          <w:spacing w:val="-2"/>
        </w:rPr>
        <w:t>40</w:t>
      </w:r>
      <w:r>
        <w:rPr>
          <w:spacing w:val="-2"/>
        </w:rPr>
        <w:t>万元，小学</w:t>
      </w:r>
      <w:r>
        <w:rPr>
          <w:spacing w:val="-53"/>
        </w:rPr>
        <w:t> </w:t>
      </w:r>
      <w:r>
        <w:rPr>
          <w:spacing w:val="-53"/>
        </w:rPr>
      </w:r>
      <w:r>
        <w:rPr/>
        <w:t>已于</w:t>
      </w:r>
      <w:r>
        <w:rPr>
          <w:rFonts w:ascii="Times New Roman" w:hAnsi="Times New Roman" w:cs="Times New Roman" w:eastAsia="Times New Roman" w:hint="default"/>
        </w:rPr>
        <w:t>2013</w:t>
      </w:r>
      <w:r>
        <w:rPr/>
        <w:t>年底投入使用。</w:t>
      </w:r>
    </w:p>
    <w:p>
      <w:pPr>
        <w:pStyle w:val="BodyText"/>
        <w:spacing w:line="451" w:lineRule="auto" w:before="43"/>
        <w:ind w:left="1493" w:right="1573"/>
        <w:jc w:val="left"/>
      </w:pPr>
      <w:r>
        <w:rPr>
          <w:rFonts w:ascii="Times New Roman" w:hAnsi="Times New Roman" w:cs="Times New Roman" w:eastAsia="Times New Roman" w:hint="default"/>
        </w:rPr>
        <w:t>2015</w:t>
      </w:r>
      <w:r>
        <w:rPr/>
        <w:t>年公司计划在河南省洛阳市汝阳县三屯镇再援建一所希望小学，资助金额</w:t>
      </w:r>
      <w:r>
        <w:rPr>
          <w:rFonts w:ascii="Times New Roman" w:hAnsi="Times New Roman" w:cs="Times New Roman" w:eastAsia="Times New Roman" w:hint="default"/>
        </w:rPr>
        <w:t>25</w:t>
      </w:r>
      <w:r>
        <w:rPr/>
        <w:t>万元，目前该学校已立项援建。 具体事项详见披露于中国证监会指定的创业板信息披露网站（</w:t>
      </w:r>
      <w:hyperlink r:id="rId13">
        <w:r>
          <w:rPr>
            <w:rFonts w:ascii="Times New Roman" w:hAnsi="Times New Roman" w:cs="Times New Roman" w:eastAsia="Times New Roman" w:hint="default"/>
          </w:rPr>
          <w:t>www.cninfo.com.cn</w:t>
        </w:r>
      </w:hyperlink>
      <w:r>
        <w:rPr/>
        <w:t>）相关公告。</w:t>
      </w:r>
    </w:p>
    <w:p>
      <w:pPr>
        <w:pStyle w:val="Heading6"/>
        <w:spacing w:line="240" w:lineRule="auto" w:before="84"/>
        <w:ind w:right="0"/>
        <w:jc w:val="left"/>
        <w:rPr>
          <w:b w:val="0"/>
          <w:bCs w:val="0"/>
        </w:rPr>
      </w:pPr>
      <w:r>
        <w:rPr/>
        <w:t>上市公司及其子公司是否属于国家环境保护部门规定的重污染行业</w:t>
      </w:r>
      <w:r>
        <w:rPr>
          <w:b w:val="0"/>
          <w:bCs w:val="0"/>
        </w:rPr>
      </w:r>
    </w:p>
    <w:p>
      <w:pPr>
        <w:spacing w:line="240" w:lineRule="auto" w:before="11"/>
        <w:rPr>
          <w:rFonts w:ascii="宋体" w:hAnsi="宋体" w:cs="宋体" w:eastAsia="宋体" w:hint="default"/>
          <w:b/>
          <w:bCs/>
          <w:sz w:val="14"/>
          <w:szCs w:val="14"/>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24"/>
          <w:szCs w:val="24"/>
        </w:rPr>
      </w:pPr>
    </w:p>
    <w:p>
      <w:pPr>
        <w:pStyle w:val="Heading2"/>
        <w:spacing w:line="240" w:lineRule="auto"/>
        <w:ind w:right="0"/>
        <w:jc w:val="left"/>
        <w:rPr>
          <w:b w:val="0"/>
          <w:bCs w:val="0"/>
        </w:rPr>
      </w:pPr>
      <w:bookmarkStart w:name="二十、公司债券相关情况" w:id="99"/>
      <w:bookmarkEnd w:id="99"/>
      <w:r>
        <w:rPr>
          <w:b w:val="0"/>
          <w:bCs w:val="0"/>
        </w:rPr>
      </w:r>
      <w:r>
        <w:rPr/>
        <w:t>二十、公司债券相关情况</w:t>
      </w:r>
      <w:r>
        <w:rPr>
          <w:b w:val="0"/>
          <w:bCs w:val="0"/>
        </w:rPr>
      </w:r>
    </w:p>
    <w:p>
      <w:pPr>
        <w:spacing w:line="240" w:lineRule="auto" w:before="6"/>
        <w:rPr>
          <w:rFonts w:ascii="宋体" w:hAnsi="宋体" w:cs="宋体" w:eastAsia="宋体" w:hint="default"/>
          <w:b/>
          <w:bCs/>
          <w:sz w:val="32"/>
          <w:szCs w:val="32"/>
        </w:rPr>
      </w:pPr>
    </w:p>
    <w:p>
      <w:pPr>
        <w:pStyle w:val="Heading6"/>
        <w:spacing w:line="240" w:lineRule="auto"/>
        <w:ind w:right="0"/>
        <w:jc w:val="left"/>
        <w:rPr>
          <w:b w:val="0"/>
          <w:bCs w:val="0"/>
        </w:rPr>
      </w:pPr>
      <w:r>
        <w:rPr/>
        <w:t>公司是否存在公开发行并在证券交易所上市，且在年度报告批准报出日未到期或到期未能全额兑付的公司债券</w:t>
      </w:r>
      <w:r>
        <w:rPr>
          <w:b w:val="0"/>
          <w:bCs w:val="0"/>
        </w:rPr>
      </w:r>
    </w:p>
    <w:p>
      <w:pPr>
        <w:spacing w:line="240" w:lineRule="auto" w:before="10"/>
        <w:rPr>
          <w:rFonts w:ascii="宋体" w:hAnsi="宋体" w:cs="宋体" w:eastAsia="宋体" w:hint="default"/>
          <w:b/>
          <w:bCs/>
          <w:sz w:val="17"/>
          <w:szCs w:val="17"/>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Heading1"/>
        <w:spacing w:line="240" w:lineRule="auto"/>
        <w:ind w:left="3945" w:right="0"/>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431" w:type="dxa"/>
        <w:tblLayout w:type="fixed"/>
        <w:tblCellMar>
          <w:top w:w="0" w:type="dxa"/>
          <w:left w:w="0" w:type="dxa"/>
          <w:bottom w:w="0" w:type="dxa"/>
          <w:right w:w="0" w:type="dxa"/>
        </w:tblCellMar>
        <w:tblLook w:val="01E0"/>
      </w:tblPr>
      <w:tblGrid>
        <w:gridCol w:w="1962"/>
        <w:gridCol w:w="1288"/>
        <w:gridCol w:w="823"/>
        <w:gridCol w:w="822"/>
        <w:gridCol w:w="822"/>
        <w:gridCol w:w="1218"/>
        <w:gridCol w:w="993"/>
        <w:gridCol w:w="994"/>
        <w:gridCol w:w="1163"/>
        <w:gridCol w:w="793"/>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1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84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2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2111" w:type="dxa"/>
            <w:gridSpan w:val="2"/>
            <w:vMerge/>
            <w:tcBorders>
              <w:left w:val="single" w:sz="4" w:space="0" w:color="000000"/>
              <w:bottom w:val="single" w:sz="4" w:space="0" w:color="000000"/>
              <w:right w:val="single" w:sz="4" w:space="0" w:color="000000"/>
            </w:tcBorders>
            <w:shd w:val="clear" w:color="auto" w:fill="D2D2D2"/>
          </w:tcPr>
          <w:p>
            <w:pPr/>
          </w:p>
        </w:tc>
        <w:tc>
          <w:tcPr>
            <w:tcW w:w="4849" w:type="dxa"/>
            <w:gridSpan w:val="5"/>
            <w:vMerge/>
            <w:tcBorders>
              <w:left w:val="single" w:sz="4" w:space="0" w:color="000000"/>
              <w:bottom w:val="single" w:sz="4" w:space="0" w:color="000000"/>
              <w:right w:val="single" w:sz="4" w:space="0" w:color="000000"/>
            </w:tcBorders>
            <w:shd w:val="clear" w:color="auto" w:fill="D2D2D2"/>
          </w:tcPr>
          <w:p>
            <w:pPr/>
          </w:p>
        </w:tc>
        <w:tc>
          <w:tcPr>
            <w:tcW w:w="195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63" w:type="dxa"/>
            <w:vMerge/>
            <w:tcBorders>
              <w:left w:val="single" w:sz="4" w:space="0" w:color="000000"/>
              <w:bottom w:val="single" w:sz="4" w:space="0" w:color="000000"/>
              <w:right w:val="single" w:sz="4" w:space="0" w:color="000000"/>
            </w:tcBorders>
            <w:shd w:val="clear" w:color="auto" w:fill="D2D2D2"/>
          </w:tcPr>
          <w:p>
            <w:pPr/>
          </w:p>
        </w:tc>
        <w:tc>
          <w:tcPr>
            <w:tcW w:w="79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597,627,495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282,949,844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-36,344,778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246,605,066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844,232,561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597,627,495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282,949,844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-36,344,778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246,605,066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844,232,561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12,367,491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5,854,310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-705,529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5,148,781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17,516,272</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585,260,004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277,095,534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-35,639,249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241,456,285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826,716,289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41.45%</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729,854,040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380,970,797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39,422,528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420,393,325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1,150,247,365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729,854,040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380,970,797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39,422,528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420,393,325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1,150,247,365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1,327,481,535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663,920,641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3,077,750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666,998,391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1,994,479,926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Heading6"/>
        <w:spacing w:line="240" w:lineRule="auto" w:before="51"/>
        <w:ind w:left="1134" w:right="0"/>
        <w:jc w:val="left"/>
        <w:rPr>
          <w:b w:val="0"/>
          <w:bCs w:val="0"/>
        </w:rPr>
      </w:pPr>
      <w:r>
        <w:rPr/>
        <w:t>股份变动的原因</w:t>
      </w:r>
      <w:r>
        <w:rPr>
          <w:b w:val="0"/>
          <w:bCs w:val="0"/>
        </w:rPr>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pStyle w:val="BodyText"/>
        <w:spacing w:line="240" w:lineRule="auto"/>
        <w:ind w:left="1493" w:right="0"/>
        <w:jc w:val="left"/>
      </w:pPr>
      <w:r>
        <w:rPr>
          <w:rFonts w:ascii="Times New Roman" w:hAnsi="Times New Roman" w:cs="Times New Roman" w:eastAsia="Times New Roman" w:hint="default"/>
        </w:rPr>
        <w:t>1</w:t>
      </w:r>
      <w:r>
        <w:rPr/>
        <w:t>、报告期内，公司发行股份及支付现金购买资产业绩补偿股票回购注销，减少</w:t>
      </w:r>
      <w:r>
        <w:rPr>
          <w:rFonts w:ascii="Times New Roman" w:hAnsi="Times New Roman" w:cs="Times New Roman" w:eastAsia="Times New Roman" w:hint="default"/>
        </w:rPr>
        <w:t>5,291,470</w:t>
      </w:r>
      <w:r>
        <w:rPr/>
        <w:t>股；</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rFonts w:ascii="Times New Roman" w:hAnsi="Times New Roman" w:cs="Times New Roman" w:eastAsia="Times New Roman" w:hint="default"/>
        </w:rPr>
        <w:t>2</w:t>
      </w:r>
      <w:r>
        <w:rPr/>
        <w:t>、报告期内，公司实施资本公积金转增股本方案，每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5.020004</w:t>
      </w:r>
      <w:r>
        <w:rPr/>
        <w:t>股，合计转增</w:t>
      </w:r>
      <w:r>
        <w:rPr>
          <w:rFonts w:ascii="Times New Roman" w:hAnsi="Times New Roman" w:cs="Times New Roman" w:eastAsia="Times New Roman" w:hint="default"/>
        </w:rPr>
        <w:t>663,920,641</w:t>
      </w:r>
      <w:r>
        <w:rPr/>
        <w:t>股；</w:t>
      </w:r>
    </w:p>
    <w:p>
      <w:pPr>
        <w:spacing w:line="240" w:lineRule="auto" w:before="9"/>
        <w:rPr>
          <w:rFonts w:ascii="宋体" w:hAnsi="宋体" w:cs="宋体" w:eastAsia="宋体" w:hint="default"/>
          <w:sz w:val="16"/>
          <w:szCs w:val="16"/>
        </w:rPr>
      </w:pPr>
    </w:p>
    <w:p>
      <w:pPr>
        <w:pStyle w:val="BodyText"/>
        <w:spacing w:line="240" w:lineRule="auto"/>
        <w:ind w:left="1494" w:right="0"/>
        <w:jc w:val="left"/>
      </w:pPr>
      <w:r>
        <w:rPr>
          <w:rFonts w:ascii="Times New Roman" w:hAnsi="Times New Roman" w:cs="Times New Roman" w:eastAsia="Times New Roman" w:hint="default"/>
        </w:rPr>
        <w:t>3</w:t>
      </w:r>
      <w:r>
        <w:rPr/>
        <w:t>、报告期内，因自主行权新增股份</w:t>
      </w:r>
      <w:r>
        <w:rPr>
          <w:rFonts w:ascii="Times New Roman" w:hAnsi="Times New Roman" w:cs="Times New Roman" w:eastAsia="Times New Roman" w:hint="default"/>
        </w:rPr>
        <w:t>8,369,220</w:t>
      </w:r>
      <w:r>
        <w:rPr/>
        <w:t>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Heading6"/>
        <w:spacing w:line="240" w:lineRule="auto"/>
        <w:ind w:left="1134" w:right="0"/>
        <w:jc w:val="left"/>
        <w:rPr>
          <w:b w:val="0"/>
          <w:bCs w:val="0"/>
        </w:rPr>
      </w:pPr>
      <w:r>
        <w:rPr/>
        <w:t>股份变动的批准情况</w:t>
      </w:r>
      <w:r>
        <w:rPr>
          <w:b w:val="0"/>
          <w:bCs w:val="0"/>
        </w:rPr>
      </w:r>
    </w:p>
    <w:p>
      <w:pPr>
        <w:pStyle w:val="BodyText"/>
        <w:spacing w:line="412" w:lineRule="auto" w:before="116"/>
        <w:ind w:left="1494" w:right="6072"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上述股份变动已经过公司董事会及股东大会审议通过。</w:t>
      </w:r>
    </w:p>
    <w:p>
      <w:pPr>
        <w:spacing w:after="0" w:line="412" w:lineRule="auto"/>
        <w:jc w:val="left"/>
        <w:sectPr>
          <w:pgSz w:w="11910" w:h="16840"/>
          <w:pgMar w:header="851" w:footer="979" w:top="1380" w:bottom="1160" w:left="0" w:right="0"/>
        </w:sectPr>
      </w:pPr>
    </w:p>
    <w:p>
      <w:pPr>
        <w:pStyle w:val="Heading6"/>
        <w:spacing w:line="240" w:lineRule="auto" w:before="141"/>
        <w:ind w:right="0"/>
        <w:jc w:val="left"/>
        <w:rPr>
          <w:b w:val="0"/>
          <w:bCs w:val="0"/>
        </w:rPr>
      </w:pPr>
      <w:r>
        <w:rPr/>
        <w:t>股份变动的过户情况</w:t>
      </w:r>
      <w:r>
        <w:rPr>
          <w:b w:val="0"/>
          <w:bCs w:val="0"/>
        </w:rPr>
      </w:r>
    </w:p>
    <w:p>
      <w:pPr>
        <w:spacing w:line="240" w:lineRule="auto" w:before="12"/>
        <w:rPr>
          <w:rFonts w:ascii="宋体" w:hAnsi="宋体" w:cs="宋体" w:eastAsia="宋体" w:hint="default"/>
          <w:b/>
          <w:bCs/>
          <w:sz w:val="14"/>
          <w:szCs w:val="14"/>
        </w:rPr>
      </w:pPr>
    </w:p>
    <w:p>
      <w:pPr>
        <w:pStyle w:val="BodyText"/>
        <w:spacing w:line="338" w:lineRule="auto"/>
        <w:ind w:left="1493" w:right="7333"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以上变动情况均已办理完成相关手续。</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6"/>
        <w:spacing w:line="240" w:lineRule="auto"/>
        <w:ind w:right="0"/>
        <w:jc w:val="left"/>
        <w:rPr>
          <w:b w:val="0"/>
          <w:bCs w:val="0"/>
        </w:rPr>
      </w:pPr>
      <w:r>
        <w:rPr/>
        <w:t>股份变动对最近一年和最近一期基本每股收益和稀释每股收益、归属于公司普通股股东的每股净资产等财务指标的影响</w:t>
      </w:r>
      <w:r>
        <w:rPr>
          <w:b w:val="0"/>
          <w:bCs w:val="0"/>
        </w:rPr>
      </w:r>
    </w:p>
    <w:p>
      <w:pPr>
        <w:spacing w:line="240" w:lineRule="auto" w:before="12"/>
        <w:rPr>
          <w:rFonts w:ascii="宋体" w:hAnsi="宋体" w:cs="宋体" w:eastAsia="宋体" w:hint="default"/>
          <w:b/>
          <w:bCs/>
          <w:sz w:val="14"/>
          <w:szCs w:val="14"/>
        </w:rPr>
      </w:pPr>
    </w:p>
    <w:p>
      <w:pPr>
        <w:pStyle w:val="BodyText"/>
        <w:spacing w:line="412" w:lineRule="auto"/>
        <w:ind w:left="1493" w:right="1118" w:hanging="360"/>
        <w:jc w:val="left"/>
      </w:pPr>
      <w:r>
        <w:rPr>
          <w:rFonts w:ascii="Times New Roman" w:hAnsi="Times New Roman" w:cs="Times New Roman" w:eastAsia="Times New Roman" w:hint="default"/>
          <w:b/>
          <w:bCs/>
        </w:rPr>
        <w:t>√ </w:t>
      </w:r>
      <w:r>
        <w:rPr>
          <w:rFonts w:ascii="宋体" w:hAnsi="宋体" w:cs="宋体" w:eastAsia="宋体" w:hint="default"/>
          <w:b/>
          <w:bCs/>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1"/>
        </w:rPr>
        <w:t>报告期内，公司股份总数由年初的</w:t>
      </w:r>
      <w:r>
        <w:rPr>
          <w:rFonts w:ascii="Times New Roman" w:hAnsi="Times New Roman" w:cs="Times New Roman" w:eastAsia="Times New Roman" w:hint="default"/>
          <w:spacing w:val="-1"/>
        </w:rPr>
        <w:t>1,327,481,535</w:t>
      </w:r>
      <w:r>
        <w:rPr>
          <w:spacing w:val="-1"/>
        </w:rPr>
        <w:t>股变更至</w:t>
      </w:r>
      <w:r>
        <w:rPr>
          <w:rFonts w:ascii="Times New Roman" w:hAnsi="Times New Roman" w:cs="Times New Roman" w:eastAsia="Times New Roman" w:hint="default"/>
          <w:spacing w:val="-1"/>
        </w:rPr>
        <w:t>1,994,479,926</w:t>
      </w:r>
      <w:r>
        <w:rPr>
          <w:spacing w:val="-1"/>
        </w:rPr>
        <w:t>股，变动幅度为</w:t>
      </w:r>
      <w:r>
        <w:rPr>
          <w:rFonts w:ascii="Times New Roman" w:hAnsi="Times New Roman" w:cs="Times New Roman" w:eastAsia="Times New Roman" w:hint="default"/>
          <w:spacing w:val="-1"/>
        </w:rPr>
        <w:t>50.25%</w:t>
      </w:r>
      <w:r>
        <w:rPr>
          <w:spacing w:val="-1"/>
        </w:rPr>
        <w:t>，对公司最近一期基本每</w:t>
      </w:r>
    </w:p>
    <w:p>
      <w:pPr>
        <w:pStyle w:val="BodyText"/>
        <w:spacing w:line="451" w:lineRule="auto" w:before="75"/>
        <w:ind w:right="0"/>
        <w:jc w:val="left"/>
      </w:pPr>
      <w:r>
        <w:rPr/>
        <w:t>股收益、稀释每股收益、归属于上市公司普通股股东的每股净资产等财务指标相应产生变动。具体详见第二节</w:t>
      </w:r>
      <w:r>
        <w:rPr>
          <w:rFonts w:ascii="Times New Roman" w:hAnsi="Times New Roman" w:cs="Times New Roman" w:eastAsia="Times New Roman" w:hint="default"/>
        </w:rPr>
        <w:t>“</w:t>
      </w:r>
      <w:r>
        <w:rPr/>
        <w:t>主要会计数</w:t>
      </w:r>
      <w:r>
        <w:rPr>
          <w:spacing w:val="-74"/>
        </w:rPr>
        <w:t> </w:t>
      </w:r>
      <w:r>
        <w:rPr>
          <w:spacing w:val="-74"/>
        </w:rPr>
      </w:r>
      <w:r>
        <w:rPr/>
        <w:t>据和财务指标</w:t>
      </w:r>
      <w:r>
        <w:rPr>
          <w:rFonts w:ascii="Times New Roman" w:hAnsi="Times New Roman" w:cs="Times New Roman" w:eastAsia="Times New Roman" w:hint="default"/>
        </w:rPr>
        <w:t>”</w:t>
      </w:r>
      <w:r>
        <w:rPr/>
        <w:t>。</w:t>
      </w:r>
    </w:p>
    <w:p>
      <w:pPr>
        <w:pStyle w:val="Heading6"/>
        <w:spacing w:line="240" w:lineRule="auto" w:before="84"/>
        <w:ind w:right="0"/>
        <w:jc w:val="left"/>
        <w:rPr>
          <w:b w:val="0"/>
          <w:bCs w:val="0"/>
        </w:rPr>
      </w:pPr>
      <w:r>
        <w:rPr/>
        <w:t>公司认为必要或证券监管机构要求披露的其他内容</w:t>
      </w:r>
      <w:r>
        <w:rPr>
          <w:b w:val="0"/>
          <w:bCs w:val="0"/>
        </w:rPr>
      </w:r>
    </w:p>
    <w:p>
      <w:pPr>
        <w:spacing w:line="240" w:lineRule="auto" w:before="12"/>
        <w:rPr>
          <w:rFonts w:ascii="宋体" w:hAnsi="宋体" w:cs="宋体" w:eastAsia="宋体" w:hint="default"/>
          <w:b/>
          <w:bCs/>
          <w:sz w:val="14"/>
          <w:szCs w:val="14"/>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34"/>
        <w:gridCol w:w="1276"/>
        <w:gridCol w:w="1560"/>
        <w:gridCol w:w="1555"/>
        <w:gridCol w:w="1349"/>
        <w:gridCol w:w="1206"/>
        <w:gridCol w:w="1489"/>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63,394,762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31,824,196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95,218,958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安梅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63,394,760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31,824,195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95,218,955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126,789,524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65,365,891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192,155,414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齐强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66,420,934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7,499,998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29,578,334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88,499,270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黄松浪</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56,315,222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29,348,580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85,663,801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43,607,408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5,520,001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19,119,894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57,207,301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徐斯平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29,810,976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14,965,122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44,776,098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汪铖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25,642,636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4,275,000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10,726,562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32,094,198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许芃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8,092,738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4,062,557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12,155,295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张振鹏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5,395,002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2,708,293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8,103,295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2,739,416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8,196,416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朱健松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1,152,360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288,090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464,506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1,328,776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9" w:right="57" w:hanging="181"/>
              <w:jc w:val="left"/>
              <w:rPr>
                <w:rFonts w:ascii="宋体" w:hAnsi="宋体" w:cs="宋体" w:eastAsia="宋体" w:hint="default"/>
                <w:sz w:val="18"/>
                <w:szCs w:val="18"/>
              </w:rPr>
            </w:pPr>
            <w:r>
              <w:rPr>
                <w:rFonts w:ascii="宋体" w:hAnsi="宋体" w:cs="宋体" w:eastAsia="宋体" w:hint="default"/>
                <w:sz w:val="18"/>
                <w:szCs w:val="18"/>
              </w:rPr>
              <w:t>高管锁定、限 制性股票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陶磊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877,560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481,391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1,358,951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 w:right="55"/>
              <w:jc w:val="center"/>
              <w:rPr>
                <w:rFonts w:ascii="宋体" w:hAnsi="宋体" w:cs="宋体" w:eastAsia="宋体" w:hint="default"/>
                <w:sz w:val="18"/>
                <w:szCs w:val="18"/>
              </w:rPr>
            </w:pPr>
            <w:r>
              <w:rPr>
                <w:rFonts w:ascii="宋体" w:hAnsi="宋体" w:cs="宋体" w:eastAsia="宋体" w:hint="default"/>
                <w:sz w:val="18"/>
                <w:szCs w:val="18"/>
              </w:rPr>
              <w:t>高管离职锁 定、限制性股 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刘豪</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484,702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261,435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746,137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9" w:right="57" w:hanging="181"/>
              <w:jc w:val="left"/>
              <w:rPr>
                <w:rFonts w:ascii="宋体" w:hAnsi="宋体" w:cs="宋体" w:eastAsia="宋体" w:hint="default"/>
                <w:sz w:val="18"/>
                <w:szCs w:val="18"/>
              </w:rPr>
            </w:pPr>
            <w:r>
              <w:rPr>
                <w:rFonts w:ascii="宋体" w:hAnsi="宋体" w:cs="宋体" w:eastAsia="宋体" w:hint="default"/>
                <w:sz w:val="18"/>
                <w:szCs w:val="18"/>
              </w:rPr>
              <w:t>高管锁定、限 制性股票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0" w:right="1138"/>
        <w:jc w:val="right"/>
      </w:pPr>
      <w:r>
        <w:rPr/>
        <w:pict>
          <v:shape style="position:absolute;margin-left:56.459999pt;margin-top:-42.008289pt;width:479.25pt;height:267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4"/>
                    <w:gridCol w:w="1276"/>
                    <w:gridCol w:w="1560"/>
                    <w:gridCol w:w="1555"/>
                    <w:gridCol w:w="1349"/>
                    <w:gridCol w:w="1206"/>
                    <w:gridCol w:w="1489"/>
                  </w:tblGrid>
                  <w:tr>
                    <w:trPr>
                      <w:trHeight w:val="414" w:hRule="exact"/>
                    </w:trPr>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丁彦超</w:t>
                        </w:r>
                      </w:p>
                    </w:tc>
                    <w:tc>
                      <w:tcPr>
                        <w:tcW w:w="1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211,200</w:t>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10,800</w:t>
                        </w:r>
                      </w:p>
                    </w:tc>
                    <w:tc>
                      <w:tcPr>
                        <w:tcW w:w="15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100,601</w:t>
                        </w:r>
                      </w:p>
                    </w:tc>
                    <w:tc>
                      <w:tcPr>
                        <w:tcW w:w="13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301,001</w:t>
                        </w:r>
                      </w:p>
                    </w:tc>
                    <w:tc>
                      <w:tcPr>
                        <w:tcW w:w="12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翟一兵</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300,600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451,501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高管锁定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76,266,195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10,902,475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26,277,764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91,641,484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9" w:right="57" w:hanging="271"/>
                          <w:jc w:val="left"/>
                          <w:rPr>
                            <w:rFonts w:ascii="宋体" w:hAnsi="宋体" w:cs="宋体" w:eastAsia="宋体" w:hint="default"/>
                            <w:sz w:val="18"/>
                            <w:szCs w:val="18"/>
                          </w:rPr>
                        </w:pPr>
                        <w:r>
                          <w:rPr>
                            <w:rFonts w:ascii="宋体" w:hAnsi="宋体" w:cs="宋体" w:eastAsia="宋体" w:hint="default"/>
                            <w:sz w:val="18"/>
                            <w:szCs w:val="18"/>
                          </w:rPr>
                          <w:t>首发后个人类 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300" w:lineRule="auto" w:before="62"/>
                          <w:ind w:left="23" w:right="85" w:firstLine="6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年分别按所 获股份</w:t>
                        </w:r>
                        <w:r>
                          <w:rPr>
                            <w:rFonts w:ascii="宋体" w:hAnsi="宋体" w:cs="宋体" w:eastAsia="宋体" w:hint="default"/>
                            <w:spacing w:val="-45"/>
                            <w:sz w:val="18"/>
                            <w:szCs w:val="18"/>
                          </w:rPr>
                          <w:t> </w:t>
                        </w:r>
                        <w:r>
                          <w:rPr>
                            <w:rFonts w:ascii="Times New Roman" w:hAnsi="Times New Roman" w:cs="Times New Roman" w:eastAsia="Times New Roman" w:hint="default"/>
                            <w:spacing w:val="-12"/>
                            <w:sz w:val="18"/>
                            <w:szCs w:val="18"/>
                          </w:rPr>
                          <w:t>20%</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40%</w:t>
                        </w:r>
                        <w:r>
                          <w:rPr>
                            <w:rFonts w:ascii="Times New Roman" w:hAnsi="Times New Roman" w:cs="Times New Roman" w:eastAsia="Times New Roman" w:hint="default"/>
                            <w:sz w:val="18"/>
                            <w:szCs w:val="18"/>
                          </w:rPr>
                          <w:t> 20%</w:t>
                        </w:r>
                        <w:r>
                          <w:rPr>
                            <w:rFonts w:ascii="宋体" w:hAnsi="宋体" w:cs="宋体" w:eastAsia="宋体" w:hint="default"/>
                            <w:sz w:val="18"/>
                            <w:szCs w:val="18"/>
                          </w:rPr>
                          <w:t>的比例解锁</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李章晶</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4,122,497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1,716,259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5,838,756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29" w:right="57" w:hanging="271"/>
                          <w:jc w:val="left"/>
                          <w:rPr>
                            <w:rFonts w:ascii="宋体" w:hAnsi="宋体" w:cs="宋体" w:eastAsia="宋体" w:hint="default"/>
                            <w:sz w:val="18"/>
                            <w:szCs w:val="18"/>
                          </w:rPr>
                        </w:pPr>
                        <w:r>
                          <w:rPr>
                            <w:rFonts w:ascii="宋体" w:hAnsi="宋体" w:cs="宋体" w:eastAsia="宋体" w:hint="default"/>
                            <w:sz w:val="18"/>
                            <w:szCs w:val="18"/>
                          </w:rPr>
                          <w:t>首发后个人类 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hanging="1"/>
                          <w:jc w:val="center"/>
                          <w:rPr>
                            <w:rFonts w:ascii="宋体" w:hAnsi="宋体" w:cs="宋体" w:eastAsia="宋体" w:hint="default"/>
                            <w:sz w:val="18"/>
                            <w:szCs w:val="18"/>
                          </w:rPr>
                        </w:pPr>
                        <w:r>
                          <w:rPr>
                            <w:rFonts w:ascii="宋体" w:hAnsi="宋体" w:cs="宋体" w:eastAsia="宋体" w:hint="default"/>
                            <w:sz w:val="18"/>
                            <w:szCs w:val="18"/>
                          </w:rPr>
                          <w:t>天津骆壳科 技信息咨询 合伙企业（有 限合伙）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12,367,491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5,148,781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17,516,272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29" w:right="57" w:hanging="271"/>
                          <w:jc w:val="left"/>
                          <w:rPr>
                            <w:rFonts w:ascii="宋体" w:hAnsi="宋体" w:cs="宋体" w:eastAsia="宋体" w:hint="default"/>
                            <w:sz w:val="18"/>
                            <w:szCs w:val="18"/>
                          </w:rPr>
                        </w:pPr>
                        <w:r>
                          <w:rPr>
                            <w:rFonts w:ascii="宋体" w:hAnsi="宋体" w:cs="宋体" w:eastAsia="宋体" w:hint="default"/>
                            <w:sz w:val="18"/>
                            <w:szCs w:val="18"/>
                          </w:rPr>
                          <w:t>首发后机构类 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71" w:right="111" w:hanging="360"/>
                          <w:jc w:val="left"/>
                          <w:rPr>
                            <w:rFonts w:ascii="宋体" w:hAnsi="宋体" w:cs="宋体" w:eastAsia="宋体" w:hint="default"/>
                            <w:sz w:val="18"/>
                            <w:szCs w:val="18"/>
                          </w:rPr>
                        </w:pPr>
                        <w:r>
                          <w:rPr>
                            <w:rFonts w:ascii="宋体" w:hAnsi="宋体" w:cs="宋体" w:eastAsia="宋体" w:hint="default"/>
                            <w:sz w:val="18"/>
                            <w:szCs w:val="18"/>
                          </w:rPr>
                          <w:t>股权激励对 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7,328,928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5,247,370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3,679,124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5,760,682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限制性股票</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597,627,495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33,938,736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280,543,802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844,232,561</w:t>
                        </w:r>
                      </w:p>
                    </w:tc>
                    <w:tc>
                      <w:tcPr>
                        <w:tcW w:w="1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3"/>
        <w:rPr>
          <w:rFonts w:ascii="宋体" w:hAnsi="宋体" w:cs="宋体" w:eastAsia="宋体" w:hint="default"/>
          <w:sz w:val="26"/>
          <w:szCs w:val="26"/>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5"/>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sz w:val="21"/>
          <w:szCs w:val="21"/>
        </w:rPr>
        <w:t>1</w:t>
      </w:r>
      <w:r>
        <w:rPr>
          <w:sz w:val="21"/>
          <w:szCs w:val="21"/>
        </w:rPr>
        <w:t>、</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13"/>
          <w:szCs w:val="13"/>
        </w:rPr>
      </w:pPr>
    </w:p>
    <w:p>
      <w:pPr>
        <w:pStyle w:val="Heading6"/>
        <w:spacing w:line="240" w:lineRule="auto"/>
        <w:ind w:left="1134"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13"/>
          <w:szCs w:val="1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pStyle w:val="BodyText"/>
        <w:spacing w:line="240" w:lineRule="auto"/>
        <w:ind w:left="1493" w:right="0"/>
        <w:jc w:val="left"/>
      </w:pPr>
      <w:r>
        <w:rPr>
          <w:rFonts w:ascii="Times New Roman" w:hAnsi="Times New Roman" w:cs="Times New Roman" w:eastAsia="Times New Roman" w:hint="default"/>
        </w:rPr>
        <w:t>1</w:t>
      </w:r>
      <w:r>
        <w:rPr/>
        <w:t>、报告期内，公司发行股份及支付现金购买资产业绩补偿股票回购注销，减少</w:t>
      </w:r>
      <w:r>
        <w:rPr>
          <w:rFonts w:ascii="Times New Roman" w:hAnsi="Times New Roman" w:cs="Times New Roman" w:eastAsia="Times New Roman" w:hint="default"/>
        </w:rPr>
        <w:t>5,291,470</w:t>
      </w:r>
      <w:r>
        <w:rPr/>
        <w:t>股。</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rFonts w:ascii="Times New Roman" w:hAnsi="Times New Roman" w:cs="Times New Roman" w:eastAsia="Times New Roman" w:hint="default"/>
        </w:rPr>
        <w:t>2</w:t>
      </w:r>
      <w:r>
        <w:rPr/>
        <w:t>、报告期内，公司实施资本公积金转增股本方案，每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5.020004</w:t>
      </w:r>
      <w:r>
        <w:rPr/>
        <w:t>股，合计转增</w:t>
      </w:r>
      <w:r>
        <w:rPr>
          <w:rFonts w:ascii="Times New Roman" w:hAnsi="Times New Roman" w:cs="Times New Roman" w:eastAsia="Times New Roman" w:hint="default"/>
        </w:rPr>
        <w:t>663,920,641</w:t>
      </w:r>
      <w:r>
        <w:rPr/>
        <w:t>股。</w:t>
      </w:r>
    </w:p>
    <w:p>
      <w:pPr>
        <w:spacing w:line="240" w:lineRule="auto" w:before="9"/>
        <w:rPr>
          <w:rFonts w:ascii="宋体" w:hAnsi="宋体" w:cs="宋体" w:eastAsia="宋体" w:hint="default"/>
          <w:sz w:val="16"/>
          <w:szCs w:val="16"/>
        </w:rPr>
      </w:pPr>
    </w:p>
    <w:p>
      <w:pPr>
        <w:pStyle w:val="BodyText"/>
        <w:spacing w:line="451" w:lineRule="auto"/>
        <w:ind w:left="1494" w:right="2367"/>
        <w:jc w:val="left"/>
      </w:pPr>
      <w:r>
        <w:rPr>
          <w:rFonts w:ascii="Times New Roman" w:hAnsi="Times New Roman" w:cs="Times New Roman" w:eastAsia="Times New Roman" w:hint="default"/>
        </w:rPr>
        <w:t>3</w:t>
      </w:r>
      <w:r>
        <w:rPr/>
        <w:t>、报告期内，因自主行权新增股份</w:t>
      </w:r>
      <w:r>
        <w:rPr>
          <w:rFonts w:ascii="Times New Roman" w:hAnsi="Times New Roman" w:cs="Times New Roman" w:eastAsia="Times New Roman" w:hint="default"/>
        </w:rPr>
        <w:t>8,369,220</w:t>
      </w:r>
      <w:r>
        <w:rPr/>
        <w:t>股。 上述股份变动后，公司股份总数由年初的</w:t>
      </w:r>
      <w:r>
        <w:rPr>
          <w:rFonts w:ascii="Times New Roman" w:hAnsi="Times New Roman" w:cs="Times New Roman" w:eastAsia="Times New Roman" w:hint="default"/>
        </w:rPr>
        <w:t>1,327,481,535</w:t>
      </w:r>
      <w:r>
        <w:rPr/>
        <w:t>股变更至</w:t>
      </w:r>
      <w:r>
        <w:rPr>
          <w:rFonts w:ascii="Times New Roman" w:hAnsi="Times New Roman" w:cs="Times New Roman" w:eastAsia="Times New Roman" w:hint="default"/>
        </w:rPr>
        <w:t>1,994,479,926</w:t>
      </w:r>
      <w:r>
        <w:rPr/>
        <w:t>股，变动幅度为</w:t>
      </w:r>
      <w:r>
        <w:rPr>
          <w:rFonts w:ascii="Times New Roman" w:hAnsi="Times New Roman" w:cs="Times New Roman" w:eastAsia="Times New Roman" w:hint="default"/>
        </w:rPr>
        <w:t>50.25%</w:t>
      </w:r>
      <w:r>
        <w:rPr/>
        <w:t>。</w:t>
      </w:r>
    </w:p>
    <w:p>
      <w:pPr>
        <w:spacing w:line="240" w:lineRule="auto" w:before="6"/>
        <w:rPr>
          <w:rFonts w:ascii="宋体" w:hAnsi="宋体" w:cs="宋体" w:eastAsia="宋体" w:hint="default"/>
          <w:sz w:val="18"/>
          <w:szCs w:val="18"/>
        </w:rPr>
      </w:pPr>
    </w:p>
    <w:p>
      <w:pPr>
        <w:pStyle w:val="Heading3"/>
        <w:spacing w:line="240" w:lineRule="auto"/>
        <w:ind w:left="1133"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2"/>
        <w:rPr>
          <w:rFonts w:ascii="宋体" w:hAnsi="宋体" w:cs="宋体" w:eastAsia="宋体" w:hint="default"/>
          <w:b/>
          <w:bCs/>
          <w:sz w:val="23"/>
          <w:szCs w:val="23"/>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4"/>
        <w:gridCol w:w="796"/>
        <w:gridCol w:w="1462"/>
        <w:gridCol w:w="804"/>
        <w:gridCol w:w="1416"/>
        <w:gridCol w:w="852"/>
        <w:gridCol w:w="1984"/>
        <w:gridCol w:w="923"/>
      </w:tblGrid>
      <w:tr>
        <w:trPr>
          <w:trHeight w:val="694"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1"/>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67,917</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167"/>
              <w:jc w:val="left"/>
              <w:rPr>
                <w:rFonts w:ascii="宋体" w:hAnsi="宋体" w:cs="宋体" w:eastAsia="宋体" w:hint="default"/>
                <w:sz w:val="18"/>
                <w:szCs w:val="18"/>
              </w:rPr>
            </w:pPr>
            <w:r>
              <w:rPr>
                <w:rFonts w:ascii="宋体" w:hAnsi="宋体" w:cs="宋体" w:eastAsia="宋体" w:hint="default"/>
                <w:sz w:val="18"/>
                <w:szCs w:val="18"/>
              </w:rPr>
              <w:t>年度报告披露日 前上一月末普通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66,503</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121"/>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22" w:right="149"/>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6.459999pt;margin-top:71.459984pt;width:479.3pt;height:680.2pt;mso-position-horizontal-relative:page;mso-position-vertical-relative:page;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340"/>
                    <w:gridCol w:w="808"/>
                    <w:gridCol w:w="268"/>
                    <w:gridCol w:w="470"/>
                    <w:gridCol w:w="382"/>
                    <w:gridCol w:w="319"/>
                    <w:gridCol w:w="821"/>
                    <w:gridCol w:w="845"/>
                    <w:gridCol w:w="554"/>
                    <w:gridCol w:w="437"/>
                    <w:gridCol w:w="437"/>
                    <w:gridCol w:w="197"/>
                    <w:gridCol w:w="500"/>
                    <w:gridCol w:w="850"/>
                    <w:gridCol w:w="143"/>
                    <w:gridCol w:w="271"/>
                    <w:gridCol w:w="935"/>
                  </w:tblGrid>
                  <w:tr>
                    <w:trPr>
                      <w:trHeight w:val="374" w:hRule="exact"/>
                    </w:trPr>
                    <w:tc>
                      <w:tcPr>
                        <w:tcW w:w="1334" w:type="dxa"/>
                        <w:gridSpan w:val="2"/>
                        <w:tcBorders>
                          <w:top w:val="single" w:sz="10" w:space="0" w:color="000000"/>
                          <w:left w:val="single" w:sz="4" w:space="0" w:color="000000"/>
                          <w:bottom w:val="single" w:sz="4" w:space="0" w:color="000000"/>
                          <w:right w:val="single" w:sz="4" w:space="0" w:color="000000"/>
                        </w:tcBorders>
                        <w:shd w:val="clear" w:color="auto" w:fill="D2D2D2"/>
                      </w:tcPr>
                      <w:p>
                        <w:pPr/>
                      </w:p>
                    </w:tc>
                    <w:tc>
                      <w:tcPr>
                        <w:tcW w:w="808" w:type="dxa"/>
                        <w:tcBorders>
                          <w:top w:val="single" w:sz="10" w:space="0" w:color="000000"/>
                          <w:left w:val="single" w:sz="4" w:space="0" w:color="000000"/>
                          <w:bottom w:val="single" w:sz="4" w:space="0" w:color="000000"/>
                          <w:right w:val="single" w:sz="13" w:space="0" w:color="D2D2D2"/>
                        </w:tcBorders>
                      </w:tcPr>
                      <w:p>
                        <w:pPr/>
                      </w:p>
                    </w:tc>
                    <w:tc>
                      <w:tcPr>
                        <w:tcW w:w="1439" w:type="dxa"/>
                        <w:gridSpan w:val="4"/>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股股东总数</w:t>
                        </w:r>
                      </w:p>
                    </w:tc>
                    <w:tc>
                      <w:tcPr>
                        <w:tcW w:w="821" w:type="dxa"/>
                        <w:tcBorders>
                          <w:top w:val="single" w:sz="10" w:space="0" w:color="000000"/>
                          <w:left w:val="single" w:sz="13" w:space="0" w:color="D2D2D2"/>
                          <w:bottom w:val="single" w:sz="4" w:space="0" w:color="000000"/>
                          <w:right w:val="single" w:sz="13" w:space="0" w:color="D2D2D2"/>
                        </w:tcBorders>
                      </w:tcPr>
                      <w:p>
                        <w:pPr/>
                      </w:p>
                    </w:tc>
                    <w:tc>
                      <w:tcPr>
                        <w:tcW w:w="1399" w:type="dxa"/>
                        <w:gridSpan w:val="2"/>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7" w:right="0"/>
                          <w:jc w:val="left"/>
                          <w:rPr>
                            <w:rFonts w:ascii="宋体" w:hAnsi="宋体" w:cs="宋体" w:eastAsia="宋体" w:hint="default"/>
                            <w:sz w:val="18"/>
                            <w:szCs w:val="18"/>
                          </w:rPr>
                        </w:pPr>
                        <w:r>
                          <w:rPr>
                            <w:rFonts w:ascii="宋体" w:hAnsi="宋体" w:cs="宋体" w:eastAsia="宋体" w:hint="default"/>
                            <w:sz w:val="18"/>
                            <w:szCs w:val="18"/>
                          </w:rPr>
                          <w:t>东总数（如有）</w:t>
                        </w:r>
                      </w:p>
                    </w:tc>
                    <w:tc>
                      <w:tcPr>
                        <w:tcW w:w="875" w:type="dxa"/>
                        <w:gridSpan w:val="2"/>
                        <w:tcBorders>
                          <w:top w:val="single" w:sz="10" w:space="0" w:color="000000"/>
                          <w:left w:val="single" w:sz="13" w:space="0" w:color="D2D2D2"/>
                          <w:bottom w:val="single" w:sz="4" w:space="0" w:color="000000"/>
                          <w:right w:val="single" w:sz="13" w:space="0" w:color="D2D2D2"/>
                        </w:tcBorders>
                      </w:tcPr>
                      <w:p>
                        <w:pPr/>
                      </w:p>
                    </w:tc>
                    <w:tc>
                      <w:tcPr>
                        <w:tcW w:w="1961" w:type="dxa"/>
                        <w:gridSpan w:val="5"/>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股股东总数（如有）</w:t>
                        </w:r>
                      </w:p>
                    </w:tc>
                    <w:tc>
                      <w:tcPr>
                        <w:tcW w:w="935" w:type="dxa"/>
                        <w:tcBorders>
                          <w:top w:val="single" w:sz="10" w:space="0" w:color="000000"/>
                          <w:left w:val="single" w:sz="13" w:space="0" w:color="D2D2D2"/>
                          <w:bottom w:val="single" w:sz="4" w:space="0" w:color="000000"/>
                          <w:right w:val="single" w:sz="4" w:space="0" w:color="000000"/>
                        </w:tcBorders>
                      </w:tcPr>
                      <w:p>
                        <w:pPr/>
                      </w:p>
                    </w:tc>
                  </w:tr>
                  <w:tr>
                    <w:trPr>
                      <w:trHeight w:val="397" w:hRule="exact"/>
                    </w:trPr>
                    <w:tc>
                      <w:tcPr>
                        <w:tcW w:w="9571"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3"/>
                        <w:vMerge w:val="restart"/>
                        <w:tcBorders>
                          <w:top w:val="single" w:sz="4" w:space="0" w:color="000000"/>
                          <w:left w:val="single" w:sz="4" w:space="0" w:color="000000"/>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
                    </w:tc>
                    <w:tc>
                      <w:tcPr>
                        <w:tcW w:w="11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54"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39"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7"/>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6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416" w:type="dxa"/>
                        <w:gridSpan w:val="3"/>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000000"/>
                        </w:tcBorders>
                        <w:shd w:val="clear" w:color="auto" w:fill="D2D2D2"/>
                      </w:tcPr>
                      <w:p>
                        <w:pPr/>
                      </w:p>
                    </w:tc>
                    <w:tc>
                      <w:tcPr>
                        <w:tcW w:w="114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91" w:right="116"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45"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3"/>
                        <w:vMerge/>
                        <w:tcBorders>
                          <w:left w:val="single" w:sz="4" w:space="0" w:color="000000"/>
                          <w:right w:val="single" w:sz="4" w:space="0" w:color="000000"/>
                        </w:tcBorders>
                        <w:shd w:val="clear" w:color="auto" w:fill="D2D2D2"/>
                      </w:tcPr>
                      <w:p>
                        <w:pPr/>
                      </w:p>
                    </w:tc>
                    <w:tc>
                      <w:tcPr>
                        <w:tcW w:w="2198" w:type="dxa"/>
                        <w:gridSpan w:val="4"/>
                        <w:vMerge/>
                        <w:tcBorders>
                          <w:left w:val="single" w:sz="4" w:space="0" w:color="000000"/>
                          <w:right w:val="single" w:sz="4" w:space="0" w:color="000000"/>
                        </w:tcBorders>
                        <w:shd w:val="clear" w:color="auto" w:fill="D2D2D2"/>
                      </w:tcPr>
                      <w:p>
                        <w:pPr/>
                      </w:p>
                    </w:tc>
                  </w:tr>
                  <w:tr>
                    <w:trPr>
                      <w:trHeight w:val="140" w:hRule="exact"/>
                    </w:trPr>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40" w:type="dxa"/>
                        <w:gridSpan w:val="2"/>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3"/>
                        <w:vMerge/>
                        <w:tcBorders>
                          <w:left w:val="single" w:sz="4" w:space="0" w:color="000000"/>
                          <w:right w:val="single" w:sz="4" w:space="0" w:color="000000"/>
                        </w:tcBorders>
                        <w:shd w:val="clear" w:color="auto" w:fill="D2D2D2"/>
                      </w:tcPr>
                      <w:p>
                        <w:pPr/>
                      </w:p>
                    </w:tc>
                    <w:tc>
                      <w:tcPr>
                        <w:tcW w:w="21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416" w:type="dxa"/>
                        <w:gridSpan w:val="3"/>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000000"/>
                        </w:tcBorders>
                        <w:shd w:val="clear" w:color="auto" w:fill="D2D2D2"/>
                      </w:tcPr>
                      <w:p>
                        <w:pPr/>
                      </w:p>
                    </w:tc>
                    <w:tc>
                      <w:tcPr>
                        <w:tcW w:w="1140" w:type="dxa"/>
                        <w:gridSpan w:val="2"/>
                        <w:vMerge/>
                        <w:tcBorders>
                          <w:left w:val="single" w:sz="4" w:space="0" w:color="000000"/>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3"/>
                        <w:vMerge/>
                        <w:tcBorders>
                          <w:left w:val="single" w:sz="4" w:space="0" w:color="000000"/>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416" w:type="dxa"/>
                        <w:gridSpan w:val="3"/>
                        <w:vMerge w:val="restart"/>
                        <w:tcBorders>
                          <w:top w:val="nil" w:sz="6" w:space="0" w:color="auto"/>
                          <w:left w:val="single" w:sz="4" w:space="0" w:color="000000"/>
                          <w:right w:val="single" w:sz="4" w:space="0" w:color="000000"/>
                        </w:tcBorders>
                        <w:shd w:val="clear" w:color="auto" w:fill="D2D2D2"/>
                      </w:tcPr>
                      <w:p>
                        <w:pPr/>
                      </w:p>
                    </w:tc>
                    <w:tc>
                      <w:tcPr>
                        <w:tcW w:w="852" w:type="dxa"/>
                        <w:gridSpan w:val="2"/>
                        <w:vMerge w:val="restart"/>
                        <w:tcBorders>
                          <w:top w:val="nil" w:sz="6" w:space="0" w:color="auto"/>
                          <w:left w:val="single" w:sz="4" w:space="0" w:color="000000"/>
                          <w:right w:val="single" w:sz="4" w:space="0" w:color="000000"/>
                        </w:tcBorders>
                        <w:shd w:val="clear" w:color="auto" w:fill="D2D2D2"/>
                      </w:tcPr>
                      <w:p>
                        <w:pPr/>
                      </w:p>
                    </w:tc>
                    <w:tc>
                      <w:tcPr>
                        <w:tcW w:w="1140" w:type="dxa"/>
                        <w:gridSpan w:val="2"/>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3"/>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206" w:type="dxa"/>
                        <w:gridSpan w:val="2"/>
                        <w:vMerge/>
                        <w:tcBorders>
                          <w:left w:val="single" w:sz="4" w:space="0" w:color="000000"/>
                          <w:right w:val="single" w:sz="4" w:space="0" w:color="000000"/>
                        </w:tcBorders>
                        <w:shd w:val="clear" w:color="auto" w:fill="D2D2D2"/>
                      </w:tcPr>
                      <w:p>
                        <w:pPr/>
                      </w:p>
                    </w:tc>
                  </w:tr>
                  <w:tr>
                    <w:trPr>
                      <w:trHeight w:val="161"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gridSpan w:val="3"/>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11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3"/>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1206"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12.85%</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256,207,220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87,154,52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192,155,414</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64,051,806</w:t>
                        </w:r>
                      </w:p>
                    </w:tc>
                    <w:tc>
                      <w:tcPr>
                        <w:tcW w:w="992"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6"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61,582,016</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6.37%</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126,958,612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42,432,26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95,218,958</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31,739,654</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06"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安梅</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6.37%</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126,958,609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42,432,26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95,218,955</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31,739,654</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06"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齐强</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5.79%</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115,489,027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36,927,77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88,499,270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26,989,757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5.73%</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114,218,403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39,131,44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85,663,801</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28,554,602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79,582,016</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李毅</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5.41%</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107,852,006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z w:val="18"/>
                          </w:rPr>
                          <w:t>31,585,81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91,641,484</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16,210,522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10,000,000</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万能</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3.70%</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73,766,402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22,983,19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57,207,301</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16,559,101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39,889,807</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40" w:right="41"/>
                          <w:jc w:val="left"/>
                          <w:rPr>
                            <w:rFonts w:ascii="宋体" w:hAnsi="宋体" w:cs="宋体" w:eastAsia="宋体" w:hint="default"/>
                            <w:sz w:val="18"/>
                            <w:szCs w:val="18"/>
                          </w:rPr>
                        </w:pPr>
                        <w:r>
                          <w:rPr>
                            <w:rFonts w:ascii="宋体" w:hAnsi="宋体" w:cs="宋体" w:eastAsia="宋体" w:hint="default"/>
                            <w:sz w:val="18"/>
                            <w:szCs w:val="18"/>
                          </w:rPr>
                          <w:t>中信证券股 份有限公司</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3.66%</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73,090,357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70,483,92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73,090,357</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06"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王国华</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5" w:right="0"/>
                          <w:jc w:val="left"/>
                          <w:rPr>
                            <w:rFonts w:ascii="Times New Roman" w:hAnsi="Times New Roman" w:cs="Times New Roman" w:eastAsia="Times New Roman" w:hint="default"/>
                            <w:sz w:val="18"/>
                            <w:szCs w:val="18"/>
                          </w:rPr>
                        </w:pPr>
                        <w:r>
                          <w:rPr>
                            <w:rFonts w:ascii="Times New Roman"/>
                            <w:sz w:val="18"/>
                          </w:rPr>
                          <w:t>3.46%</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69,048,774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6,880,056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69,048,774</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1206"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2.92%</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58,307,149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18,559,18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44,776,098</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13,531,051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30,727,604</w:t>
                        </w:r>
                      </w:p>
                    </w:tc>
                  </w:tr>
                  <w:tr>
                    <w:trPr>
                      <w:trHeight w:val="1026" w:hRule="exact"/>
                    </w:trPr>
                    <w:tc>
                      <w:tcPr>
                        <w:tcW w:w="2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161" w:type="dxa"/>
                        <w:gridSpan w:val="1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1" w:type="dxa"/>
                        <w:gridSpan w:val="14"/>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自然人王宁先生、李力先生为一致行动人，系本公司的实际控制人。</w:t>
                        </w:r>
                      </w:p>
                    </w:tc>
                  </w:tr>
                  <w:tr>
                    <w:trPr>
                      <w:trHeight w:val="402" w:hRule="exact"/>
                    </w:trPr>
                    <w:tc>
                      <w:tcPr>
                        <w:tcW w:w="9571" w:type="dxa"/>
                        <w:gridSpan w:val="1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3993"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3"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0" w:type="dxa"/>
                        <w:gridSpan w:val="5"/>
                        <w:vMerge/>
                        <w:tcBorders>
                          <w:left w:val="single" w:sz="4" w:space="0" w:color="000000"/>
                          <w:bottom w:val="nil" w:sz="6" w:space="0" w:color="auto"/>
                          <w:right w:val="single" w:sz="4" w:space="0" w:color="000000"/>
                        </w:tcBorders>
                        <w:shd w:val="clear" w:color="auto" w:fill="D2D2D2"/>
                      </w:tcPr>
                      <w:p>
                        <w:pPr/>
                      </w:p>
                    </w:tc>
                    <w:tc>
                      <w:tcPr>
                        <w:tcW w:w="3993" w:type="dxa"/>
                        <w:gridSpan w:val="8"/>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8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3993"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9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73,090,357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73,090,357</w:t>
                        </w:r>
                      </w:p>
                    </w:tc>
                  </w:tr>
                  <w:tr>
                    <w:trPr>
                      <w:trHeight w:val="402" w:hRule="exact"/>
                    </w:trPr>
                    <w:tc>
                      <w:tcPr>
                        <w:tcW w:w="2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王国华</w:t>
                        </w:r>
                      </w:p>
                    </w:tc>
                    <w:tc>
                      <w:tcPr>
                        <w:tcW w:w="39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69,048,774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69,048,774</w:t>
                        </w:r>
                      </w:p>
                    </w:tc>
                  </w:tr>
                  <w:tr>
                    <w:trPr>
                      <w:trHeight w:val="402" w:hRule="exact"/>
                    </w:trPr>
                    <w:tc>
                      <w:tcPr>
                        <w:tcW w:w="2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李力</w:t>
                        </w:r>
                      </w:p>
                    </w:tc>
                    <w:tc>
                      <w:tcPr>
                        <w:tcW w:w="39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64,051,806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64,051,806</w:t>
                        </w:r>
                      </w:p>
                    </w:tc>
                  </w:tr>
                  <w:tr>
                    <w:trPr>
                      <w:trHeight w:val="402" w:hRule="exact"/>
                    </w:trPr>
                    <w:tc>
                      <w:tcPr>
                        <w:tcW w:w="2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王宁</w:t>
                        </w:r>
                      </w:p>
                    </w:tc>
                    <w:tc>
                      <w:tcPr>
                        <w:tcW w:w="39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31,739,654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31,739,654</w:t>
                        </w:r>
                      </w:p>
                    </w:tc>
                  </w:tr>
                  <w:tr>
                    <w:trPr>
                      <w:trHeight w:val="402" w:hRule="exact"/>
                    </w:trPr>
                    <w:tc>
                      <w:tcPr>
                        <w:tcW w:w="28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安梅</w:t>
                        </w:r>
                      </w:p>
                    </w:tc>
                    <w:tc>
                      <w:tcPr>
                        <w:tcW w:w="39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31,739,654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31,739,654</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880"/>
        <w:gridCol w:w="3993"/>
        <w:gridCol w:w="1349"/>
        <w:gridCol w:w="1349"/>
      </w:tblGrid>
      <w:tr>
        <w:trPr>
          <w:trHeight w:val="414" w:hRule="exact"/>
        </w:trPr>
        <w:tc>
          <w:tcPr>
            <w:tcW w:w="28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9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28,554,602</w:t>
            </w:r>
          </w:p>
        </w:tc>
        <w:tc>
          <w:tcPr>
            <w:tcW w:w="13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28,554,602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齐强</w:t>
            </w:r>
          </w:p>
        </w:tc>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26,989,757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26,989,757</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20,237,200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20,237,200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万能</w:t>
            </w:r>
          </w:p>
        </w:tc>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16,559,101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16,559,101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李毅</w:t>
            </w:r>
          </w:p>
        </w:tc>
        <w:tc>
          <w:tcPr>
            <w:tcW w:w="3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16,210,522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16,210,522</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6" w:right="0"/>
              <w:jc w:val="left"/>
              <w:rPr>
                <w:rFonts w:ascii="宋体" w:hAnsi="宋体" w:cs="宋体" w:eastAsia="宋体" w:hint="default"/>
                <w:sz w:val="18"/>
                <w:szCs w:val="18"/>
              </w:rPr>
            </w:pPr>
            <w:r>
              <w:rPr>
                <w:rFonts w:ascii="宋体" w:hAnsi="宋体" w:cs="宋体" w:eastAsia="宋体" w:hint="default"/>
                <w:sz w:val="18"/>
                <w:szCs w:val="18"/>
              </w:rPr>
              <w:t>自然人王宁先生、李力先生为一致行动人，系本公司的实际控制人。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w:t>
            </w:r>
          </w:p>
        </w:tc>
        <w:tc>
          <w:tcPr>
            <w:tcW w:w="669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Times New Roman" w:hAnsi="Times New Roman" w:cs="Times New Roman" w:eastAsia="Times New Roman" w:hint="default"/>
          <w:sz w:val="7"/>
          <w:szCs w:val="7"/>
        </w:rPr>
      </w:pPr>
    </w:p>
    <w:p>
      <w:pPr>
        <w:pStyle w:val="Heading6"/>
        <w:spacing w:line="240" w:lineRule="auto" w:before="44"/>
        <w:ind w:left="1134" w:right="0"/>
        <w:jc w:val="left"/>
        <w:rPr>
          <w:b w:val="0"/>
          <w:bCs w:val="0"/>
        </w:rPr>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r>
        <w:rPr>
          <w:b w:val="0"/>
          <w:bCs w:val="0"/>
        </w:rPr>
      </w:r>
    </w:p>
    <w:p>
      <w:pPr>
        <w:spacing w:line="240" w:lineRule="auto" w:before="11"/>
        <w:rPr>
          <w:rFonts w:ascii="宋体" w:hAnsi="宋体" w:cs="宋体" w:eastAsia="宋体" w:hint="default"/>
          <w:b/>
          <w:bCs/>
          <w:sz w:val="19"/>
          <w:szCs w:val="19"/>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9"/>
        <w:rPr>
          <w:rFonts w:ascii="宋体" w:hAnsi="宋体" w:cs="宋体" w:eastAsia="宋体" w:hint="default"/>
          <w:b/>
          <w:bCs/>
          <w:sz w:val="19"/>
          <w:szCs w:val="19"/>
        </w:rPr>
      </w:pPr>
    </w:p>
    <w:p>
      <w:pPr>
        <w:pStyle w:val="BodyText"/>
        <w:spacing w:line="240" w:lineRule="auto"/>
        <w:ind w:left="1493" w:right="0"/>
        <w:jc w:val="left"/>
      </w:pPr>
      <w:r>
        <w:rPr/>
        <w:t>公司前</w:t>
      </w:r>
      <w:r>
        <w:rPr>
          <w:rFonts w:ascii="Times New Roman" w:hAnsi="Times New Roman" w:cs="Times New Roman" w:eastAsia="Times New Roman" w:hint="default"/>
        </w:rPr>
        <w:t>10</w:t>
      </w:r>
      <w:r>
        <w:rPr/>
        <w:t>名普通股股东、前</w:t>
      </w:r>
      <w:r>
        <w:rPr>
          <w:rFonts w:ascii="Times New Roman" w:hAnsi="Times New Roman" w:cs="Times New Roman" w:eastAsia="Times New Roman" w:hint="default"/>
        </w:rPr>
        <w:t>10</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32"/>
          <w:szCs w:val="32"/>
        </w:rPr>
      </w:pPr>
    </w:p>
    <w:p>
      <w:pPr>
        <w:spacing w:line="477" w:lineRule="auto" w:before="0"/>
        <w:ind w:left="1133" w:right="8591" w:firstLine="362"/>
        <w:jc w:val="left"/>
        <w:rPr>
          <w:rFonts w:ascii="宋体" w:hAnsi="宋体" w:cs="宋体" w:eastAsia="宋体" w:hint="default"/>
          <w:sz w:val="18"/>
          <w:szCs w:val="18"/>
        </w:rPr>
      </w:pPr>
      <w:r>
        <w:rPr>
          <w:rFonts w:ascii="宋体" w:hAnsi="宋体" w:cs="宋体" w:eastAsia="宋体" w:hint="default"/>
          <w:sz w:val="18"/>
          <w:szCs w:val="18"/>
        </w:rPr>
        <w:t>公司不存在控股股东。 </w:t>
      </w:r>
      <w:r>
        <w:rPr>
          <w:rFonts w:ascii="宋体" w:hAnsi="宋体" w:cs="宋体" w:eastAsia="宋体" w:hint="default"/>
          <w:b/>
          <w:bCs/>
          <w:sz w:val="18"/>
          <w:szCs w:val="18"/>
        </w:rPr>
        <w:t>控股股东报告期内变更</w:t>
      </w:r>
      <w:r>
        <w:rPr>
          <w:rFonts w:ascii="宋体" w:hAnsi="宋体" w:cs="宋体" w:eastAsia="宋体" w:hint="default"/>
          <w:sz w:val="18"/>
          <w:szCs w:val="18"/>
        </w:rPr>
      </w:r>
    </w:p>
    <w:p>
      <w:pPr>
        <w:spacing w:line="412" w:lineRule="auto" w:before="17"/>
        <w:ind w:left="1493" w:right="769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公司报告期控股股东未发生变更。</w:t>
      </w:r>
    </w:p>
    <w:p>
      <w:pPr>
        <w:spacing w:line="240" w:lineRule="auto" w:before="13"/>
        <w:rPr>
          <w:rFonts w:ascii="宋体" w:hAnsi="宋体" w:cs="宋体" w:eastAsia="宋体" w:hint="default"/>
          <w:sz w:val="22"/>
          <w:szCs w:val="22"/>
        </w:rPr>
      </w:pPr>
    </w:p>
    <w:p>
      <w:pPr>
        <w:pStyle w:val="Heading3"/>
        <w:spacing w:line="240" w:lineRule="auto"/>
        <w:ind w:left="1133"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宋体" w:hAnsi="宋体" w:cs="宋体" w:eastAsia="宋体" w:hint="default"/>
          <w:b/>
          <w:bCs/>
          <w:sz w:val="32"/>
          <w:szCs w:val="32"/>
        </w:rPr>
      </w:pPr>
    </w:p>
    <w:p>
      <w:pPr>
        <w:spacing w:line="477" w:lineRule="auto" w:before="0"/>
        <w:ind w:left="1133" w:right="8407" w:firstLine="0"/>
        <w:jc w:val="left"/>
        <w:rPr>
          <w:rFonts w:ascii="宋体" w:hAnsi="宋体" w:cs="宋体" w:eastAsia="宋体" w:hint="default"/>
          <w:sz w:val="18"/>
          <w:szCs w:val="18"/>
        </w:rPr>
      </w:pPr>
      <w:r>
        <w:rPr>
          <w:rFonts w:ascii="宋体" w:hAnsi="宋体" w:cs="宋体" w:eastAsia="宋体" w:hint="default"/>
          <w:b/>
          <w:bCs/>
          <w:sz w:val="18"/>
          <w:szCs w:val="18"/>
        </w:rPr>
        <w:t>实际控制人性质：</w:t>
      </w:r>
      <w:r>
        <w:rPr>
          <w:rFonts w:ascii="宋体" w:hAnsi="宋体" w:cs="宋体" w:eastAsia="宋体" w:hint="default"/>
          <w:sz w:val="18"/>
          <w:szCs w:val="18"/>
        </w:rPr>
        <w:t>境内自然人 </w:t>
      </w:r>
      <w:r>
        <w:rPr>
          <w:rFonts w:ascii="宋体" w:hAnsi="宋体" w:cs="宋体" w:eastAsia="宋体" w:hint="default"/>
          <w:b/>
          <w:bCs/>
          <w:sz w:val="18"/>
          <w:szCs w:val="18"/>
        </w:rPr>
        <w:t>实际控制人类型：</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139"/>
        <w:jc w:val="right"/>
      </w:pPr>
      <w:r>
        <w:rPr/>
        <w:pict>
          <v:shape style="position:absolute;margin-left:56.459999pt;margin-top:-63.348278pt;width:479.2pt;height:188.1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7"/>
                    <w:gridCol w:w="2121"/>
                    <w:gridCol w:w="4120"/>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4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2" w:firstLine="361"/>
                          <w:jc w:val="left"/>
                          <w:rPr>
                            <w:rFonts w:ascii="宋体" w:hAnsi="宋体" w:cs="宋体" w:eastAsia="宋体" w:hint="default"/>
                            <w:sz w:val="18"/>
                            <w:szCs w:val="18"/>
                          </w:rPr>
                        </w:pPr>
                        <w:r>
                          <w:rPr>
                            <w:rFonts w:ascii="宋体" w:hAnsi="宋体" w:cs="宋体" w:eastAsia="宋体" w:hint="default"/>
                            <w:b/>
                            <w:bCs/>
                            <w:sz w:val="18"/>
                            <w:szCs w:val="18"/>
                          </w:rPr>
                          <w:t>王宁</w:t>
                        </w:r>
                        <w:r>
                          <w:rPr>
                            <w:rFonts w:ascii="宋体" w:hAnsi="宋体" w:cs="宋体" w:eastAsia="宋体" w:hint="default"/>
                            <w:sz w:val="18"/>
                            <w:szCs w:val="18"/>
                          </w:rPr>
                          <w:t>先生，</w:t>
                        </w:r>
                        <w:r>
                          <w:rPr>
                            <w:rFonts w:ascii="Times New Roman" w:hAnsi="Times New Roman" w:cs="Times New Roman" w:eastAsia="Times New Roman" w:hint="default"/>
                            <w:sz w:val="18"/>
                            <w:szCs w:val="18"/>
                          </w:rPr>
                          <w:t>1961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年出生，中国国籍，无永久境外居留权。毕业于河北大学</w:t>
                        </w:r>
                        <w:r>
                          <w:rPr>
                            <w:rFonts w:ascii="宋体" w:hAnsi="宋体" w:cs="宋体" w:eastAsia="宋体" w:hint="default"/>
                            <w:sz w:val="18"/>
                            <w:szCs w:val="18"/>
                          </w:rPr>
                          <w:t> 理学、法学双学士，荣获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中国软件企业十大领军人物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中国 软件产业发展功勋人物</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中国软件产业杰出企业家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。曾任河北大学校团委书 记、河北大学出版社社长、联想集团工控公司电脑部经理、北京新海拓科技公 司总经理，北京神州泰岳科技有限公司副总经理、总经理。</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月至今担 </w:t>
                        </w:r>
                        <w:r>
                          <w:rPr>
                            <w:rFonts w:ascii="宋体" w:hAnsi="宋体" w:cs="宋体" w:eastAsia="宋体" w:hint="default"/>
                            <w:spacing w:val="-3"/>
                            <w:sz w:val="18"/>
                            <w:szCs w:val="18"/>
                          </w:rPr>
                          <w:t>任公司董事长，其中，</w:t>
                        </w:r>
                        <w:r>
                          <w:rPr>
                            <w:rFonts w:ascii="Times New Roman" w:hAnsi="Times New Roman" w:cs="Times New Roman" w:eastAsia="Times New Roman" w:hint="default"/>
                            <w:spacing w:val="-3"/>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3"/>
                            <w:sz w:val="18"/>
                            <w:szCs w:val="18"/>
                          </w:rPr>
                          <w:t>月，曾任公司财务负责人、总经</w:t>
                        </w:r>
                        <w:r>
                          <w:rPr>
                            <w:rFonts w:ascii="宋体" w:hAnsi="宋体" w:cs="宋体" w:eastAsia="宋体" w:hint="default"/>
                            <w:sz w:val="18"/>
                            <w:szCs w:val="18"/>
                          </w:rPr>
                          <w:t> 理。兼任北京启天同信科技有限公司董事、北京互联时代通讯科技有限公司董 事长、北京神州泰岳良品电子商务有限公司董事长、北京华泰德丰技术有限公</w:t>
                        </w:r>
                      </w:p>
                    </w:tc>
                  </w:tr>
                </w:tbl>
                <w:p>
                  <w:pPr/>
                </w:p>
              </w:txbxContent>
            </v:textbox>
            <w10:wrap type="none"/>
          </v:shape>
        </w:pict>
      </w:r>
      <w:r>
        <w:rPr/>
        <w:t>，</w:t>
      </w:r>
    </w:p>
    <w:p>
      <w:pPr>
        <w:spacing w:after="0" w:line="240" w:lineRule="auto"/>
        <w:jc w:val="right"/>
        <w:sectPr>
          <w:pgSz w:w="11910" w:h="16840"/>
          <w:pgMar w:header="851" w:footer="979" w:top="138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left="0" w:right="1139"/>
        <w:jc w:val="right"/>
      </w:pPr>
      <w:r>
        <w:rPr/>
        <w:pict>
          <v:shape style="position:absolute;margin-left:56.459999pt;margin-top:-63.988262pt;width:479.2pt;height:103.8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7"/>
                    <w:gridCol w:w="6241"/>
                  </w:tblGrid>
                  <w:tr>
                    <w:trPr>
                      <w:trHeight w:val="1658" w:hRule="exact"/>
                    </w:trPr>
                    <w:tc>
                      <w:tcPr>
                        <w:tcW w:w="332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62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司董事长、北京善聚投资管理有限公司执行董事。</w:t>
                        </w:r>
                      </w:p>
                      <w:p>
                        <w:pPr>
                          <w:pStyle w:val="TableParagraph"/>
                          <w:spacing w:line="307" w:lineRule="auto" w:before="115"/>
                          <w:ind w:left="23" w:right="21" w:firstLine="361"/>
                          <w:jc w:val="both"/>
                          <w:rPr>
                            <w:rFonts w:ascii="宋体" w:hAnsi="宋体" w:cs="宋体" w:eastAsia="宋体" w:hint="default"/>
                            <w:sz w:val="18"/>
                            <w:szCs w:val="18"/>
                          </w:rPr>
                        </w:pPr>
                        <w:r>
                          <w:rPr>
                            <w:rFonts w:ascii="宋体" w:hAnsi="宋体" w:cs="宋体" w:eastAsia="宋体" w:hint="default"/>
                            <w:b/>
                            <w:bCs/>
                            <w:sz w:val="18"/>
                            <w:szCs w:val="18"/>
                          </w:rPr>
                          <w:t>李力</w:t>
                        </w:r>
                        <w:r>
                          <w:rPr>
                            <w:rFonts w:ascii="宋体" w:hAnsi="宋体" w:cs="宋体" w:eastAsia="宋体" w:hint="default"/>
                            <w:sz w:val="18"/>
                            <w:szCs w:val="18"/>
                          </w:rPr>
                          <w:t>先生，</w:t>
                        </w:r>
                        <w:r>
                          <w:rPr>
                            <w:rFonts w:ascii="Times New Roman" w:hAnsi="Times New Roman" w:cs="Times New Roman" w:eastAsia="Times New Roman" w:hint="default"/>
                            <w:sz w:val="18"/>
                            <w:szCs w:val="18"/>
                          </w:rPr>
                          <w:t>1971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年出生，中国国籍，新加坡永久居留权。毕业于首都经贸 大学；曾任北京力霸科技有限公司副总经理。李力先生作为公司主要创始人，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月至今历任公司董事、常务副总经理、总经理。兼任北京启天同信科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技有限公司董事、神州泰岳（香港）有限公司董事、</w:t>
                        </w:r>
                        <w:r>
                          <w:rPr>
                            <w:rFonts w:ascii="Times New Roman" w:hAnsi="Times New Roman" w:cs="Times New Roman" w:eastAsia="Times New Roman" w:hint="default"/>
                            <w:spacing w:val="-5"/>
                            <w:sz w:val="18"/>
                            <w:szCs w:val="18"/>
                          </w:rPr>
                          <w:t>Ultrapower </w:t>
                        </w:r>
                        <w:r>
                          <w:rPr>
                            <w:rFonts w:ascii="Times New Roman" w:hAnsi="Times New Roman" w:cs="Times New Roman" w:eastAsia="Times New Roman" w:hint="default"/>
                            <w:sz w:val="18"/>
                            <w:szCs w:val="18"/>
                          </w:rPr>
                          <w:t>360 Pte Ltd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董事</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6"/>
        <w:spacing w:line="240" w:lineRule="auto" w:before="44"/>
        <w:ind w:left="1134" w:right="0"/>
        <w:jc w:val="left"/>
        <w:rPr>
          <w:b w:val="0"/>
          <w:bCs w:val="0"/>
        </w:rPr>
      </w:pPr>
      <w:r>
        <w:rPr/>
        <w:t>实际控制人报告期内变更</w:t>
      </w:r>
      <w:r>
        <w:rPr>
          <w:b w:val="0"/>
          <w:bCs w:val="0"/>
        </w:rPr>
      </w:r>
    </w:p>
    <w:p>
      <w:pPr>
        <w:spacing w:line="240" w:lineRule="auto" w:before="12"/>
        <w:rPr>
          <w:rFonts w:ascii="宋体" w:hAnsi="宋体" w:cs="宋体" w:eastAsia="宋体" w:hint="default"/>
          <w:b/>
          <w:bCs/>
          <w:sz w:val="14"/>
          <w:szCs w:val="14"/>
        </w:rPr>
      </w:pPr>
    </w:p>
    <w:p>
      <w:pPr>
        <w:spacing w:line="412" w:lineRule="auto" w:before="0"/>
        <w:ind w:left="1493" w:right="751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公司报告期实际控制人未发生变更。</w:t>
      </w:r>
    </w:p>
    <w:p>
      <w:pPr>
        <w:pStyle w:val="Heading6"/>
        <w:spacing w:line="240" w:lineRule="auto" w:before="103"/>
        <w:ind w:right="0"/>
        <w:jc w:val="left"/>
        <w:rPr>
          <w:b w:val="0"/>
          <w:bCs w:val="0"/>
        </w:rPr>
      </w:pPr>
      <w:r>
        <w:rPr/>
        <w:t>公司与实际控制人之间的产权及控制关系的方框图</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line="3840" w:lineRule="exact"/>
        <w:ind w:left="2329"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606078" cy="243840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4" cstate="print"/>
                    <a:stretch>
                      <a:fillRect/>
                    </a:stretch>
                  </pic:blipFill>
                  <pic:spPr>
                    <a:xfrm>
                      <a:off x="0" y="0"/>
                      <a:ext cx="4606078" cy="2438400"/>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7"/>
        <w:rPr>
          <w:rFonts w:ascii="宋体" w:hAnsi="宋体" w:cs="宋体" w:eastAsia="宋体" w:hint="default"/>
          <w:b/>
          <w:bCs/>
          <w:sz w:val="25"/>
          <w:szCs w:val="25"/>
        </w:rPr>
      </w:pPr>
    </w:p>
    <w:p>
      <w:pPr>
        <w:pStyle w:val="Heading4"/>
        <w:spacing w:line="240" w:lineRule="auto"/>
        <w:ind w:left="1133" w:right="0"/>
        <w:jc w:val="left"/>
      </w:pPr>
      <w:r>
        <w:rPr/>
        <w:t>注：王宁的控制权由其直接持有的股权及授权表决权构成。</w:t>
      </w:r>
    </w:p>
    <w:p>
      <w:pPr>
        <w:spacing w:line="240" w:lineRule="auto" w:before="11"/>
        <w:rPr>
          <w:rFonts w:ascii="宋体" w:hAnsi="宋体" w:cs="宋体" w:eastAsia="宋体" w:hint="default"/>
          <w:sz w:val="19"/>
          <w:szCs w:val="19"/>
        </w:rPr>
      </w:pPr>
    </w:p>
    <w:p>
      <w:pPr>
        <w:pStyle w:val="Heading6"/>
        <w:spacing w:line="240" w:lineRule="auto"/>
        <w:ind w:right="0"/>
        <w:jc w:val="left"/>
        <w:rPr>
          <w:b w:val="0"/>
          <w:bCs w:val="0"/>
        </w:rPr>
      </w:pPr>
      <w:r>
        <w:rPr/>
        <w:t>实际控制人通过信托或其他资产管理方式控制公司</w:t>
      </w:r>
      <w:r>
        <w:rPr>
          <w:b w:val="0"/>
          <w:bCs w:val="0"/>
        </w:rPr>
      </w:r>
    </w:p>
    <w:p>
      <w:pPr>
        <w:spacing w:line="240" w:lineRule="auto" w:before="12"/>
        <w:rPr>
          <w:rFonts w:ascii="宋体" w:hAnsi="宋体" w:cs="宋体" w:eastAsia="宋体" w:hint="default"/>
          <w:b/>
          <w:bCs/>
          <w:sz w:val="14"/>
          <w:szCs w:val="14"/>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49"/>
        <w:ind w:right="1114"/>
        <w:jc w:val="center"/>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412" w:lineRule="auto" w:before="44"/>
        <w:ind w:left="1493" w:right="823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报告期公司不存在优先股。</w:t>
      </w:r>
    </w:p>
    <w:p>
      <w:pPr>
        <w:spacing w:after="0" w:line="412"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2660"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7"/>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1133"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ind w:left="0" w:right="240"/>
        <w:jc w:val="right"/>
      </w:pPr>
      <w:r>
        <w:rPr/>
        <w:pict>
          <v:shape style="position:absolute;margin-left:21pt;margin-top:-18.648306pt;width:559.65pt;height:587.3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9"/>
                    <w:gridCol w:w="851"/>
                    <w:gridCol w:w="797"/>
                    <w:gridCol w:w="586"/>
                    <w:gridCol w:w="461"/>
                    <w:gridCol w:w="1062"/>
                    <w:gridCol w:w="974"/>
                    <w:gridCol w:w="1081"/>
                    <w:gridCol w:w="937"/>
                    <w:gridCol w:w="1133"/>
                    <w:gridCol w:w="1222"/>
                    <w:gridCol w:w="1365"/>
                  </w:tblGrid>
                  <w:tr>
                    <w:trPr>
                      <w:trHeight w:val="1026"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91" w:right="3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9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8" w:firstLine="87"/>
                          <w:jc w:val="left"/>
                          <w:rPr>
                            <w:rFonts w:ascii="宋体" w:hAnsi="宋体" w:cs="宋体" w:eastAsia="宋体" w:hint="default"/>
                            <w:sz w:val="18"/>
                            <w:szCs w:val="18"/>
                          </w:rPr>
                        </w:pPr>
                        <w:r>
                          <w:rPr>
                            <w:rFonts w:ascii="宋体" w:hAnsi="宋体" w:cs="宋体" w:eastAsia="宋体" w:hint="default"/>
                            <w:sz w:val="18"/>
                            <w:szCs w:val="18"/>
                          </w:rPr>
                          <w:t>本期减持股 份数量（股）</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6"/>
                            <w:sz w:val="18"/>
                            <w:szCs w:val="18"/>
                          </w:rPr>
                          <w:t>期末持股数（股</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84,526,350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42,432,262</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126,958,612</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169,052,698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84,864,522</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256,207,220</w:t>
                        </w:r>
                      </w:p>
                    </w:tc>
                  </w:tr>
                  <w:tr>
                    <w:trPr>
                      <w:trHeight w:val="102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黄松浪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副董事 长、董事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75,086,962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38,531,441</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114,218,403</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万能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50" w:right="59" w:hanging="90"/>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50,783,210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25,493,192</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73,766,402</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徐斯平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39,747,968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1,394,315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19,953,496</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58,307,149</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齐强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78,561,248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39,437,779</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115,489,027</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翟一兵</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董事、首 席运营官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400,800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201,202</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602,002</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汪铖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50" w:right="59" w:hanging="90"/>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28,490,182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14,302,083</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42,792,265</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蓝伯雄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江锡如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刘凯湘</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罗建北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李广刚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30" w:right="59"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丁彦超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267,200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134,135</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401,335</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郝岩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after="0" w:line="240" w:lineRule="auto"/>
        <w:jc w:val="right"/>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709"/>
        <w:gridCol w:w="851"/>
        <w:gridCol w:w="797"/>
        <w:gridCol w:w="586"/>
        <w:gridCol w:w="461"/>
        <w:gridCol w:w="1062"/>
        <w:gridCol w:w="974"/>
        <w:gridCol w:w="1081"/>
        <w:gridCol w:w="937"/>
        <w:gridCol w:w="1133"/>
        <w:gridCol w:w="1222"/>
        <w:gridCol w:w="1365"/>
      </w:tblGrid>
      <w:tr>
        <w:trPr>
          <w:trHeight w:val="373" w:hRule="exact"/>
        </w:trPr>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586" w:type="dxa"/>
            <w:tcBorders>
              <w:top w:val="single" w:sz="10" w:space="0" w:color="000000"/>
              <w:left w:val="single" w:sz="4" w:space="0" w:color="000000"/>
              <w:bottom w:val="single" w:sz="4" w:space="0" w:color="000000"/>
              <w:right w:val="single" w:sz="4" w:space="0" w:color="000000"/>
            </w:tcBorders>
          </w:tcPr>
          <w:p>
            <w:pPr/>
          </w:p>
        </w:tc>
        <w:tc>
          <w:tcPr>
            <w:tcW w:w="461" w:type="dxa"/>
            <w:tcBorders>
              <w:top w:val="single" w:sz="10" w:space="0" w:color="000000"/>
              <w:left w:val="single" w:sz="4" w:space="0" w:color="000000"/>
              <w:bottom w:val="single" w:sz="4" w:space="0" w:color="000000"/>
              <w:right w:val="single" w:sz="4" w:space="0" w:color="000000"/>
            </w:tcBorders>
          </w:tcPr>
          <w:p>
            <w:pPr/>
          </w:p>
        </w:tc>
        <w:tc>
          <w:tcPr>
            <w:tcW w:w="10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10" w:space="0" w:color="000000"/>
              <w:left w:val="single" w:sz="4" w:space="0" w:color="000000"/>
              <w:bottom w:val="single" w:sz="4" w:space="0" w:color="000000"/>
              <w:right w:val="single" w:sz="4" w:space="0" w:color="000000"/>
            </w:tcBorders>
          </w:tcPr>
          <w:p>
            <w:pPr/>
          </w:p>
        </w:tc>
        <w:tc>
          <w:tcPr>
            <w:tcW w:w="937"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1222" w:type="dxa"/>
            <w:tcBorders>
              <w:top w:val="single" w:sz="10" w:space="0" w:color="000000"/>
              <w:left w:val="single" w:sz="4" w:space="0" w:color="000000"/>
              <w:bottom w:val="single" w:sz="4" w:space="0" w:color="000000"/>
              <w:right w:val="single" w:sz="4" w:space="0" w:color="000000"/>
            </w:tcBorders>
          </w:tcPr>
          <w:p>
            <w:pPr/>
          </w:p>
        </w:tc>
        <w:tc>
          <w:tcPr>
            <w:tcW w:w="1365"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朱健松</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1,152,360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619,340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1,771,700</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陶磊</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1,170,080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292,520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481,391</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1,358,951</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高峰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7,276,000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3,233,886</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9,675,886</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张振鹏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7,193,338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2,599,590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3,611,058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8,204,806</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刘豪</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646,272</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323,481</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919,753</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许芃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10,790,318</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2,001,007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5,416,743</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14,206,054</w:t>
            </w:r>
          </w:p>
        </w:tc>
      </w:tr>
      <w:tr>
        <w:trPr>
          <w:trHeight w:val="71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孙海粟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7" w:right="0"/>
              <w:jc w:val="left"/>
              <w:rPr>
                <w:rFonts w:ascii="Times New Roman" w:hAnsi="Times New Roman" w:cs="Times New Roman" w:eastAsia="Times New Roman" w:hint="default"/>
                <w:sz w:val="18"/>
                <w:szCs w:val="18"/>
              </w:rPr>
            </w:pPr>
            <w:r>
              <w:rPr>
                <w:rFonts w:ascii="Times New Roman"/>
                <w:sz w:val="18"/>
              </w:rPr>
              <w:t>--</w:t>
            </w:r>
          </w:p>
        </w:tc>
        <w:tc>
          <w:tcPr>
            <w:tcW w:w="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555,144,986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12,191,432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279,036,011</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824,879,565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陶磊</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因陶磊先生同时担任北京神州泰岳良品电子商务有限 公司的董事、总经理，报告期内，神州良品变更为公 司参股子公司。鉴于神州良品独立性、公司治理的要 求，因此本人申请辞去公司副总经理职务，专职于负 责神州良品经营管理工作。</w:t>
            </w:r>
          </w:p>
        </w:tc>
      </w:tr>
    </w:tbl>
    <w:p>
      <w:pPr>
        <w:pStyle w:val="Heading5"/>
        <w:spacing w:line="417" w:lineRule="auto"/>
        <w:ind w:right="1131"/>
        <w:jc w:val="both"/>
      </w:pPr>
      <w:r>
        <w:rPr>
          <w:spacing w:val="-3"/>
        </w:rPr>
        <w:t>注：公司独立董事江锡如先生于</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21</w:t>
      </w:r>
      <w:r>
        <w:rPr>
          <w:rFonts w:ascii="Times New Roman" w:hAnsi="Times New Roman" w:cs="Times New Roman" w:eastAsia="Times New Roman" w:hint="default"/>
          <w:spacing w:val="8"/>
        </w:rPr>
        <w:t> </w:t>
      </w:r>
      <w:r>
        <w:rPr>
          <w:spacing w:val="-3"/>
        </w:rPr>
        <w:t>日申请辞去公司独立董事职务，根据相关规定，辞职将自</w:t>
      </w:r>
      <w:r>
        <w:rPr>
          <w:w w:val="100"/>
        </w:rPr>
        <w:t> </w:t>
      </w:r>
      <w:r>
        <w:rPr/>
        <w:t>公司股东大会选举产生新任独立董事填补空缺后生效。在此之前，江锡如先生将按照有关法律法规的规定继续</w:t>
      </w:r>
      <w:r>
        <w:rPr>
          <w:w w:val="100"/>
        </w:rPr>
        <w:t> </w:t>
      </w:r>
      <w:r>
        <w:rPr/>
        <w:t>履行独立董事的职责。</w:t>
      </w:r>
    </w:p>
    <w:p>
      <w:pPr>
        <w:pStyle w:val="Heading2"/>
        <w:spacing w:line="240" w:lineRule="auto" w:before="26"/>
        <w:ind w:right="0"/>
        <w:jc w:val="left"/>
        <w:rPr>
          <w:b w:val="0"/>
          <w:bCs w:val="0"/>
        </w:rPr>
      </w:pPr>
      <w:bookmarkStart w:name="三、任职情况" w:id="121"/>
      <w:bookmarkEnd w:id="121"/>
      <w:r>
        <w:rPr>
          <w:b w:val="0"/>
          <w:bCs w:val="0"/>
        </w:rPr>
      </w:r>
      <w:r>
        <w:rPr/>
        <w:t>三、任职情况</w:t>
      </w:r>
      <w:r>
        <w:rPr>
          <w:b w:val="0"/>
          <w:bCs w:val="0"/>
        </w:rPr>
      </w:r>
    </w:p>
    <w:p>
      <w:pPr>
        <w:pStyle w:val="BodyText"/>
        <w:spacing w:line="240" w:lineRule="auto" w:before="202"/>
        <w:ind w:left="1494" w:right="0"/>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17"/>
          <w:szCs w:val="17"/>
        </w:rPr>
      </w:pPr>
    </w:p>
    <w:p>
      <w:pPr>
        <w:spacing w:line="458" w:lineRule="auto" w:before="0"/>
        <w:ind w:left="1495" w:right="501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、董事会成员简介</w:t>
      </w:r>
      <w:r>
        <w:rPr>
          <w:rFonts w:ascii="宋体" w:hAnsi="宋体" w:cs="宋体" w:eastAsia="宋体" w:hint="default"/>
          <w:b/>
          <w:bCs/>
          <w:w w:val="99"/>
          <w:sz w:val="18"/>
          <w:szCs w:val="18"/>
        </w:rPr>
        <w:t> </w:t>
      </w:r>
      <w:r>
        <w:rPr>
          <w:rFonts w:ascii="宋体" w:hAnsi="宋体" w:cs="宋体" w:eastAsia="宋体" w:hint="default"/>
          <w:b/>
          <w:bCs/>
          <w:sz w:val="18"/>
          <w:szCs w:val="18"/>
        </w:rPr>
        <w:t>公司董事会由十二名董事组成，其中独立董事四名，具体如下：</w:t>
      </w:r>
      <w:r>
        <w:rPr>
          <w:rFonts w:ascii="宋体" w:hAnsi="宋体" w:cs="宋体" w:eastAsia="宋体" w:hint="default"/>
          <w:b/>
          <w:bCs/>
          <w:w w:val="99"/>
          <w:sz w:val="18"/>
          <w:szCs w:val="18"/>
        </w:rPr>
        <w:t> </w:t>
      </w:r>
      <w:r>
        <w:rPr>
          <w:rFonts w:ascii="宋体" w:hAnsi="宋体" w:cs="宋体" w:eastAsia="宋体" w:hint="default"/>
          <w:b/>
          <w:bCs/>
          <w:sz w:val="18"/>
          <w:szCs w:val="18"/>
        </w:rPr>
        <w:t>王宁</w:t>
      </w:r>
      <w:r>
        <w:rPr>
          <w:rFonts w:ascii="宋体" w:hAnsi="宋体" w:cs="宋体" w:eastAsia="宋体" w:hint="default"/>
          <w:sz w:val="18"/>
          <w:szCs w:val="18"/>
        </w:rPr>
        <w:t>先生，董事长，简历见第六节之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三、股东和实际控制人情况</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b/>
          <w:bCs/>
          <w:sz w:val="18"/>
          <w:szCs w:val="18"/>
        </w:rPr>
        <w:t>李力</w:t>
      </w:r>
      <w:r>
        <w:rPr>
          <w:rFonts w:ascii="宋体" w:hAnsi="宋体" w:cs="宋体" w:eastAsia="宋体" w:hint="default"/>
          <w:sz w:val="18"/>
          <w:szCs w:val="18"/>
        </w:rPr>
        <w:t>先生，总经理，简历见第六节之</w:t>
      </w:r>
      <w:r>
        <w:rPr>
          <w:rFonts w:ascii="Times New Roman" w:hAnsi="Times New Roman" w:cs="Times New Roman" w:eastAsia="Times New Roman" w:hint="default"/>
          <w:sz w:val="18"/>
          <w:szCs w:val="18"/>
        </w:rPr>
        <w:t>“</w:t>
      </w:r>
      <w:r>
        <w:rPr>
          <w:rFonts w:ascii="宋体" w:hAnsi="宋体" w:cs="宋体" w:eastAsia="宋体" w:hint="default"/>
          <w:sz w:val="18"/>
          <w:szCs w:val="18"/>
        </w:rPr>
        <w:t>三、股东和实际控制人情况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451" w:lineRule="auto" w:before="37"/>
        <w:ind w:right="1132" w:firstLine="361"/>
        <w:jc w:val="both"/>
      </w:pPr>
      <w:r>
        <w:rPr>
          <w:rFonts w:ascii="宋体" w:hAnsi="宋体" w:cs="宋体" w:eastAsia="宋体" w:hint="default"/>
          <w:b/>
          <w:bCs/>
          <w:spacing w:val="-2"/>
        </w:rPr>
        <w:t>黄松浪</w:t>
      </w:r>
      <w:r>
        <w:rPr>
          <w:spacing w:val="-2"/>
        </w:rPr>
        <w:t>先生，</w:t>
      </w:r>
      <w:r>
        <w:rPr>
          <w:rFonts w:ascii="Times New Roman" w:hAnsi="Times New Roman" w:cs="Times New Roman" w:eastAsia="Times New Roman" w:hint="default"/>
          <w:spacing w:val="-2"/>
        </w:rPr>
        <w:t>1968</w:t>
      </w:r>
      <w:r>
        <w:rPr>
          <w:spacing w:val="-2"/>
        </w:rPr>
        <w:t>年出生，中国国籍，无境外永久居留权。毕业于清华大学，软件工程硕士学位，</w:t>
      </w:r>
      <w:r>
        <w:rPr>
          <w:rFonts w:ascii="Times New Roman" w:hAnsi="Times New Roman" w:cs="Times New Roman" w:eastAsia="Times New Roman" w:hint="default"/>
          <w:spacing w:val="-2"/>
        </w:rPr>
        <w:t>2002</w:t>
      </w:r>
      <w:r>
        <w:rPr>
          <w:spacing w:val="-2"/>
        </w:rPr>
        <w:t>年获美国新泽西</w:t>
      </w:r>
      <w:r>
        <w:rPr/>
        <w:t> </w:t>
      </w:r>
      <w:r>
        <w:rPr>
          <w:spacing w:val="-2"/>
        </w:rPr>
        <w:t>州立大学</w:t>
      </w:r>
      <w:r>
        <w:rPr>
          <w:rFonts w:ascii="Times New Roman" w:hAnsi="Times New Roman" w:cs="Times New Roman" w:eastAsia="Times New Roman" w:hint="default"/>
          <w:spacing w:val="-2"/>
        </w:rPr>
        <w:t>Rutgers</w:t>
      </w:r>
      <w:r>
        <w:rPr>
          <w:spacing w:val="-2"/>
        </w:rPr>
        <w:t>商学院</w:t>
      </w:r>
      <w:r>
        <w:rPr>
          <w:rFonts w:ascii="Times New Roman" w:hAnsi="Times New Roman" w:cs="Times New Roman" w:eastAsia="Times New Roman" w:hint="default"/>
          <w:spacing w:val="-2"/>
        </w:rPr>
        <w:t>EMBA</w:t>
      </w:r>
      <w:r>
        <w:rPr>
          <w:spacing w:val="-2"/>
        </w:rPr>
        <w:t>学位；曾任吉通通信有限公司技术总体部经理、中国惠普有限公司软件业务部总经理、上海联</w:t>
      </w:r>
    </w:p>
    <w:p>
      <w:pPr>
        <w:spacing w:after="0" w:line="451" w:lineRule="auto"/>
        <w:jc w:val="both"/>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63" w:lineRule="auto" w:before="83"/>
        <w:ind w:left="1134" w:right="1032"/>
        <w:jc w:val="left"/>
      </w:pPr>
      <w:r>
        <w:rPr/>
        <w:t>盈数码技术有限公司董事、总经理；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月至今任公司副董事长、董事会秘书。现兼任大连华信计算机技术股份有限公</w:t>
      </w:r>
      <w:r>
        <w:rPr>
          <w:spacing w:val="-83"/>
        </w:rPr>
        <w:t> </w:t>
      </w:r>
      <w:r>
        <w:rPr>
          <w:spacing w:val="-83"/>
        </w:rPr>
      </w:r>
      <w:r>
        <w:rPr/>
        <w:t>司董事、重庆新媒农信科技有限公司执行董事、重庆新媒亿网科技有限公司执行董事、重庆新迈峰科技有限公司执行董事、 北京启天同信科技有限公司董事、北京中清龙图网络技术有限公司董事、</w:t>
      </w:r>
      <w:r>
        <w:rPr>
          <w:rFonts w:ascii="Times New Roman" w:hAnsi="Times New Roman" w:cs="Times New Roman" w:eastAsia="Times New Roman" w:hint="default"/>
        </w:rPr>
        <w:t>Ultrapower 360 Pte</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t>董事。</w:t>
      </w:r>
    </w:p>
    <w:p>
      <w:pPr>
        <w:pStyle w:val="BodyText"/>
        <w:spacing w:line="451" w:lineRule="auto" w:before="34"/>
        <w:ind w:right="1130" w:firstLine="361"/>
        <w:jc w:val="both"/>
      </w:pPr>
      <w:r>
        <w:rPr>
          <w:rFonts w:ascii="宋体" w:hAnsi="宋体" w:cs="宋体" w:eastAsia="宋体" w:hint="default"/>
          <w:b/>
          <w:bCs/>
          <w:spacing w:val="-2"/>
        </w:rPr>
        <w:t>万能</w:t>
      </w:r>
      <w:r>
        <w:rPr>
          <w:spacing w:val="-2"/>
        </w:rPr>
        <w:t>先生，</w:t>
      </w:r>
      <w:r>
        <w:rPr>
          <w:rFonts w:ascii="Times New Roman" w:hAnsi="Times New Roman" w:cs="Times New Roman" w:eastAsia="Times New Roman" w:hint="default"/>
          <w:spacing w:val="-2"/>
        </w:rPr>
        <w:t>1971</w:t>
      </w:r>
      <w:r>
        <w:rPr>
          <w:spacing w:val="-2"/>
        </w:rPr>
        <w:t>年出生，中国国籍，无永久境外居留权。毕业于北京科技大学；曾任北京科海天地电子技术有限公司技</w:t>
      </w:r>
      <w:r>
        <w:rPr/>
        <w:t> </w:t>
      </w:r>
      <w:r>
        <w:rPr>
          <w:spacing w:val="-2"/>
        </w:rPr>
        <w:t>术部经理、北京中自公司技术部经理、北京神州泰岳科技有限公司副经理；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5</w:t>
      </w:r>
      <w:r>
        <w:rPr>
          <w:spacing w:val="-2"/>
        </w:rPr>
        <w:t>月至今任公司董事，自</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月起担任</w:t>
      </w:r>
      <w:r>
        <w:rPr>
          <w:spacing w:val="-56"/>
        </w:rPr>
        <w:t> </w:t>
      </w:r>
      <w:r>
        <w:rPr/>
        <w:t>公司财务总监。兼任北京启天同信科技有限公司董事。</w:t>
      </w:r>
    </w:p>
    <w:p>
      <w:pPr>
        <w:pStyle w:val="BodyText"/>
        <w:spacing w:line="451" w:lineRule="auto" w:before="74"/>
        <w:ind w:right="1033" w:firstLine="361"/>
        <w:jc w:val="left"/>
      </w:pPr>
      <w:r>
        <w:rPr>
          <w:rFonts w:ascii="宋体" w:hAnsi="宋体" w:cs="宋体" w:eastAsia="宋体" w:hint="default"/>
          <w:b/>
          <w:bCs/>
          <w:spacing w:val="-2"/>
        </w:rPr>
        <w:t>齐强</w:t>
      </w:r>
      <w:r>
        <w:rPr>
          <w:spacing w:val="-2"/>
        </w:rPr>
        <w:t>先生，</w:t>
      </w:r>
      <w:r>
        <w:rPr>
          <w:rFonts w:ascii="Times New Roman" w:hAnsi="Times New Roman" w:cs="Times New Roman" w:eastAsia="Times New Roman" w:hint="default"/>
          <w:spacing w:val="-2"/>
        </w:rPr>
        <w:t>1970</w:t>
      </w:r>
      <w:r>
        <w:rPr>
          <w:spacing w:val="-2"/>
        </w:rPr>
        <w:t>年出生，中国国籍，无永久境外居留权。毕业于河北大学；曾任北京科海天地电子技术有限公司销售部</w:t>
      </w:r>
      <w:r>
        <w:rPr/>
        <w:t> 经理、北京中自公司销售部经理；</w:t>
      </w:r>
      <w:r>
        <w:rPr>
          <w:rFonts w:ascii="Times New Roman" w:hAnsi="Times New Roman" w:cs="Times New Roman" w:eastAsia="Times New Roman" w:hint="default"/>
        </w:rPr>
        <w:t>1997</w:t>
      </w:r>
      <w:r>
        <w:rPr/>
        <w:t>年至今历任北京神州泰岳科技有限公司副经理、北京启天同信科技有限公司总经理；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月至今任公司董事，兼任北京启天同信科技有限公司董事长、总经理。</w:t>
      </w:r>
    </w:p>
    <w:p>
      <w:pPr>
        <w:pStyle w:val="BodyText"/>
        <w:spacing w:line="451" w:lineRule="auto" w:before="43"/>
        <w:ind w:right="0" w:firstLine="361"/>
        <w:jc w:val="left"/>
      </w:pPr>
      <w:r>
        <w:rPr>
          <w:rFonts w:ascii="宋体" w:hAnsi="宋体" w:cs="宋体" w:eastAsia="宋体" w:hint="default"/>
          <w:b/>
          <w:bCs/>
          <w:spacing w:val="-4"/>
        </w:rPr>
        <w:t>徐斯平</w:t>
      </w:r>
      <w:r>
        <w:rPr>
          <w:spacing w:val="-4"/>
        </w:rPr>
        <w:t>先生，</w:t>
      </w:r>
      <w:r>
        <w:rPr>
          <w:rFonts w:ascii="Times New Roman" w:hAnsi="Times New Roman" w:cs="Times New Roman" w:eastAsia="Times New Roman" w:hint="default"/>
          <w:spacing w:val="-4"/>
        </w:rPr>
        <w:t>1958</w:t>
      </w:r>
      <w:r>
        <w:rPr>
          <w:spacing w:val="-4"/>
        </w:rPr>
        <w:t>年出生，中国国籍，无永久境外居留权。毕业于大连理工大学；曾先后任职于国家计委、国家经贸委、</w:t>
      </w:r>
      <w:r>
        <w:rPr/>
        <w:t> 香港江胜集团、北京思乐信息技术有限公司；</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月至今任公司董事。兼任北京互联时代通讯科技有限公司董事、北京</w:t>
      </w:r>
      <w:r>
        <w:rPr>
          <w:spacing w:val="-83"/>
        </w:rPr>
        <w:t> </w:t>
      </w:r>
      <w:r>
        <w:rPr>
          <w:spacing w:val="-83"/>
        </w:rPr>
      </w:r>
      <w:r>
        <w:rPr/>
        <w:t>启天同信科技有限公司董事、上海大渡新物流有限公司执行董事及总经理、北京顺通典当有限责任公司董事。</w:t>
      </w:r>
    </w:p>
    <w:p>
      <w:pPr>
        <w:pStyle w:val="BodyText"/>
        <w:spacing w:line="456" w:lineRule="auto" w:before="74"/>
        <w:ind w:right="0" w:firstLine="361"/>
        <w:jc w:val="left"/>
      </w:pPr>
      <w:r>
        <w:rPr>
          <w:rFonts w:ascii="宋体" w:hAnsi="宋体" w:cs="宋体" w:eastAsia="宋体" w:hint="default"/>
          <w:b/>
          <w:bCs/>
          <w:spacing w:val="-2"/>
        </w:rPr>
        <w:t>翟一兵</w:t>
      </w:r>
      <w:r>
        <w:rPr>
          <w:spacing w:val="-2"/>
        </w:rPr>
        <w:t>先生，</w:t>
      </w:r>
      <w:r>
        <w:rPr>
          <w:rFonts w:ascii="Times New Roman" w:hAnsi="Times New Roman" w:cs="Times New Roman" w:eastAsia="Times New Roman" w:hint="default"/>
          <w:spacing w:val="-2"/>
        </w:rPr>
        <w:t>1963</w:t>
      </w:r>
      <w:r>
        <w:rPr>
          <w:spacing w:val="-2"/>
        </w:rPr>
        <w:t>年出生，中国国籍，无永久境外居留权，教授级高级工程师。</w:t>
      </w:r>
      <w:r>
        <w:rPr>
          <w:rFonts w:ascii="Times New Roman" w:hAnsi="Times New Roman" w:cs="Times New Roman" w:eastAsia="Times New Roman" w:hint="default"/>
          <w:spacing w:val="-2"/>
        </w:rPr>
        <w:t>1986</w:t>
      </w:r>
      <w:r>
        <w:rPr>
          <w:spacing w:val="-2"/>
        </w:rPr>
        <w:t>年毕业于北京邮电学院无线电工程</w:t>
      </w:r>
      <w:r>
        <w:rPr/>
        <w:t> </w:t>
      </w:r>
      <w:r>
        <w:rPr>
          <w:spacing w:val="-2"/>
        </w:rPr>
        <w:t>专业，留校后任计算机工程系助教；先后获得挪威商学院硕士学位和法国雷恩商学院博士学位。</w:t>
      </w:r>
      <w:r>
        <w:rPr>
          <w:rFonts w:ascii="Times New Roman" w:hAnsi="Times New Roman" w:cs="Times New Roman" w:eastAsia="Times New Roman" w:hint="default"/>
          <w:spacing w:val="-2"/>
        </w:rPr>
        <w:t>1990</w:t>
      </w:r>
      <w:r>
        <w:rPr>
          <w:spacing w:val="-2"/>
        </w:rPr>
        <w:t>年进入邮电部电信总局</w:t>
      </w:r>
      <w:r>
        <w:rPr>
          <w:spacing w:val="-61"/>
        </w:rPr>
        <w:t> </w:t>
      </w:r>
      <w:r>
        <w:rPr>
          <w:spacing w:val="-2"/>
        </w:rPr>
        <w:t>工作，曾任科员、主任、局长助理；在地方挂职锻炼任职副市长；中国移动通信集团公司筹备办公室主任、中国移动通信集</w:t>
      </w:r>
      <w:r>
        <w:rPr>
          <w:spacing w:val="-67"/>
        </w:rPr>
        <w:t> </w:t>
      </w:r>
      <w:r>
        <w:rPr>
          <w:spacing w:val="-67"/>
        </w:rPr>
      </w:r>
      <w:r>
        <w:rPr>
          <w:spacing w:val="-2"/>
        </w:rPr>
        <w:t>团公司网络部副部长；</w:t>
      </w:r>
      <w:r>
        <w:rPr>
          <w:rFonts w:ascii="Times New Roman" w:hAnsi="Times New Roman" w:cs="Times New Roman" w:eastAsia="Times New Roman" w:hint="default"/>
          <w:spacing w:val="-2"/>
        </w:rPr>
        <w:t>2002</w:t>
      </w:r>
      <w:r>
        <w:rPr>
          <w:spacing w:val="-2"/>
        </w:rPr>
        <w:t>年在中国联合通信有限公司曾任移动部、增值业务部、营销部副总经理；</w:t>
      </w:r>
      <w:r>
        <w:rPr>
          <w:rFonts w:ascii="Times New Roman" w:hAnsi="Times New Roman" w:cs="Times New Roman" w:eastAsia="Times New Roman" w:hint="default"/>
          <w:spacing w:val="-2"/>
        </w:rPr>
        <w:t>2007</w:t>
      </w:r>
      <w:r>
        <w:rPr>
          <w:spacing w:val="-2"/>
        </w:rPr>
        <w:t>年任联通时科信息</w:t>
      </w:r>
      <w:r>
        <w:rPr>
          <w:spacing w:val="-56"/>
        </w:rPr>
        <w:t> </w:t>
      </w:r>
      <w:r>
        <w:rPr>
          <w:spacing w:val="-1"/>
        </w:rPr>
        <w:t>技术有限公司董事、首席执行官；</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月，担任公司首席运营官（</w:t>
      </w:r>
      <w:r>
        <w:rPr>
          <w:rFonts w:ascii="Times New Roman" w:hAnsi="Times New Roman" w:cs="Times New Roman" w:eastAsia="Times New Roman" w:hint="default"/>
          <w:spacing w:val="-1"/>
        </w:rPr>
        <w:t>COO</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月至今担任公司董事兼首席运营官。</w:t>
      </w:r>
      <w:r>
        <w:rPr>
          <w:spacing w:val="-47"/>
        </w:rPr>
        <w:t> </w:t>
      </w:r>
      <w:r>
        <w:rPr>
          <w:spacing w:val="-47"/>
        </w:rPr>
      </w:r>
      <w:r>
        <w:rPr/>
        <w:t>兼任北京神州泰岳智能数据技术有限公司执行董事。</w:t>
      </w:r>
    </w:p>
    <w:p>
      <w:pPr>
        <w:pStyle w:val="BodyText"/>
        <w:spacing w:line="451" w:lineRule="auto" w:before="70"/>
        <w:ind w:right="1024" w:firstLine="361"/>
        <w:jc w:val="left"/>
      </w:pPr>
      <w:r>
        <w:rPr>
          <w:rFonts w:ascii="宋体" w:hAnsi="宋体" w:cs="宋体" w:eastAsia="宋体" w:hint="default"/>
          <w:b/>
          <w:bCs/>
        </w:rPr>
        <w:t>汪铖</w:t>
      </w:r>
      <w:r>
        <w:rPr/>
        <w:t>先生，</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w:t>
      </w:r>
      <w:r>
        <w:rPr/>
        <w:t>月出生，中国国籍，无永久境外居留权。毕业于武汉测绘科技大学，学士学位。曾任兆维集团通信 工程师、联想集团销售经理，北京互联时代通讯科技有限公司总经理，北京新媒传信科技有限公司总经理；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月，担</w:t>
      </w:r>
      <w:r>
        <w:rPr>
          <w:spacing w:val="-84"/>
        </w:rPr>
        <w:t> </w:t>
      </w:r>
      <w:r>
        <w:rPr>
          <w:spacing w:val="-84"/>
        </w:rPr>
      </w:r>
      <w:r>
        <w:rPr>
          <w:spacing w:val="-3"/>
        </w:rPr>
        <w:t>任公司副总经理，</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月至今任公司董事。兼任北京新媒传信科技有限公司执行董事、北京启天同信科技有限公司董事、</w:t>
      </w:r>
      <w:r>
        <w:rPr/>
        <w:t> </w:t>
      </w:r>
      <w:r>
        <w:rPr>
          <w:rFonts w:ascii="Times New Roman" w:hAnsi="Times New Roman" w:cs="Times New Roman" w:eastAsia="Times New Roman" w:hint="default"/>
        </w:rPr>
        <w:t>Ultrapower</w:t>
      </w:r>
      <w:r>
        <w:rPr>
          <w:rFonts w:ascii="Times New Roman" w:hAnsi="Times New Roman" w:cs="Times New Roman" w:eastAsia="Times New Roman" w:hint="default"/>
          <w:spacing w:val="-25"/>
        </w:rPr>
        <w:t> </w:t>
      </w:r>
      <w:r>
        <w:rPr>
          <w:rFonts w:ascii="Times New Roman" w:hAnsi="Times New Roman" w:cs="Times New Roman" w:eastAsia="Times New Roman" w:hint="default"/>
        </w:rPr>
        <w:t>360</w:t>
      </w:r>
      <w:r>
        <w:rPr>
          <w:rFonts w:ascii="Times New Roman" w:hAnsi="Times New Roman" w:cs="Times New Roman" w:eastAsia="Times New Roman" w:hint="default"/>
          <w:spacing w:val="-26"/>
        </w:rPr>
        <w:t> </w:t>
      </w:r>
      <w:r>
        <w:rPr>
          <w:rFonts w:ascii="Times New Roman" w:hAnsi="Times New Roman" w:cs="Times New Roman" w:eastAsia="Times New Roman" w:hint="default"/>
        </w:rPr>
        <w:t>Pte</w:t>
      </w:r>
      <w:r>
        <w:rPr>
          <w:rFonts w:ascii="Times New Roman" w:hAnsi="Times New Roman" w:cs="Times New Roman" w:eastAsia="Times New Roman" w:hint="default"/>
          <w:spacing w:val="-25"/>
        </w:rPr>
        <w:t> </w:t>
      </w:r>
      <w:r>
        <w:rPr>
          <w:rFonts w:ascii="Times New Roman" w:hAnsi="Times New Roman" w:cs="Times New Roman" w:eastAsia="Times New Roman" w:hint="default"/>
        </w:rPr>
        <w:t>Ltd</w:t>
      </w:r>
      <w:r>
        <w:rPr/>
        <w:t>董事、北京神州泰奇互动科技有限公司执行董事、北京泰岳智桥信息技术有限公司执行董事及总经理、 </w:t>
      </w:r>
      <w:r>
        <w:rPr>
          <w:spacing w:val="-4"/>
        </w:rPr>
        <w:t>宁波泰岳梧桐投资管理有限公司董事及总经理、北京光合起源网络科技有限公司董事、北京诚行天下投资咨询有限公司董事。</w:t>
      </w:r>
    </w:p>
    <w:p>
      <w:pPr>
        <w:pStyle w:val="BodyText"/>
        <w:spacing w:line="468" w:lineRule="auto" w:before="74"/>
        <w:ind w:left="1134" w:right="1032" w:firstLine="361"/>
        <w:jc w:val="left"/>
      </w:pPr>
      <w:r>
        <w:rPr>
          <w:rFonts w:ascii="宋体" w:hAnsi="宋体" w:cs="宋体" w:eastAsia="宋体" w:hint="default"/>
          <w:b/>
          <w:bCs/>
          <w:spacing w:val="-2"/>
        </w:rPr>
        <w:t>江锡如</w:t>
      </w:r>
      <w:r>
        <w:rPr>
          <w:spacing w:val="-2"/>
        </w:rPr>
        <w:t>先生，</w:t>
      </w:r>
      <w:r>
        <w:rPr>
          <w:rFonts w:ascii="Times New Roman" w:hAnsi="Times New Roman" w:cs="Times New Roman" w:eastAsia="Times New Roman" w:hint="default"/>
          <w:spacing w:val="-2"/>
        </w:rPr>
        <w:t>1965</w:t>
      </w:r>
      <w:r>
        <w:rPr>
          <w:spacing w:val="-2"/>
        </w:rPr>
        <w:t>年出生，中国国籍，无永久境外居留权。毕业于中国人民大学，获经济学学士学位，高级会计师，党</w:t>
      </w:r>
      <w:r>
        <w:rPr/>
        <w:t> </w:t>
      </w:r>
      <w:r>
        <w:rPr>
          <w:spacing w:val="-2"/>
        </w:rPr>
        <w:t>员。曾任财政部办公厅秘书；财政部原商贸司副处长；财政部经贸司及企业司副处长；财政部企业司正处级调研员；中投信</w:t>
      </w:r>
      <w:r>
        <w:rPr>
          <w:spacing w:val="-66"/>
        </w:rPr>
        <w:t> </w:t>
      </w:r>
      <w:r>
        <w:rPr>
          <w:spacing w:val="-66"/>
        </w:rPr>
      </w:r>
      <w:r>
        <w:rPr/>
        <w:t>用担保有限公司财务总监兼财务部总经理。现任中国华粮物流集团公司副总经理；北京立思辰科技股份有限公司独立董事。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月至今担任公司独立董事。</w:t>
      </w:r>
    </w:p>
    <w:p>
      <w:pPr>
        <w:pStyle w:val="BodyText"/>
        <w:spacing w:line="451" w:lineRule="auto" w:before="30"/>
        <w:ind w:right="1129" w:firstLine="361"/>
        <w:jc w:val="both"/>
      </w:pPr>
      <w:r>
        <w:rPr>
          <w:rFonts w:ascii="宋体" w:hAnsi="宋体" w:cs="宋体" w:eastAsia="宋体" w:hint="default"/>
          <w:b/>
          <w:bCs/>
          <w:spacing w:val="-2"/>
        </w:rPr>
        <w:t>刘凯湘</w:t>
      </w:r>
      <w:r>
        <w:rPr>
          <w:spacing w:val="-2"/>
        </w:rPr>
        <w:t>先生，</w:t>
      </w:r>
      <w:r>
        <w:rPr>
          <w:rFonts w:ascii="Times New Roman" w:hAnsi="Times New Roman" w:cs="Times New Roman" w:eastAsia="Times New Roman" w:hint="default"/>
          <w:spacing w:val="-2"/>
        </w:rPr>
        <w:t>1964</w:t>
      </w:r>
      <w:r>
        <w:rPr>
          <w:spacing w:val="-2"/>
        </w:rPr>
        <w:t>年出生，中国国籍，无永久境外居留权，博士学历，教授，仲裁员。</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5</w:t>
      </w:r>
      <w:r>
        <w:rPr>
          <w:spacing w:val="-2"/>
        </w:rPr>
        <w:t>月任北京工</w:t>
      </w:r>
      <w:r>
        <w:rPr/>
        <w:t> 商大学教授，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月至今任北京大学教授、博士生导师。兼任中国国际经济贸易仲裁委员会仲裁员，新加坡国际仲裁院</w:t>
      </w:r>
      <w:r>
        <w:rPr>
          <w:spacing w:val="-83"/>
        </w:rPr>
        <w:t> </w:t>
      </w:r>
      <w:r>
        <w:rPr>
          <w:spacing w:val="-83"/>
        </w:rPr>
      </w:r>
      <w:r>
        <w:rPr>
          <w:spacing w:val="-2"/>
        </w:rPr>
        <w:t>仲裁员，北京仲裁委员会仲裁员，中国商法学研究会副会长，中国民法学研究会常务理事，北京市民商法研究会副会长，湖</w:t>
      </w:r>
    </w:p>
    <w:p>
      <w:pPr>
        <w:spacing w:after="0" w:line="451" w:lineRule="auto"/>
        <w:jc w:val="both"/>
        <w:sectPr>
          <w:pgSz w:w="11910" w:h="16840"/>
          <w:pgMar w:header="851" w:footer="979" w:top="1380" w:bottom="1160" w:left="0" w:right="0"/>
        </w:sectPr>
      </w:pPr>
    </w:p>
    <w:p>
      <w:pPr>
        <w:pStyle w:val="BodyText"/>
        <w:spacing w:line="477" w:lineRule="auto" w:before="141"/>
        <w:ind w:right="0"/>
        <w:jc w:val="left"/>
      </w:pPr>
      <w:r>
        <w:rPr>
          <w:spacing w:val="-2"/>
        </w:rPr>
        <w:t>南大学、上海大学、北京工商大学、澳门科技大学等兼职教授；国家统计局、河北省人大常委会等专家咨询委员会委员；太</w:t>
      </w:r>
      <w:r>
        <w:rPr>
          <w:spacing w:val="-67"/>
        </w:rPr>
        <w:t> </w:t>
      </w:r>
      <w:r>
        <w:rPr>
          <w:spacing w:val="-67"/>
        </w:rPr>
      </w:r>
      <w:r>
        <w:rPr/>
        <w:t>极计算机股份有限公司独立董事、北京东方园林股份有限公司独立董事。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月至今担任公司独立董事。</w:t>
      </w:r>
    </w:p>
    <w:p>
      <w:pPr>
        <w:pStyle w:val="BodyText"/>
        <w:spacing w:line="463" w:lineRule="auto" w:before="21"/>
        <w:ind w:right="1132" w:firstLine="361"/>
        <w:jc w:val="both"/>
      </w:pPr>
      <w:r>
        <w:rPr>
          <w:rFonts w:ascii="宋体" w:hAnsi="宋体" w:cs="宋体" w:eastAsia="宋体" w:hint="default"/>
          <w:b/>
          <w:bCs/>
          <w:spacing w:val="-2"/>
        </w:rPr>
        <w:t>蓝伯雄</w:t>
      </w:r>
      <w:r>
        <w:rPr>
          <w:spacing w:val="-2"/>
        </w:rPr>
        <w:t>先生，</w:t>
      </w:r>
      <w:r>
        <w:rPr>
          <w:rFonts w:ascii="Times New Roman" w:hAnsi="Times New Roman" w:cs="Times New Roman" w:eastAsia="Times New Roman" w:hint="default"/>
          <w:spacing w:val="-2"/>
        </w:rPr>
        <w:t>1950</w:t>
      </w:r>
      <w:r>
        <w:rPr>
          <w:spacing w:val="-2"/>
        </w:rPr>
        <w:t>年出生，中国国籍，无永久境外居留权，教授。</w:t>
      </w:r>
      <w:r>
        <w:rPr>
          <w:rFonts w:ascii="Times New Roman" w:hAnsi="Times New Roman" w:cs="Times New Roman" w:eastAsia="Times New Roman" w:hint="default"/>
          <w:spacing w:val="-2"/>
        </w:rPr>
        <w:t>1993</w:t>
      </w:r>
      <w:r>
        <w:rPr>
          <w:spacing w:val="-2"/>
        </w:rPr>
        <w:t>年毕业于加拿大滑铁卢大学管理科学系，获管理</w:t>
      </w:r>
      <w:r>
        <w:rPr/>
        <w:t> </w:t>
      </w:r>
      <w:r>
        <w:rPr>
          <w:spacing w:val="-2"/>
        </w:rPr>
        <w:t>科学博士学位。曾任清华大学经济管理学院副院长、教授，中国运筹学会、北京运筹学会常务理事，美国运筹与管理科学学</w:t>
      </w:r>
      <w:r>
        <w:rPr>
          <w:spacing w:val="-66"/>
        </w:rPr>
        <w:t> </w:t>
      </w:r>
      <w:r>
        <w:rPr>
          <w:spacing w:val="-66"/>
        </w:rPr>
      </w:r>
      <w:r>
        <w:rPr/>
        <w:t>会会员，现已退休。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月至今担任公司独立董事。</w:t>
      </w:r>
    </w:p>
    <w:p>
      <w:pPr>
        <w:pStyle w:val="BodyText"/>
        <w:spacing w:line="458" w:lineRule="auto" w:before="33"/>
        <w:ind w:right="1033" w:firstLine="361"/>
        <w:jc w:val="left"/>
      </w:pPr>
      <w:r>
        <w:rPr>
          <w:rFonts w:ascii="宋体" w:hAnsi="宋体" w:cs="宋体" w:eastAsia="宋体" w:hint="default"/>
          <w:b/>
          <w:bCs/>
        </w:rPr>
        <w:t>罗建北</w:t>
      </w:r>
      <w:r>
        <w:rPr/>
        <w:t>女士，</w:t>
      </w:r>
      <w:r>
        <w:rPr>
          <w:rFonts w:ascii="Times New Roman" w:hAnsi="Times New Roman" w:cs="Times New Roman" w:eastAsia="Times New Roman" w:hint="default"/>
        </w:rPr>
        <w:t>1945</w:t>
      </w:r>
      <w:r>
        <w:rPr/>
        <w:t>年</w:t>
      </w:r>
      <w:r>
        <w:rPr>
          <w:rFonts w:ascii="Times New Roman" w:hAnsi="Times New Roman" w:cs="Times New Roman" w:eastAsia="Times New Roman" w:hint="default"/>
        </w:rPr>
        <w:t>11</w:t>
      </w:r>
      <w:r>
        <w:rPr/>
        <w:t>月出生，中国国籍，无永久境外居留权，本科学历、研究员。</w:t>
      </w:r>
      <w:r>
        <w:rPr>
          <w:rFonts w:ascii="Times New Roman" w:hAnsi="Times New Roman" w:cs="Times New Roman" w:eastAsia="Times New Roman" w:hint="default"/>
        </w:rPr>
        <w:t>1970</w:t>
      </w:r>
      <w:r>
        <w:rPr/>
        <w:t>年至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3</w:t>
      </w:r>
      <w:r>
        <w:rPr/>
        <w:t>月任清华大学计 算机系党委书记、副教授；</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月任清华大学软件技术中心主任；</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w:t>
      </w:r>
      <w:r>
        <w:rPr/>
        <w:t>月任清华同方股份</w:t>
      </w:r>
      <w:r>
        <w:rPr>
          <w:spacing w:val="-83"/>
        </w:rPr>
        <w:t> </w:t>
      </w:r>
      <w:r>
        <w:rPr>
          <w:spacing w:val="-83"/>
        </w:rPr>
      </w:r>
      <w:r>
        <w:rPr/>
        <w:t>有限公司董事、常务副总裁；</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月任清华科技园副主任、启迪控股股份有限公司副总裁；</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月正式</w:t>
      </w:r>
      <w:r>
        <w:rPr>
          <w:spacing w:val="-83"/>
        </w:rPr>
        <w:t> </w:t>
      </w:r>
      <w:r>
        <w:rPr/>
        <w:t>退休。现兼任北京昆仑万维科技股份有限公司独立董事、山东齐星铁塔科技股份有限公司独立董事、双清诚德科技（北京） 有限公司董事、苏州清桥电子科技有限公司董事。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月至今担任公司独立董事。</w:t>
      </w:r>
    </w:p>
    <w:p>
      <w:pPr>
        <w:pStyle w:val="BodyText"/>
        <w:spacing w:line="451" w:lineRule="auto" w:before="36"/>
        <w:ind w:left="1494" w:right="5532"/>
        <w:jc w:val="left"/>
      </w:pPr>
      <w:r>
        <w:rPr>
          <w:rFonts w:ascii="Times New Roman" w:hAnsi="Times New Roman" w:cs="Times New Roman" w:eastAsia="Times New Roman" w:hint="default"/>
        </w:rPr>
        <w:t>2</w:t>
      </w:r>
      <w:r>
        <w:rPr/>
        <w:t>、监事 公司监事会由三名监事组成，其中职工监事一人，具体如下：</w:t>
      </w:r>
    </w:p>
    <w:p>
      <w:pPr>
        <w:pStyle w:val="BodyText"/>
        <w:spacing w:line="451" w:lineRule="auto" w:before="74"/>
        <w:ind w:right="1033" w:firstLine="361"/>
        <w:jc w:val="left"/>
      </w:pPr>
      <w:r>
        <w:rPr>
          <w:rFonts w:ascii="宋体" w:hAnsi="宋体" w:cs="宋体" w:eastAsia="宋体" w:hint="default"/>
          <w:b/>
          <w:bCs/>
          <w:spacing w:val="-2"/>
        </w:rPr>
        <w:t>李广刚</w:t>
      </w:r>
      <w:r>
        <w:rPr>
          <w:spacing w:val="-2"/>
        </w:rPr>
        <w:t>先生，公司监事会主席，</w:t>
      </w:r>
      <w:r>
        <w:rPr>
          <w:rFonts w:ascii="Times New Roman" w:hAnsi="Times New Roman" w:cs="Times New Roman" w:eastAsia="Times New Roman" w:hint="default"/>
          <w:spacing w:val="-2"/>
        </w:rPr>
        <w:t>1978</w:t>
      </w:r>
      <w:r>
        <w:rPr>
          <w:spacing w:val="-2"/>
        </w:rPr>
        <w:t>年出生，中国国籍，无永久境外居留权。毕业于济南大学；曾任北京泰立特科技发</w:t>
      </w:r>
      <w:r>
        <w:rPr/>
        <w:t> 展有限公司青岛分公司软件工程师、北京新晨科技股份有限公司客户经理、联盈数码公司客户经理；</w:t>
      </w:r>
      <w:r>
        <w:rPr>
          <w:rFonts w:ascii="Times New Roman" w:hAnsi="Times New Roman" w:cs="Times New Roman" w:eastAsia="Times New Roman" w:hint="default"/>
        </w:rPr>
        <w:t>2005</w:t>
      </w:r>
      <w:r>
        <w:rPr/>
        <w:t>年加入神州泰岳， 历任公司销售经理、销售总监、政启事业部副总经理、正启分公司副总经理；现任正启分公司总经理。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月至今担任</w:t>
      </w:r>
      <w:r>
        <w:rPr>
          <w:spacing w:val="-81"/>
        </w:rPr>
        <w:t> </w:t>
      </w:r>
      <w:r>
        <w:rPr/>
        <w:t>公司监事会主席。</w:t>
      </w:r>
    </w:p>
    <w:p>
      <w:pPr>
        <w:pStyle w:val="BodyText"/>
        <w:spacing w:line="451" w:lineRule="auto" w:before="74"/>
        <w:ind w:left="1134" w:right="1132" w:firstLine="361"/>
        <w:jc w:val="both"/>
      </w:pPr>
      <w:r>
        <w:rPr>
          <w:rFonts w:ascii="宋体" w:hAnsi="宋体" w:cs="宋体" w:eastAsia="宋体" w:hint="default"/>
          <w:b/>
          <w:bCs/>
          <w:spacing w:val="-2"/>
        </w:rPr>
        <w:t>丁彦超</w:t>
      </w:r>
      <w:r>
        <w:rPr>
          <w:spacing w:val="-2"/>
        </w:rPr>
        <w:t>先生，公司监事，</w:t>
      </w:r>
      <w:r>
        <w:rPr>
          <w:rFonts w:ascii="Times New Roman" w:hAnsi="Times New Roman" w:cs="Times New Roman" w:eastAsia="Times New Roman" w:hint="default"/>
          <w:spacing w:val="-2"/>
        </w:rPr>
        <w:t>1968</w:t>
      </w:r>
      <w:r>
        <w:rPr>
          <w:spacing w:val="-2"/>
        </w:rPr>
        <w:t>年出生，中国国籍，无永久境外居留权。毕业于西北大学计算机系；曾任天津石化公司计</w:t>
      </w:r>
      <w:r>
        <w:rPr/>
        <w:t> </w:t>
      </w:r>
      <w:r>
        <w:rPr>
          <w:spacing w:val="-2"/>
        </w:rPr>
        <w:t>算机中心软件工程师，</w:t>
      </w:r>
      <w:r>
        <w:rPr>
          <w:rFonts w:ascii="Times New Roman" w:hAnsi="Times New Roman" w:cs="Times New Roman" w:eastAsia="Times New Roman" w:hint="default"/>
          <w:spacing w:val="-2"/>
        </w:rPr>
        <w:t>2002</w:t>
      </w:r>
      <w:r>
        <w:rPr>
          <w:spacing w:val="-2"/>
        </w:rPr>
        <w:t>年至今历任公司研发工程师、网管项目管理部技术主管；</w:t>
      </w:r>
      <w:r>
        <w:rPr>
          <w:rFonts w:ascii="Times New Roman" w:hAnsi="Times New Roman" w:cs="Times New Roman" w:eastAsia="Times New Roman" w:hint="default"/>
          <w:spacing w:val="-2"/>
        </w:rPr>
        <w:t>2008</w:t>
      </w:r>
      <w:r>
        <w:rPr>
          <w:spacing w:val="-2"/>
        </w:rPr>
        <w:t>年至今担任公司项目管理部技术主</w:t>
      </w:r>
      <w:r>
        <w:rPr>
          <w:spacing w:val="-58"/>
        </w:rPr>
        <w:t> </w:t>
      </w:r>
      <w:r>
        <w:rPr/>
        <w:t>管。</w:t>
      </w:r>
    </w:p>
    <w:p>
      <w:pPr>
        <w:pStyle w:val="BodyText"/>
        <w:spacing w:line="451" w:lineRule="auto" w:before="74"/>
        <w:ind w:right="1121" w:firstLine="361"/>
        <w:jc w:val="left"/>
      </w:pPr>
      <w:r>
        <w:rPr>
          <w:rFonts w:ascii="宋体" w:hAnsi="宋体" w:cs="宋体" w:eastAsia="宋体" w:hint="default"/>
          <w:b/>
          <w:bCs/>
        </w:rPr>
        <w:t>郝岩</w:t>
      </w:r>
      <w:r>
        <w:rPr/>
        <w:t>女士，公司职工监事，</w:t>
      </w:r>
      <w:r>
        <w:rPr>
          <w:rFonts w:ascii="Times New Roman" w:hAnsi="Times New Roman" w:cs="Times New Roman" w:eastAsia="Times New Roman" w:hint="default"/>
        </w:rPr>
        <w:t>1980</w:t>
      </w:r>
      <w:r>
        <w:rPr/>
        <w:t>年出生，中国国籍，无永久境外居留权。毕业于北京林业大学；</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8</w:t>
      </w:r>
      <w:r>
        <w:rPr/>
        <w:t>月至今历任公 司行政部经理助理、经理。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月起任公司职工监事。</w:t>
      </w:r>
    </w:p>
    <w:p>
      <w:pPr>
        <w:pStyle w:val="BodyText"/>
        <w:spacing w:line="451" w:lineRule="auto" w:before="43"/>
        <w:ind w:left="1494" w:right="5280"/>
        <w:jc w:val="left"/>
      </w:pPr>
      <w:r>
        <w:rPr>
          <w:rFonts w:ascii="Times New Roman" w:hAnsi="Times New Roman" w:cs="Times New Roman" w:eastAsia="Times New Roman" w:hint="default"/>
        </w:rPr>
        <w:t>3</w:t>
      </w:r>
      <w:r>
        <w:rPr/>
        <w:t>、高级管理人员 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日，公司高级管理人员具体情况如下： </w:t>
      </w:r>
      <w:r>
        <w:rPr>
          <w:rFonts w:ascii="宋体" w:hAnsi="宋体" w:cs="宋体" w:eastAsia="宋体" w:hint="default"/>
          <w:b/>
          <w:bCs/>
        </w:rPr>
        <w:t>李力</w:t>
      </w:r>
      <w:r>
        <w:rPr/>
        <w:t>先生，公司总经理，简历见本节之</w:t>
      </w:r>
      <w:r>
        <w:rPr>
          <w:rFonts w:ascii="Times New Roman" w:hAnsi="Times New Roman" w:cs="Times New Roman" w:eastAsia="Times New Roman" w:hint="default"/>
        </w:rPr>
        <w:t>“1</w:t>
      </w:r>
      <w:r>
        <w:rPr/>
        <w:t>、董事会成员简介</w:t>
      </w:r>
      <w:r>
        <w:rPr>
          <w:rFonts w:ascii="Times New Roman" w:hAnsi="Times New Roman" w:cs="Times New Roman" w:eastAsia="Times New Roman" w:hint="default"/>
        </w:rPr>
        <w:t>”</w:t>
      </w:r>
      <w:r>
        <w:rPr/>
        <w:t>。 </w:t>
      </w:r>
      <w:r>
        <w:rPr>
          <w:rFonts w:ascii="宋体" w:hAnsi="宋体" w:cs="宋体" w:eastAsia="宋体" w:hint="default"/>
          <w:b/>
          <w:bCs/>
        </w:rPr>
        <w:t>黄松浪</w:t>
      </w:r>
      <w:r>
        <w:rPr/>
        <w:t>先生，董事会秘书，简历见本节之</w:t>
      </w:r>
      <w:r>
        <w:rPr>
          <w:rFonts w:ascii="Times New Roman" w:hAnsi="Times New Roman" w:cs="Times New Roman" w:eastAsia="Times New Roman" w:hint="default"/>
        </w:rPr>
        <w:t>“1</w:t>
      </w:r>
      <w:r>
        <w:rPr/>
        <w:t>、董事会成员简介</w:t>
      </w:r>
      <w:r>
        <w:rPr>
          <w:rFonts w:ascii="Times New Roman" w:hAnsi="Times New Roman" w:cs="Times New Roman" w:eastAsia="Times New Roman" w:hint="default"/>
        </w:rPr>
        <w:t>”</w:t>
      </w:r>
      <w:r>
        <w:rPr/>
        <w:t>。 </w:t>
      </w:r>
      <w:r>
        <w:rPr>
          <w:rFonts w:ascii="宋体" w:hAnsi="宋体" w:cs="宋体" w:eastAsia="宋体" w:hint="default"/>
          <w:b/>
          <w:bCs/>
        </w:rPr>
        <w:t>万能</w:t>
      </w:r>
      <w:r>
        <w:rPr/>
        <w:t>先生，财务总监，简历见本节之</w:t>
      </w:r>
      <w:r>
        <w:rPr>
          <w:rFonts w:ascii="Times New Roman" w:hAnsi="Times New Roman" w:cs="Times New Roman" w:eastAsia="Times New Roman" w:hint="default"/>
        </w:rPr>
        <w:t>“1</w:t>
      </w:r>
      <w:r>
        <w:rPr/>
        <w:t>、董事会成员简介</w:t>
      </w:r>
      <w:r>
        <w:rPr>
          <w:rFonts w:ascii="Times New Roman" w:hAnsi="Times New Roman" w:cs="Times New Roman" w:eastAsia="Times New Roman" w:hint="default"/>
        </w:rPr>
        <w:t>”</w:t>
      </w:r>
      <w:r>
        <w:rPr/>
        <w:t>。 </w:t>
      </w:r>
      <w:r>
        <w:rPr>
          <w:rFonts w:ascii="宋体" w:hAnsi="宋体" w:cs="宋体" w:eastAsia="宋体" w:hint="default"/>
          <w:b/>
          <w:bCs/>
        </w:rPr>
        <w:t>翟一兵</w:t>
      </w:r>
      <w:r>
        <w:rPr/>
        <w:t>先生，首席运营官，简历见本节之</w:t>
      </w:r>
      <w:r>
        <w:rPr>
          <w:rFonts w:ascii="Times New Roman" w:hAnsi="Times New Roman" w:cs="Times New Roman" w:eastAsia="Times New Roman" w:hint="default"/>
        </w:rPr>
        <w:t>“1</w:t>
      </w:r>
      <w:r>
        <w:rPr/>
        <w:t>、董事会成员简介</w:t>
      </w:r>
      <w:r>
        <w:rPr>
          <w:rFonts w:ascii="Times New Roman" w:hAnsi="Times New Roman" w:cs="Times New Roman" w:eastAsia="Times New Roman" w:hint="default"/>
        </w:rPr>
        <w:t>”</w:t>
      </w:r>
      <w:r>
        <w:rPr/>
        <w:t>。 </w:t>
      </w:r>
      <w:r>
        <w:rPr>
          <w:rFonts w:ascii="宋体" w:hAnsi="宋体" w:cs="宋体" w:eastAsia="宋体" w:hint="default"/>
          <w:b/>
          <w:bCs/>
        </w:rPr>
        <w:t>汪铖</w:t>
      </w:r>
      <w:r>
        <w:rPr/>
        <w:t>先生，公司副总经理，简历见本节之</w:t>
      </w:r>
      <w:r>
        <w:rPr>
          <w:rFonts w:ascii="Times New Roman" w:hAnsi="Times New Roman" w:cs="Times New Roman" w:eastAsia="Times New Roman" w:hint="default"/>
        </w:rPr>
        <w:t>“1</w:t>
      </w:r>
      <w:r>
        <w:rPr/>
        <w:t>、董事会成员简介</w:t>
      </w:r>
      <w:r>
        <w:rPr>
          <w:rFonts w:ascii="Times New Roman" w:hAnsi="Times New Roman" w:cs="Times New Roman" w:eastAsia="Times New Roman" w:hint="default"/>
        </w:rPr>
        <w:t>”</w:t>
      </w:r>
      <w:r>
        <w:rPr/>
        <w:t>。</w:t>
      </w:r>
    </w:p>
    <w:p>
      <w:pPr>
        <w:pStyle w:val="BodyText"/>
        <w:spacing w:line="451" w:lineRule="auto" w:before="43"/>
        <w:ind w:right="0" w:firstLine="361"/>
        <w:jc w:val="left"/>
      </w:pPr>
      <w:r>
        <w:rPr>
          <w:rFonts w:ascii="宋体" w:hAnsi="宋体" w:cs="宋体" w:eastAsia="宋体" w:hint="default"/>
          <w:b/>
          <w:bCs/>
          <w:spacing w:val="-2"/>
        </w:rPr>
        <w:t>许芃</w:t>
      </w:r>
      <w:r>
        <w:rPr>
          <w:spacing w:val="-2"/>
        </w:rPr>
        <w:t>先生，</w:t>
      </w:r>
      <w:r>
        <w:rPr>
          <w:rFonts w:ascii="Times New Roman" w:hAnsi="Times New Roman" w:cs="Times New Roman" w:eastAsia="Times New Roman" w:hint="default"/>
          <w:spacing w:val="-2"/>
        </w:rPr>
        <w:t>1973</w:t>
      </w:r>
      <w:r>
        <w:rPr>
          <w:spacing w:val="-2"/>
        </w:rPr>
        <w:t>年出生，中国国籍，无永久境外居留权。毕业于北京邮电大学；曾任秦皇岛电信局职员、中联集团工程</w:t>
      </w:r>
      <w:r>
        <w:rPr/>
        <w:t> 师、</w:t>
      </w:r>
      <w:r>
        <w:rPr>
          <w:rFonts w:ascii="Times New Roman" w:hAnsi="Times New Roman" w:cs="Times New Roman" w:eastAsia="Times New Roman" w:hint="default"/>
        </w:rPr>
        <w:t>CA</w:t>
      </w:r>
      <w:r>
        <w:rPr/>
        <w:t>公司工程师；</w:t>
      </w:r>
      <w:r>
        <w:rPr>
          <w:rFonts w:ascii="Times New Roman" w:hAnsi="Times New Roman" w:cs="Times New Roman" w:eastAsia="Times New Roman" w:hint="default"/>
        </w:rPr>
        <w:t>2002</w:t>
      </w:r>
      <w:r>
        <w:rPr/>
        <w:t>年至今历任公司系统网络事业部总经理、公司副总经理。现兼任天津泰岳小漫科技有限公司执行</w:t>
      </w:r>
    </w:p>
    <w:p>
      <w:pPr>
        <w:spacing w:after="0" w:line="451" w:lineRule="auto"/>
        <w:jc w:val="left"/>
        <w:sectPr>
          <w:pgSz w:w="11910" w:h="16840"/>
          <w:pgMar w:header="851" w:footer="979" w:top="1380" w:bottom="1160" w:left="0" w:right="0"/>
        </w:sectPr>
      </w:pPr>
    </w:p>
    <w:p>
      <w:pPr>
        <w:pStyle w:val="BodyText"/>
        <w:spacing w:line="240" w:lineRule="auto" w:before="141"/>
        <w:ind w:right="0"/>
        <w:jc w:val="left"/>
      </w:pPr>
      <w:r>
        <w:rPr/>
        <w:t>董事。</w:t>
      </w:r>
    </w:p>
    <w:p>
      <w:pPr>
        <w:spacing w:line="240" w:lineRule="auto" w:before="10"/>
        <w:rPr>
          <w:rFonts w:ascii="宋体" w:hAnsi="宋体" w:cs="宋体" w:eastAsia="宋体" w:hint="default"/>
          <w:sz w:val="17"/>
          <w:szCs w:val="17"/>
        </w:rPr>
      </w:pPr>
    </w:p>
    <w:p>
      <w:pPr>
        <w:pStyle w:val="BodyText"/>
        <w:spacing w:line="451" w:lineRule="auto"/>
        <w:ind w:right="1132" w:firstLine="361"/>
        <w:jc w:val="both"/>
      </w:pPr>
      <w:r>
        <w:rPr>
          <w:rFonts w:ascii="宋体" w:hAnsi="宋体" w:cs="宋体" w:eastAsia="宋体" w:hint="default"/>
          <w:b/>
          <w:bCs/>
          <w:spacing w:val="-2"/>
        </w:rPr>
        <w:t>张振鹏</w:t>
      </w:r>
      <w:r>
        <w:rPr>
          <w:spacing w:val="-2"/>
        </w:rPr>
        <w:t>先生，</w:t>
      </w:r>
      <w:r>
        <w:rPr>
          <w:rFonts w:ascii="Times New Roman" w:hAnsi="Times New Roman" w:cs="Times New Roman" w:eastAsia="Times New Roman" w:hint="default"/>
          <w:spacing w:val="-2"/>
        </w:rPr>
        <w:t>1961</w:t>
      </w:r>
      <w:r>
        <w:rPr>
          <w:spacing w:val="-2"/>
        </w:rPr>
        <w:t>年出生，中国国籍，无永久境外居留权。毕业于北京邮电学院，高级工程师；曾任石家庄邮电高等专</w:t>
      </w:r>
      <w:r>
        <w:rPr/>
        <w:t> 科学校团委书记、学生处处长、成教部主任、培训部主任等职；</w:t>
      </w:r>
      <w:r>
        <w:rPr>
          <w:rFonts w:ascii="Times New Roman" w:hAnsi="Times New Roman" w:cs="Times New Roman" w:eastAsia="Times New Roman" w:hint="default"/>
        </w:rPr>
        <w:t>2003</w:t>
      </w:r>
      <w:r>
        <w:rPr/>
        <w:t>年至今担任公司副总经理。</w:t>
      </w:r>
    </w:p>
    <w:p>
      <w:pPr>
        <w:pStyle w:val="BodyText"/>
        <w:spacing w:line="451" w:lineRule="auto" w:before="44"/>
        <w:ind w:right="1031" w:firstLine="361"/>
        <w:jc w:val="left"/>
      </w:pPr>
      <w:r>
        <w:rPr>
          <w:rFonts w:ascii="宋体" w:hAnsi="宋体" w:cs="宋体" w:eastAsia="宋体" w:hint="default"/>
          <w:b/>
          <w:bCs/>
        </w:rPr>
        <w:t>刘豪</w:t>
      </w:r>
      <w:r>
        <w:rPr/>
        <w:t>先生，</w:t>
      </w:r>
      <w:r>
        <w:rPr>
          <w:rFonts w:ascii="Times New Roman" w:hAnsi="Times New Roman" w:cs="Times New Roman" w:eastAsia="Times New Roman" w:hint="default"/>
        </w:rPr>
        <w:t>1972</w:t>
      </w:r>
      <w:r>
        <w:rPr/>
        <w:t>年出生，中国国籍，无永久境外居留权。毕业于西安理工大学；曾任金科集团公司金融行业销售经理、 中国惠普有限公司软件业务部销售经理、国际商业机器（中国）有限公司软件部</w:t>
      </w:r>
      <w:r>
        <w:rPr>
          <w:rFonts w:ascii="Times New Roman" w:hAnsi="Times New Roman" w:cs="Times New Roman" w:eastAsia="Times New Roman" w:hint="default"/>
        </w:rPr>
        <w:t>Tivoli</w:t>
      </w:r>
      <w:r>
        <w:rPr>
          <w:rFonts w:ascii="Times New Roman" w:hAnsi="Times New Roman" w:cs="Times New Roman" w:eastAsia="Times New Roman" w:hint="default"/>
          <w:spacing w:val="8"/>
        </w:rPr>
        <w:t> </w:t>
      </w:r>
      <w:r>
        <w:rPr/>
        <w:t>北方区销售经理；</w:t>
      </w:r>
      <w:r>
        <w:rPr>
          <w:rFonts w:ascii="Times New Roman" w:hAnsi="Times New Roman" w:cs="Times New Roman" w:eastAsia="Times New Roman" w:hint="default"/>
        </w:rPr>
        <w:t>2007</w:t>
      </w:r>
      <w:r>
        <w:rPr/>
        <w:t>年至今担任公 司副总经理。</w:t>
      </w:r>
    </w:p>
    <w:p>
      <w:pPr>
        <w:pStyle w:val="BodyText"/>
        <w:spacing w:line="451" w:lineRule="auto" w:before="74"/>
        <w:ind w:right="1131" w:firstLine="361"/>
        <w:jc w:val="both"/>
      </w:pPr>
      <w:r>
        <w:rPr>
          <w:rFonts w:ascii="宋体" w:hAnsi="宋体" w:cs="宋体" w:eastAsia="宋体" w:hint="default"/>
          <w:b/>
          <w:bCs/>
          <w:spacing w:val="-2"/>
        </w:rPr>
        <w:t>高峰</w:t>
      </w:r>
      <w:r>
        <w:rPr>
          <w:spacing w:val="-2"/>
        </w:rPr>
        <w:t>先生，</w:t>
      </w:r>
      <w:r>
        <w:rPr>
          <w:rFonts w:ascii="Times New Roman" w:hAnsi="Times New Roman" w:cs="Times New Roman" w:eastAsia="Times New Roman" w:hint="default"/>
          <w:spacing w:val="-2"/>
        </w:rPr>
        <w:t>1976</w:t>
      </w:r>
      <w:r>
        <w:rPr>
          <w:spacing w:val="-2"/>
        </w:rPr>
        <w:t>年出生，中国国籍，无永久境外居留权。毕业于沈阳航空工业学院；</w:t>
      </w:r>
      <w:r>
        <w:rPr>
          <w:rFonts w:ascii="Times New Roman" w:hAnsi="Times New Roman" w:cs="Times New Roman" w:eastAsia="Times New Roman" w:hint="default"/>
          <w:spacing w:val="-2"/>
        </w:rPr>
        <w:t>2002</w:t>
      </w:r>
      <w:r>
        <w:rPr>
          <w:spacing w:val="-2"/>
        </w:rPr>
        <w:t>年至今历任公司销售经理、高</w:t>
      </w:r>
      <w:r>
        <w:rPr/>
        <w:t> 级销售经理、行业销售总监、副总经理。现兼任北京神州泰岳信息安全技术有限公司总经理。</w:t>
      </w:r>
    </w:p>
    <w:p>
      <w:pPr>
        <w:pStyle w:val="BodyText"/>
        <w:spacing w:line="463" w:lineRule="auto" w:before="74"/>
        <w:ind w:left="1134" w:right="1130" w:firstLine="361"/>
        <w:jc w:val="both"/>
      </w:pPr>
      <w:r>
        <w:rPr>
          <w:rFonts w:ascii="宋体" w:hAnsi="宋体" w:cs="宋体" w:eastAsia="宋体" w:hint="default"/>
          <w:b/>
          <w:bCs/>
        </w:rPr>
        <w:t>朱健松</w:t>
      </w:r>
      <w:r>
        <w:rPr/>
        <w:t>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4</w:t>
      </w:r>
      <w:r>
        <w:rPr/>
        <w:t>月出生，中国国籍，无永久境外居留权。毕业于北京联合大学电子工程学院，工学学士学位。曾 </w:t>
      </w:r>
      <w:r>
        <w:rPr>
          <w:spacing w:val="-2"/>
        </w:rPr>
        <w:t>任中国仪器进出口总公司职员、副科长；英孚美软件（中国）有限公司高级客户经理、销售经理；北邮电信科技股份有限公</w:t>
      </w:r>
      <w:r>
        <w:rPr>
          <w:spacing w:val="-67"/>
        </w:rPr>
        <w:t> </w:t>
      </w:r>
      <w:r>
        <w:rPr>
          <w:spacing w:val="-67"/>
        </w:rPr>
      </w:r>
      <w:r>
        <w:rPr>
          <w:spacing w:val="-2"/>
        </w:rPr>
        <w:t>司北邮集思公司总经理、北邮电信资源管理事业部总经理；博思软件（中国）有限公司销售经理、销售总监、中国区业务总</w:t>
      </w:r>
      <w:r>
        <w:rPr>
          <w:spacing w:val="-69"/>
        </w:rPr>
        <w:t> </w:t>
      </w:r>
      <w:r>
        <w:rPr>
          <w:spacing w:val="-69"/>
        </w:rPr>
      </w:r>
      <w:r>
        <w:rPr/>
        <w:t>经理等职务。</w:t>
      </w:r>
      <w:r>
        <w:rPr>
          <w:rFonts w:ascii="Times New Roman" w:hAnsi="Times New Roman" w:cs="Times New Roman" w:eastAsia="Times New Roman" w:hint="default"/>
        </w:rPr>
        <w:t>2008</w:t>
      </w:r>
      <w:r>
        <w:rPr/>
        <w:t>年加入北京神州泰岳软件股份有限公司，</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月担任公司副总经理。现兼任北京神州泰岳智能数据技</w:t>
      </w:r>
      <w:r>
        <w:rPr>
          <w:spacing w:val="-83"/>
        </w:rPr>
        <w:t> </w:t>
      </w:r>
      <w:r>
        <w:rPr>
          <w:spacing w:val="-83"/>
        </w:rPr>
      </w:r>
      <w:r>
        <w:rPr/>
        <w:t>术有限公司总经理。</w:t>
      </w:r>
    </w:p>
    <w:p>
      <w:pPr>
        <w:pStyle w:val="BodyText"/>
        <w:spacing w:line="460" w:lineRule="auto" w:before="65"/>
        <w:ind w:left="1134" w:right="1130" w:firstLine="361"/>
        <w:jc w:val="both"/>
      </w:pPr>
      <w:r>
        <w:rPr>
          <w:rFonts w:ascii="宋体" w:hAnsi="宋体" w:cs="宋体" w:eastAsia="宋体" w:hint="default"/>
          <w:b/>
          <w:bCs/>
        </w:rPr>
        <w:t>孙海粟</w:t>
      </w:r>
      <w:r>
        <w:rPr/>
        <w:t>先生，</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月出生，中国国籍，无永久境外居留权。毕业于北京邮电大学无线电工程专业，学士学位。曾任 </w:t>
      </w:r>
      <w:r>
        <w:rPr>
          <w:spacing w:val="-2"/>
        </w:rPr>
        <w:t>国家计生委北京宣教中心工作干部、宁波燕浩微波通信公司开发部经理，宁波江北通信设备实业公司总经理，宁波未来通信</w:t>
      </w:r>
      <w:r>
        <w:rPr>
          <w:spacing w:val="-66"/>
        </w:rPr>
        <w:t> </w:t>
      </w:r>
      <w:r>
        <w:rPr>
          <w:spacing w:val="-66"/>
        </w:rPr>
      </w:r>
      <w:r>
        <w:rPr/>
        <w:t>技术有限公司总经理，</w:t>
      </w:r>
      <w:r>
        <w:rPr>
          <w:rFonts w:ascii="Times New Roman" w:hAnsi="Times New Roman" w:cs="Times New Roman" w:eastAsia="Times New Roman" w:hint="default"/>
        </w:rPr>
        <w:t>2001</w:t>
      </w:r>
      <w:r>
        <w:rPr/>
        <w:t>年起至今任宁波普天通信技术有限公司总经理。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月至今任公司副总经理兼任宁波普天通</w:t>
      </w:r>
      <w:r>
        <w:rPr>
          <w:spacing w:val="-83"/>
        </w:rPr>
        <w:t> </w:t>
      </w:r>
      <w:r>
        <w:rPr>
          <w:spacing w:val="-83"/>
        </w:rPr>
      </w:r>
      <w:r>
        <w:rPr/>
        <w:t>信技术有限公司总经理。</w:t>
      </w:r>
    </w:p>
    <w:p>
      <w:pPr>
        <w:pStyle w:val="Heading6"/>
        <w:spacing w:line="240" w:lineRule="auto" w:before="67"/>
        <w:ind w:left="1495" w:right="0"/>
        <w:jc w:val="left"/>
        <w:rPr>
          <w:b w:val="0"/>
          <w:bCs w:val="0"/>
        </w:rPr>
      </w:pPr>
      <w:r>
        <w:rPr/>
        <w:t>在股东单位任职情况</w:t>
      </w:r>
      <w:r>
        <w:rPr>
          <w:b w:val="0"/>
          <w:bCs w:val="0"/>
        </w:rPr>
      </w:r>
    </w:p>
    <w:p>
      <w:pPr>
        <w:spacing w:line="240" w:lineRule="auto" w:before="10"/>
        <w:rPr>
          <w:rFonts w:ascii="宋体" w:hAnsi="宋体" w:cs="宋体" w:eastAsia="宋体" w:hint="default"/>
          <w:b/>
          <w:bCs/>
          <w:sz w:val="17"/>
          <w:szCs w:val="17"/>
        </w:rPr>
      </w:pPr>
    </w:p>
    <w:p>
      <w:pPr>
        <w:spacing w:line="451" w:lineRule="auto" w:before="0"/>
        <w:ind w:left="1495" w:right="8765" w:hanging="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在其他单位任职情况</w:t>
      </w:r>
      <w:r>
        <w:rPr>
          <w:rFonts w:ascii="宋体" w:hAnsi="宋体" w:cs="宋体" w:eastAsia="宋体" w:hint="default"/>
          <w:sz w:val="18"/>
          <w:szCs w:val="18"/>
        </w:rPr>
      </w:r>
    </w:p>
    <w:p>
      <w:pPr>
        <w:spacing w:before="74"/>
        <w:ind w:left="149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0"/>
          <w:szCs w:val="10"/>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487"/>
        <w:gridCol w:w="1103"/>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6" w:right="9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北京善聚投资管理有限公司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487"/>
        <w:gridCol w:w="1103"/>
        <w:gridCol w:w="1376"/>
      </w:tblGrid>
      <w:tr>
        <w:trPr>
          <w:trHeight w:val="414" w:hRule="exact"/>
        </w:trPr>
        <w:tc>
          <w:tcPr>
            <w:tcW w:w="12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3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10" w:space="0" w:color="000000"/>
              <w:left w:val="single" w:sz="4" w:space="0" w:color="000000"/>
              <w:bottom w:val="single" w:sz="4" w:space="0" w:color="000000"/>
              <w:right w:val="single" w:sz="4" w:space="0" w:color="000000"/>
            </w:tcBorders>
          </w:tcPr>
          <w:p>
            <w:pPr/>
          </w:p>
        </w:tc>
        <w:tc>
          <w:tcPr>
            <w:tcW w:w="13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Ultrapower 360 Pte Ltd</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北京善聚投资管理有限公司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齐强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451" w:right="20" w:hanging="428"/>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北京神州泰岳通信技术有限公司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83"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重庆新媒亿网科技有限公司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43" w:right="0"/>
              <w:jc w:val="left"/>
              <w:rPr>
                <w:rFonts w:ascii="宋体" w:hAnsi="宋体" w:cs="宋体" w:eastAsia="宋体" w:hint="default"/>
                <w:sz w:val="18"/>
                <w:szCs w:val="18"/>
              </w:rPr>
            </w:pPr>
            <w:r>
              <w:rPr>
                <w:rFonts w:ascii="宋体" w:hAnsi="宋体" w:cs="宋体" w:eastAsia="宋体" w:hint="default"/>
                <w:sz w:val="18"/>
                <w:szCs w:val="18"/>
              </w:rPr>
              <w:t>重庆新迈峰科技有限公司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北京神州泰岳系统集成有限公司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Ultrapower 360 Pte Ltd</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黄松浪</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北京善聚投资管理有限公司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万能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北京思乐信息技术有限公司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上海大渡新物流有限公司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361" w:right="20" w:hanging="338"/>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徐斯平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53" w:right="0"/>
              <w:jc w:val="left"/>
              <w:rPr>
                <w:rFonts w:ascii="宋体" w:hAnsi="宋体" w:cs="宋体" w:eastAsia="宋体" w:hint="default"/>
                <w:sz w:val="18"/>
                <w:szCs w:val="18"/>
              </w:rPr>
            </w:pPr>
            <w:r>
              <w:rPr>
                <w:rFonts w:ascii="宋体" w:hAnsi="宋体" w:cs="宋体" w:eastAsia="宋体" w:hint="default"/>
                <w:sz w:val="18"/>
                <w:szCs w:val="18"/>
              </w:rPr>
              <w:t>北京顺通典当有限责任公司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53" w:right="0"/>
              <w:jc w:val="left"/>
              <w:rPr>
                <w:rFonts w:ascii="宋体" w:hAnsi="宋体" w:cs="宋体" w:eastAsia="宋体" w:hint="default"/>
                <w:sz w:val="18"/>
                <w:szCs w:val="18"/>
              </w:rPr>
            </w:pPr>
            <w:r>
              <w:rPr>
                <w:rFonts w:ascii="宋体" w:hAnsi="宋体" w:cs="宋体" w:eastAsia="宋体" w:hint="default"/>
                <w:sz w:val="18"/>
                <w:szCs w:val="18"/>
              </w:rPr>
              <w:t>宁波普天通信技术有限公司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53" w:right="0"/>
              <w:jc w:val="left"/>
              <w:rPr>
                <w:rFonts w:ascii="宋体" w:hAnsi="宋体" w:cs="宋体" w:eastAsia="宋体" w:hint="default"/>
                <w:sz w:val="18"/>
                <w:szCs w:val="18"/>
              </w:rPr>
            </w:pPr>
            <w:r>
              <w:rPr>
                <w:rFonts w:ascii="宋体" w:hAnsi="宋体" w:cs="宋体" w:eastAsia="宋体" w:hint="default"/>
                <w:sz w:val="18"/>
                <w:szCs w:val="18"/>
              </w:rPr>
              <w:t>宁波金信通讯技术有限公司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宁波移畅通信设备有限公司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361" w:right="20" w:hanging="338"/>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宁波普金通信设备有限公司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361" w:right="20" w:hanging="338"/>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孙海粟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93" w:right="0"/>
              <w:jc w:val="left"/>
              <w:rPr>
                <w:rFonts w:ascii="宋体" w:hAnsi="宋体" w:cs="宋体" w:eastAsia="宋体" w:hint="default"/>
                <w:sz w:val="18"/>
                <w:szCs w:val="18"/>
              </w:rPr>
            </w:pPr>
            <w:r>
              <w:rPr>
                <w:rFonts w:ascii="宋体" w:hAnsi="宋体" w:cs="宋体" w:eastAsia="宋体" w:hint="default"/>
                <w:sz w:val="18"/>
                <w:szCs w:val="18"/>
              </w:rPr>
              <w:t>宁波普天通信技术（香港）有限公司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53"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53"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73" w:right="0"/>
              <w:jc w:val="left"/>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53" w:right="0"/>
              <w:jc w:val="left"/>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979" w:top="142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487"/>
        <w:gridCol w:w="1103"/>
        <w:gridCol w:w="1376"/>
      </w:tblGrid>
      <w:tr>
        <w:trPr>
          <w:trHeight w:val="414" w:hRule="exact"/>
        </w:trPr>
        <w:tc>
          <w:tcPr>
            <w:tcW w:w="12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Ultrapower 360 Pte Ltd</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0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4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10" w:space="0" w:color="000000"/>
              <w:left w:val="single" w:sz="4" w:space="0" w:color="000000"/>
              <w:bottom w:val="single" w:sz="4" w:space="0" w:color="000000"/>
              <w:right w:val="single" w:sz="4" w:space="0" w:color="000000"/>
            </w:tcBorders>
          </w:tcPr>
          <w:p>
            <w:pPr/>
          </w:p>
        </w:tc>
        <w:tc>
          <w:tcPr>
            <w:tcW w:w="13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北京神州泰奇互动科技有限公司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361" w:right="20" w:hanging="338"/>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北京泰岳智桥信息技术有限公司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361" w:right="20" w:hanging="338"/>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宁波泰岳梧桐投资管理有限公司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北京光合起源网络科技有限公司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北京诚行天下投资咨询有限公司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北京神州泰岳教育科技有限公司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北京云中融信网络科技有限公司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73" w:right="0"/>
              <w:jc w:val="left"/>
              <w:rPr>
                <w:rFonts w:ascii="宋体" w:hAnsi="宋体" w:cs="宋体" w:eastAsia="宋体" w:hint="default"/>
                <w:sz w:val="18"/>
                <w:szCs w:val="18"/>
              </w:rPr>
            </w:pPr>
            <w:r>
              <w:rPr>
                <w:rFonts w:ascii="宋体" w:hAnsi="宋体" w:cs="宋体" w:eastAsia="宋体" w:hint="default"/>
                <w:sz w:val="18"/>
                <w:szCs w:val="18"/>
              </w:rPr>
              <w:t>北京融聚世界网络科技有限公司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453" w:right="101" w:hanging="1350"/>
              <w:jc w:val="left"/>
              <w:rPr>
                <w:rFonts w:ascii="宋体" w:hAnsi="宋体" w:cs="宋体" w:eastAsia="宋体" w:hint="default"/>
                <w:sz w:val="18"/>
                <w:szCs w:val="18"/>
              </w:rPr>
            </w:pPr>
            <w:r>
              <w:rPr>
                <w:rFonts w:ascii="宋体" w:hAnsi="宋体" w:cs="宋体" w:eastAsia="宋体" w:hint="default"/>
                <w:sz w:val="18"/>
                <w:szCs w:val="18"/>
              </w:rPr>
              <w:t>深圳市前海泰岳梧桐投资基金管理有限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杭州爱财网络科技有限公司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北京泰岳树人科技有限公司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许芃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天津泰岳小漫科技有限公司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许芃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53" w:right="0"/>
              <w:jc w:val="left"/>
              <w:rPr>
                <w:rFonts w:ascii="宋体" w:hAnsi="宋体" w:cs="宋体" w:eastAsia="宋体" w:hint="default"/>
                <w:sz w:val="18"/>
                <w:szCs w:val="18"/>
              </w:rPr>
            </w:pPr>
            <w:r>
              <w:rPr>
                <w:rFonts w:ascii="宋体" w:hAnsi="宋体" w:cs="宋体" w:eastAsia="宋体" w:hint="default"/>
                <w:sz w:val="18"/>
                <w:szCs w:val="18"/>
              </w:rPr>
              <w:t>泰岳小漫（香港）有限公司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朱健松</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3" w:right="0"/>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高峰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3" w:right="0"/>
              <w:jc w:val="left"/>
              <w:rPr>
                <w:rFonts w:ascii="宋体" w:hAnsi="宋体" w:cs="宋体" w:eastAsia="宋体" w:hint="default"/>
                <w:sz w:val="18"/>
                <w:szCs w:val="18"/>
              </w:rPr>
            </w:pPr>
            <w:r>
              <w:rPr>
                <w:rFonts w:ascii="宋体" w:hAnsi="宋体" w:cs="宋体" w:eastAsia="宋体" w:hint="default"/>
                <w:sz w:val="18"/>
                <w:szCs w:val="18"/>
              </w:rPr>
              <w:t>北京神州泰岳信息安全技术有限公司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翟一兵</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93" w:right="0"/>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70" w:right="71"/>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6"/>
          <w:szCs w:val="6"/>
        </w:rPr>
      </w:pPr>
    </w:p>
    <w:p>
      <w:pPr>
        <w:pStyle w:val="Heading6"/>
        <w:spacing w:line="240" w:lineRule="auto" w:before="44"/>
        <w:ind w:left="1134" w:right="0"/>
        <w:jc w:val="left"/>
        <w:rPr>
          <w:b w:val="0"/>
          <w:bCs w:val="0"/>
        </w:rPr>
      </w:pPr>
      <w:r>
        <w:rPr/>
        <w:t>公司现任及报告期内离任董事、监事和高级管理人员近三年证券监管机构处罚的情况</w:t>
      </w:r>
      <w:r>
        <w:rPr>
          <w:b w:val="0"/>
          <w:bCs w:val="0"/>
        </w:rPr>
      </w:r>
    </w:p>
    <w:p>
      <w:pPr>
        <w:spacing w:line="240" w:lineRule="auto" w:before="11"/>
        <w:rPr>
          <w:rFonts w:ascii="宋体" w:hAnsi="宋体" w:cs="宋体" w:eastAsia="宋体" w:hint="default"/>
          <w:b/>
          <w:bCs/>
          <w:sz w:val="14"/>
          <w:szCs w:val="14"/>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24"/>
          <w:szCs w:val="24"/>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32"/>
          <w:szCs w:val="32"/>
        </w:rPr>
      </w:pPr>
    </w:p>
    <w:p>
      <w:pPr>
        <w:pStyle w:val="Heading6"/>
        <w:spacing w:line="240" w:lineRule="auto"/>
        <w:ind w:left="1134" w:right="0"/>
        <w:jc w:val="left"/>
        <w:rPr>
          <w:b w:val="0"/>
          <w:bCs w:val="0"/>
        </w:rPr>
      </w:pPr>
      <w:r>
        <w:rPr/>
        <w:t>董事、监事、高级管理人员报酬的决策程序、确定依据、实际支付情况</w:t>
      </w:r>
      <w:r>
        <w:rPr>
          <w:b w:val="0"/>
          <w:bCs w:val="0"/>
        </w:rPr>
      </w:r>
    </w:p>
    <w:p>
      <w:pPr>
        <w:spacing w:line="240" w:lineRule="auto" w:before="12"/>
        <w:rPr>
          <w:rFonts w:ascii="宋体" w:hAnsi="宋体" w:cs="宋体" w:eastAsia="宋体" w:hint="default"/>
          <w:b/>
          <w:bCs/>
          <w:sz w:val="13"/>
          <w:szCs w:val="13"/>
        </w:rPr>
      </w:pPr>
    </w:p>
    <w:tbl>
      <w:tblPr>
        <w:tblW w:w="0" w:type="auto"/>
        <w:jc w:val="left"/>
        <w:tblInd w:w="1126" w:type="dxa"/>
        <w:tblLayout w:type="fixed"/>
        <w:tblCellMar>
          <w:top w:w="0" w:type="dxa"/>
          <w:left w:w="0" w:type="dxa"/>
          <w:bottom w:w="0" w:type="dxa"/>
          <w:right w:w="0" w:type="dxa"/>
        </w:tblCellMar>
        <w:tblLook w:val="01E0"/>
      </w:tblPr>
      <w:tblGrid>
        <w:gridCol w:w="4261"/>
        <w:gridCol w:w="5308"/>
      </w:tblGrid>
      <w:tr>
        <w:trPr>
          <w:trHeight w:val="1051"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140"/>
              <w:ind w:left="2" w:right="1"/>
              <w:jc w:val="left"/>
              <w:rPr>
                <w:rFonts w:ascii="宋体" w:hAnsi="宋体" w:cs="宋体" w:eastAsia="宋体" w:hint="default"/>
                <w:sz w:val="18"/>
                <w:szCs w:val="18"/>
              </w:rPr>
            </w:pPr>
            <w:r>
              <w:rPr>
                <w:rFonts w:ascii="宋体" w:hAnsi="宋体" w:cs="宋体" w:eastAsia="宋体" w:hint="default"/>
                <w:sz w:val="18"/>
                <w:szCs w:val="18"/>
              </w:rPr>
              <w:t>公司董事、监事报酬由股东大会审议通过，高级管理人员报酬由董</w:t>
            </w:r>
            <w:r>
              <w:rPr>
                <w:rFonts w:ascii="宋体" w:hAnsi="宋体" w:cs="宋体" w:eastAsia="宋体" w:hint="default"/>
                <w:spacing w:val="-33"/>
                <w:sz w:val="18"/>
                <w:szCs w:val="18"/>
              </w:rPr>
              <w:t> </w:t>
            </w:r>
            <w:r>
              <w:rPr>
                <w:rFonts w:ascii="宋体" w:hAnsi="宋体" w:cs="宋体" w:eastAsia="宋体" w:hint="default"/>
                <w:sz w:val="18"/>
                <w:szCs w:val="18"/>
              </w:rPr>
              <w:t>事会审议通过。</w:t>
            </w:r>
          </w:p>
        </w:tc>
      </w:tr>
      <w:tr>
        <w:trPr>
          <w:trHeight w:val="583"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年度经营情况和绩效情况审核调整。</w:t>
            </w:r>
          </w:p>
        </w:tc>
      </w:tr>
      <w:tr>
        <w:trPr>
          <w:trHeight w:val="584"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left"/>
              <w:rPr>
                <w:rFonts w:ascii="宋体" w:hAnsi="宋体" w:cs="宋体" w:eastAsia="宋体" w:hint="default"/>
                <w:sz w:val="18"/>
                <w:szCs w:val="18"/>
              </w:rPr>
            </w:pPr>
            <w:r>
              <w:rPr>
                <w:rFonts w:ascii="宋体" w:hAnsi="宋体" w:cs="宋体" w:eastAsia="宋体" w:hint="default"/>
                <w:sz w:val="18"/>
                <w:szCs w:val="18"/>
              </w:rPr>
              <w:t>已根据确定报酬情况按时支付完毕。</w:t>
            </w:r>
          </w:p>
        </w:tc>
      </w:tr>
    </w:tbl>
    <w:p>
      <w:pPr>
        <w:spacing w:line="240" w:lineRule="auto" w:before="6"/>
        <w:rPr>
          <w:rFonts w:ascii="宋体" w:hAnsi="宋体" w:cs="宋体" w:eastAsia="宋体" w:hint="default"/>
          <w:b/>
          <w:bCs/>
          <w:sz w:val="27"/>
          <w:szCs w:val="27"/>
        </w:rPr>
      </w:pPr>
    </w:p>
    <w:p>
      <w:pPr>
        <w:pStyle w:val="Heading6"/>
        <w:spacing w:line="240" w:lineRule="auto" w:before="44"/>
        <w:ind w:left="1134" w:right="0"/>
        <w:jc w:val="left"/>
        <w:rPr>
          <w:b w:val="0"/>
          <w:bCs w:val="0"/>
        </w:rPr>
      </w:pPr>
      <w:r>
        <w:rPr/>
        <w:t>公司报告期内董事、监事和高级管理人员报酬情况</w:t>
      </w:r>
      <w:r>
        <w:rPr>
          <w:b w:val="0"/>
          <w:bCs w:val="0"/>
        </w:rPr>
      </w:r>
    </w:p>
    <w:p>
      <w:pPr>
        <w:spacing w:after="0" w:line="240" w:lineRule="auto"/>
        <w:jc w:val="left"/>
        <w:sectPr>
          <w:pgSz w:w="11910" w:h="16840"/>
          <w:pgMar w:header="851" w:footer="979" w:top="142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副董事长、董事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齐强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翟一兵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董事、首席运营 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汪铖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蓝伯雄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2" w:right="0"/>
              <w:jc w:val="left"/>
              <w:rPr>
                <w:rFonts w:ascii="宋体" w:hAnsi="宋体" w:cs="宋体" w:eastAsia="宋体" w:hint="default"/>
                <w:sz w:val="18"/>
                <w:szCs w:val="18"/>
              </w:rPr>
            </w:pPr>
            <w:r>
              <w:rPr>
                <w:rFonts w:ascii="宋体" w:hAnsi="宋体" w:cs="宋体" w:eastAsia="宋体" w:hint="default"/>
                <w:sz w:val="18"/>
                <w:szCs w:val="18"/>
              </w:rPr>
              <w:t>江锡如【注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刘凯湘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罗建北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李广刚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丁彦超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郝岩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朱健松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陶磊【注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张振鹏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许芃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孙海粟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601.71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pStyle w:val="Heading5"/>
        <w:spacing w:line="417" w:lineRule="auto"/>
        <w:ind w:right="1131"/>
        <w:jc w:val="both"/>
      </w:pPr>
      <w:r>
        <w:rPr/>
        <w:t>注</w:t>
      </w:r>
      <w:r>
        <w:rPr>
          <w:spacing w:val="-53"/>
        </w:rPr>
        <w:t> </w:t>
      </w:r>
      <w:r>
        <w:rPr>
          <w:rFonts w:ascii="Times New Roman" w:hAnsi="Times New Roman" w:cs="Times New Roman" w:eastAsia="Times New Roman" w:hint="default"/>
        </w:rPr>
        <w:t>1</w:t>
      </w:r>
      <w:r>
        <w:rPr/>
        <w:t>：江锡如先生已于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日申请辞去公司独立董事职务，并于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月开始停止领取公</w:t>
      </w:r>
      <w:r>
        <w:rPr>
          <w:w w:val="100"/>
        </w:rPr>
        <w:t> </w:t>
      </w:r>
      <w:r>
        <w:rPr/>
        <w:t>司独董津贴。根据相关规定，辞职将自公司股东大会选举产生新任独立董事填补空缺后生效。在此之前，江锡</w:t>
      </w:r>
      <w:r>
        <w:rPr>
          <w:w w:val="100"/>
        </w:rPr>
        <w:t> </w:t>
      </w:r>
      <w:r>
        <w:rPr/>
        <w:t>如先生将按照有关法律法规的规定继续履行独立董事的职责。</w:t>
      </w:r>
    </w:p>
    <w:p>
      <w:pPr>
        <w:pStyle w:val="Heading5"/>
        <w:spacing w:line="405" w:lineRule="auto" w:before="58"/>
        <w:ind w:right="1130"/>
        <w:jc w:val="both"/>
      </w:pPr>
      <w:r>
        <w:rPr/>
        <w:t>注</w:t>
      </w:r>
      <w:r>
        <w:rPr>
          <w:spacing w:val="-53"/>
        </w:rPr>
        <w:t> </w:t>
      </w:r>
      <w:r>
        <w:rPr>
          <w:rFonts w:ascii="Times New Roman" w:hAnsi="Times New Roman" w:cs="Times New Roman" w:eastAsia="Times New Roman" w:hint="default"/>
        </w:rPr>
        <w:t>2</w:t>
      </w:r>
      <w:r>
        <w:rPr/>
        <w:t>：陶磊先生已于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日申请辞去公司副总经理职务并停止在公司领取津贴，具体内容详见</w:t>
      </w:r>
      <w:r>
        <w:rPr>
          <w:w w:val="100"/>
        </w:rPr>
        <w:t> </w:t>
      </w:r>
      <w:r>
        <w:rPr/>
        <w:t>巨潮资讯网</w:t>
      </w:r>
      <w:r>
        <w:rPr>
          <w:spacing w:val="-59"/>
        </w:rPr>
        <w:t> </w:t>
      </w:r>
      <w:r>
        <w:rPr>
          <w:rFonts w:ascii="Times New Roman" w:hAnsi="Times New Roman" w:cs="Times New Roman" w:eastAsia="Times New Roman" w:hint="default"/>
        </w:rPr>
        <w:t>2015-097</w:t>
      </w:r>
      <w:r>
        <w:rPr/>
        <w:t>《关于公司部分高级管理人员调整的公告》公告。</w:t>
      </w:r>
    </w:p>
    <w:p>
      <w:pPr>
        <w:spacing w:after="0" w:line="405" w:lineRule="auto"/>
        <w:jc w:val="both"/>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6"/>
        <w:spacing w:line="240" w:lineRule="auto" w:before="83"/>
        <w:ind w:right="0"/>
        <w:jc w:val="left"/>
        <w:rPr>
          <w:b w:val="0"/>
          <w:bCs w:val="0"/>
        </w:rPr>
      </w:pPr>
      <w:r>
        <w:rPr/>
        <w:t>公司董事、监事、高级管理人员报告期内被授予的股权激励情况</w:t>
      </w:r>
      <w:r>
        <w:rPr>
          <w:b w:val="0"/>
          <w:bCs w:val="0"/>
        </w:rPr>
      </w:r>
    </w:p>
    <w:p>
      <w:pPr>
        <w:spacing w:line="240" w:lineRule="auto" w:before="7"/>
        <w:rPr>
          <w:rFonts w:ascii="宋体" w:hAnsi="宋体" w:cs="宋体" w:eastAsia="宋体" w:hint="default"/>
          <w:b/>
          <w:bCs/>
          <w:sz w:val="11"/>
          <w:szCs w:val="11"/>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10"/>
        <w:gridCol w:w="992"/>
        <w:gridCol w:w="902"/>
        <w:gridCol w:w="870"/>
        <w:gridCol w:w="870"/>
        <w:gridCol w:w="869"/>
        <w:gridCol w:w="870"/>
        <w:gridCol w:w="870"/>
        <w:gridCol w:w="870"/>
        <w:gridCol w:w="870"/>
        <w:gridCol w:w="870"/>
      </w:tblGrid>
      <w:tr>
        <w:trPr>
          <w:trHeight w:val="1338"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4"/>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黄松浪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副董事长、 董事会秘书</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837,756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837,756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万能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董事、财务 总监</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720,960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朱健松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47,584</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陶磊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47,584</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28,767</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1,664,578</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943,618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165,024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82,843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123,935</w:t>
            </w:r>
          </w:p>
        </w:tc>
      </w:tr>
      <w:tr>
        <w:trPr>
          <w:trHeight w:val="402" w:hRule="exact"/>
        </w:trPr>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6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4,006</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4,006</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bl>
    <w:p>
      <w:pPr>
        <w:spacing w:after="0" w:line="240" w:lineRule="auto"/>
        <w:jc w:val="center"/>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9" w:hRule="exact"/>
        </w:trPr>
        <w:tc>
          <w:tcPr>
            <w:tcW w:w="478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right="1033" w:firstLine="360"/>
        <w:jc w:val="left"/>
      </w:pPr>
      <w:r>
        <w:rPr>
          <w:spacing w:val="-4"/>
        </w:rPr>
        <w:t>公司根据国家人力资源和社会劳动保障的相关政策，结合地区、行业和公司的实际情况，制订了具有竞争力的薪酬策略。</w:t>
      </w:r>
      <w:r>
        <w:rPr/>
        <w:t> </w:t>
      </w:r>
      <w:r>
        <w:rPr>
          <w:spacing w:val="-3"/>
        </w:rPr>
        <w:t>公司本着</w:t>
      </w:r>
      <w:r>
        <w:rPr>
          <w:rFonts w:ascii="Times New Roman" w:hAnsi="Times New Roman" w:cs="Times New Roman" w:eastAsia="Times New Roman" w:hint="default"/>
          <w:spacing w:val="-3"/>
        </w:rPr>
        <w:t>“</w:t>
      </w:r>
      <w:r>
        <w:rPr>
          <w:spacing w:val="-3"/>
        </w:rPr>
        <w:t>以人为本</w:t>
      </w:r>
      <w:r>
        <w:rPr>
          <w:rFonts w:ascii="Times New Roman" w:hAnsi="Times New Roman" w:cs="Times New Roman" w:eastAsia="Times New Roman" w:hint="default"/>
          <w:spacing w:val="-3"/>
        </w:rPr>
        <w:t>”</w:t>
      </w:r>
      <w:r>
        <w:rPr>
          <w:spacing w:val="-3"/>
        </w:rPr>
        <w:t>的一贯宗旨，推行职位、职等管理模式，成立了薪酬与考核委员会来完成员工职等、薪酬的确定和评审，</w:t>
      </w:r>
      <w:r>
        <w:rPr>
          <w:spacing w:val="-77"/>
        </w:rPr>
        <w:t> </w:t>
      </w:r>
      <w:r>
        <w:rPr>
          <w:spacing w:val="-77"/>
        </w:rPr>
      </w:r>
      <w:r>
        <w:rPr/>
        <w:t>为员工设立专业及管理的双重职业发展路径，同时为员工薪酬确定、培训发展、绩效考核提供相关信息、依据。公司以</w:t>
      </w:r>
      <w:r>
        <w:rPr>
          <w:rFonts w:ascii="Times New Roman" w:hAnsi="Times New Roman" w:cs="Times New Roman" w:eastAsia="Times New Roman" w:hint="default"/>
        </w:rPr>
        <w:t>“</w:t>
      </w:r>
      <w:r>
        <w:rPr/>
        <w:t>高</w:t>
      </w:r>
      <w:r>
        <w:rPr>
          <w:spacing w:val="-74"/>
        </w:rPr>
        <w:t> </w:t>
      </w:r>
      <w:r>
        <w:rPr/>
        <w:t>贡献、高绩效、高回报</w:t>
      </w:r>
      <w:r>
        <w:rPr>
          <w:rFonts w:ascii="Times New Roman" w:hAnsi="Times New Roman" w:cs="Times New Roman" w:eastAsia="Times New Roman" w:hint="default"/>
        </w:rPr>
        <w:t>”</w:t>
      </w:r>
      <w:r>
        <w:rPr/>
        <w:t>为指导思想，实行</w:t>
      </w:r>
      <w:r>
        <w:rPr>
          <w:rFonts w:ascii="Times New Roman" w:hAnsi="Times New Roman" w:cs="Times New Roman" w:eastAsia="Times New Roman" w:hint="default"/>
        </w:rPr>
        <w:t>“</w:t>
      </w:r>
      <w:r>
        <w:rPr/>
        <w:t>宽带薪酬</w:t>
      </w:r>
      <w:r>
        <w:rPr>
          <w:rFonts w:ascii="Times New Roman" w:hAnsi="Times New Roman" w:cs="Times New Roman" w:eastAsia="Times New Roman" w:hint="default"/>
        </w:rPr>
        <w:t>”</w:t>
      </w:r>
      <w:r>
        <w:rPr/>
        <w:t>制度，即：将工作性质、工作内容和管理内容相似或者相同职类集合</w:t>
      </w:r>
      <w:r>
        <w:rPr>
          <w:spacing w:val="-57"/>
        </w:rPr>
        <w:t> </w:t>
      </w:r>
      <w:r>
        <w:rPr>
          <w:spacing w:val="-57"/>
        </w:rPr>
      </w:r>
      <w:r>
        <w:rPr>
          <w:spacing w:val="-2"/>
        </w:rPr>
        <w:t>成为序列，员工薪酬的确定和调整，依据序列对应的薪酬区间进行管理和控制，为员工的晋级、晋升明确了方向和路径，更</w:t>
      </w:r>
      <w:r>
        <w:rPr>
          <w:spacing w:val="-66"/>
        </w:rPr>
        <w:t> </w:t>
      </w:r>
      <w:r>
        <w:rPr>
          <w:spacing w:val="-66"/>
        </w:rPr>
      </w:r>
      <w:r>
        <w:rPr/>
        <w:t>好地帮助员工实现自己的职业生涯规划。对于骨干员工，公司实行结构化薪酬策略，兼顾短期收益和长期收益，绩效工资、 股权激励、多样化福利多管齐下，全方位的激励员工，从而实现提升公司核心竞争力的目标。</w:t>
      </w:r>
    </w:p>
    <w:p>
      <w:pPr>
        <w:spacing w:line="240" w:lineRule="auto" w:before="1"/>
        <w:rPr>
          <w:rFonts w:ascii="宋体" w:hAnsi="宋体" w:cs="宋体" w:eastAsia="宋体" w:hint="default"/>
          <w:sz w:val="20"/>
          <w:szCs w:val="20"/>
        </w:rPr>
      </w:pPr>
    </w:p>
    <w:p>
      <w:pPr>
        <w:pStyle w:val="Heading3"/>
        <w:spacing w:line="240" w:lineRule="auto"/>
        <w:ind w:left="1133"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2"/>
          <w:szCs w:val="32"/>
        </w:rPr>
      </w:pPr>
    </w:p>
    <w:p>
      <w:pPr>
        <w:pStyle w:val="BodyText"/>
        <w:spacing w:line="472" w:lineRule="auto"/>
        <w:ind w:right="1033" w:firstLine="360"/>
        <w:jc w:val="left"/>
      </w:pPr>
      <w:r>
        <w:rPr>
          <w:spacing w:val="-2"/>
        </w:rPr>
        <w:t>根据公司战略发展方向和业务规划布局，结合各部门的业务要求及人才培养规划，制定全面完善的培训培养方案，包含</w:t>
      </w:r>
      <w:r>
        <w:rPr/>
        <w:t> 领导力培训、业务培训、新员工培训等。为了打造一支素质过硬，能力突出，招之即来，来则能战，战则能胜的干部队伍， </w:t>
      </w:r>
      <w:r>
        <w:rPr>
          <w:spacing w:val="-2"/>
        </w:rPr>
        <w:t>公司以全面提升干部领导力，打造公司企业家群为培养目标，设计并实施了包含危机处理、演讲技巧、经营沙盘等课程，并</w:t>
      </w:r>
      <w:r>
        <w:rPr>
          <w:spacing w:val="-66"/>
        </w:rPr>
        <w:t> </w:t>
      </w:r>
      <w:r>
        <w:rPr>
          <w:spacing w:val="-66"/>
        </w:rPr>
      </w:r>
      <w:r>
        <w:rPr/>
        <w:t>深入影响到干部的日常管理思维和经营思维。为了提升公司业务专家的技术水平，公司从 </w:t>
      </w:r>
      <w:r>
        <w:rPr>
          <w:rFonts w:ascii="Times New Roman" w:hAnsi="Times New Roman" w:cs="Times New Roman" w:eastAsia="Times New Roman" w:hint="default"/>
        </w:rPr>
        <w:t>ITIL</w:t>
      </w:r>
      <w:r>
        <w:rPr/>
        <w:t>、信息安全、大数据等方面</w:t>
      </w:r>
      <w:r>
        <w:rPr>
          <w:spacing w:val="-65"/>
        </w:rPr>
        <w:t> </w:t>
      </w:r>
      <w:r>
        <w:rPr>
          <w:spacing w:val="-65"/>
        </w:rPr>
      </w:r>
      <w:r>
        <w:rPr>
          <w:spacing w:val="-2"/>
        </w:rPr>
        <w:t>通过不同形式对业务人员进行了培训及培养，使业务人员能够掌握前沿技术，并应用到工作中。为了让新入职员工能尽快适</w:t>
      </w:r>
      <w:r>
        <w:rPr>
          <w:spacing w:val="-66"/>
        </w:rPr>
        <w:t> </w:t>
      </w:r>
      <w:r>
        <w:rPr>
          <w:spacing w:val="-66"/>
        </w:rPr>
      </w:r>
      <w:r>
        <w:rPr>
          <w:spacing w:val="-2"/>
        </w:rPr>
        <w:t>应工作场景和内容，公司每个月都会针对新员工进行公司业务介绍、企业文化介绍，并通过团队拓展等形式让新员工快速融</w:t>
      </w:r>
      <w:r>
        <w:rPr>
          <w:spacing w:val="-66"/>
        </w:rPr>
        <w:t> </w:t>
      </w:r>
      <w:r>
        <w:rPr>
          <w:spacing w:val="-66"/>
        </w:rPr>
      </w:r>
      <w:r>
        <w:rPr/>
        <w:t>入公司。</w:t>
      </w:r>
    </w:p>
    <w:p>
      <w:pPr>
        <w:spacing w:line="240" w:lineRule="auto" w:before="7"/>
        <w:rPr>
          <w:rFonts w:ascii="宋体" w:hAnsi="宋体" w:cs="宋体" w:eastAsia="宋体" w:hint="default"/>
          <w:sz w:val="19"/>
          <w:szCs w:val="19"/>
        </w:rPr>
      </w:pPr>
    </w:p>
    <w:p>
      <w:pPr>
        <w:pStyle w:val="Heading3"/>
        <w:spacing w:line="240" w:lineRule="auto"/>
        <w:ind w:left="1133"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49"/>
        <w:ind w:right="1114"/>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both"/>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29" w:firstLine="360"/>
        <w:jc w:val="both"/>
      </w:pPr>
      <w:r>
        <w:rPr>
          <w:spacing w:val="-2"/>
        </w:rPr>
        <w:t>公司严格按照《公司法》、《证券法》、《上市公司治理准则》、《深圳证券交易所创业板股票上市规则》、《深圳证</w:t>
      </w:r>
      <w:r>
        <w:rPr/>
        <w:t> </w:t>
      </w:r>
      <w:r>
        <w:rPr>
          <w:spacing w:val="-2"/>
        </w:rPr>
        <w:t>券交易所创业板上市公司规范运作指引》及中国证监会有关法律法规等的要求，确立了股东大会、董事会、监事会及经营管</w:t>
      </w:r>
      <w:r>
        <w:rPr>
          <w:spacing w:val="-66"/>
        </w:rPr>
        <w:t> </w:t>
      </w:r>
      <w:r>
        <w:rPr>
          <w:spacing w:val="-66"/>
        </w:rPr>
      </w:r>
      <w:r>
        <w:rPr>
          <w:spacing w:val="-2"/>
        </w:rPr>
        <w:t>理层的分层治理结构，并在公司董事会下设立了战略、审计、提名、薪酬与考核等专门委员会。报告期内，公司不断完善法</w:t>
      </w:r>
      <w:r>
        <w:rPr>
          <w:spacing w:val="-67"/>
        </w:rPr>
        <w:t> </w:t>
      </w:r>
      <w:r>
        <w:rPr>
          <w:spacing w:val="-67"/>
        </w:rPr>
      </w:r>
      <w:r>
        <w:rPr>
          <w:spacing w:val="-2"/>
        </w:rPr>
        <w:t>人治理结构，提高公司治理水平，建立健全各项内部管控制度，规范公司日常经营和整体运作，严格按照相关规定对公司重</w:t>
      </w:r>
      <w:r>
        <w:rPr>
          <w:spacing w:val="-66"/>
        </w:rPr>
        <w:t> </w:t>
      </w:r>
      <w:r>
        <w:rPr>
          <w:spacing w:val="-66"/>
        </w:rPr>
      </w:r>
      <w:r>
        <w:rPr/>
        <w:t>大事项进行信息披露，确保真实、准确、完整、及时、公平披露原则，有效保护广大投资者利益。</w:t>
      </w:r>
    </w:p>
    <w:p>
      <w:pPr>
        <w:pStyle w:val="BodyText"/>
        <w:spacing w:line="463" w:lineRule="auto" w:before="54"/>
        <w:ind w:right="1033" w:firstLine="360"/>
        <w:jc w:val="left"/>
      </w:pPr>
      <w:r>
        <w:rPr>
          <w:spacing w:val="-2"/>
        </w:rPr>
        <w:t>截至</w:t>
      </w:r>
      <w:r>
        <w:rPr>
          <w:rFonts w:ascii="Times New Roman" w:hAnsi="Times New Roman" w:cs="Times New Roman" w:eastAsia="Times New Roman" w:hint="default"/>
          <w:spacing w:val="-2"/>
        </w:rPr>
        <w:t>2015</w:t>
      </w:r>
      <w:r>
        <w:rPr>
          <w:spacing w:val="-2"/>
        </w:rPr>
        <w:t>年末，公司实际治理状况符合《上市公司治理准则》和《深圳证券交易所创业板上市公司规范运作指引》的要</w:t>
      </w:r>
      <w:r>
        <w:rPr/>
        <w:t> 求，重大生产经营决策、投资决策及财务决策均按照《公司章程》及有关内控制度的规定执行，相关机构和人员依法运作、 尽职尽责，未出现违法、违规现象。</w:t>
      </w:r>
    </w:p>
    <w:p>
      <w:pPr>
        <w:pStyle w:val="BodyText"/>
        <w:spacing w:line="451" w:lineRule="auto" w:before="65"/>
        <w:ind w:left="1494" w:right="0" w:firstLine="1"/>
        <w:jc w:val="left"/>
      </w:pP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99"/>
        </w:rPr>
        <w:t> </w:t>
      </w:r>
      <w:r>
        <w:rPr>
          <w:spacing w:val="-4"/>
        </w:rPr>
        <w:t>公司严格按照《上市公司股东大会规则》、《公司章程》、《股东大会议事规则》等规定的要求，召集、召开股东大会，</w:t>
      </w:r>
    </w:p>
    <w:p>
      <w:pPr>
        <w:pStyle w:val="BodyText"/>
        <w:spacing w:line="477" w:lineRule="auto" w:before="74"/>
        <w:ind w:left="1134" w:right="1131"/>
        <w:jc w:val="both"/>
      </w:pPr>
      <w:r>
        <w:rPr>
          <w:spacing w:val="-2"/>
        </w:rPr>
        <w:t>并为股东参加会议提供便利，使其充分行使股东权利。公司股东大会在审议每项议案过程中设有议事程序，能够平等对待所</w:t>
      </w:r>
      <w:r>
        <w:rPr>
          <w:spacing w:val="-66"/>
        </w:rPr>
        <w:t> </w:t>
      </w:r>
      <w:r>
        <w:rPr>
          <w:spacing w:val="-66"/>
        </w:rPr>
      </w:r>
      <w:r>
        <w:rPr>
          <w:spacing w:val="-2"/>
        </w:rPr>
        <w:t>有股东，就股东的质询作出解释和说明，听取股东的建议与意见，保证了中小股东的话语权，并通过聘请律师出席见证保证</w:t>
      </w:r>
      <w:r>
        <w:rPr>
          <w:spacing w:val="-66"/>
        </w:rPr>
        <w:t> </w:t>
      </w:r>
      <w:r>
        <w:rPr>
          <w:spacing w:val="-66"/>
        </w:rPr>
      </w:r>
      <w:r>
        <w:rPr/>
        <w:t>了会议的召集、召开和表决程序的合法性。</w:t>
      </w:r>
    </w:p>
    <w:p>
      <w:pPr>
        <w:pStyle w:val="BodyText"/>
        <w:spacing w:line="451" w:lineRule="auto" w:before="54"/>
        <w:ind w:left="1493" w:right="0" w:firstLine="1"/>
        <w:jc w:val="left"/>
      </w:pPr>
      <w:r>
        <w:rPr>
          <w:rFonts w:ascii="Times New Roman" w:hAnsi="Times New Roman" w:cs="Times New Roman" w:eastAsia="Times New Roman" w:hint="default"/>
          <w:b/>
          <w:bCs/>
        </w:rPr>
        <w:t>2</w:t>
      </w:r>
      <w:r>
        <w:rPr>
          <w:rFonts w:ascii="宋体" w:hAnsi="宋体" w:cs="宋体" w:eastAsia="宋体" w:hint="default"/>
          <w:b/>
          <w:bCs/>
        </w:rPr>
        <w:t>、控股股东与上市公司</w:t>
      </w:r>
      <w:r>
        <w:rPr>
          <w:rFonts w:ascii="宋体" w:hAnsi="宋体" w:cs="宋体" w:eastAsia="宋体" w:hint="default"/>
          <w:b/>
          <w:bCs/>
          <w:w w:val="99"/>
        </w:rPr>
        <w:t> </w:t>
      </w:r>
      <w:r>
        <w:rPr>
          <w:spacing w:val="-2"/>
        </w:rPr>
        <w:t>公司严格按照《公司法》、《证券法》、《公司章程》及证券监管部门的有关规定正确处理与控股股东的关系。公司控</w:t>
      </w:r>
    </w:p>
    <w:p>
      <w:pPr>
        <w:pStyle w:val="BodyText"/>
        <w:spacing w:line="477" w:lineRule="auto" w:before="74"/>
        <w:ind w:right="1131"/>
        <w:jc w:val="both"/>
      </w:pPr>
      <w:r>
        <w:rPr>
          <w:spacing w:val="-2"/>
        </w:rPr>
        <w:t>股股东严格规范自身行为，依法行使其权利并承担相应义务，没有超越股东大会直接或间接干预本公司的决策和生产经营活</w:t>
      </w:r>
      <w:r>
        <w:rPr>
          <w:spacing w:val="-64"/>
        </w:rPr>
        <w:t> </w:t>
      </w:r>
      <w:r>
        <w:rPr>
          <w:spacing w:val="-64"/>
        </w:rPr>
      </w:r>
      <w:r>
        <w:rPr>
          <w:spacing w:val="-2"/>
        </w:rPr>
        <w:t>动。公司拥有独立完整的业务和自主经营能力，董事会、监事会和其他内部机构独立运作。报告期内，未发生超越股东大会</w:t>
      </w:r>
      <w:r>
        <w:rPr>
          <w:spacing w:val="-66"/>
        </w:rPr>
        <w:t> </w:t>
      </w:r>
      <w:r>
        <w:rPr>
          <w:spacing w:val="-66"/>
        </w:rPr>
      </w:r>
      <w:r>
        <w:rPr/>
        <w:t>和董事会的授权权限，直接或间接干预公司决策和经营活动及利用其控制地位侵害其他股东利益的行为出现。</w:t>
      </w:r>
    </w:p>
    <w:p>
      <w:pPr>
        <w:pStyle w:val="BodyText"/>
        <w:spacing w:line="451" w:lineRule="auto" w:before="54"/>
        <w:ind w:left="1494" w:right="1122" w:firstLine="1"/>
        <w:jc w:val="left"/>
      </w:pPr>
      <w:r>
        <w:rPr>
          <w:rFonts w:ascii="Times New Roman" w:hAnsi="Times New Roman" w:cs="Times New Roman" w:eastAsia="Times New Roman" w:hint="default"/>
          <w:b/>
          <w:bCs/>
        </w:rPr>
        <w:t>3</w:t>
      </w:r>
      <w:r>
        <w:rPr>
          <w:rFonts w:ascii="宋体" w:hAnsi="宋体" w:cs="宋体" w:eastAsia="宋体" w:hint="default"/>
          <w:b/>
          <w:bCs/>
        </w:rPr>
        <w:t>、董事和董事会</w:t>
      </w:r>
      <w:r>
        <w:rPr>
          <w:rFonts w:ascii="宋体" w:hAnsi="宋体" w:cs="宋体" w:eastAsia="宋体" w:hint="default"/>
          <w:b/>
          <w:bCs/>
          <w:w w:val="99"/>
        </w:rPr>
        <w:t> </w:t>
      </w:r>
      <w:r>
        <w:rPr/>
        <w:t>公司董事会设董事</w:t>
      </w:r>
      <w:r>
        <w:rPr>
          <w:rFonts w:ascii="Times New Roman" w:hAnsi="Times New Roman" w:cs="Times New Roman" w:eastAsia="Times New Roman" w:hint="default"/>
        </w:rPr>
        <w:t>12</w:t>
      </w:r>
      <w:r>
        <w:rPr/>
        <w:t>名，其中独立董事</w:t>
      </w:r>
      <w:r>
        <w:rPr>
          <w:rFonts w:ascii="Times New Roman" w:hAnsi="Times New Roman" w:cs="Times New Roman" w:eastAsia="Times New Roman" w:hint="default"/>
        </w:rPr>
        <w:t>4</w:t>
      </w:r>
      <w:r>
        <w:rPr/>
        <w:t>名，董事会的人数及人员构成符合法律、法规和《公司章程》的要求。任职期</w:t>
      </w:r>
    </w:p>
    <w:p>
      <w:pPr>
        <w:pStyle w:val="BodyText"/>
        <w:spacing w:line="477" w:lineRule="auto" w:before="43"/>
        <w:ind w:left="1134" w:right="1130"/>
        <w:jc w:val="both"/>
      </w:pPr>
      <w:r>
        <w:rPr>
          <w:spacing w:val="-2"/>
        </w:rPr>
        <w:t>间，公司全体董事勤勉尽责开展工作，持续关注公司经营状况，主动参加相关培训，提高规范运作水平；积极参加董事会会</w:t>
      </w:r>
      <w:r>
        <w:rPr>
          <w:spacing w:val="-66"/>
        </w:rPr>
        <w:t> </w:t>
      </w:r>
      <w:r>
        <w:rPr>
          <w:spacing w:val="-66"/>
        </w:rPr>
      </w:r>
      <w:r>
        <w:rPr>
          <w:spacing w:val="-2"/>
        </w:rPr>
        <w:t>议，充分发挥各自的专业特长，审慎决策，维护公司和广大股东的利益。公司董事会会议的召集、召开等程序均符合相关规</w:t>
      </w:r>
      <w:r>
        <w:rPr>
          <w:spacing w:val="-66"/>
        </w:rPr>
        <w:t> </w:t>
      </w:r>
      <w:r>
        <w:rPr>
          <w:spacing w:val="-66"/>
        </w:rPr>
      </w:r>
      <w:r>
        <w:rPr>
          <w:spacing w:val="-2"/>
        </w:rPr>
        <w:t>定的要求；历次董事会会议记录内容真实、准确、完整，保存安全；会议决议做到充分准确且及时披露。董事会下设战略委</w:t>
      </w:r>
      <w:r>
        <w:rPr>
          <w:spacing w:val="-67"/>
        </w:rPr>
        <w:t> </w:t>
      </w:r>
      <w:r>
        <w:rPr>
          <w:spacing w:val="-67"/>
        </w:rPr>
      </w:r>
      <w:r>
        <w:rPr/>
        <w:t>员会、审计委员会、薪酬与考核委员会、提名委员会。</w:t>
      </w:r>
    </w:p>
    <w:p>
      <w:pPr>
        <w:pStyle w:val="Heading6"/>
        <w:spacing w:line="240" w:lineRule="auto" w:before="54"/>
        <w:ind w:left="1495" w:right="0"/>
        <w:jc w:val="left"/>
        <w:rPr>
          <w:b w:val="0"/>
          <w:bCs w:val="0"/>
        </w:rPr>
      </w:pPr>
      <w:r>
        <w:rPr>
          <w:rFonts w:ascii="Times New Roman" w:hAnsi="Times New Roman" w:cs="Times New Roman" w:eastAsia="Times New Roman" w:hint="default"/>
        </w:rPr>
        <w:t>4</w:t>
      </w:r>
      <w:r>
        <w:rPr/>
        <w:t>、监事和监事会</w:t>
      </w:r>
      <w:r>
        <w:rPr>
          <w:b w:val="0"/>
          <w:bCs w:val="0"/>
        </w:rPr>
      </w:r>
    </w:p>
    <w:p>
      <w:pPr>
        <w:spacing w:after="0" w:line="240" w:lineRule="auto"/>
        <w:jc w:val="left"/>
        <w:sectPr>
          <w:pgSz w:w="11910" w:h="16840"/>
          <w:pgMar w:header="851" w:footer="979" w:top="1380" w:bottom="1160" w:left="0" w:right="0"/>
        </w:sectPr>
      </w:pPr>
    </w:p>
    <w:p>
      <w:pPr>
        <w:pStyle w:val="BodyText"/>
        <w:spacing w:line="463" w:lineRule="auto" w:before="141"/>
        <w:ind w:right="1130" w:firstLine="360"/>
        <w:jc w:val="both"/>
      </w:pP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名，监事会的人数和构成符合法律、法规的要求。公司监事能够按照《监事会议</w:t>
      </w:r>
      <w:r>
        <w:rPr/>
        <w:t> </w:t>
      </w:r>
      <w:r>
        <w:rPr>
          <w:spacing w:val="-2"/>
        </w:rPr>
        <w:t>事规则》的要求，认真履行自己的职责，对公司重大事项、关联交易、财务状况以及董事、高管人员履行职责的合法合规性</w:t>
      </w:r>
      <w:r>
        <w:rPr>
          <w:spacing w:val="-68"/>
        </w:rPr>
        <w:t> </w:t>
      </w:r>
      <w:r>
        <w:rPr>
          <w:spacing w:val="-68"/>
        </w:rPr>
      </w:r>
      <w:r>
        <w:rPr/>
        <w:t>进行监督。</w:t>
      </w:r>
    </w:p>
    <w:p>
      <w:pPr>
        <w:spacing w:line="451" w:lineRule="auto" w:before="65"/>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公司已建立企业绩效评价激励体系，并在报告期内不断完善。董事、监事和高级管理人员的绩效评价标准和激励约束机</w:t>
      </w:r>
    </w:p>
    <w:p>
      <w:pPr>
        <w:pStyle w:val="BodyText"/>
        <w:spacing w:line="240" w:lineRule="auto" w:before="74"/>
        <w:ind w:right="0"/>
        <w:jc w:val="both"/>
      </w:pPr>
      <w:r>
        <w:rPr/>
        <w:t>制公开、透明，符合法律、法规的规定。</w:t>
      </w:r>
    </w:p>
    <w:p>
      <w:pPr>
        <w:spacing w:line="240" w:lineRule="auto" w:before="10"/>
        <w:rPr>
          <w:rFonts w:ascii="宋体" w:hAnsi="宋体" w:cs="宋体" w:eastAsia="宋体" w:hint="default"/>
          <w:sz w:val="17"/>
          <w:szCs w:val="17"/>
        </w:rPr>
      </w:pPr>
    </w:p>
    <w:p>
      <w:pPr>
        <w:pStyle w:val="BodyText"/>
        <w:spacing w:line="451" w:lineRule="auto"/>
        <w:ind w:left="1493" w:right="0" w:firstLine="1"/>
        <w:jc w:val="left"/>
      </w:pPr>
      <w:r>
        <w:rPr>
          <w:rFonts w:ascii="Times New Roman" w:hAnsi="Times New Roman" w:cs="Times New Roman" w:eastAsia="Times New Roman" w:hint="default"/>
          <w:b/>
          <w:bCs/>
        </w:rPr>
        <w:t>6</w:t>
      </w:r>
      <w:r>
        <w:rPr>
          <w:rFonts w:ascii="宋体" w:hAnsi="宋体" w:cs="宋体" w:eastAsia="宋体" w:hint="default"/>
          <w:b/>
          <w:bCs/>
        </w:rPr>
        <w:t>、关于信息披露与透明度</w:t>
      </w:r>
      <w:r>
        <w:rPr>
          <w:rFonts w:ascii="宋体" w:hAnsi="宋体" w:cs="宋体" w:eastAsia="宋体" w:hint="default"/>
          <w:b/>
          <w:bCs/>
          <w:w w:val="99"/>
        </w:rPr>
        <w:t> </w:t>
      </w:r>
      <w:r>
        <w:rPr>
          <w:spacing w:val="-2"/>
        </w:rPr>
        <w:t>公司严格按照有关法律法规以及《信息披露制度》、《投资者关系管理制度》等的要求，真实、准确、完整、及时、公</w:t>
      </w:r>
    </w:p>
    <w:p>
      <w:pPr>
        <w:pStyle w:val="BodyText"/>
        <w:spacing w:line="463" w:lineRule="auto" w:before="74"/>
        <w:ind w:right="1132"/>
        <w:jc w:val="both"/>
      </w:pPr>
      <w:r>
        <w:rPr/>
        <w:t>平地披露有关信息；并指定公司董事会秘书负责信息披露工作，协调公司与投资者的关系</w:t>
      </w:r>
      <w:r>
        <w:rPr>
          <w:rFonts w:ascii="Times New Roman" w:hAnsi="Times New Roman" w:cs="Times New Roman" w:eastAsia="Times New Roman" w:hint="default"/>
        </w:rPr>
        <w:t>,</w:t>
      </w:r>
      <w:r>
        <w:rPr/>
        <w:t>接待投资者来访调研，回答投资</w:t>
      </w:r>
      <w:r>
        <w:rPr>
          <w:spacing w:val="-42"/>
        </w:rPr>
        <w:t> </w:t>
      </w:r>
      <w:r>
        <w:rPr>
          <w:spacing w:val="-42"/>
        </w:rPr>
      </w:r>
      <w:r>
        <w:rPr>
          <w:spacing w:val="-2"/>
        </w:rPr>
        <w:t>者咨询；并指定《证券时报》、《证券日报》以及巨潮资讯网为公司信息披露的指定报纸和网站，确保公司所有投资者能够</w:t>
      </w:r>
      <w:r>
        <w:rPr>
          <w:spacing w:val="-70"/>
        </w:rPr>
        <w:t> </w:t>
      </w:r>
      <w:r>
        <w:rPr>
          <w:spacing w:val="-70"/>
        </w:rPr>
      </w:r>
      <w:r>
        <w:rPr/>
        <w:t>以平等的机会获得信息。</w:t>
      </w:r>
    </w:p>
    <w:p>
      <w:pPr>
        <w:pStyle w:val="BodyText"/>
        <w:spacing w:line="451" w:lineRule="auto" w:before="65"/>
        <w:ind w:left="1494" w:right="0" w:firstLine="1"/>
        <w:jc w:val="left"/>
      </w:pPr>
      <w:r>
        <w:rPr>
          <w:rFonts w:ascii="Times New Roman" w:hAnsi="Times New Roman" w:cs="Times New Roman" w:eastAsia="Times New Roman" w:hint="default"/>
          <w:b/>
          <w:bCs/>
        </w:rPr>
        <w:t>7</w:t>
      </w:r>
      <w:r>
        <w:rPr>
          <w:rFonts w:ascii="宋体" w:hAnsi="宋体" w:cs="宋体" w:eastAsia="宋体" w:hint="default"/>
          <w:b/>
          <w:bCs/>
        </w:rPr>
        <w:t>、关于相关利益者</w:t>
      </w:r>
      <w:r>
        <w:rPr>
          <w:rFonts w:ascii="宋体" w:hAnsi="宋体" w:cs="宋体" w:eastAsia="宋体" w:hint="default"/>
          <w:b/>
          <w:bCs/>
          <w:w w:val="99"/>
        </w:rPr>
        <w:t> </w:t>
      </w:r>
      <w:r>
        <w:rPr>
          <w:spacing w:val="-2"/>
        </w:rPr>
        <w:t>公司充分尊重和维护相关利益者的合法权益，实现社会、股东、公司、员工等各方面利益的协调平衡，诚信对待供应商</w:t>
      </w:r>
    </w:p>
    <w:p>
      <w:pPr>
        <w:pStyle w:val="BodyText"/>
        <w:spacing w:line="240" w:lineRule="auto" w:before="74"/>
        <w:ind w:left="1134" w:right="0"/>
        <w:jc w:val="both"/>
      </w:pPr>
      <w:r>
        <w:rPr/>
        <w:t>和客户，坚持与相关利益者互利共赢的原则，共同推动公司持续、稳健发展。</w:t>
      </w:r>
    </w:p>
    <w:p>
      <w:pPr>
        <w:spacing w:line="240" w:lineRule="auto" w:before="10"/>
        <w:rPr>
          <w:rFonts w:ascii="宋体" w:hAnsi="宋体" w:cs="宋体" w:eastAsia="宋体" w:hint="default"/>
          <w:sz w:val="17"/>
          <w:szCs w:val="17"/>
        </w:rPr>
      </w:pPr>
    </w:p>
    <w:p>
      <w:pPr>
        <w:pStyle w:val="BodyText"/>
        <w:spacing w:line="451" w:lineRule="auto"/>
        <w:ind w:left="1493" w:right="0" w:firstLine="1"/>
        <w:jc w:val="left"/>
      </w:pPr>
      <w:r>
        <w:rPr>
          <w:rFonts w:ascii="Times New Roman" w:hAnsi="Times New Roman" w:cs="Times New Roman" w:eastAsia="Times New Roman" w:hint="default"/>
          <w:b/>
          <w:bCs/>
        </w:rPr>
        <w:t>8</w:t>
      </w:r>
      <w:r>
        <w:rPr>
          <w:rFonts w:ascii="宋体" w:hAnsi="宋体" w:cs="宋体" w:eastAsia="宋体" w:hint="default"/>
          <w:b/>
          <w:bCs/>
        </w:rPr>
        <w:t>、关于内部审计体系</w:t>
      </w:r>
      <w:r>
        <w:rPr>
          <w:rFonts w:ascii="宋体" w:hAnsi="宋体" w:cs="宋体" w:eastAsia="宋体" w:hint="default"/>
          <w:b/>
          <w:bCs/>
          <w:w w:val="99"/>
        </w:rPr>
        <w:t> </w:t>
      </w:r>
      <w:r>
        <w:rPr>
          <w:spacing w:val="-2"/>
        </w:rPr>
        <w:t>公司董事会下设审计委员会，主要负责公司内部审计与外部审计之间进行沟通，并监督公司内部审计制度的实施，审查</w:t>
      </w:r>
    </w:p>
    <w:p>
      <w:pPr>
        <w:pStyle w:val="BodyText"/>
        <w:spacing w:line="477" w:lineRule="auto" w:before="74"/>
        <w:ind w:right="1130"/>
        <w:jc w:val="both"/>
      </w:pPr>
      <w:r>
        <w:rPr>
          <w:spacing w:val="-2"/>
        </w:rPr>
        <w:t>公司内部控制制度的执行情况，审查公司的财务信息及披露正常等。审计委员会下设独立的内审部，内审部直接对审计委员</w:t>
      </w:r>
      <w:r>
        <w:rPr>
          <w:spacing w:val="-66"/>
        </w:rPr>
        <w:t> </w:t>
      </w:r>
      <w:r>
        <w:rPr>
          <w:spacing w:val="-66"/>
        </w:rPr>
      </w:r>
      <w:r>
        <w:rPr>
          <w:spacing w:val="-2"/>
        </w:rPr>
        <w:t>会负责及报告工作。公司严格根据《公司法》、《证券法》、《企业内部控制基本规范》等有关法律、法规和规章制度，结</w:t>
      </w:r>
      <w:r>
        <w:rPr>
          <w:spacing w:val="-71"/>
        </w:rPr>
        <w:t> </w:t>
      </w:r>
      <w:r>
        <w:rPr>
          <w:spacing w:val="-71"/>
        </w:rPr>
      </w:r>
      <w:r>
        <w:rPr>
          <w:spacing w:val="-2"/>
        </w:rPr>
        <w:t>合公司的实际情况、自身特点和管理需要，制定了贯穿于公司生产经营各层面、各环节的内部控制体系，规范经营，控制风</w:t>
      </w:r>
      <w:r>
        <w:rPr>
          <w:spacing w:val="-66"/>
        </w:rPr>
        <w:t> </w:t>
      </w:r>
      <w:r>
        <w:rPr>
          <w:spacing w:val="-66"/>
        </w:rPr>
      </w:r>
      <w:r>
        <w:rPr/>
        <w:t>险。</w:t>
      </w:r>
    </w:p>
    <w:p>
      <w:pPr>
        <w:pStyle w:val="Heading6"/>
        <w:spacing w:line="240" w:lineRule="auto" w:before="95"/>
        <w:ind w:left="1134" w:right="0"/>
        <w:jc w:val="both"/>
        <w:rPr>
          <w:b w:val="0"/>
          <w:bCs w:val="0"/>
        </w:rPr>
      </w:pPr>
      <w:r>
        <w:rPr/>
        <w:t>公司治理的实际状况与中国证监会发布的有关上市公司治理的规范性文件是否存在重大差异</w:t>
      </w:r>
      <w:r>
        <w:rPr>
          <w:b w:val="0"/>
          <w:bCs w:val="0"/>
        </w:rPr>
      </w:r>
    </w:p>
    <w:p>
      <w:pPr>
        <w:spacing w:line="240" w:lineRule="auto" w:before="10"/>
        <w:rPr>
          <w:rFonts w:ascii="宋体" w:hAnsi="宋体" w:cs="宋体" w:eastAsia="宋体" w:hint="default"/>
          <w:b/>
          <w:bCs/>
          <w:sz w:val="20"/>
          <w:szCs w:val="20"/>
        </w:rPr>
      </w:pPr>
    </w:p>
    <w:p>
      <w:pPr>
        <w:pStyle w:val="BodyText"/>
        <w:spacing w:line="451" w:lineRule="auto"/>
        <w:ind w:left="1493" w:right="3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否</w:t>
      </w:r>
      <w:r>
        <w:rPr>
          <w:rFonts w:ascii="宋体" w:hAnsi="宋体" w:cs="宋体" w:eastAsia="宋体" w:hint="default"/>
          <w:b/>
          <w:bCs/>
          <w:w w:val="99"/>
        </w:rPr>
        <w:t> </w:t>
      </w:r>
      <w:r>
        <w:rPr/>
        <w:t>公司治理的实际状况与中国证监会发布的有关上市公司治理的规范性文件不存在重大差异。</w:t>
      </w:r>
    </w:p>
    <w:p>
      <w:pPr>
        <w:spacing w:line="240" w:lineRule="auto" w:before="0"/>
        <w:rPr>
          <w:rFonts w:ascii="宋体" w:hAnsi="宋体" w:cs="宋体" w:eastAsia="宋体" w:hint="default"/>
          <w:sz w:val="19"/>
          <w:szCs w:val="19"/>
        </w:rPr>
      </w:pPr>
    </w:p>
    <w:p>
      <w:pPr>
        <w:pStyle w:val="Heading2"/>
        <w:spacing w:line="240" w:lineRule="auto"/>
        <w:ind w:left="1133" w:right="0"/>
        <w:jc w:val="both"/>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43" w:firstLine="360"/>
        <w:jc w:val="both"/>
      </w:pPr>
      <w:r>
        <w:rPr>
          <w:spacing w:val="-4"/>
        </w:rPr>
        <w:t>公司与控股股东实行了人员、资产、财务分开，机构、业务独立，各自独立核算、独立承担责任和风险，公司具有独立、</w:t>
      </w:r>
      <w:r>
        <w:rPr/>
        <w:t> 完整的业务和自主经营的能力。</w:t>
      </w:r>
    </w:p>
    <w:p>
      <w:pPr>
        <w:pStyle w:val="BodyText"/>
        <w:spacing w:line="240" w:lineRule="auto" w:before="54"/>
        <w:ind w:left="1494" w:right="0"/>
        <w:jc w:val="left"/>
      </w:pPr>
      <w:r>
        <w:rPr>
          <w:rFonts w:ascii="Times New Roman" w:hAnsi="Times New Roman" w:cs="Times New Roman" w:eastAsia="Times New Roman" w:hint="default"/>
        </w:rPr>
        <w:t>1</w:t>
      </w:r>
      <w:r>
        <w:rPr/>
        <w:t>、业务方面：公司在业务方面完全独立于控股股东及其关联人，具有独立自主地开展生产经营活动的能力。</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rFonts w:ascii="Times New Roman" w:hAnsi="Times New Roman" w:cs="Times New Roman" w:eastAsia="Times New Roman" w:hint="default"/>
          <w:spacing w:val="-2"/>
        </w:rPr>
        <w:t>2</w:t>
      </w:r>
      <w:r>
        <w:rPr>
          <w:spacing w:val="-2"/>
        </w:rPr>
        <w:t>、人员方面：公司设有独立的人力资源部，负责人力资源开发与管理，与控股股东在劳动、人事及工资</w:t>
      </w:r>
      <w:r>
        <w:rPr>
          <w:spacing w:val="8"/>
        </w:rPr>
        <w:t> </w:t>
      </w:r>
      <w:r>
        <w:rPr/>
        <w:t>管理等方面相</w:t>
      </w:r>
    </w:p>
    <w:p>
      <w:pPr>
        <w:spacing w:after="0" w:line="240" w:lineRule="auto"/>
        <w:jc w:val="left"/>
        <w:sectPr>
          <w:pgSz w:w="11910" w:h="16840"/>
          <w:pgMar w:header="851" w:footer="979" w:top="1380" w:bottom="1160" w:left="0" w:right="0"/>
        </w:sectPr>
      </w:pPr>
    </w:p>
    <w:p>
      <w:pPr>
        <w:pStyle w:val="BodyText"/>
        <w:spacing w:line="240" w:lineRule="auto" w:before="141"/>
        <w:ind w:right="0"/>
        <w:jc w:val="left"/>
      </w:pPr>
      <w:r>
        <w:rPr/>
        <w:t>互独立。</w:t>
      </w:r>
    </w:p>
    <w:p>
      <w:pPr>
        <w:spacing w:line="240" w:lineRule="auto" w:before="10"/>
        <w:rPr>
          <w:rFonts w:ascii="宋体" w:hAnsi="宋体" w:cs="宋体" w:eastAsia="宋体" w:hint="default"/>
          <w:sz w:val="17"/>
          <w:szCs w:val="17"/>
        </w:rPr>
      </w:pPr>
    </w:p>
    <w:p>
      <w:pPr>
        <w:pStyle w:val="BodyText"/>
        <w:spacing w:line="451" w:lineRule="auto"/>
        <w:ind w:left="1134" w:right="1122" w:firstLine="360"/>
        <w:jc w:val="left"/>
      </w:pPr>
      <w:r>
        <w:rPr>
          <w:rFonts w:ascii="Times New Roman" w:hAnsi="Times New Roman" w:cs="Times New Roman" w:eastAsia="Times New Roman" w:hint="default"/>
        </w:rPr>
        <w:t>3</w:t>
      </w:r>
      <w:r>
        <w:rPr/>
        <w:t>、资产方面：公司具有独立的法人资格，对公司财产拥有独立的法人财产权，公司拥有独立的土地使用权、房屋产权 和经营权，公司的资产完全独立于控股股东。</w:t>
      </w:r>
    </w:p>
    <w:p>
      <w:pPr>
        <w:pStyle w:val="BodyText"/>
        <w:spacing w:line="451" w:lineRule="auto" w:before="74"/>
        <w:ind w:left="1134" w:right="1122" w:firstLine="360"/>
        <w:jc w:val="left"/>
      </w:pPr>
      <w:r>
        <w:rPr>
          <w:rFonts w:ascii="Times New Roman" w:hAnsi="Times New Roman" w:cs="Times New Roman" w:eastAsia="Times New Roman" w:hint="default"/>
        </w:rPr>
        <w:t>4</w:t>
      </w:r>
      <w:r>
        <w:rPr/>
        <w:t>、机构方面：公司的董事会、监事会及其他内部机构独立运作，独立行使经营管理权，不存在与控股股东、实际控制 人及其关联人机构混同等影响公司独立运营的情形。</w:t>
      </w:r>
    </w:p>
    <w:p>
      <w:pPr>
        <w:pStyle w:val="BodyText"/>
        <w:spacing w:line="451" w:lineRule="auto" w:before="74"/>
        <w:ind w:left="1134" w:right="0" w:firstLine="360"/>
        <w:jc w:val="left"/>
      </w:pPr>
      <w:r>
        <w:rPr>
          <w:rFonts w:ascii="Times New Roman" w:hAnsi="Times New Roman" w:cs="Times New Roman" w:eastAsia="Times New Roman" w:hint="default"/>
          <w:spacing w:val="-2"/>
        </w:rPr>
        <w:t>5</w:t>
      </w:r>
      <w:r>
        <w:rPr>
          <w:spacing w:val="-2"/>
        </w:rPr>
        <w:t>、财务方面：公司设有完全独立的财务部门，拥有独立的会计核算体系、健全的财务管理制度，公司独立在银行开户，</w:t>
      </w:r>
      <w:r>
        <w:rPr/>
        <w:t> 控股股东不存在干预公司财务、会计活动的情况。</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2"/>
        <w:rPr>
          <w:rFonts w:ascii="宋体" w:hAnsi="宋体" w:cs="宋体" w:eastAsia="宋体" w:hint="default"/>
          <w:b/>
          <w:bCs/>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276"/>
        <w:gridCol w:w="1277"/>
        <w:gridCol w:w="850"/>
        <w:gridCol w:w="1560"/>
        <w:gridCol w:w="1559"/>
        <w:gridCol w:w="3046"/>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5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2"/>
              <w:ind w:left="452" w:right="69" w:hanging="38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325" w:right="104" w:hanging="22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9"/>
                <w:sz w:val="18"/>
                <w:szCs w:val="18"/>
              </w:rPr>
              <w:t> </w:t>
            </w:r>
            <w:r>
              <w:rPr>
                <w:rFonts w:ascii="Times New Roman" w:hAnsi="Times New Roman" w:cs="Times New Roman" w:eastAsia="Times New Roman" w:hint="default"/>
                <w:color w:val="0000FF"/>
                <w:spacing w:val="-59"/>
                <w:sz w:val="18"/>
                <w:szCs w:val="18"/>
              </w:rPr>
            </w:r>
            <w:hyperlink r:id="rId13">
              <w:r>
                <w:rPr>
                  <w:rFonts w:ascii="Times New Roman" w:hAnsi="Times New Roman" w:cs="Times New Roman" w:eastAsia="Times New Roman" w:hint="default"/>
                  <w:color w:val="0000FF"/>
                  <w:sz w:val="18"/>
                  <w:szCs w:val="18"/>
                  <w:u w:val="single" w:color="0000FF"/>
                </w:rPr>
                <w:t>http://www.cninfo.com.cn</w:t>
              </w:r>
              <w:r>
                <w:rPr>
                  <w:rFonts w:ascii="Times New Roman" w:hAnsi="Times New Roman" w:cs="Times New Roman" w:eastAsia="Times New Roman" w:hint="default"/>
                  <w:color w:val="0000FF"/>
                  <w:sz w:val="18"/>
                  <w:szCs w:val="18"/>
                </w:rPr>
              </w:r>
            </w:hyperlink>
            <w:r>
              <w:rPr>
                <w:rFonts w:ascii="Times New Roman" w:hAnsi="Times New Roman" w:cs="Times New Roman" w:eastAsia="Times New Roman" w:hint="default"/>
                <w:color w:val="0000FF"/>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年年度股东大会决议公告</w:t>
            </w:r>
          </w:p>
        </w:tc>
      </w:tr>
      <w:tr>
        <w:trPr>
          <w:trHeight w:val="75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92" w:right="69"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55" w:right="54" w:firstLine="4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3"/>
                <w:sz w:val="18"/>
                <w:szCs w:val="18"/>
              </w:rPr>
              <w:t> </w:t>
            </w:r>
            <w:r>
              <w:rPr>
                <w:rFonts w:ascii="Times New Roman" w:hAnsi="Times New Roman" w:cs="Times New Roman" w:eastAsia="Times New Roman" w:hint="default"/>
                <w:color w:val="0000FF"/>
                <w:spacing w:val="-53"/>
                <w:sz w:val="18"/>
                <w:szCs w:val="18"/>
              </w:rPr>
            </w:r>
            <w:hyperlink r:id="rId13">
              <w:r>
                <w:rPr>
                  <w:rFonts w:ascii="Times New Roman" w:hAnsi="Times New Roman" w:cs="Times New Roman" w:eastAsia="Times New Roman" w:hint="default"/>
                  <w:color w:val="0000FF"/>
                  <w:sz w:val="18"/>
                  <w:szCs w:val="18"/>
                  <w:u w:val="single" w:color="0000FF"/>
                </w:rPr>
                <w:t>http://www.cninfo.com.cn</w:t>
              </w:r>
              <w:r>
                <w:rPr>
                  <w:rFonts w:ascii="Times New Roman" w:hAnsi="Times New Roman" w:cs="Times New Roman" w:eastAsia="Times New Roman" w:hint="default"/>
                  <w:color w:val="0000FF"/>
                  <w:sz w:val="18"/>
                  <w:szCs w:val="18"/>
                </w:rPr>
              </w:r>
            </w:hyperlink>
            <w:r>
              <w:rPr>
                <w:rFonts w:ascii="Times New Roman" w:hAnsi="Times New Roman" w:cs="Times New Roman" w:eastAsia="Times New Roman" w:hint="default"/>
                <w:color w:val="0000FF"/>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r>
      <w:tr>
        <w:trPr>
          <w:trHeight w:val="75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71"/>
              <w:ind w:left="92" w:right="69"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55" w:right="54" w:firstLine="4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3"/>
                <w:sz w:val="18"/>
                <w:szCs w:val="18"/>
              </w:rPr>
              <w:t> </w:t>
            </w:r>
            <w:r>
              <w:rPr>
                <w:rFonts w:ascii="Times New Roman" w:hAnsi="Times New Roman" w:cs="Times New Roman" w:eastAsia="Times New Roman" w:hint="default"/>
                <w:color w:val="0000FF"/>
                <w:spacing w:val="-53"/>
                <w:sz w:val="18"/>
                <w:szCs w:val="18"/>
              </w:rPr>
            </w:r>
            <w:hyperlink r:id="rId13">
              <w:r>
                <w:rPr>
                  <w:rFonts w:ascii="Times New Roman" w:hAnsi="Times New Roman" w:cs="Times New Roman" w:eastAsia="Times New Roman" w:hint="default"/>
                  <w:color w:val="0000FF"/>
                  <w:sz w:val="18"/>
                  <w:szCs w:val="18"/>
                  <w:u w:val="single" w:color="0000FF"/>
                </w:rPr>
                <w:t>http://www.cninfo.com.cn</w:t>
              </w:r>
              <w:r>
                <w:rPr>
                  <w:rFonts w:ascii="Times New Roman" w:hAnsi="Times New Roman" w:cs="Times New Roman" w:eastAsia="Times New Roman" w:hint="default"/>
                  <w:color w:val="0000FF"/>
                  <w:sz w:val="18"/>
                  <w:szCs w:val="18"/>
                </w:rPr>
              </w:r>
            </w:hyperlink>
            <w:r>
              <w:rPr>
                <w:rFonts w:ascii="Times New Roman" w:hAnsi="Times New Roman" w:cs="Times New Roman" w:eastAsia="Times New Roman" w:hint="default"/>
                <w:color w:val="0000FF"/>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r>
      <w:tr>
        <w:trPr>
          <w:trHeight w:val="75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92" w:right="69"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55" w:right="54" w:firstLine="4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3"/>
                <w:sz w:val="18"/>
                <w:szCs w:val="18"/>
              </w:rPr>
              <w:t> </w:t>
            </w:r>
            <w:r>
              <w:rPr>
                <w:rFonts w:ascii="Times New Roman" w:hAnsi="Times New Roman" w:cs="Times New Roman" w:eastAsia="Times New Roman" w:hint="default"/>
                <w:color w:val="0000FF"/>
                <w:spacing w:val="-53"/>
                <w:sz w:val="18"/>
                <w:szCs w:val="18"/>
              </w:rPr>
            </w:r>
            <w:hyperlink r:id="rId13">
              <w:r>
                <w:rPr>
                  <w:rFonts w:ascii="Times New Roman" w:hAnsi="Times New Roman" w:cs="Times New Roman" w:eastAsia="Times New Roman" w:hint="default"/>
                  <w:color w:val="0000FF"/>
                  <w:sz w:val="18"/>
                  <w:szCs w:val="18"/>
                  <w:u w:val="single" w:color="0000FF"/>
                </w:rPr>
                <w:t>http://www.cninfo.com.cn</w:t>
              </w:r>
              <w:r>
                <w:rPr>
                  <w:rFonts w:ascii="Times New Roman" w:hAnsi="Times New Roman" w:cs="Times New Roman" w:eastAsia="Times New Roman" w:hint="default"/>
                  <w:color w:val="0000FF"/>
                  <w:sz w:val="18"/>
                  <w:szCs w:val="18"/>
                </w:rPr>
              </w:r>
            </w:hyperlink>
            <w:r>
              <w:rPr>
                <w:rFonts w:ascii="Times New Roman" w:hAnsi="Times New Roman" w:cs="Times New Roman" w:eastAsia="Times New Roman" w:hint="default"/>
                <w:color w:val="0000FF"/>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p>
        </w:tc>
      </w:tr>
      <w:tr>
        <w:trPr>
          <w:trHeight w:val="75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92" w:right="69" w:hanging="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51"/>
              <w:ind w:left="55" w:right="54" w:firstLine="4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53"/>
                <w:sz w:val="18"/>
                <w:szCs w:val="18"/>
              </w:rPr>
              <w:t> </w:t>
            </w:r>
            <w:r>
              <w:rPr>
                <w:rFonts w:ascii="Times New Roman" w:hAnsi="Times New Roman" w:cs="Times New Roman" w:eastAsia="Times New Roman" w:hint="default"/>
                <w:color w:val="0000FF"/>
                <w:spacing w:val="-53"/>
                <w:sz w:val="18"/>
                <w:szCs w:val="18"/>
              </w:rPr>
            </w:r>
            <w:hyperlink r:id="rId13">
              <w:r>
                <w:rPr>
                  <w:rFonts w:ascii="Times New Roman" w:hAnsi="Times New Roman" w:cs="Times New Roman" w:eastAsia="Times New Roman" w:hint="default"/>
                  <w:color w:val="0000FF"/>
                  <w:sz w:val="18"/>
                  <w:szCs w:val="18"/>
                  <w:u w:val="single" w:color="0000FF"/>
                </w:rPr>
                <w:t>http://www.cninfo.com.cn</w:t>
              </w:r>
              <w:r>
                <w:rPr>
                  <w:rFonts w:ascii="Times New Roman" w:hAnsi="Times New Roman" w:cs="Times New Roman" w:eastAsia="Times New Roman" w:hint="default"/>
                  <w:color w:val="0000FF"/>
                  <w:sz w:val="18"/>
                  <w:szCs w:val="18"/>
                </w:rPr>
              </w:r>
            </w:hyperlink>
            <w:r>
              <w:rPr>
                <w:rFonts w:ascii="Times New Roman" w:hAnsi="Times New Roman" w:cs="Times New Roman" w:eastAsia="Times New Roman" w:hint="default"/>
                <w:color w:val="0000FF"/>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年第四次临时股东大会决议公告</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2"/>
        <w:rPr>
          <w:rFonts w:ascii="宋体" w:hAnsi="宋体" w:cs="宋体" w:eastAsia="宋体" w:hint="default"/>
          <w:b/>
          <w:bCs/>
          <w:sz w:val="23"/>
          <w:szCs w:val="23"/>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p>
      <w:pPr>
        <w:spacing w:line="402" w:lineRule="exact"/>
        <w:ind w:left="11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51"/>
                    <w:ind w:left="-1" w:right="0"/>
                    <w:jc w:val="center"/>
                  </w:pPr>
                  <w:r>
                    <w:rPr/>
                    <w:t>独立董事出席董事会情况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721" w:hRule="exact"/>
        </w:trPr>
        <w:tc>
          <w:tcPr>
            <w:tcW w:w="162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江锡如</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5"/>
              <w:jc w:val="right"/>
              <w:rPr>
                <w:rFonts w:ascii="Times New Roman" w:hAnsi="Times New Roman" w:cs="Times New Roman" w:eastAsia="Times New Roman" w:hint="default"/>
                <w:sz w:val="18"/>
                <w:szCs w:val="18"/>
              </w:rPr>
            </w:pPr>
            <w:r>
              <w:rPr>
                <w:rFonts w:ascii="Times New Roman"/>
                <w:sz w:val="18"/>
              </w:rPr>
              <w:t>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刘凯湘</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5"/>
              <w:jc w:val="right"/>
              <w:rPr>
                <w:rFonts w:ascii="Times New Roman" w:hAnsi="Times New Roman" w:cs="Times New Roman" w:eastAsia="Times New Roman" w:hint="default"/>
                <w:sz w:val="18"/>
                <w:szCs w:val="18"/>
              </w:rPr>
            </w:pPr>
            <w:r>
              <w:rPr>
                <w:rFonts w:ascii="Times New Roman"/>
                <w:sz w:val="18"/>
              </w:rPr>
              <w:t>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蓝伯雄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5"/>
              <w:jc w:val="right"/>
              <w:rPr>
                <w:rFonts w:ascii="Times New Roman" w:hAnsi="Times New Roman" w:cs="Times New Roman" w:eastAsia="Times New Roman" w:hint="default"/>
                <w:sz w:val="18"/>
                <w:szCs w:val="18"/>
              </w:rPr>
            </w:pPr>
            <w:r>
              <w:rPr>
                <w:rFonts w:ascii="Times New Roman"/>
                <w:sz w:val="18"/>
              </w:rPr>
              <w:t>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罗建北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5"/>
              <w:jc w:val="right"/>
              <w:rPr>
                <w:rFonts w:ascii="Times New Roman" w:hAnsi="Times New Roman" w:cs="Times New Roman" w:eastAsia="Times New Roman" w:hint="default"/>
                <w:sz w:val="18"/>
                <w:szCs w:val="18"/>
              </w:rPr>
            </w:pPr>
            <w:r>
              <w:rPr>
                <w:rFonts w:ascii="Times New Roman"/>
                <w:sz w:val="18"/>
              </w:rPr>
              <w:t>27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bl>
    <w:p>
      <w:pPr>
        <w:spacing w:line="240" w:lineRule="auto" w:before="6"/>
        <w:rPr>
          <w:rFonts w:ascii="宋体" w:hAnsi="宋体" w:cs="宋体" w:eastAsia="宋体" w:hint="default"/>
          <w:b/>
          <w:bCs/>
          <w:sz w:val="6"/>
          <w:szCs w:val="6"/>
        </w:rPr>
      </w:pPr>
    </w:p>
    <w:p>
      <w:pPr>
        <w:pStyle w:val="Heading6"/>
        <w:spacing w:line="518" w:lineRule="auto" w:before="44"/>
        <w:ind w:right="8042"/>
        <w:jc w:val="left"/>
        <w:rPr>
          <w:b w:val="0"/>
          <w:bCs w:val="0"/>
        </w:rPr>
      </w:pPr>
      <w:r>
        <w:rPr/>
        <w:t>连续两次未亲自出席董事会的说明</w:t>
      </w:r>
      <w:r>
        <w:rPr>
          <w:w w:val="99"/>
        </w:rPr>
        <w:t> </w:t>
      </w:r>
      <w:r>
        <w:rPr/>
        <w:t>不适用</w:t>
      </w:r>
      <w:r>
        <w:rPr>
          <w:b w:val="0"/>
          <w:bCs w:val="0"/>
        </w:rPr>
      </w:r>
    </w:p>
    <w:p>
      <w:pPr>
        <w:spacing w:line="240" w:lineRule="auto" w:before="10"/>
        <w:rPr>
          <w:rFonts w:ascii="宋体" w:hAnsi="宋体" w:cs="宋体" w:eastAsia="宋体" w:hint="default"/>
          <w:b/>
          <w:bCs/>
          <w:sz w:val="16"/>
          <w:szCs w:val="16"/>
        </w:rPr>
      </w:pPr>
    </w:p>
    <w:p>
      <w:pPr>
        <w:pStyle w:val="Heading3"/>
        <w:spacing w:line="240" w:lineRule="auto"/>
        <w:ind w:left="1133"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32"/>
          <w:szCs w:val="32"/>
        </w:rPr>
      </w:pPr>
    </w:p>
    <w:p>
      <w:pPr>
        <w:pStyle w:val="Heading6"/>
        <w:spacing w:line="240" w:lineRule="auto"/>
        <w:ind w:left="1134" w:right="0"/>
        <w:jc w:val="left"/>
        <w:rPr>
          <w:b w:val="0"/>
          <w:bCs w:val="0"/>
        </w:rPr>
      </w:pPr>
      <w:r>
        <w:rPr/>
        <w:t>独立董事对公司有关事项是否提出异议</w:t>
      </w:r>
      <w:r>
        <w:rPr>
          <w:b w:val="0"/>
          <w:bCs w:val="0"/>
        </w:rPr>
      </w:r>
    </w:p>
    <w:p>
      <w:pPr>
        <w:spacing w:line="240" w:lineRule="auto" w:before="11"/>
        <w:rPr>
          <w:rFonts w:ascii="宋体" w:hAnsi="宋体" w:cs="宋体" w:eastAsia="宋体" w:hint="default"/>
          <w:b/>
          <w:bCs/>
          <w:sz w:val="14"/>
          <w:szCs w:val="14"/>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9"/>
        <w:rPr>
          <w:rFonts w:ascii="宋体" w:hAnsi="宋体" w:cs="宋体" w:eastAsia="宋体" w:hint="default"/>
          <w:b/>
          <w:bCs/>
          <w:sz w:val="13"/>
          <w:szCs w:val="13"/>
        </w:rPr>
      </w:pPr>
    </w:p>
    <w:p>
      <w:pPr>
        <w:pStyle w:val="BodyText"/>
        <w:spacing w:line="240" w:lineRule="auto"/>
        <w:ind w:left="1493" w:right="0"/>
        <w:jc w:val="left"/>
      </w:pPr>
      <w:r>
        <w:rPr/>
        <w:t>报告期内独立董事对公司有关事项未提出异议。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32"/>
          <w:szCs w:val="32"/>
        </w:rPr>
      </w:pPr>
    </w:p>
    <w:p>
      <w:pPr>
        <w:pStyle w:val="Heading6"/>
        <w:spacing w:line="240" w:lineRule="auto"/>
        <w:ind w:left="1134" w:right="0"/>
        <w:jc w:val="left"/>
        <w:rPr>
          <w:b w:val="0"/>
          <w:bCs w:val="0"/>
        </w:rPr>
      </w:pPr>
      <w:r>
        <w:rPr/>
        <w:t>独立董事对公司有关建议是否被采纳</w:t>
      </w:r>
      <w:r>
        <w:rPr>
          <w:b w:val="0"/>
          <w:bCs w:val="0"/>
        </w:rPr>
      </w:r>
    </w:p>
    <w:p>
      <w:pPr>
        <w:spacing w:line="240" w:lineRule="auto" w:before="12"/>
        <w:rPr>
          <w:rFonts w:ascii="宋体" w:hAnsi="宋体" w:cs="宋体" w:eastAsia="宋体" w:hint="default"/>
          <w:b/>
          <w:bCs/>
          <w:sz w:val="14"/>
          <w:szCs w:val="14"/>
        </w:rPr>
      </w:pPr>
    </w:p>
    <w:p>
      <w:pPr>
        <w:pStyle w:val="Heading6"/>
        <w:spacing w:line="412" w:lineRule="auto"/>
        <w:ind w:right="6777"/>
        <w:jc w:val="left"/>
        <w:rPr>
          <w:b w:val="0"/>
          <w:bCs w:val="0"/>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44"/>
        </w:rPr>
        <w:t> </w:t>
      </w:r>
      <w:r>
        <w:rPr>
          <w:rFonts w:ascii="宋体" w:hAnsi="宋体" w:cs="宋体" w:eastAsia="宋体" w:hint="default"/>
          <w:b w:val="0"/>
          <w:bCs w:val="0"/>
        </w:rPr>
        <w:t>否 </w:t>
      </w:r>
      <w:r>
        <w:rPr/>
        <w:t>独立董事对公司有关建议被采纳或未被采纳的说明</w:t>
      </w:r>
      <w:r>
        <w:rPr>
          <w:b w:val="0"/>
          <w:bCs w:val="0"/>
        </w:rPr>
      </w:r>
    </w:p>
    <w:p>
      <w:pPr>
        <w:pStyle w:val="BodyText"/>
        <w:spacing w:line="240" w:lineRule="auto" w:before="141"/>
        <w:ind w:left="1493" w:right="0"/>
        <w:jc w:val="left"/>
      </w:pPr>
      <w:r>
        <w:rPr>
          <w:rFonts w:ascii="Times New Roman" w:hAnsi="Times New Roman" w:cs="Times New Roman" w:eastAsia="Times New Roman" w:hint="default"/>
        </w:rPr>
        <w:t>2015</w:t>
      </w:r>
      <w:r>
        <w:rPr/>
        <w:t>年度，独立董事对公司以下事项发表了独立意见：</w:t>
      </w:r>
    </w:p>
    <w:p>
      <w:pPr>
        <w:spacing w:line="240" w:lineRule="auto" w:before="9"/>
        <w:rPr>
          <w:rFonts w:ascii="宋体" w:hAnsi="宋体" w:cs="宋体" w:eastAsia="宋体" w:hint="default"/>
          <w:sz w:val="16"/>
          <w:szCs w:val="16"/>
        </w:rPr>
      </w:pPr>
    </w:p>
    <w:p>
      <w:pPr>
        <w:pStyle w:val="BodyText"/>
        <w:spacing w:line="451" w:lineRule="auto"/>
        <w:ind w:right="0" w:firstLine="360"/>
        <w:jc w:val="left"/>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9</w:t>
      </w:r>
      <w:r>
        <w:rPr>
          <w:spacing w:val="-4"/>
        </w:rPr>
        <w:t>日，公司第五届董事会第四十三次会议，对公司使用自有资金与天津云中融信网络科技合伙企业（有限合伙）</w:t>
      </w:r>
      <w:r>
        <w:rPr/>
        <w:t> 共同投资设立三家新公司事项进行认真检查和审核</w:t>
      </w:r>
      <w:r>
        <w:rPr>
          <w:rFonts w:ascii="Times New Roman" w:hAnsi="Times New Roman" w:cs="Times New Roman" w:eastAsia="Times New Roman" w:hint="default"/>
        </w:rPr>
        <w:t>,</w:t>
      </w:r>
      <w:r>
        <w:rPr/>
        <w:t>发表独立意见，同意公司使用自有资金与云中融信共同投资设立新公司</w:t>
      </w:r>
      <w:r>
        <w:rPr>
          <w:spacing w:val="-44"/>
        </w:rPr>
        <w:t> </w:t>
      </w:r>
      <w:r>
        <w:rPr>
          <w:spacing w:val="-44"/>
        </w:rPr>
      </w:r>
      <w:r>
        <w:rPr/>
        <w:t>暨关联交易的事项。</w:t>
      </w:r>
    </w:p>
    <w:p>
      <w:pPr>
        <w:pStyle w:val="BodyText"/>
        <w:spacing w:line="463" w:lineRule="auto" w:before="74"/>
        <w:ind w:left="1134"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日，公司第五届董事会第四十四次会议，认真审阅了公司本次发行股份及支付现金购买资产并募集配套资 </w:t>
      </w:r>
      <w:r>
        <w:rPr>
          <w:spacing w:val="-2"/>
        </w:rPr>
        <w:t>金暨关联交易方案调整的相关文件。发表独立意见，同意公司调整本次发行股份及支付现金购买资产并募集配套资金暨关联</w:t>
      </w:r>
      <w:r>
        <w:rPr>
          <w:spacing w:val="-64"/>
        </w:rPr>
        <w:t> </w:t>
      </w:r>
      <w:r>
        <w:rPr>
          <w:spacing w:val="-64"/>
        </w:rPr>
      </w:r>
      <w:r>
        <w:rPr/>
        <w:t>交易方案。</w:t>
      </w:r>
    </w:p>
    <w:p>
      <w:pPr>
        <w:pStyle w:val="BodyText"/>
        <w:spacing w:line="451" w:lineRule="auto" w:before="65"/>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日，公司第五届董事会第四十六次会议，对</w:t>
      </w:r>
      <w:r>
        <w:rPr>
          <w:rFonts w:ascii="Times New Roman" w:hAnsi="Times New Roman" w:cs="Times New Roman" w:eastAsia="Times New Roman" w:hint="default"/>
        </w:rPr>
        <w:t>2014</w:t>
      </w:r>
      <w:r>
        <w:rPr/>
        <w:t>年度关于控股股东及其他关联方占用公司资金、公司对外 担保情况、公司</w:t>
      </w:r>
      <w:r>
        <w:rPr>
          <w:rFonts w:ascii="Times New Roman" w:hAnsi="Times New Roman" w:cs="Times New Roman" w:eastAsia="Times New Roman" w:hint="default"/>
        </w:rPr>
        <w:t>2014</w:t>
      </w:r>
      <w:r>
        <w:rPr/>
        <w:t>年度内部控制自我评价报告、公司聘任</w:t>
      </w:r>
      <w:r>
        <w:rPr>
          <w:rFonts w:ascii="Times New Roman" w:hAnsi="Times New Roman" w:cs="Times New Roman" w:eastAsia="Times New Roman" w:hint="default"/>
        </w:rPr>
        <w:t>2015</w:t>
      </w:r>
      <w:r>
        <w:rPr/>
        <w:t>年度审计机构、</w:t>
      </w:r>
      <w:r>
        <w:rPr>
          <w:rFonts w:ascii="Times New Roman" w:hAnsi="Times New Roman" w:cs="Times New Roman" w:eastAsia="Times New Roman" w:hint="default"/>
        </w:rPr>
        <w:t>2014</w:t>
      </w:r>
      <w:r>
        <w:rPr/>
        <w:t>年度公司募集资金存放与使用、</w:t>
      </w:r>
      <w:r>
        <w:rPr>
          <w:rFonts w:ascii="Times New Roman" w:hAnsi="Times New Roman" w:cs="Times New Roman" w:eastAsia="Times New Roman" w:hint="default"/>
        </w:rPr>
        <w:t>2014</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年度公司关联交易事项、</w:t>
      </w:r>
      <w:r>
        <w:rPr>
          <w:rFonts w:ascii="Times New Roman" w:hAnsi="Times New Roman" w:cs="Times New Roman" w:eastAsia="Times New Roman" w:hint="default"/>
        </w:rPr>
        <w:t>2014</w:t>
      </w:r>
      <w:r>
        <w:rPr/>
        <w:t>年度利润分配及资本公积金转增股本预案等事项发表了同意的独立意见。</w:t>
      </w:r>
    </w:p>
    <w:p>
      <w:pPr>
        <w:pStyle w:val="BodyText"/>
        <w:spacing w:line="451" w:lineRule="auto" w:before="43"/>
        <w:ind w:left="1134"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日，公司第五届董事会第四十七次会议，对公司收购北京神州祥升软件有限公司</w:t>
      </w:r>
      <w:r>
        <w:rPr>
          <w:rFonts w:ascii="Times New Roman" w:hAnsi="Times New Roman" w:cs="Times New Roman" w:eastAsia="Times New Roman" w:hint="default"/>
        </w:rPr>
        <w:t>100%</w:t>
      </w:r>
      <w:r>
        <w:rPr/>
        <w:t>股权事项进行认真检 查和审核</w:t>
      </w:r>
      <w:r>
        <w:rPr>
          <w:rFonts w:ascii="Times New Roman" w:hAnsi="Times New Roman" w:cs="Times New Roman" w:eastAsia="Times New Roman" w:hint="default"/>
        </w:rPr>
        <w:t>,</w:t>
      </w:r>
      <w:r>
        <w:rPr/>
        <w:t>发表独立意见，同意公司收购祥升软件暨关联交易事项。</w:t>
      </w:r>
    </w:p>
    <w:p>
      <w:pPr>
        <w:spacing w:after="0" w:line="451" w:lineRule="auto"/>
        <w:jc w:val="both"/>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149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日，公司第五届董事会第四十九次会议，对公司股权激励计划相关参数调整事项发表了同意的独立意见</w:t>
      </w:r>
    </w:p>
    <w:p>
      <w:pPr>
        <w:spacing w:line="240" w:lineRule="auto" w:before="9"/>
        <w:rPr>
          <w:rFonts w:ascii="宋体" w:hAnsi="宋体" w:cs="宋体" w:eastAsia="宋体" w:hint="default"/>
          <w:sz w:val="16"/>
          <w:szCs w:val="16"/>
        </w:rPr>
      </w:pPr>
    </w:p>
    <w:p>
      <w:pPr>
        <w:pStyle w:val="BodyText"/>
        <w:spacing w:line="451" w:lineRule="auto"/>
        <w:ind w:left="1134" w:right="113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日，公司第五届董事会第五十次会议，对公司及子公司申请综合授信及相关担保事项发表了同意的独立意 见。</w:t>
      </w:r>
    </w:p>
    <w:p>
      <w:pPr>
        <w:pStyle w:val="BodyText"/>
        <w:spacing w:line="240" w:lineRule="auto" w:before="74"/>
        <w:ind w:left="149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日，公司第五届董事会第五十二次会议，对公司第一期员工持股计划发表同意的独立意见。</w:t>
      </w:r>
    </w:p>
    <w:p>
      <w:pPr>
        <w:spacing w:line="240" w:lineRule="auto" w:before="9"/>
        <w:rPr>
          <w:rFonts w:ascii="宋体" w:hAnsi="宋体" w:cs="宋体" w:eastAsia="宋体" w:hint="default"/>
          <w:sz w:val="16"/>
          <w:szCs w:val="16"/>
        </w:rPr>
      </w:pPr>
    </w:p>
    <w:p>
      <w:pPr>
        <w:pStyle w:val="BodyText"/>
        <w:spacing w:line="451" w:lineRule="auto"/>
        <w:ind w:right="112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日，公司第五届董事会第五十四次会议，对公司使用自有资金与关联方共同对控股子公司</w:t>
      </w:r>
      <w:r>
        <w:rPr>
          <w:rFonts w:ascii="Times New Roman" w:hAnsi="Times New Roman" w:cs="Times New Roman" w:eastAsia="Times New Roman" w:hint="default"/>
        </w:rPr>
        <w:t>——</w:t>
      </w:r>
      <w:r>
        <w:rPr/>
        <w:t>北京神州泰 岳智能数据技术有限公司同比例增资事项进行认真检查和审核</w:t>
      </w:r>
      <w:r>
        <w:rPr>
          <w:rFonts w:ascii="Times New Roman" w:hAnsi="Times New Roman" w:cs="Times New Roman" w:eastAsia="Times New Roman" w:hint="default"/>
        </w:rPr>
        <w:t>,</w:t>
      </w:r>
      <w:r>
        <w:rPr/>
        <w:t>发表了同意的独立意见。</w:t>
      </w:r>
    </w:p>
    <w:p>
      <w:pPr>
        <w:pStyle w:val="BodyText"/>
        <w:spacing w:line="451" w:lineRule="auto" w:before="43"/>
        <w:ind w:left="1134"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日，公司第五届董事会第五十六次会议，对公司</w:t>
      </w:r>
      <w:r>
        <w:rPr>
          <w:rFonts w:ascii="Times New Roman" w:hAnsi="Times New Roman" w:cs="Times New Roman" w:eastAsia="Times New Roman" w:hint="default"/>
        </w:rPr>
        <w:t>2015</w:t>
      </w:r>
      <w:r>
        <w:rPr/>
        <w:t>年上半年关于控股股东及其他关联方占用公司资金、 公司对外担保情况、募集资金存放与使用情况发表了同意的独立意见。</w:t>
      </w:r>
    </w:p>
    <w:p>
      <w:pPr>
        <w:pStyle w:val="BodyText"/>
        <w:spacing w:line="463" w:lineRule="auto" w:before="74"/>
        <w:ind w:left="1134" w:right="113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日，公司第五届董事会第五十七次会议，对公司股票期权与限制性股票激励计划第三批股票期权行权、第 </w:t>
      </w:r>
      <w:r>
        <w:rPr>
          <w:spacing w:val="-2"/>
        </w:rPr>
        <w:t>三批限制性股票解禁、注销已离职激励对象获授期权、回购注销已离职激励对象获授限制性股票等事项发表了同意的独立意</w:t>
      </w:r>
      <w:r>
        <w:rPr>
          <w:spacing w:val="-64"/>
        </w:rPr>
        <w:t> </w:t>
      </w:r>
      <w:r>
        <w:rPr>
          <w:spacing w:val="-64"/>
        </w:rPr>
      </w:r>
      <w:r>
        <w:rPr/>
        <w:t>见。</w:t>
      </w:r>
    </w:p>
    <w:p>
      <w:pPr>
        <w:pStyle w:val="BodyText"/>
        <w:spacing w:line="451" w:lineRule="auto" w:before="65"/>
        <w:ind w:left="1134" w:right="112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日，公司第五届董事会第五十九次会议，对公司控股子公司</w:t>
      </w:r>
      <w:r>
        <w:rPr>
          <w:rFonts w:ascii="Times New Roman" w:hAnsi="Times New Roman" w:cs="Times New Roman" w:eastAsia="Times New Roman" w:hint="default"/>
        </w:rPr>
        <w:t>——</w:t>
      </w:r>
      <w:r>
        <w:rPr/>
        <w:t>北京神州泰岳良品电子商务有限公司对外 融资事项进行认真检查和审核</w:t>
      </w:r>
      <w:r>
        <w:rPr>
          <w:rFonts w:ascii="Times New Roman" w:hAnsi="Times New Roman" w:cs="Times New Roman" w:eastAsia="Times New Roman" w:hint="default"/>
        </w:rPr>
        <w:t>,</w:t>
      </w:r>
      <w:r>
        <w:rPr/>
        <w:t>发表了同意的独立意见。</w:t>
      </w:r>
    </w:p>
    <w:p>
      <w:pPr>
        <w:pStyle w:val="BodyText"/>
        <w:spacing w:line="451" w:lineRule="auto" w:before="43"/>
        <w:ind w:left="1134" w:right="113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日，公司第五届董事会第六十二次会议，对公司使用自有资金受让北京华泰德丰技术有限公司部分股权并 增资事项进行认真检查和审核</w:t>
      </w:r>
      <w:r>
        <w:rPr>
          <w:rFonts w:ascii="Times New Roman" w:hAnsi="Times New Roman" w:cs="Times New Roman" w:eastAsia="Times New Roman" w:hint="default"/>
        </w:rPr>
        <w:t>,</w:t>
      </w:r>
      <w:r>
        <w:rPr/>
        <w:t>发表了同意的独立意见。</w:t>
      </w:r>
    </w:p>
    <w:p>
      <w:pPr>
        <w:pStyle w:val="BodyText"/>
        <w:spacing w:line="451" w:lineRule="auto" w:before="44"/>
        <w:ind w:left="1134" w:right="1042" w:firstLine="360"/>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11</w:t>
      </w:r>
      <w:r>
        <w:rPr>
          <w:spacing w:val="-4"/>
        </w:rPr>
        <w:t>日，公司第五届董事会第六十六次会议，对公司全资子公司</w:t>
      </w:r>
      <w:r>
        <w:rPr>
          <w:rFonts w:ascii="Times New Roman" w:hAnsi="Times New Roman" w:cs="Times New Roman" w:eastAsia="Times New Roman" w:hint="default"/>
          <w:spacing w:val="-4"/>
        </w:rPr>
        <w:t>—</w:t>
      </w:r>
      <w:r>
        <w:rPr>
          <w:spacing w:val="-4"/>
        </w:rPr>
        <w:t>宁波普天通信技术有限公司与自然人孙海粟、</w:t>
      </w:r>
      <w:r>
        <w:rPr/>
        <w:t> 胡润东、褚建杰共同出资设立合资公司事项进行认真检查和审核</w:t>
      </w:r>
      <w:r>
        <w:rPr>
          <w:rFonts w:ascii="Times New Roman" w:hAnsi="Times New Roman" w:cs="Times New Roman" w:eastAsia="Times New Roman" w:hint="default"/>
        </w:rPr>
        <w:t>,</w:t>
      </w:r>
      <w:r>
        <w:rPr/>
        <w:t>发表了同意的独立意见。</w:t>
      </w:r>
    </w:p>
    <w:p>
      <w:pPr>
        <w:spacing w:line="240" w:lineRule="auto" w:before="9"/>
        <w:rPr>
          <w:rFonts w:ascii="宋体" w:hAnsi="宋体" w:cs="宋体" w:eastAsia="宋体" w:hint="default"/>
          <w:sz w:val="16"/>
          <w:szCs w:val="16"/>
        </w:rPr>
      </w:pPr>
    </w:p>
    <w:p>
      <w:pPr>
        <w:pStyle w:val="Heading2"/>
        <w:spacing w:line="240" w:lineRule="auto"/>
        <w:ind w:left="1133"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2"/>
          <w:szCs w:val="32"/>
        </w:rPr>
      </w:pPr>
    </w:p>
    <w:p>
      <w:pPr>
        <w:pStyle w:val="BodyText"/>
        <w:spacing w:line="470" w:lineRule="auto"/>
        <w:ind w:right="1131" w:firstLine="360"/>
        <w:jc w:val="both"/>
      </w:pPr>
      <w:r>
        <w:rPr>
          <w:spacing w:val="-2"/>
        </w:rPr>
        <w:t>战略委员会，</w:t>
      </w:r>
      <w:r>
        <w:rPr>
          <w:rFonts w:ascii="Times New Roman" w:hAnsi="Times New Roman" w:cs="Times New Roman" w:eastAsia="Times New Roman" w:hint="default"/>
          <w:spacing w:val="-2"/>
        </w:rPr>
        <w:t>2015</w:t>
      </w:r>
      <w:r>
        <w:rPr>
          <w:spacing w:val="-2"/>
        </w:rPr>
        <w:t>年对公司各项对外投资事项召开了相关会议，进行了讨论、分析，并向董事会提出了意见。</w:t>
      </w:r>
      <w:r>
        <w:rPr>
          <w:rFonts w:ascii="Times New Roman" w:hAnsi="Times New Roman" w:cs="Times New Roman" w:eastAsia="Times New Roman" w:hint="default"/>
          <w:spacing w:val="-2"/>
        </w:rPr>
        <w:t>2015</w:t>
      </w:r>
      <w:r>
        <w:rPr>
          <w:spacing w:val="-2"/>
        </w:rPr>
        <w:t>年度</w:t>
      </w:r>
      <w:r>
        <w:rPr/>
        <w:t> </w:t>
      </w:r>
      <w:r>
        <w:rPr>
          <w:spacing w:val="-2"/>
        </w:rPr>
        <w:t>共召开十九次战略委员会会议。认真研究并审议通过了《关于与天津云中融信网络科技合伙企业（有限合伙）共同投资设立</w:t>
      </w:r>
      <w:r>
        <w:rPr>
          <w:spacing w:val="-66"/>
        </w:rPr>
        <w:t> </w:t>
      </w:r>
      <w:r>
        <w:rPr>
          <w:spacing w:val="-66"/>
        </w:rPr>
      </w:r>
      <w:r>
        <w:rPr>
          <w:spacing w:val="-2"/>
        </w:rPr>
        <w:t>三家新公司暨关联交易的议案》、《关于对外投资联合设立专业化投资管理有限公司的议案》、《关于收购北京神州祥升软</w:t>
      </w:r>
      <w:r>
        <w:rPr>
          <w:spacing w:val="-68"/>
        </w:rPr>
        <w:t> </w:t>
      </w:r>
      <w:r>
        <w:rPr>
          <w:spacing w:val="-68"/>
        </w:rPr>
      </w:r>
      <w:r>
        <w:rPr>
          <w:spacing w:val="-2"/>
        </w:rPr>
        <w:t>件有限公司暨关联交易的议案》、《关于对控股子公司进行增资的议案》、《关于控股子公司对外融资的议案》、《关于子</w:t>
      </w:r>
      <w:r>
        <w:rPr>
          <w:spacing w:val="-70"/>
        </w:rPr>
        <w:t> </w:t>
      </w:r>
      <w:r>
        <w:rPr>
          <w:spacing w:val="-70"/>
        </w:rPr>
      </w:r>
      <w:r>
        <w:rPr/>
        <w:t>公司宁波普天对外投资设立控股公司的议案》等议案，并向董事会提出了专业委员会意见。</w:t>
      </w:r>
    </w:p>
    <w:p>
      <w:pPr>
        <w:pStyle w:val="BodyText"/>
        <w:spacing w:line="456" w:lineRule="auto" w:before="59"/>
        <w:ind w:right="1129" w:firstLine="360"/>
        <w:jc w:val="both"/>
      </w:pPr>
      <w:r>
        <w:rPr>
          <w:spacing w:val="-2"/>
        </w:rPr>
        <w:t>薪酬与考核委员会，</w:t>
      </w:r>
      <w:r>
        <w:rPr>
          <w:rFonts w:ascii="Times New Roman" w:hAnsi="Times New Roman" w:cs="Times New Roman" w:eastAsia="Times New Roman" w:hint="default"/>
          <w:spacing w:val="-2"/>
        </w:rPr>
        <w:t>2015</w:t>
      </w:r>
      <w:r>
        <w:rPr>
          <w:spacing w:val="-2"/>
        </w:rPr>
        <w:t>年召开了三次薪酬与考核委员会会议。认真研究并审议通过了《关于股票期权和限制性股票激</w:t>
      </w:r>
      <w:r>
        <w:rPr/>
        <w:t> </w:t>
      </w:r>
      <w:r>
        <w:rPr>
          <w:spacing w:val="-2"/>
        </w:rPr>
        <w:t>励计划相关参数调整的议案》、《关于注销已不符合激励条件的原激励对象已获授的股票期权的议案》、《关于回购注销已</w:t>
      </w:r>
      <w:r>
        <w:rPr>
          <w:spacing w:val="-68"/>
        </w:rPr>
        <w:t> </w:t>
      </w:r>
      <w:r>
        <w:rPr>
          <w:spacing w:val="-68"/>
        </w:rPr>
      </w:r>
      <w:r>
        <w:rPr/>
        <w:t>不符合激励条件的原激励对象已获授的限制性股票的议案》、《关于公司股票期权与限制性股票激励计划第三个行权</w:t>
      </w:r>
      <w:r>
        <w:rPr>
          <w:rFonts w:ascii="Times New Roman" w:hAnsi="Times New Roman" w:cs="Times New Roman" w:eastAsia="Times New Roman" w:hint="default"/>
        </w:rPr>
        <w:t>/</w:t>
      </w:r>
      <w:r>
        <w:rPr/>
        <w:t>解锁</w:t>
      </w:r>
      <w:r>
        <w:rPr>
          <w:spacing w:val="-45"/>
        </w:rPr>
        <w:t> </w:t>
      </w:r>
      <w:r>
        <w:rPr>
          <w:spacing w:val="-3"/>
        </w:rPr>
        <w:t>期可行权</w:t>
      </w:r>
      <w:r>
        <w:rPr>
          <w:rFonts w:ascii="Times New Roman" w:hAnsi="Times New Roman" w:cs="Times New Roman" w:eastAsia="Times New Roman" w:hint="default"/>
          <w:spacing w:val="-3"/>
        </w:rPr>
        <w:t>/</w:t>
      </w:r>
      <w:r>
        <w:rPr>
          <w:spacing w:val="-3"/>
        </w:rPr>
        <w:t>解锁的议案》、《关于股票期权与限制性股票激励计划之股票期权第三个行权期选择自主行权模式的议案》、《关</w:t>
      </w:r>
      <w:r>
        <w:rPr>
          <w:spacing w:val="-58"/>
        </w:rPr>
        <w:t> </w:t>
      </w:r>
      <w:r>
        <w:rPr>
          <w:spacing w:val="-58"/>
        </w:rPr>
      </w:r>
      <w:r>
        <w:rPr/>
        <w:t>于北京云中融信网络科技有限公司员工股权激励资格认定的议案》等议案，并向董事会提出了意见。</w:t>
      </w:r>
    </w:p>
    <w:p>
      <w:pPr>
        <w:pStyle w:val="BodyText"/>
        <w:spacing w:line="240" w:lineRule="auto" w:before="70"/>
        <w:ind w:left="1493" w:right="0"/>
        <w:jc w:val="left"/>
      </w:pPr>
      <w:r>
        <w:rPr/>
        <w:t>审计委员会，在公司</w:t>
      </w:r>
      <w:r>
        <w:rPr>
          <w:rFonts w:ascii="Times New Roman" w:hAnsi="Times New Roman" w:cs="Times New Roman" w:eastAsia="Times New Roman" w:hint="default"/>
        </w:rPr>
        <w:t>2015</w:t>
      </w:r>
      <w:r>
        <w:rPr/>
        <w:t>年报的编制和披露过程中，切实履行独立董事的责任和义务，认真听取管理层对公司全年生产</w:t>
      </w:r>
    </w:p>
    <w:p>
      <w:pPr>
        <w:spacing w:after="0" w:line="240" w:lineRule="auto"/>
        <w:jc w:val="left"/>
        <w:sectPr>
          <w:pgSz w:w="11910" w:h="16840"/>
          <w:pgMar w:header="851" w:footer="979" w:top="1380" w:bottom="1160" w:left="0" w:right="0"/>
        </w:sectPr>
      </w:pPr>
    </w:p>
    <w:p>
      <w:pPr>
        <w:pStyle w:val="BodyText"/>
        <w:spacing w:line="458" w:lineRule="auto" w:before="141"/>
        <w:ind w:right="1130"/>
        <w:jc w:val="both"/>
      </w:pPr>
      <w:r>
        <w:rPr>
          <w:spacing w:val="-2"/>
        </w:rPr>
        <w:t>经营情况和重大事项进展情况的汇报，认真阅读公司出具的相关材料；了解、掌握</w:t>
      </w:r>
      <w:r>
        <w:rPr>
          <w:rFonts w:ascii="Times New Roman" w:hAnsi="Times New Roman" w:cs="Times New Roman" w:eastAsia="Times New Roman" w:hint="default"/>
          <w:spacing w:val="-2"/>
        </w:rPr>
        <w:t>2015</w:t>
      </w:r>
      <w:r>
        <w:rPr>
          <w:spacing w:val="-2"/>
        </w:rPr>
        <w:t>年年报审计工作安排及审计工作进展</w:t>
      </w:r>
      <w:r>
        <w:rPr>
          <w:spacing w:val="-62"/>
        </w:rPr>
        <w:t> </w:t>
      </w:r>
      <w:r>
        <w:rPr>
          <w:spacing w:val="-2"/>
        </w:rPr>
        <w:t>情况，听取注册会计师介绍初审意见情况，并就相关问题与注册会计师、公司管理层进行了充分的沟通；在注册会计师进场</w:t>
      </w:r>
      <w:r>
        <w:rPr>
          <w:spacing w:val="-66"/>
        </w:rPr>
        <w:t> </w:t>
      </w:r>
      <w:r>
        <w:rPr>
          <w:spacing w:val="-66"/>
        </w:rPr>
      </w:r>
      <w:r>
        <w:rPr>
          <w:spacing w:val="-2"/>
        </w:rPr>
        <w:t>后积极关注审计进程，就审计过程中发现的问题进行有效沟通；审计结束后认真阅读了年审注册会计师出具的公司</w:t>
      </w:r>
      <w:r>
        <w:rPr>
          <w:rFonts w:ascii="Times New Roman" w:hAnsi="Times New Roman" w:cs="Times New Roman" w:eastAsia="Times New Roman" w:hint="default"/>
          <w:spacing w:val="-2"/>
        </w:rPr>
        <w:t>2015</w:t>
      </w:r>
      <w:r>
        <w:rPr>
          <w:spacing w:val="-2"/>
        </w:rPr>
        <w:t>年度</w:t>
      </w:r>
      <w:r>
        <w:rPr>
          <w:spacing w:val="-59"/>
        </w:rPr>
        <w:t> </w:t>
      </w:r>
      <w:r>
        <w:rPr/>
        <w:t>审计报告，并同意提交董事会审阅。</w:t>
      </w:r>
    </w:p>
    <w:p>
      <w:pPr>
        <w:spacing w:line="240" w:lineRule="auto" w:before="8"/>
        <w:rPr>
          <w:rFonts w:ascii="宋体" w:hAnsi="宋体" w:cs="宋体" w:eastAsia="宋体" w:hint="default"/>
          <w:sz w:val="18"/>
          <w:szCs w:val="18"/>
        </w:rPr>
      </w:pPr>
    </w:p>
    <w:p>
      <w:pPr>
        <w:pStyle w:val="Heading2"/>
        <w:spacing w:line="240" w:lineRule="auto"/>
        <w:ind w:left="1133" w:right="0"/>
        <w:jc w:val="both"/>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32"/>
          <w:szCs w:val="32"/>
        </w:rPr>
      </w:pPr>
    </w:p>
    <w:p>
      <w:pPr>
        <w:pStyle w:val="Heading6"/>
        <w:spacing w:line="240" w:lineRule="auto"/>
        <w:ind w:right="0"/>
        <w:jc w:val="both"/>
        <w:rPr>
          <w:b w:val="0"/>
          <w:bCs w:val="0"/>
        </w:rPr>
      </w:pPr>
      <w:r>
        <w:rPr/>
        <w:t>监事会在报告期内的监督活动是否发现公司存在风险</w:t>
      </w:r>
      <w:r>
        <w:rPr>
          <w:b w:val="0"/>
          <w:bCs w:val="0"/>
        </w:rPr>
      </w:r>
    </w:p>
    <w:p>
      <w:pPr>
        <w:spacing w:line="240" w:lineRule="auto" w:before="11"/>
        <w:rPr>
          <w:rFonts w:ascii="宋体" w:hAnsi="宋体" w:cs="宋体" w:eastAsia="宋体" w:hint="default"/>
          <w:b/>
          <w:bCs/>
          <w:sz w:val="14"/>
          <w:szCs w:val="14"/>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9"/>
        <w:rPr>
          <w:rFonts w:ascii="宋体" w:hAnsi="宋体" w:cs="宋体" w:eastAsia="宋体" w:hint="default"/>
          <w:b/>
          <w:bCs/>
          <w:sz w:val="13"/>
          <w:szCs w:val="13"/>
        </w:rPr>
      </w:pPr>
    </w:p>
    <w:p>
      <w:pPr>
        <w:pStyle w:val="BodyText"/>
        <w:spacing w:line="240" w:lineRule="auto"/>
        <w:ind w:left="1114" w:right="6610"/>
        <w:jc w:val="center"/>
      </w:pPr>
      <w:r>
        <w:rPr/>
        <w:t>公司监事会对报告期内的监督事项无异议。</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left="1133" w:right="0"/>
        <w:jc w:val="both"/>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1" w:firstLine="360"/>
        <w:jc w:val="both"/>
      </w:pPr>
      <w:r>
        <w:rPr>
          <w:spacing w:val="-2"/>
        </w:rPr>
        <w:t>公司建立了高级管理人员的选择、考评、激励与约束机制。公司高级管理人员均由董事会聘任，直接对董事会负责，承</w:t>
      </w:r>
      <w:r>
        <w:rPr/>
        <w:t> </w:t>
      </w:r>
      <w:r>
        <w:rPr>
          <w:spacing w:val="-2"/>
        </w:rPr>
        <w:t>担董事会下达的经营指标。董事会下设的薪酬与考核委员会负责对高级管理人员的工作能力、履职情况、责任目标完成情况</w:t>
      </w:r>
      <w:r>
        <w:rPr>
          <w:spacing w:val="-66"/>
        </w:rPr>
        <w:t> </w:t>
      </w:r>
      <w:r>
        <w:rPr>
          <w:spacing w:val="-66"/>
        </w:rPr>
      </w:r>
      <w:r>
        <w:rPr>
          <w:spacing w:val="-2"/>
        </w:rPr>
        <w:t>等进行年终考评，制定薪酬方案并报董事会审批。报告期内，高级管理人员能够严格按照《公司法》、《公司章程》及国家</w:t>
      </w:r>
      <w:r>
        <w:rPr>
          <w:spacing w:val="-67"/>
        </w:rPr>
        <w:t> </w:t>
      </w:r>
      <w:r>
        <w:rPr>
          <w:spacing w:val="-67"/>
        </w:rPr>
      </w:r>
      <w:r>
        <w:rPr>
          <w:spacing w:val="-2"/>
        </w:rPr>
        <w:t>有关法律法规认真履行职责，积极落实公司股东大会和董事会相关决议。根据公司薪酬绩效考核制度，公司高级管理人员的</w:t>
      </w:r>
      <w:r>
        <w:rPr>
          <w:spacing w:val="-66"/>
        </w:rPr>
        <w:t> </w:t>
      </w:r>
      <w:r>
        <w:rPr>
          <w:spacing w:val="-66"/>
        </w:rPr>
      </w:r>
      <w:r>
        <w:rPr>
          <w:spacing w:val="-2"/>
        </w:rPr>
        <w:t>薪酬由公司董事会依据每位的年度绩效目标确定范围，并由公司董事会进行考评。对高管人员的考评，既评估当年的绩效完</w:t>
      </w:r>
      <w:r>
        <w:rPr>
          <w:spacing w:val="-66"/>
        </w:rPr>
        <w:t> </w:t>
      </w:r>
      <w:r>
        <w:rPr>
          <w:spacing w:val="-66"/>
        </w:rPr>
      </w:r>
      <w:r>
        <w:rPr>
          <w:spacing w:val="-2"/>
        </w:rPr>
        <w:t>成情况，也兼顾公司长期发展的要求，年度经营目标与年度考评结果直接挂钩。高管人员的薪酬主要由基本薪酬、年度绩效</w:t>
      </w:r>
      <w:r>
        <w:rPr>
          <w:spacing w:val="-66"/>
        </w:rPr>
        <w:t> </w:t>
      </w:r>
      <w:r>
        <w:rPr>
          <w:spacing w:val="-66"/>
        </w:rPr>
      </w:r>
      <w:r>
        <w:rPr>
          <w:spacing w:val="-2"/>
        </w:rPr>
        <w:t>奖金和股权激励三部分构成，其中，基本薪酬按月发放，年度绩效奖金根据高管人员年度绩效目标完成情况在年末考评后一</w:t>
      </w:r>
      <w:r>
        <w:rPr>
          <w:spacing w:val="-66"/>
        </w:rPr>
        <w:t> </w:t>
      </w:r>
      <w:r>
        <w:rPr>
          <w:spacing w:val="-66"/>
        </w:rPr>
      </w:r>
      <w:r>
        <w:rPr/>
        <w:t>次性兑现，股权激励依据公司股权激励计划执行。</w:t>
      </w:r>
    </w:p>
    <w:p>
      <w:pPr>
        <w:spacing w:line="240" w:lineRule="auto" w:before="7"/>
        <w:rPr>
          <w:rFonts w:ascii="宋体" w:hAnsi="宋体" w:cs="宋体" w:eastAsia="宋体" w:hint="default"/>
          <w:sz w:val="17"/>
          <w:szCs w:val="17"/>
        </w:rPr>
      </w:pPr>
    </w:p>
    <w:p>
      <w:pPr>
        <w:pStyle w:val="Heading2"/>
        <w:spacing w:line="240" w:lineRule="auto"/>
        <w:ind w:left="1133" w:right="0"/>
        <w:jc w:val="both"/>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left="1133" w:right="0"/>
        <w:jc w:val="both"/>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8"/>
          <w:szCs w:val="28"/>
        </w:rPr>
      </w:pPr>
    </w:p>
    <w:p>
      <w:pPr>
        <w:spacing w:line="312" w:lineRule="exact"/>
        <w:ind w:left="76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5pt;mso-position-horizontal-relative:char;mso-position-vertical-relative:line" coordorigin="0,0" coordsize="2996,313">
            <v:group style="position:absolute;left:0;top:0;width:2996;height:313" coordorigin="0,0" coordsize="2996,313">
              <v:shape style="position:absolute;left:0;top:0;width:2996;height:313" coordorigin="0,0" coordsize="2996,313"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0"/>
          <w:szCs w:val="10"/>
        </w:rPr>
      </w:pPr>
    </w:p>
    <w:p>
      <w:pPr>
        <w:spacing w:line="352" w:lineRule="exact"/>
        <w:ind w:left="767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49.8pt;height:17.650pt;mso-position-horizontal-relative:char;mso-position-vertical-relative:line" coordorigin="0,0" coordsize="2996,353">
            <v:group style="position:absolute;left:0;top:0;width:2996;height:353" coordorigin="0,0" coordsize="2996,353">
              <v:shape style="position:absolute;left:0;top:0;width:2996;height:353" coordorigin="0,0" coordsize="2996,353" path="m0,353l2996,353,2996,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7"/>
          <w:szCs w:val="27"/>
        </w:rPr>
      </w:pPr>
    </w:p>
    <w:p>
      <w:pPr>
        <w:pStyle w:val="Heading2"/>
        <w:spacing w:line="240" w:lineRule="auto" w:before="26"/>
        <w:ind w:right="0"/>
        <w:jc w:val="left"/>
        <w:rPr>
          <w:b w:val="0"/>
          <w:bCs w:val="0"/>
        </w:rPr>
      </w:pPr>
      <w:r>
        <w:rPr/>
        <w:pict>
          <v:shape style="position:absolute;margin-left:57.029999pt;margin-top:-523.10437pt;width:478.6pt;height:511.2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3335"/>
                    <w:gridCol w:w="3039"/>
                  </w:tblGrid>
                  <w:tr>
                    <w:trPr>
                      <w:trHeight w:val="404" w:hRule="exact"/>
                    </w:trPr>
                    <w:tc>
                      <w:tcPr>
                        <w:tcW w:w="9557" w:type="dxa"/>
                        <w:gridSpan w:val="3"/>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4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8"/>
                          <w:ind w:left="16" w:right="-28"/>
                          <w:jc w:val="left"/>
                          <w:rPr>
                            <w:rFonts w:ascii="宋体" w:hAnsi="宋体" w:cs="宋体" w:eastAsia="宋体" w:hint="default"/>
                            <w:sz w:val="18"/>
                            <w:szCs w:val="18"/>
                          </w:rPr>
                        </w:pPr>
                        <w:r>
                          <w:rPr>
                            <w:rFonts w:ascii="宋体" w:hAnsi="宋体" w:cs="宋体" w:eastAsia="宋体" w:hint="default"/>
                            <w:spacing w:val="-6"/>
                            <w:sz w:val="18"/>
                            <w:szCs w:val="18"/>
                          </w:rPr>
                          <w:t>一、重大缺陷：单独缺陷或连同其他缺陷，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导致不能及时防止或发现并纠正财务报告</w:t>
                        </w:r>
                        <w:r>
                          <w:rPr>
                            <w:rFonts w:ascii="宋体" w:hAnsi="宋体" w:cs="宋体" w:eastAsia="宋体" w:hint="default"/>
                            <w:sz w:val="18"/>
                            <w:szCs w:val="18"/>
                          </w:rPr>
                          <w:t> 中的重大错报。出现下列情形的，认定为 </w:t>
                        </w: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）董事、监事和高级管理人</w:t>
                        </w:r>
                        <w:r>
                          <w:rPr>
                            <w:rFonts w:ascii="宋体" w:hAnsi="宋体" w:cs="宋体" w:eastAsia="宋体" w:hint="default"/>
                            <w:spacing w:val="-85"/>
                            <w:sz w:val="18"/>
                            <w:szCs w:val="18"/>
                          </w:rPr>
                          <w:t> </w:t>
                        </w:r>
                        <w:r>
                          <w:rPr>
                            <w:rFonts w:ascii="宋体" w:hAnsi="宋体" w:cs="宋体" w:eastAsia="宋体" w:hint="default"/>
                            <w:sz w:val="18"/>
                            <w:szCs w:val="18"/>
                          </w:rPr>
                          <w:t>员舞弊</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）注册会计师发现当期财务报 告存在重大错报，而内部控制在运行过程 </w:t>
                        </w:r>
                        <w:r>
                          <w:rPr>
                            <w:rFonts w:ascii="宋体" w:hAnsi="宋体" w:cs="宋体" w:eastAsia="宋体" w:hint="default"/>
                            <w:spacing w:val="-5"/>
                            <w:sz w:val="18"/>
                            <w:szCs w:val="18"/>
                          </w:rPr>
                          <w:t>中未能发现该错报；（</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）董事会或其授权</w:t>
                        </w:r>
                        <w:r>
                          <w:rPr>
                            <w:rFonts w:ascii="宋体" w:hAnsi="宋体" w:cs="宋体" w:eastAsia="宋体" w:hint="default"/>
                            <w:spacing w:val="-85"/>
                            <w:sz w:val="18"/>
                            <w:szCs w:val="18"/>
                          </w:rPr>
                          <w:t> </w:t>
                        </w:r>
                        <w:r>
                          <w:rPr>
                            <w:rFonts w:ascii="宋体" w:hAnsi="宋体" w:cs="宋体" w:eastAsia="宋体" w:hint="default"/>
                            <w:sz w:val="18"/>
                            <w:szCs w:val="18"/>
                          </w:rPr>
                          <w:t>机构及内审部门对公司的内部控制监督无 效。</w:t>
                        </w:r>
                      </w:p>
                      <w:p>
                        <w:pPr>
                          <w:pStyle w:val="TableParagraph"/>
                          <w:spacing w:line="319" w:lineRule="auto" w:before="62"/>
                          <w:ind w:left="16" w:right="-28"/>
                          <w:jc w:val="left"/>
                          <w:rPr>
                            <w:rFonts w:ascii="宋体" w:hAnsi="宋体" w:cs="宋体" w:eastAsia="宋体" w:hint="default"/>
                            <w:sz w:val="18"/>
                            <w:szCs w:val="18"/>
                          </w:rPr>
                        </w:pPr>
                        <w:r>
                          <w:rPr>
                            <w:rFonts w:ascii="宋体" w:hAnsi="宋体" w:cs="宋体" w:eastAsia="宋体" w:hint="default"/>
                            <w:spacing w:val="-6"/>
                            <w:sz w:val="18"/>
                            <w:szCs w:val="18"/>
                          </w:rPr>
                          <w:t>二、重要缺陷：单独缺陷或连同其他缺陷，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导致不能及时防止或发现并纠正财务报告</w:t>
                        </w:r>
                        <w:r>
                          <w:rPr>
                            <w:rFonts w:ascii="宋体" w:hAnsi="宋体" w:cs="宋体" w:eastAsia="宋体" w:hint="default"/>
                            <w:sz w:val="18"/>
                            <w:szCs w:val="18"/>
                          </w:rPr>
                          <w:t> 中虽不构成重大错报但应仍引起管理层重 视的错报。</w:t>
                        </w:r>
                      </w:p>
                      <w:p>
                        <w:pPr>
                          <w:pStyle w:val="TableParagraph"/>
                          <w:spacing w:line="319" w:lineRule="auto" w:before="55"/>
                          <w:ind w:left="16" w:right="53"/>
                          <w:jc w:val="left"/>
                          <w:rPr>
                            <w:rFonts w:ascii="宋体" w:hAnsi="宋体" w:cs="宋体" w:eastAsia="宋体" w:hint="default"/>
                            <w:sz w:val="18"/>
                            <w:szCs w:val="18"/>
                          </w:rPr>
                        </w:pPr>
                        <w:r>
                          <w:rPr>
                            <w:rFonts w:ascii="宋体" w:hAnsi="宋体" w:cs="宋体" w:eastAsia="宋体" w:hint="default"/>
                            <w:sz w:val="18"/>
                            <w:szCs w:val="18"/>
                          </w:rPr>
                          <w:t>三、一般缺陷：不构成重大缺陷或重要缺 陷的其他内部控制缺陷。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04" w:lineRule="auto" w:before="51"/>
                          <w:ind w:left="4" w:right="-43"/>
                          <w:jc w:val="left"/>
                          <w:rPr>
                            <w:rFonts w:ascii="宋体" w:hAnsi="宋体" w:cs="宋体" w:eastAsia="宋体" w:hint="default"/>
                            <w:sz w:val="18"/>
                            <w:szCs w:val="18"/>
                          </w:rPr>
                        </w:pPr>
                        <w:r>
                          <w:rPr>
                            <w:rFonts w:ascii="宋体" w:hAnsi="宋体" w:cs="宋体" w:eastAsia="宋体" w:hint="default"/>
                            <w:spacing w:val="-6"/>
                            <w:w w:val="100"/>
                            <w:sz w:val="18"/>
                            <w:szCs w:val="18"/>
                          </w:rPr>
                          <w:t>一、重大缺陷：（</w:t>
                        </w:r>
                        <w:r>
                          <w:rPr>
                            <w:rFonts w:ascii="Times New Roman" w:hAnsi="Times New Roman" w:cs="Times New Roman" w:eastAsia="Times New Roman" w:hint="default"/>
                            <w:spacing w:val="-6"/>
                            <w:w w:val="100"/>
                            <w:sz w:val="18"/>
                            <w:szCs w:val="18"/>
                          </w:rPr>
                          <w:t>1</w:t>
                        </w:r>
                        <w:r>
                          <w:rPr>
                            <w:rFonts w:ascii="宋体" w:hAnsi="宋体" w:cs="宋体" w:eastAsia="宋体" w:hint="default"/>
                            <w:spacing w:val="-6"/>
                            <w:w w:val="100"/>
                            <w:sz w:val="18"/>
                            <w:szCs w:val="18"/>
                          </w:rPr>
                          <w:t>）严重缺乏</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三重一</w:t>
                        </w:r>
                        <w:r>
                          <w:rPr>
                            <w:rFonts w:ascii="宋体" w:hAnsi="宋体" w:cs="宋体" w:eastAsia="宋体" w:hint="default"/>
                            <w:spacing w:val="-74"/>
                            <w:w w:val="100"/>
                            <w:sz w:val="18"/>
                            <w:szCs w:val="18"/>
                          </w:rPr>
                          <w:t> </w:t>
                        </w:r>
                        <w:r>
                          <w:rPr>
                            <w:rFonts w:ascii="宋体" w:hAnsi="宋体" w:cs="宋体" w:eastAsia="宋体" w:hint="default"/>
                            <w:sz w:val="18"/>
                            <w:szCs w:val="18"/>
                          </w:rPr>
                          <w:t>大</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决策程序，决策过程不民主，造成 </w:t>
                        </w:r>
                        <w:r>
                          <w:rPr>
                            <w:rFonts w:ascii="宋体" w:hAnsi="宋体" w:cs="宋体" w:eastAsia="宋体" w:hint="default"/>
                            <w:spacing w:val="-9"/>
                            <w:sz w:val="18"/>
                            <w:szCs w:val="18"/>
                          </w:rPr>
                          <w:t>决策严重失误；（</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）经营行为严重违反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国家有关法律、法规；（</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）管理人员或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技术人员大量流失；（</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）内部控制评价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结果特别是重大缺陷未得到整改；（</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 重要业务缺乏制度控制或制度系统性 </w:t>
                        </w:r>
                        <w:r>
                          <w:rPr>
                            <w:rFonts w:ascii="宋体" w:hAnsi="宋体" w:cs="宋体" w:eastAsia="宋体" w:hint="default"/>
                            <w:spacing w:val="-9"/>
                            <w:sz w:val="18"/>
                            <w:szCs w:val="18"/>
                          </w:rPr>
                          <w:t>失效；（</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）其造成的负面影响波及范围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极广、普遍引起公众关注，为公司声誉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带来无法弥补的损害；（</w:t>
                        </w: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）政府或监管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机构已经针对相关方面进行调查。</w:t>
                        </w:r>
                      </w:p>
                      <w:p>
                        <w:pPr>
                          <w:pStyle w:val="TableParagraph"/>
                          <w:spacing w:line="319" w:lineRule="auto" w:before="67"/>
                          <w:ind w:left="4" w:right="21"/>
                          <w:jc w:val="left"/>
                          <w:rPr>
                            <w:rFonts w:ascii="宋体" w:hAnsi="宋体" w:cs="宋体" w:eastAsia="宋体" w:hint="default"/>
                            <w:sz w:val="18"/>
                            <w:szCs w:val="18"/>
                          </w:rPr>
                        </w:pPr>
                        <w:r>
                          <w:rPr>
                            <w:rFonts w:ascii="宋体" w:hAnsi="宋体" w:cs="宋体" w:eastAsia="宋体" w:hint="default"/>
                            <w:spacing w:val="-4"/>
                            <w:sz w:val="18"/>
                            <w:szCs w:val="18"/>
                          </w:rPr>
                          <w:t>二、重要缺陷：除上述重大缺陷的其他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情形按影响程度分别确定为重要缺陷 或一般缺陷。</w:t>
                        </w:r>
                      </w:p>
                      <w:p>
                        <w:pPr>
                          <w:pStyle w:val="TableParagraph"/>
                          <w:spacing w:line="319" w:lineRule="auto" w:before="55"/>
                          <w:ind w:left="4" w:right="21"/>
                          <w:jc w:val="left"/>
                          <w:rPr>
                            <w:rFonts w:ascii="宋体" w:hAnsi="宋体" w:cs="宋体" w:eastAsia="宋体" w:hint="default"/>
                            <w:sz w:val="18"/>
                            <w:szCs w:val="18"/>
                          </w:rPr>
                        </w:pPr>
                        <w:r>
                          <w:rPr>
                            <w:rFonts w:ascii="宋体" w:hAnsi="宋体" w:cs="宋体" w:eastAsia="宋体" w:hint="default"/>
                            <w:spacing w:val="-4"/>
                            <w:sz w:val="18"/>
                            <w:szCs w:val="18"/>
                          </w:rPr>
                          <w:t>三、一般缺陷：除上述重大缺陷的其他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情形按影响程度分别确定为重要缺陷 或一般缺陷。</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540"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962"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9" w:space="0" w:color="FFFFFF"/>
                        </w:tcBorders>
                      </w:tcPr>
                      <w:p>
                        <w:pPr>
                          <w:pStyle w:val="TableParagraph"/>
                          <w:spacing w:line="304" w:lineRule="auto" w:before="52"/>
                          <w:ind w:left="16" w:right="-20"/>
                          <w:jc w:val="left"/>
                          <w:rPr>
                            <w:rFonts w:ascii="宋体" w:hAnsi="宋体" w:cs="宋体" w:eastAsia="宋体" w:hint="default"/>
                            <w:sz w:val="18"/>
                            <w:szCs w:val="18"/>
                          </w:rPr>
                        </w:pPr>
                        <w:r>
                          <w:rPr>
                            <w:rFonts w:ascii="宋体" w:hAnsi="宋体" w:cs="宋体" w:eastAsia="宋体" w:hint="default"/>
                            <w:sz w:val="18"/>
                            <w:szCs w:val="18"/>
                          </w:rPr>
                          <w:t>一、重大缺陷定量标准：错报≧总资产的 </w:t>
                        </w:r>
                        <w:r>
                          <w:rPr>
                            <w:rFonts w:ascii="Times New Roman" w:hAnsi="Times New Roman" w:cs="Times New Roman" w:eastAsia="Times New Roman" w:hint="default"/>
                            <w:sz w:val="18"/>
                            <w:szCs w:val="18"/>
                          </w:rPr>
                          <w:t>3% </w:t>
                        </w:r>
                        <w:r>
                          <w:rPr>
                            <w:rFonts w:ascii="宋体" w:hAnsi="宋体" w:cs="宋体" w:eastAsia="宋体" w:hint="default"/>
                            <w:sz w:val="18"/>
                            <w:szCs w:val="18"/>
                          </w:rPr>
                          <w:t>或者错报≧营业收入总额的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；二、 重要缺陷定量标准总资产的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 总资产的 </w:t>
                        </w:r>
                        <w:r>
                          <w:rPr>
                            <w:rFonts w:ascii="Times New Roman" w:hAnsi="Times New Roman" w:cs="Times New Roman" w:eastAsia="Times New Roman" w:hint="default"/>
                            <w:sz w:val="18"/>
                            <w:szCs w:val="18"/>
                          </w:rPr>
                          <w:t>3% </w:t>
                        </w:r>
                        <w:r>
                          <w:rPr>
                            <w:rFonts w:ascii="宋体" w:hAnsi="宋体" w:cs="宋体" w:eastAsia="宋体" w:hint="default"/>
                            <w:sz w:val="18"/>
                            <w:szCs w:val="18"/>
                          </w:rPr>
                          <w:t>或者营业收入总额的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错报﹤营业收入总额的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02" w:lineRule="auto" w:before="47"/>
                          <w:ind w:left="16" w:right="26"/>
                          <w:jc w:val="left"/>
                          <w:rPr>
                            <w:rFonts w:ascii="宋体" w:hAnsi="宋体" w:cs="宋体" w:eastAsia="宋体" w:hint="default"/>
                            <w:sz w:val="18"/>
                            <w:szCs w:val="18"/>
                          </w:rPr>
                        </w:pPr>
                        <w:r>
                          <w:rPr>
                            <w:rFonts w:ascii="宋体" w:hAnsi="宋体" w:cs="宋体" w:eastAsia="宋体" w:hint="default"/>
                            <w:spacing w:val="-6"/>
                            <w:sz w:val="18"/>
                            <w:szCs w:val="18"/>
                          </w:rPr>
                          <w:t>三、一般缺陷：错报﹤总资产的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或者错 报﹤营业收入总额的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39" w:type="dxa"/>
                        <w:vMerge w:val="restart"/>
                        <w:tcBorders>
                          <w:top w:val="single" w:sz="4" w:space="0" w:color="000000"/>
                          <w:left w:val="single" w:sz="9" w:space="0" w:color="FFFFFF"/>
                          <w:right w:val="single" w:sz="4" w:space="0" w:color="000000"/>
                        </w:tcBorders>
                      </w:tcPr>
                      <w:p>
                        <w:pPr>
                          <w:pStyle w:val="TableParagraph"/>
                          <w:spacing w:line="304" w:lineRule="auto" w:before="52"/>
                          <w:ind w:left="4" w:right="20"/>
                          <w:jc w:val="left"/>
                          <w:rPr>
                            <w:rFonts w:ascii="宋体" w:hAnsi="宋体" w:cs="宋体" w:eastAsia="宋体" w:hint="default"/>
                            <w:sz w:val="18"/>
                            <w:szCs w:val="18"/>
                          </w:rPr>
                        </w:pPr>
                        <w:r>
                          <w:rPr>
                            <w:rFonts w:ascii="宋体" w:hAnsi="宋体" w:cs="宋体" w:eastAsia="宋体" w:hint="default"/>
                            <w:spacing w:val="-4"/>
                            <w:sz w:val="18"/>
                            <w:szCs w:val="18"/>
                          </w:rPr>
                          <w:t>一、重大缺陷定量标准：影响≧总资产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或者影响≧营业收入总额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二、重要缺陷定量标准总资产的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影响﹤总资产的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或者营业收入总额 的 </w:t>
                        </w:r>
                        <w:r>
                          <w:rPr>
                            <w:rFonts w:ascii="Times New Roman" w:hAnsi="Times New Roman" w:cs="Times New Roman" w:eastAsia="Times New Roman" w:hint="default"/>
                            <w:sz w:val="18"/>
                            <w:szCs w:val="18"/>
                          </w:rPr>
                          <w:t>2%</w:t>
                        </w:r>
                        <w:r>
                          <w:rPr>
                            <w:rFonts w:ascii="宋体" w:hAnsi="宋体" w:cs="宋体" w:eastAsia="宋体" w:hint="default"/>
                            <w:sz w:val="18"/>
                            <w:szCs w:val="18"/>
                          </w:rPr>
                          <w:t>≦影响﹤营业收入总额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02" w:lineRule="auto" w:before="47"/>
                          <w:ind w:left="4" w:right="31"/>
                          <w:jc w:val="left"/>
                          <w:rPr>
                            <w:rFonts w:ascii="宋体" w:hAnsi="宋体" w:cs="宋体" w:eastAsia="宋体" w:hint="default"/>
                            <w:sz w:val="18"/>
                            <w:szCs w:val="18"/>
                          </w:rPr>
                        </w:pPr>
                        <w:r>
                          <w:rPr>
                            <w:rFonts w:ascii="宋体" w:hAnsi="宋体" w:cs="宋体" w:eastAsia="宋体" w:hint="default"/>
                            <w:sz w:val="18"/>
                            <w:szCs w:val="18"/>
                          </w:rPr>
                          <w:t>三、一般缺陷：影响﹤总资产的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 者影响﹤营业收入总额的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960"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不适用</w:t>
      </w:r>
    </w:p>
    <w:p>
      <w:pPr>
        <w:spacing w:after="0" w:line="240" w:lineRule="auto"/>
        <w:jc w:val="left"/>
        <w:sectPr>
          <w:pgSz w:w="11910" w:h="16840"/>
          <w:pgMar w:header="851" w:footer="979" w:top="144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9"/>
        <w:ind w:right="1114"/>
        <w:jc w:val="center"/>
        <w:rPr>
          <w:b w:val="0"/>
          <w:bCs w:val="0"/>
        </w:rPr>
      </w:pPr>
      <w:bookmarkStart w:name="第十节 财务报告" w:id="147"/>
      <w:bookmarkEnd w:id="147"/>
      <w:r>
        <w:rPr>
          <w:b w:val="0"/>
          <w:bCs w:val="0"/>
        </w:rPr>
      </w:r>
      <w:bookmarkStart w:name="_bookmark9" w:id="148"/>
      <w:bookmarkEnd w:id="148"/>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113918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王一芳、陈迅骅</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before="15"/>
        <w:ind w:left="1114" w:right="1114"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5"/>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pStyle w:val="Heading4"/>
        <w:spacing w:line="240" w:lineRule="auto"/>
        <w:ind w:right="1130"/>
        <w:jc w:val="right"/>
      </w:pPr>
      <w:r>
        <w:rPr>
          <w:spacing w:val="-1"/>
        </w:rPr>
        <w:t>信会师报字</w:t>
      </w:r>
      <w:r>
        <w:rPr>
          <w:rFonts w:ascii="Times New Roman" w:hAnsi="Times New Roman" w:cs="Times New Roman" w:eastAsia="Times New Roman" w:hint="default"/>
          <w:spacing w:val="-1"/>
        </w:rPr>
        <w:t>[2016]</w:t>
      </w:r>
      <w:r>
        <w:rPr>
          <w:spacing w:val="-1"/>
        </w:rPr>
        <w:t>第</w:t>
      </w:r>
      <w:r>
        <w:rPr>
          <w:rFonts w:ascii="Times New Roman" w:hAnsi="Times New Roman" w:cs="Times New Roman" w:eastAsia="Times New Roman" w:hint="default"/>
          <w:spacing w:val="-1"/>
        </w:rPr>
        <w:t>113918</w:t>
      </w:r>
      <w:r>
        <w:rPr>
          <w:spacing w:val="-1"/>
        </w:rPr>
        <w:t>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6"/>
        <w:spacing w:line="240" w:lineRule="auto" w:before="44"/>
        <w:ind w:right="0"/>
        <w:jc w:val="left"/>
        <w:rPr>
          <w:b w:val="0"/>
          <w:bCs w:val="0"/>
        </w:rPr>
      </w:pPr>
      <w:r>
        <w:rPr/>
        <w:t>北京神州泰岳软件股份有限公司全体股东：</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53"/>
        <w:ind w:right="0" w:firstLine="568"/>
        <w:jc w:val="left"/>
      </w:pPr>
      <w:r>
        <w:rPr/>
        <w:t>我们审计了后附的北京神州泰岳软件股份有限公司（以下简称神州泰岳）财务报表，包括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 </w:t>
      </w:r>
      <w:r>
        <w:rPr>
          <w:spacing w:val="-4"/>
        </w:rPr>
        <w:t>公司资产负债表、</w:t>
      </w:r>
      <w:r>
        <w:rPr>
          <w:rFonts w:ascii="Times New Roman" w:hAnsi="Times New Roman" w:cs="Times New Roman" w:eastAsia="Times New Roman" w:hint="default"/>
          <w:spacing w:val="-4"/>
        </w:rPr>
        <w:t>2015</w:t>
      </w:r>
      <w:r>
        <w:rPr>
          <w:spacing w:val="-4"/>
        </w:rPr>
        <w:t>年度的合并及公司利润表、合并及公司现金流量表、合并及公司所有者权益变动表以及财务报表附注。</w:t>
      </w:r>
    </w:p>
    <w:p>
      <w:pPr>
        <w:spacing w:line="624" w:lineRule="exact" w:before="36"/>
        <w:ind w:left="1701" w:right="1095"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编制和公允列报财务报表是神州泰岳管理层的责任。这种责任包括：（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w:t>
      </w:r>
    </w:p>
    <w:p>
      <w:pPr>
        <w:pStyle w:val="BodyText"/>
        <w:spacing w:line="226" w:lineRule="exact"/>
        <w:ind w:right="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624" w:lineRule="exact" w:before="86"/>
        <w:ind w:left="1701" w:right="1185"/>
        <w:jc w:val="left"/>
      </w:pPr>
      <w:r>
        <w:rPr>
          <w:rFonts w:ascii="宋体" w:hAnsi="宋体" w:cs="宋体" w:eastAsia="宋体" w:hint="default"/>
          <w:b/>
          <w:bCs/>
        </w:rPr>
        <w:t>二、注册会计师的责任</w:t>
      </w:r>
      <w:r>
        <w:rPr>
          <w:rFonts w:ascii="宋体" w:hAnsi="宋体" w:cs="宋体" w:eastAsia="宋体" w:hint="default"/>
          <w:b/>
          <w:bCs/>
          <w:w w:val="99"/>
        </w:rPr>
        <w:t> </w:t>
      </w:r>
      <w:r>
        <w:rPr/>
        <w:t>我们的责任是在执行审计工作的基础上对财务报表发表审计意见。我们按照中国注册会计师审计准则的规定执行了</w:t>
      </w:r>
    </w:p>
    <w:p>
      <w:pPr>
        <w:pStyle w:val="BodyText"/>
        <w:spacing w:line="213" w:lineRule="exact"/>
        <w:ind w:right="0"/>
        <w:jc w:val="left"/>
      </w:pPr>
      <w:r>
        <w:rPr/>
        <w:t>审计工作。中国注册会计师审计准则要求我们遵守中国注册会计师职业道德守则，计划和执行审计工作以对财务报表是否不</w:t>
      </w:r>
    </w:p>
    <w:p>
      <w:pPr>
        <w:pStyle w:val="BodyText"/>
        <w:spacing w:line="240" w:lineRule="auto" w:before="76"/>
        <w:ind w:right="0"/>
        <w:jc w:val="left"/>
      </w:pPr>
      <w:r>
        <w:rPr/>
        <w:t>存在重大错报获取合理保证。</w:t>
      </w:r>
    </w:p>
    <w:p>
      <w:pPr>
        <w:spacing w:line="240" w:lineRule="auto" w:before="0"/>
        <w:rPr>
          <w:rFonts w:ascii="宋体" w:hAnsi="宋体" w:cs="宋体" w:eastAsia="宋体" w:hint="default"/>
          <w:sz w:val="18"/>
          <w:szCs w:val="18"/>
        </w:rPr>
      </w:pPr>
    </w:p>
    <w:p>
      <w:pPr>
        <w:pStyle w:val="BodyText"/>
        <w:spacing w:line="316" w:lineRule="auto" w:before="152"/>
        <w:ind w:right="0" w:firstLine="568"/>
        <w:jc w:val="left"/>
      </w:pPr>
      <w:r>
        <w:rPr/>
        <w:t>审计工作涉及实施审计程序，以获取有关财务报表金额和披露的审计证据。选择的审计程序取决于注册会计师的判 </w:t>
      </w:r>
      <w:r>
        <w:rPr>
          <w:spacing w:val="-2"/>
        </w:rPr>
        <w:t>断，包括对由于舞弊或错误导致的财务报表重大错报风险的评估。在进行风险评估时，注册会计师考虑与财务报表编制和公</w:t>
      </w:r>
      <w:r>
        <w:rPr>
          <w:spacing w:val="-66"/>
        </w:rPr>
        <w:t> </w:t>
      </w:r>
      <w:r>
        <w:rPr>
          <w:spacing w:val="-66"/>
        </w:rPr>
      </w:r>
      <w:r>
        <w:rPr>
          <w:spacing w:val="-2"/>
        </w:rPr>
        <w:t>允列报相关的内部控制，以设计恰当的审计程序，但目的并非对内部控制的有效性发表意见。审计工作还包括评价管理层选</w:t>
      </w:r>
      <w:r>
        <w:rPr>
          <w:spacing w:val="-66"/>
        </w:rPr>
        <w:t> </w:t>
      </w:r>
      <w:r>
        <w:rPr>
          <w:spacing w:val="-66"/>
        </w:rPr>
      </w:r>
      <w:r>
        <w:rPr/>
        <w:t>用会计政策的恰当性和作出会计估计的合理性，以及评价财务报表的总体列报。</w:t>
      </w:r>
    </w:p>
    <w:p>
      <w:pPr>
        <w:spacing w:line="240" w:lineRule="auto" w:before="4"/>
        <w:rPr>
          <w:rFonts w:ascii="宋体" w:hAnsi="宋体" w:cs="宋体" w:eastAsia="宋体" w:hint="default"/>
          <w:sz w:val="25"/>
          <w:szCs w:val="25"/>
        </w:rPr>
      </w:pPr>
    </w:p>
    <w:p>
      <w:pPr>
        <w:pStyle w:val="BodyText"/>
        <w:spacing w:line="636" w:lineRule="auto"/>
        <w:ind w:left="1702" w:right="3884"/>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91"/>
        <w:ind w:right="1185" w:firstLine="568"/>
        <w:jc w:val="left"/>
      </w:pPr>
      <w:r>
        <w:rPr/>
        <w:t>我们认为，神州泰岳财务报表在所有重大方面按照企业会计准则的规定编制，公允反映了神州泰岳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的合并及公司财务状况以及</w:t>
      </w:r>
      <w:r>
        <w:rPr>
          <w:rFonts w:ascii="Times New Roman" w:hAnsi="Times New Roman" w:cs="Times New Roman" w:eastAsia="Times New Roman" w:hint="default"/>
        </w:rPr>
        <w:t>2015</w:t>
      </w:r>
      <w:r>
        <w:rPr/>
        <w:t>年度的合并及公司经营成果和现金流量。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6"/>
        <w:tabs>
          <w:tab w:pos="6786" w:val="left" w:leader="none"/>
        </w:tabs>
        <w:spacing w:line="240" w:lineRule="auto"/>
        <w:ind w:left="1495" w:right="0"/>
        <w:jc w:val="left"/>
        <w:rPr>
          <w:b w:val="0"/>
          <w:bCs w:val="0"/>
        </w:rPr>
      </w:pPr>
      <w:r>
        <w:rPr>
          <w:w w:val="95"/>
        </w:rPr>
        <w:t>立信会计师事务所</w:t>
        <w:tab/>
      </w:r>
      <w:r>
        <w:rPr/>
        <w:t>中国注册会计师：王一芳</w:t>
      </w:r>
      <w:r>
        <w:rPr>
          <w:b w:val="0"/>
          <w:bCs w:val="0"/>
        </w:rPr>
      </w:r>
    </w:p>
    <w:p>
      <w:pPr>
        <w:spacing w:line="240" w:lineRule="auto" w:before="0"/>
        <w:rPr>
          <w:rFonts w:ascii="宋体" w:hAnsi="宋体" w:cs="宋体" w:eastAsia="宋体" w:hint="default"/>
          <w:b/>
          <w:bCs/>
          <w:sz w:val="18"/>
          <w:szCs w:val="18"/>
        </w:rPr>
      </w:pPr>
    </w:p>
    <w:p>
      <w:pPr>
        <w:pStyle w:val="Heading6"/>
        <w:spacing w:line="240" w:lineRule="auto" w:before="153"/>
        <w:ind w:left="1408" w:right="0"/>
        <w:jc w:val="left"/>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pStyle w:val="Heading6"/>
        <w:spacing w:line="240" w:lineRule="auto" w:before="153"/>
        <w:ind w:left="6865" w:right="0"/>
        <w:jc w:val="left"/>
        <w:rPr>
          <w:b w:val="0"/>
          <w:bCs w:val="0"/>
        </w:rPr>
      </w:pPr>
      <w:r>
        <w:rPr/>
        <w:t>中国注册会计师：陈迅骅</w:t>
      </w:r>
      <w:r>
        <w:rPr>
          <w:b w:val="0"/>
          <w:bCs w:val="0"/>
        </w:rPr>
      </w:r>
    </w:p>
    <w:p>
      <w:pPr>
        <w:spacing w:line="240" w:lineRule="auto" w:before="4"/>
        <w:rPr>
          <w:rFonts w:ascii="宋体" w:hAnsi="宋体" w:cs="宋体" w:eastAsia="宋体" w:hint="default"/>
          <w:b/>
          <w:bCs/>
          <w:sz w:val="26"/>
          <w:szCs w:val="26"/>
        </w:rPr>
      </w:pPr>
    </w:p>
    <w:p>
      <w:pPr>
        <w:pStyle w:val="Heading6"/>
        <w:spacing w:line="240" w:lineRule="auto" w:before="44"/>
        <w:ind w:left="1495" w:right="0"/>
        <w:jc w:val="left"/>
        <w:rPr>
          <w:b w:val="0"/>
          <w:bCs w:val="0"/>
        </w:rPr>
      </w:pPr>
      <w:r>
        <w:rPr/>
        <w:t>中国</w:t>
      </w:r>
      <w:r>
        <w:rPr>
          <w:rFonts w:ascii="Times New Roman" w:hAnsi="Times New Roman" w:cs="Times New Roman" w:eastAsia="Times New Roman" w:hint="default"/>
        </w:rPr>
        <w:t>·</w:t>
      </w:r>
      <w:r>
        <w:rPr/>
        <w:t>上海</w:t>
      </w:r>
      <w:r>
        <w:rPr>
          <w:b w:val="0"/>
          <w:bCs w:val="0"/>
        </w:rPr>
      </w:r>
    </w:p>
    <w:p>
      <w:pPr>
        <w:pStyle w:val="Heading6"/>
        <w:spacing w:line="240" w:lineRule="auto" w:before="63"/>
        <w:ind w:left="6872" w:right="0"/>
        <w:jc w:val="left"/>
        <w:rPr>
          <w:b w:val="0"/>
          <w:bCs w:val="0"/>
        </w:rPr>
      </w:pPr>
      <w:r>
        <w:rPr/>
        <w:t>二</w:t>
      </w:r>
      <w:r>
        <w:rPr>
          <w:rFonts w:ascii="Times New Roman" w:hAnsi="Times New Roman" w:cs="Times New Roman" w:eastAsia="Times New Roman" w:hint="default"/>
        </w:rPr>
        <w:t>O</w:t>
      </w:r>
      <w:r>
        <w:rPr/>
        <w:t>一六年四月二十五日</w:t>
      </w:r>
      <w:r>
        <w:rPr>
          <w:b w:val="0"/>
          <w:bCs w:val="0"/>
        </w:rPr>
      </w:r>
    </w:p>
    <w:p>
      <w:pPr>
        <w:spacing w:after="0" w:line="240" w:lineRule="auto"/>
        <w:jc w:val="left"/>
        <w:sectPr>
          <w:pgSz w:w="11910" w:h="16840"/>
          <w:pgMar w:header="851" w:footer="979" w:top="1380" w:bottom="1160" w:left="0" w:right="0"/>
        </w:sectPr>
      </w:pPr>
    </w:p>
    <w:p>
      <w:pPr>
        <w:pStyle w:val="Heading2"/>
        <w:spacing w:line="240" w:lineRule="auto" w:before="15"/>
        <w:ind w:left="1133" w:right="0"/>
        <w:jc w:val="left"/>
        <w:rPr>
          <w:b w:val="0"/>
          <w:bCs w:val="0"/>
        </w:rPr>
      </w:pPr>
      <w:r>
        <w:rPr/>
        <w:pict>
          <v:group style="position:absolute;margin-left:55.200001pt;margin-top:2.225632pt;width:485pt;height:.1pt;mso-position-horizontal-relative:page;mso-position-vertical-relative:paragraph;z-index:-1282840" coordorigin="1104,45" coordsize="9700,2">
            <v:shape style="position:absolute;left:1104;top:45;width:9700;height:2" coordorigin="1104,45" coordsize="9700,0" path="m1104,45l10804,45e" filled="false" stroked="true" strokeweight=".72pt" strokecolor="#000000">
              <v:path arrowok="t"/>
            </v:shape>
            <w10:wrap type="none"/>
          </v:group>
        </w:pict>
      </w: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26"/>
          <w:szCs w:val="26"/>
        </w:rPr>
      </w:pPr>
    </w:p>
    <w:p>
      <w:pPr>
        <w:pStyle w:val="BodyText"/>
        <w:tabs>
          <w:tab w:pos="9199" w:val="left" w:leader="none"/>
        </w:tabs>
        <w:spacing w:line="302" w:lineRule="auto"/>
        <w:ind w:left="10053" w:right="1130" w:hanging="8866"/>
        <w:jc w:val="left"/>
      </w:pPr>
      <w:r>
        <w:rPr/>
        <w:t>编制单位：北京神州泰岳软件股份有限公司</w:t>
        <w:tab/>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 单位：元</w:t>
      </w:r>
    </w:p>
    <w:p>
      <w:pPr>
        <w:spacing w:line="240" w:lineRule="auto" w:before="5"/>
        <w:rPr>
          <w:rFonts w:ascii="宋体" w:hAnsi="宋体" w:cs="宋体" w:eastAsia="宋体" w:hint="default"/>
          <w:sz w:val="4"/>
          <w:szCs w:val="4"/>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708,865,243.77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1,265,305,834.44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424,211,193.66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128,617,963.00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891,983,364.90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921,997,483.38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95,678,406.72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56,638,012.52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25,397,240.17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19,599,796.80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348,054,144.14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219,735,903.29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26,745,713.53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33,458,730.73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2,540,935,306.89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2,645,353,724.16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497,468,163.62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266,004,205.37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459984pt;width:478.6pt;height:680.4pt;mso-position-horizontal-relative:page;mso-position-vertical-relative:page;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455,612,834.79</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418,004,622.91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168,143,492.12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172,224,954.32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343,239,077.07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354,302,901.36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87,960,565.87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27,523,320.41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212,909,507.07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147,973,322.17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53,116,806.33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49,218,576.74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1,497,677,757.08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1,463,897,670.45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17,169,072.84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1,845,068.29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31,481,286.33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29,505,480.02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865,532.67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7,473,708.15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3,365,644,095.79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2,937,973,830.19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5,906,579,402.68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5,583,327,554.35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109,913,814.00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66,072,061.00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61,900,080.00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144,685,628.21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97,124,710.14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110,825,561.31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45,533,775.01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88,746,167.68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93,296,951.79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87,037,751.22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86,319,956.42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259,397,212.88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171,826,912.33</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459984pt;width:478.6pt;height:684.9pt;mso-position-horizontal-relative:page;mso-position-vertical-relative:page;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10" w:space="0" w:color="000000"/>
                          <w:left w:val="single" w:sz="13" w:space="0" w:color="D2D2D2"/>
                          <w:bottom w:val="single" w:sz="4" w:space="0" w:color="000000"/>
                          <w:right w:val="single" w:sz="4" w:space="0" w:color="000000"/>
                        </w:tcBorders>
                      </w:tcPr>
                      <w:p>
                        <w:pP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15,905,926.84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26,448,852.20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878,412,142.14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586,623,218.89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18,043,501.68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16,479,386.87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22,940,009.06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17,050,505.91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2,316,828.12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2,977,318.59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43,300,338.86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36,507,211.37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921,712,481.00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623,130,430.26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1,994,479,926.00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1,327,481,535.00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524,688,463.03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1,472,188,957.80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15,905,926.84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26,448,852.20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161,325,546.59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-6,804,935.64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197,376,909.01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176,810,095.85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2,084,045,123.13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1,912,583,102.55</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14"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4,946,010,040.92</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4,855,809,903.36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38,856,880.76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104,387,220.73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4,984,866,921.68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4,960,197,124.09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5,906,579,402.68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5,583,327,554.35</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381" w:val="left" w:leader="none"/>
        </w:tabs>
        <w:spacing w:line="240" w:lineRule="auto" w:before="44"/>
        <w:ind w:left="0" w:right="1229"/>
        <w:jc w:val="right"/>
      </w:pPr>
      <w:r>
        <w:rPr/>
        <w:t>法定代表人：王宁先生</w:t>
        <w:tab/>
        <w:t>主管会计工作负责人：万能先生</w:t>
        <w:tab/>
        <w:t>会计机构负责人：林红女士</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225,841,852.38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645,356,006.39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539,358,682.94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516,448,206.99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4,739,838.34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2,170,428.32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623,308,921.66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346,097,548.02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81,933,582.21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70,126,607.96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1,495,182,877.53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1,580,198,797.68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479,786,616.94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2,432,358,153.73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2,442,307,746.64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168,143,492.12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172,224,954.32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222,819,800.48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227,754,222.85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459984pt;width:478.6pt;height:680.4pt;mso-position-horizontal-relative:page;mso-position-vertical-relative:page;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10" w:space="0" w:color="000000"/>
                          <w:left w:val="single" w:sz="13" w:space="0" w:color="D2D2D2"/>
                          <w:bottom w:val="single" w:sz="4" w:space="0" w:color="000000"/>
                          <w:right w:val="single" w:sz="4" w:space="0" w:color="000000"/>
                        </w:tcBorders>
                      </w:tcPr>
                      <w:p>
                        <w:pP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85,046,711.39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59,654,970.23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11,898,253.47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26,903,829.54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19,184,854.45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3,426,956,857.67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3,186,126,748.49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4,922,139,735.20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4,766,325,546.17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75,350,859.32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83,729,048.52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36,528,710.91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24,310,394.06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38,029,475.14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27,951,317.28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45,465,041.34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39,291,316.84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948,055,200.39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766,746,440.76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15,905,926.84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26,448,852.20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1,159,335,213.94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968,477,369.66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3"/>
        <w:spacing w:line="240" w:lineRule="auto" w:before="35"/>
        <w:ind w:right="0"/>
        <w:jc w:val="left"/>
        <w:rPr>
          <w:b w:val="0"/>
          <w:bCs w:val="0"/>
        </w:rPr>
      </w:pPr>
      <w:r>
        <w:rPr/>
        <w:pict>
          <v:shape style="position:absolute;margin-left:57.029999pt;margin-top:-436.146332pt;width:478.6pt;height:423.6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10" w:space="0" w:color="000000"/>
                          <w:left w:val="single" w:sz="13" w:space="0" w:color="D2D2D2"/>
                          <w:bottom w:val="single" w:sz="4" w:space="0" w:color="000000"/>
                          <w:right w:val="single" w:sz="4" w:space="0" w:color="000000"/>
                        </w:tcBorders>
                      </w:tcPr>
                      <w:p>
                        <w:pPr/>
                      </w:p>
                    </w:tc>
                    <w:tc>
                      <w:tcPr>
                        <w:tcW w:w="3300"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11,630,934.04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11,318,533.09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19,039,645.32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9,475,708.77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30,670,579.36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20,794,241.86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1,190,005,793.30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989,271,611.52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1,994,479,926.00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1,327,481,535.00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528,063,563.32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1,461,847,899.81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15,905,926.84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26,448,852.20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163,867,779.06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-1,099,449.71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196,471,611.73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175,904,798.57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865,156,988.63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839,368,003.18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3,732,133,941.90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3,777,053,934.65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4,922,139,735.20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4,766,325,546.17</w:t>
                        </w:r>
                      </w:p>
                    </w:tc>
                  </w:tr>
                </w:tbl>
                <w:p>
                  <w:pPr/>
                </w:p>
              </w:txbxContent>
            </v:textbox>
            <w10:wrap type="none"/>
          </v:shape>
        </w:pict>
      </w: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2,773,487,308.85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2,605,296,562.50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2,773,487,308.85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2,605,296,562.50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2,561,223,902.10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2,042,756,158.46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1,754,785,287.90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1,366,947,713.38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414" w:hRule="exact"/>
        </w:trPr>
        <w:tc>
          <w:tcPr>
            <w:tcW w:w="308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10" w:space="0" w:color="000000"/>
              <w:left w:val="single" w:sz="4" w:space="0" w:color="000000"/>
              <w:bottom w:val="single" w:sz="4" w:space="0" w:color="000000"/>
              <w:right w:val="single" w:sz="4" w:space="0" w:color="000000"/>
            </w:tcBorders>
          </w:tcPr>
          <w:p>
            <w:pPr/>
          </w:p>
        </w:tc>
        <w:tc>
          <w:tcPr>
            <w:tcW w:w="3278"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9,787,423.66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9,407,001.46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53" w:right="0"/>
              <w:jc w:val="left"/>
              <w:rPr>
                <w:rFonts w:ascii="Times New Roman" w:hAnsi="Times New Roman" w:cs="Times New Roman" w:eastAsia="Times New Roman" w:hint="default"/>
                <w:sz w:val="18"/>
                <w:szCs w:val="18"/>
              </w:rPr>
            </w:pPr>
            <w:r>
              <w:rPr>
                <w:rFonts w:ascii="Times New Roman"/>
                <w:sz w:val="18"/>
              </w:rPr>
              <w:t>163,190,854.25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88,819,223.27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53" w:right="0"/>
              <w:jc w:val="left"/>
              <w:rPr>
                <w:rFonts w:ascii="Times New Roman" w:hAnsi="Times New Roman" w:cs="Times New Roman" w:eastAsia="Times New Roman" w:hint="default"/>
                <w:sz w:val="18"/>
                <w:szCs w:val="18"/>
              </w:rPr>
            </w:pPr>
            <w:r>
              <w:rPr>
                <w:rFonts w:ascii="Times New Roman"/>
                <w:sz w:val="18"/>
              </w:rPr>
              <w:t>588,987,655.44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578,646,496.30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83" w:right="0"/>
              <w:jc w:val="left"/>
              <w:rPr>
                <w:rFonts w:ascii="Times New Roman" w:hAnsi="Times New Roman" w:cs="Times New Roman" w:eastAsia="Times New Roman" w:hint="default"/>
                <w:sz w:val="18"/>
                <w:szCs w:val="18"/>
              </w:rPr>
            </w:pPr>
            <w:r>
              <w:rPr>
                <w:rFonts w:ascii="Times New Roman"/>
                <w:sz w:val="18"/>
              </w:rPr>
              <w:t>-12,690,219.15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-17,983,424.23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57,162,900.00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16,919,148.28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80,190,731.65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80,504,950.10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11,555,622.47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77,051,714.31</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46"/>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46"/>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53" w:right="0"/>
              <w:jc w:val="left"/>
              <w:rPr>
                <w:rFonts w:ascii="Times New Roman" w:hAnsi="Times New Roman" w:cs="Times New Roman" w:eastAsia="Times New Roman" w:hint="default"/>
                <w:sz w:val="18"/>
                <w:szCs w:val="18"/>
              </w:rPr>
            </w:pPr>
            <w:r>
              <w:rPr>
                <w:rFonts w:ascii="Times New Roman"/>
                <w:sz w:val="18"/>
              </w:rPr>
              <w:t>292,454,138.40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643,045,354.14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49,358,001.97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36,418,877.52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608,283.13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363,635.35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402,834.89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1,527,034.36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160,576.81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448,265.14</w:t>
            </w:r>
          </w:p>
        </w:tc>
      </w:tr>
      <w:tr>
        <w:trPr>
          <w:trHeight w:val="401"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46"/>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997" w:right="0"/>
              <w:jc w:val="left"/>
              <w:rPr>
                <w:rFonts w:ascii="Times New Roman" w:hAnsi="Times New Roman" w:cs="Times New Roman" w:eastAsia="Times New Roman" w:hint="default"/>
                <w:sz w:val="18"/>
                <w:szCs w:val="18"/>
              </w:rPr>
            </w:pPr>
            <w:r>
              <w:rPr>
                <w:rFonts w:ascii="Times New Roman"/>
                <w:sz w:val="18"/>
              </w:rPr>
              <w:t>341,409,305.48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677,937,197.30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47,632,844.61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53,665,416.21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53" w:right="0"/>
              <w:jc w:val="left"/>
              <w:rPr>
                <w:rFonts w:ascii="Times New Roman" w:hAnsi="Times New Roman" w:cs="Times New Roman" w:eastAsia="Times New Roman" w:hint="default"/>
                <w:sz w:val="18"/>
                <w:szCs w:val="18"/>
              </w:rPr>
            </w:pPr>
            <w:r>
              <w:rPr>
                <w:rFonts w:ascii="Times New Roman"/>
                <w:sz w:val="18"/>
              </w:rPr>
              <w:t>293,776,460.87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624,271,781.09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53" w:right="0"/>
              <w:jc w:val="left"/>
              <w:rPr>
                <w:rFonts w:ascii="Times New Roman" w:hAnsi="Times New Roman" w:cs="Times New Roman" w:eastAsia="Times New Roman" w:hint="default"/>
                <w:sz w:val="18"/>
                <w:szCs w:val="18"/>
              </w:rPr>
            </w:pPr>
            <w:r>
              <w:rPr>
                <w:rFonts w:ascii="Times New Roman"/>
                <w:sz w:val="18"/>
              </w:rPr>
              <w:t>351,341,166.79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633,118,638.76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83" w:right="0"/>
              <w:jc w:val="left"/>
              <w:rPr>
                <w:rFonts w:ascii="Times New Roman" w:hAnsi="Times New Roman" w:cs="Times New Roman" w:eastAsia="Times New Roman" w:hint="default"/>
                <w:sz w:val="18"/>
                <w:szCs w:val="18"/>
              </w:rPr>
            </w:pPr>
            <w:r>
              <w:rPr>
                <w:rFonts w:ascii="Times New Roman"/>
                <w:sz w:val="18"/>
              </w:rPr>
              <w:t>-57,564,705.92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-8,846,857.67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58" w:right="0"/>
              <w:jc w:val="left"/>
              <w:rPr>
                <w:rFonts w:ascii="Times New Roman" w:hAnsi="Times New Roman" w:cs="Times New Roman" w:eastAsia="Times New Roman" w:hint="default"/>
                <w:sz w:val="18"/>
                <w:szCs w:val="18"/>
              </w:rPr>
            </w:pPr>
            <w:r>
              <w:rPr>
                <w:rFonts w:ascii="Times New Roman"/>
                <w:sz w:val="18"/>
              </w:rPr>
              <w:t>168,116,173.84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-9,741,799.60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168,130,482.23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-5,419,587.68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8"/>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212.119995pt;margin-top:381.019989pt;width:157.7pt;height:19.650pt;mso-position-horizontal-relative:page;mso-position-vertical-relative:page;z-index:-1282720" coordorigin="4242,7620" coordsize="3154,393">
            <v:shape style="position:absolute;left:4242;top:7620;width:3154;height:393" coordorigin="4242,7620" coordsize="3154,393" path="m4242,8013l7396,8013,7396,7620,4242,7620,4242,8013xe" filled="true" fillcolor="#ffffff" stroked="false">
              <v:path arrowok="t"/>
              <v:fill type="solid"/>
            </v:shape>
            <w10:wrap type="none"/>
          </v:group>
        </w:pict>
      </w:r>
      <w:r>
        <w:rPr/>
        <w:pict>
          <v:group style="position:absolute;margin-left:212.119995pt;margin-top:501.639984pt;width:157.7pt;height:19.6pt;mso-position-horizontal-relative:page;mso-position-vertical-relative:page;z-index:-1282696" coordorigin="4242,10033" coordsize="3154,392">
            <v:shape style="position:absolute;left:4242;top:10033;width:3154;height:392" coordorigin="4242,10033" coordsize="3154,392" path="m4242,10424l7396,10424,7396,10033,4242,10033,4242,10424xe" filled="true" fillcolor="#ffffff" stroked="false">
              <v:path arrowok="t"/>
              <v:fill type="solid"/>
            </v:shape>
            <w10:wrap type="none"/>
          </v:group>
        </w:pict>
      </w:r>
    </w:p>
    <w:p>
      <w:pPr>
        <w:spacing w:after="0"/>
        <w:rPr>
          <w:sz w:val="2"/>
          <w:szCs w:val="2"/>
        </w:rPr>
        <w:sectPr>
          <w:pgSz w:w="11910" w:h="16840"/>
          <w:pgMar w:header="851" w:footer="979" w:top="142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44"/>
        <w:ind w:left="1134" w:right="0"/>
        <w:jc w:val="left"/>
      </w:pPr>
      <w:r>
        <w:rPr/>
        <w:pict>
          <v:shape style="position:absolute;margin-left:57.029999pt;margin-top:-426.108276pt;width:478.6pt;height:425.7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7"/>
                    <w:gridCol w:w="3222"/>
                    <w:gridCol w:w="3278"/>
                  </w:tblGrid>
                  <w:tr>
                    <w:trPr>
                      <w:trHeight w:val="373" w:hRule="exact"/>
                    </w:trPr>
                    <w:tc>
                      <w:tcPr>
                        <w:tcW w:w="305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10" w:space="0" w:color="000000"/>
                          <w:left w:val="single" w:sz="13" w:space="0" w:color="D2D2D2"/>
                          <w:bottom w:val="single" w:sz="4" w:space="0" w:color="000000"/>
                          <w:right w:val="single" w:sz="4" w:space="0" w:color="000000"/>
                        </w:tcBorders>
                      </w:tcPr>
                      <w:p>
                        <w:pPr/>
                      </w:p>
                    </w:tc>
                    <w:tc>
                      <w:tcPr>
                        <w:tcW w:w="3278"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168,130,482.23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-5,419,587.68</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-1,939,968.03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-87,007.05</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166,886,616.94</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3,183,833.32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-5,332,580.63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-14,308.39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-4,322,211.92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461,892,634.71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614,529,981.49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519,471,649.02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627,699,051.08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-57,579,014.31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-13,169,069.59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0.1774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0.3286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0.1768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0.3277</w:t>
                        </w:r>
                      </w:p>
                    </w:tc>
                  </w:tr>
                </w:tbl>
                <w:p>
                  <w:pPr/>
                </w:p>
              </w:txbxContent>
            </v:textbox>
            <w10:wrap type="none"/>
          </v:shape>
        </w:pict>
      </w:r>
      <w:r>
        <w:rPr/>
        <w:t>本期发生同一控制下企业合并的，被合并方在合并前实现的净利润为：</w:t>
      </w:r>
      <w:r>
        <w:rPr>
          <w:rFonts w:ascii="Times New Roman" w:hAnsi="Times New Roman" w:cs="Times New Roman" w:eastAsia="Times New Roman" w:hint="default"/>
        </w:rPr>
        <w:t>4,025,354.37</w:t>
      </w:r>
      <w:r>
        <w:rPr>
          <w:rFonts w:ascii="Times New Roman" w:hAnsi="Times New Roman" w:cs="Times New Roman" w:eastAsia="Times New Roman" w:hint="default"/>
          <w:spacing w:val="-2"/>
        </w:rPr>
        <w:t> </w:t>
      </w:r>
      <w:r>
        <w:rPr/>
        <w:t>元，上期被合并方实现的净利润为：</w:t>
      </w:r>
    </w:p>
    <w:p>
      <w:pPr>
        <w:pStyle w:val="BodyText"/>
        <w:spacing w:line="240" w:lineRule="auto" w:before="64"/>
        <w:ind w:right="0"/>
        <w:jc w:val="left"/>
      </w:pPr>
      <w:r>
        <w:rPr>
          <w:rFonts w:ascii="Times New Roman" w:hAnsi="Times New Roman" w:cs="Times New Roman" w:eastAsia="Times New Roman" w:hint="default"/>
        </w:rPr>
        <w:t>20,150,419.72</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4464" w:val="left" w:leader="none"/>
          <w:tab w:pos="8515" w:val="left" w:leader="none"/>
        </w:tabs>
        <w:spacing w:line="240" w:lineRule="auto" w:before="126"/>
        <w:ind w:left="1134" w:right="0"/>
        <w:jc w:val="left"/>
      </w:pPr>
      <w:r>
        <w:rPr/>
        <w:t>法定代表人：王宁先生</w:t>
        <w:tab/>
        <w:t>主管会计工作负责人：万能先生</w:t>
        <w:tab/>
        <w:t>会计机构负责人：林红女士</w:t>
      </w:r>
    </w:p>
    <w:p>
      <w:pPr>
        <w:spacing w:line="240" w:lineRule="auto" w:before="11"/>
        <w:rPr>
          <w:rFonts w:ascii="宋体" w:hAnsi="宋体" w:cs="宋体" w:eastAsia="宋体" w:hint="default"/>
          <w:sz w:val="26"/>
          <w:szCs w:val="26"/>
        </w:rPr>
      </w:pPr>
    </w:p>
    <w:p>
      <w:pPr>
        <w:pStyle w:val="Heading3"/>
        <w:spacing w:line="240" w:lineRule="auto"/>
        <w:ind w:left="1133" w:right="0"/>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572,486,342.65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791,603,339.86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115,314,285.00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255,796,895.03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6,362,512.05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5,927,691.41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44,491,813.95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44,026,564.79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204,115,693.69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186,127,438.79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-9,379,049.07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-5,579,576.44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44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14"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73,982,226.08</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37,503,189.42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63,947,868.35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74,538,186.97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-1,110,907.23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71,267,964.77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201,546,729.30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342,339,323.83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35,363,505.78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17,781,916.34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465,582.61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14,790.46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41,608.16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208.16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236,909,535.08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360,079,632.01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31,241,403.43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21,038,970.60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205,668,131.65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339,040,661.41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164,967,228.77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w w:val="95"/>
                <w:sz w:val="18"/>
              </w:rPr>
              <w:t>-87,007.05</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6"/>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164,967,228.77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-87,007.05</w:t>
            </w:r>
            <w:r>
              <w:rPr>
                <w:rFonts w:ascii="Times New Roman"/>
                <w:sz w:val="18"/>
              </w:rPr>
            </w: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7"/>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-1,919,388.17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-87,007.05</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166,886,616.94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20" w:bottom="1160" w:left="0" w:right="0"/>
        </w:sectPr>
      </w:pPr>
    </w:p>
    <w:p>
      <w:pPr>
        <w:spacing w:line="240" w:lineRule="auto" w:before="7"/>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1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left="2142" w:right="0"/>
              <w:jc w:val="left"/>
              <w:rPr>
                <w:rFonts w:ascii="Times New Roman" w:hAnsi="Times New Roman" w:cs="Times New Roman" w:eastAsia="Times New Roman" w:hint="default"/>
                <w:sz w:val="18"/>
                <w:szCs w:val="18"/>
              </w:rPr>
            </w:pPr>
            <w:r>
              <w:rPr>
                <w:rFonts w:ascii="Times New Roman"/>
                <w:sz w:val="18"/>
              </w:rPr>
              <w:t>370,635,360.42</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143" w:right="0"/>
              <w:jc w:val="left"/>
              <w:rPr>
                <w:rFonts w:ascii="Times New Roman" w:hAnsi="Times New Roman" w:cs="Times New Roman" w:eastAsia="Times New Roman" w:hint="default"/>
                <w:sz w:val="18"/>
                <w:szCs w:val="18"/>
              </w:rPr>
            </w:pPr>
            <w:r>
              <w:rPr>
                <w:rFonts w:ascii="Times New Roman"/>
                <w:sz w:val="18"/>
              </w:rPr>
              <w:t>338,953,654.36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3,102,701,612.07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2,706,983,508.98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52,842,940.49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25,237,597.91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139,778,628.01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106,825,536.14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3,295,323,180.57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2,839,046,643.03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2,221,238,075.37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1,576,611,652.08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544,180,402.56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554,835,234.34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7.029999pt;margin-top:71.459984pt;width:478.6pt;height:693.6pt;mso-position-horizontal-relative:page;mso-position-vertical-relative:page;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3"/>
                    <w:gridCol w:w="3314"/>
                    <w:gridCol w:w="3300"/>
                  </w:tblGrid>
                  <w:tr>
                    <w:trPr>
                      <w:trHeight w:val="414" w:hRule="exact"/>
                    </w:trPr>
                    <w:tc>
                      <w:tcPr>
                        <w:tcW w:w="294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121,878,678.01</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98,403,123.55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343,786,561.83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237,977,090.77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3,231,083,717.77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2,467,827,100.74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64,239,462.80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371,219,542.29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4,892,745.99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22,872,692.00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5,853,235.79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22,986,566.93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606,359.56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2,825,041.10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53,577,046.02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50,759,595.35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223,371,149.02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131,150,497.58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92,813,367.37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39,229,516.06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216,847,092.36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44,952,499.15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314,500,665.08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485,763,456.46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-260,923,619.06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-435,003,861.11</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169,973,634.72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122,477,306.70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137,456,190.00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95,623,650.00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109,913,814.00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101,072,061.00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15,171,962.21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14,953,790.72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295,059,410.93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238,503,158.42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66,072,061.00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190,048,448.33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164,155,167.57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157,087,798.74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453,727,119.66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60,576,464.51</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10"/>
        <w:rPr>
          <w:rFonts w:ascii="Times New Roman" w:hAnsi="Times New Roman" w:cs="Times New Roman" w:eastAsia="Times New Roman"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14" w:hRule="exact"/>
        </w:trPr>
        <w:tc>
          <w:tcPr>
            <w:tcW w:w="29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683,954,348.23</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407,712,711.58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-388,894,937.30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-169,209,553.16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10,003,016.60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-1,080,587.11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-575,576,076.96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-234,074,459.09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1,257,447,948.14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1,491,522,407.23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681,871,871.18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1,257,447,948.14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599,262,687.16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659,913,827.64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19,029,057.24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14,864,099.59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964,435,880.25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1,287,795,989.42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1,582,727,624.65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1,962,573,916.65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152,616,578.11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231,240,231.61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166,917,722.01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140,896,006.63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53,690,193.33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43,811,050.55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1,133,172,391.62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982,770,647.95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1,506,396,885.07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1,398,717,936.74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76,330,739.58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563,855,979.91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22,872,692.00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5,670,222.20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128,755.53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1,387,259.46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2,825,041.10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27,120,292.56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5,798,977.73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56,231,112.46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32,939,413.76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3"/>
        <w:spacing w:line="240" w:lineRule="auto" w:before="35"/>
        <w:ind w:right="0"/>
        <w:jc w:val="left"/>
        <w:rPr>
          <w:b w:val="0"/>
          <w:bCs w:val="0"/>
        </w:rPr>
      </w:pPr>
      <w:r>
        <w:rPr/>
        <w:pict>
          <v:shape style="position:absolute;margin-left:57.029999pt;margin-top:-442.746307pt;width:478.6pt;height:430.2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3"/>
                    <w:gridCol w:w="3314"/>
                    <w:gridCol w:w="3300"/>
                  </w:tblGrid>
                  <w:tr>
                    <w:trPr>
                      <w:trHeight w:val="726" w:hRule="exact"/>
                    </w:trPr>
                    <w:tc>
                      <w:tcPr>
                        <w:tcW w:w="294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10" w:space="0" w:color="000000"/>
                          <w:left w:val="single" w:sz="13" w:space="0" w:color="D2D2D2"/>
                          <w:bottom w:val="single" w:sz="4" w:space="0" w:color="000000"/>
                          <w:right w:val="single" w:sz="4" w:space="0" w:color="000000"/>
                        </w:tcBorders>
                      </w:tcPr>
                      <w:p>
                        <w:pP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318,450,000.00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8,459,833.33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314,631,112.46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549,049,247.09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-287,510,819.90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-543,250,269.36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32,517,444.72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26,853,656.70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13,871,913.60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17,910,807.99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46,389,358.32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79,764,464.69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79,356,687.33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159,312,333.05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154,813,152.67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103,287,306.19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47,033,433.17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262,599,639.24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281,203,273.17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-216,210,280.92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-201,438,808.48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-427,390,361.24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-180,833,097.93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638,823,968.70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819,657,066.63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211,433,607.46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638,823,968.70</w:t>
                        </w:r>
                      </w:p>
                    </w:tc>
                  </w:tr>
                </w:tbl>
                <w:p>
                  <w:pPr/>
                </w:p>
              </w:txbxContent>
            </v:textbox>
            <w10:wrap type="none"/>
          </v:shape>
        </w:pict>
      </w: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1,327,</w:t>
            </w:r>
          </w:p>
          <w:p>
            <w:pPr>
              <w:pStyle w:val="TableParagraph"/>
              <w:spacing w:line="240" w:lineRule="auto" w:before="104"/>
              <w:ind w:left="7" w:right="0"/>
              <w:jc w:val="center"/>
              <w:rPr>
                <w:rFonts w:ascii="Times New Roman" w:hAnsi="Times New Roman" w:cs="Times New Roman" w:eastAsia="Times New Roman" w:hint="default"/>
                <w:sz w:val="18"/>
                <w:szCs w:val="18"/>
              </w:rPr>
            </w:pPr>
            <w:r>
              <w:rPr>
                <w:rFonts w:ascii="Times New Roman"/>
                <w:sz w:val="18"/>
              </w:rPr>
              <w:t>481,53</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5.00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1,472,1</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88,957.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26,448,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852.20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-6,804,9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35.64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176,810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,095.85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83,102.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104,387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,220.73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4,960,1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97,124.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4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26" w:hRule="exact"/>
        </w:trPr>
        <w:tc>
          <w:tcPr>
            <w:tcW w:w="143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53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4" w:type="dxa"/>
            <w:tcBorders>
              <w:top w:val="single" w:sz="10" w:space="0" w:color="000000"/>
              <w:left w:val="single" w:sz="4" w:space="0" w:color="000000"/>
              <w:bottom w:val="single" w:sz="4" w:space="0" w:color="000000"/>
              <w:right w:val="single" w:sz="4" w:space="0" w:color="000000"/>
            </w:tcBorders>
          </w:tcPr>
          <w:p>
            <w:pPr/>
          </w:p>
        </w:tc>
        <w:tc>
          <w:tcPr>
            <w:tcW w:w="666"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59"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7" w:right="0"/>
              <w:jc w:val="center"/>
              <w:rPr>
                <w:rFonts w:ascii="Times New Roman" w:hAnsi="Times New Roman" w:cs="Times New Roman" w:eastAsia="Times New Roman" w:hint="default"/>
                <w:sz w:val="18"/>
                <w:szCs w:val="18"/>
              </w:rPr>
            </w:pPr>
            <w:r>
              <w:rPr>
                <w:rFonts w:ascii="Times New Roman"/>
                <w:sz w:val="18"/>
              </w:rPr>
              <w:t>1,327,</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481,53</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1,472,1</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88,957.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26,448,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852.20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-6,804,9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176,810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,095.85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1,912,5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83,102.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104,387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,220.73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4,960,1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97,124.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6"/>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 w:right="0"/>
              <w:jc w:val="left"/>
              <w:rPr>
                <w:rFonts w:ascii="Times New Roman" w:hAnsi="Times New Roman" w:cs="Times New Roman" w:eastAsia="Times New Roman" w:hint="default"/>
                <w:sz w:val="18"/>
                <w:szCs w:val="18"/>
              </w:rPr>
            </w:pPr>
            <w:r>
              <w:rPr>
                <w:rFonts w:ascii="Times New Roman"/>
                <w:sz w:val="18"/>
              </w:rPr>
              <w:t>666,99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8,391.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-947,50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0,494.7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-10,542,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925.36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168,130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,482.23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813.16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171,462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,020.58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-65,530,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339.97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24,669,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797.59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 w:right="0"/>
              <w:jc w:val="left"/>
              <w:rPr>
                <w:rFonts w:ascii="Times New Roman" w:hAnsi="Times New Roman" w:cs="Times New Roman" w:eastAsia="Times New Roman" w:hint="default"/>
                <w:sz w:val="18"/>
                <w:szCs w:val="18"/>
              </w:rPr>
            </w:pPr>
            <w:r>
              <w:rPr>
                <w:rFonts w:ascii="Times New Roman"/>
                <w:sz w:val="18"/>
              </w:rPr>
              <w:t>168,130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,482.23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 w:right="0"/>
              <w:jc w:val="left"/>
              <w:rPr>
                <w:rFonts w:ascii="Times New Roman" w:hAnsi="Times New Roman" w:cs="Times New Roman" w:eastAsia="Times New Roman" w:hint="default"/>
                <w:sz w:val="18"/>
                <w:szCs w:val="18"/>
              </w:rPr>
            </w:pPr>
            <w:r>
              <w:rPr>
                <w:rFonts w:ascii="Times New Roman"/>
                <w:sz w:val="18"/>
              </w:rPr>
              <w:t>351,341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,166.79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 w:right="0"/>
              <w:jc w:val="center"/>
              <w:rPr>
                <w:rFonts w:ascii="Times New Roman" w:hAnsi="Times New Roman" w:cs="Times New Roman" w:eastAsia="Times New Roman" w:hint="default"/>
                <w:sz w:val="18"/>
                <w:szCs w:val="18"/>
              </w:rPr>
            </w:pPr>
            <w:r>
              <w:rPr>
                <w:rFonts w:ascii="Times New Roman"/>
                <w:sz w:val="18"/>
              </w:rPr>
              <w:t>-57,579,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014.31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0" w:right="0"/>
              <w:jc w:val="left"/>
              <w:rPr>
                <w:rFonts w:ascii="Times New Roman" w:hAnsi="Times New Roman" w:cs="Times New Roman" w:eastAsia="Times New Roman" w:hint="default"/>
                <w:sz w:val="18"/>
                <w:szCs w:val="18"/>
              </w:rPr>
            </w:pPr>
            <w:r>
              <w:rPr>
                <w:rFonts w:ascii="Times New Roman"/>
                <w:sz w:val="18"/>
              </w:rPr>
              <w:t>461,892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,634.71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3,077,</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750.00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-283,44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2,025.7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-10,542,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925.36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-7,951,3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25.66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-277,77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Times New Roman" w:hAnsi="Times New Roman" w:cs="Times New Roman" w:eastAsia="Times New Roman" w:hint="default"/>
                <w:sz w:val="18"/>
                <w:szCs w:val="18"/>
              </w:rPr>
            </w:pPr>
            <w:r>
              <w:rPr>
                <w:rFonts w:ascii="Times New Roman"/>
                <w:sz w:val="18"/>
              </w:rPr>
              <w:t>8,369,</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220.00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1" w:right="0"/>
              <w:jc w:val="left"/>
              <w:rPr>
                <w:rFonts w:ascii="Times New Roman" w:hAnsi="Times New Roman" w:cs="Times New Roman" w:eastAsia="Times New Roman" w:hint="default"/>
                <w:sz w:val="18"/>
                <w:szCs w:val="18"/>
              </w:rPr>
            </w:pPr>
            <w:r>
              <w:rPr>
                <w:rFonts w:ascii="Times New Roman"/>
                <w:sz w:val="18"/>
              </w:rPr>
              <w:t>29,698,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299.67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1" w:right="0"/>
              <w:jc w:val="left"/>
              <w:rPr>
                <w:rFonts w:ascii="Times New Roman" w:hAnsi="Times New Roman" w:cs="Times New Roman" w:eastAsia="Times New Roman" w:hint="default"/>
                <w:sz w:val="18"/>
                <w:szCs w:val="18"/>
              </w:rPr>
            </w:pPr>
            <w:r>
              <w:rPr>
                <w:rFonts w:ascii="Times New Roman"/>
                <w:sz w:val="18"/>
              </w:rPr>
              <w:t>16,266,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5" w:right="0"/>
              <w:jc w:val="left"/>
              <w:rPr>
                <w:rFonts w:ascii="Times New Roman" w:hAnsi="Times New Roman" w:cs="Times New Roman" w:eastAsia="Times New Roman" w:hint="default"/>
                <w:sz w:val="18"/>
                <w:szCs w:val="18"/>
              </w:rPr>
            </w:pPr>
            <w:r>
              <w:rPr>
                <w:rFonts w:ascii="Times New Roman"/>
                <w:sz w:val="18"/>
              </w:rPr>
              <w:t>54,334,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009.67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6"/>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6"/>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8,072,4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41.19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-10,542,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925.36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18,615,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366.55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-5,291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-321,21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2,766.5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-24,217,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815.66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-350,72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813.16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-179,87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9,146.2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-159,31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2,333.0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1" w:right="0"/>
              <w:jc w:val="left"/>
              <w:rPr>
                <w:rFonts w:ascii="Times New Roman" w:hAnsi="Times New Roman" w:cs="Times New Roman" w:eastAsia="Times New Roman" w:hint="default"/>
                <w:sz w:val="18"/>
                <w:szCs w:val="18"/>
              </w:rPr>
            </w:pPr>
            <w:r>
              <w:rPr>
                <w:rFonts w:ascii="Times New Roman"/>
                <w:sz w:val="18"/>
              </w:rPr>
              <w:t>20,566,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813.16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-20,566,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813.16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-159,31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2,333.0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-159,31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2,333.0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663,92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0,641.</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76" w:right="0"/>
              <w:jc w:val="left"/>
              <w:rPr>
                <w:rFonts w:ascii="Times New Roman" w:hAnsi="Times New Roman" w:cs="Times New Roman" w:eastAsia="Times New Roman" w:hint="default"/>
                <w:sz w:val="18"/>
                <w:szCs w:val="18"/>
              </w:rPr>
            </w:pPr>
            <w:r>
              <w:rPr>
                <w:rFonts w:ascii="Times New Roman"/>
                <w:sz w:val="18"/>
              </w:rPr>
              <w:t>-663,92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0,641.0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2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73" w:hRule="exact"/>
        </w:trPr>
        <w:tc>
          <w:tcPr>
            <w:tcW w:w="1438"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10" w:space="0" w:color="000000"/>
              <w:left w:val="single" w:sz="4" w:space="0" w:color="000000"/>
              <w:bottom w:val="single" w:sz="4" w:space="0" w:color="000000"/>
              <w:right w:val="single" w:sz="4" w:space="0" w:color="000000"/>
            </w:tcBorders>
          </w:tcPr>
          <w:p>
            <w:pPr/>
          </w:p>
        </w:tc>
        <w:tc>
          <w:tcPr>
            <w:tcW w:w="53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4" w:type="dxa"/>
            <w:tcBorders>
              <w:top w:val="single" w:sz="10" w:space="0" w:color="000000"/>
              <w:left w:val="single" w:sz="4" w:space="0" w:color="000000"/>
              <w:bottom w:val="single" w:sz="4" w:space="0" w:color="000000"/>
              <w:right w:val="single" w:sz="4" w:space="0" w:color="000000"/>
            </w:tcBorders>
          </w:tcPr>
          <w:p>
            <w:pPr/>
          </w:p>
        </w:tc>
        <w:tc>
          <w:tcPr>
            <w:tcW w:w="666"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59" w:type="dxa"/>
            <w:tcBorders>
              <w:top w:val="single" w:sz="10"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663,92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0,641.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-663,92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0,641.0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-137,82</w:t>
            </w:r>
          </w:p>
          <w:p>
            <w:pPr>
              <w:pStyle w:val="TableParagraph"/>
              <w:spacing w:line="240" w:lineRule="auto" w:before="105"/>
              <w:ind w:left="317" w:right="0"/>
              <w:jc w:val="left"/>
              <w:rPr>
                <w:rFonts w:ascii="Times New Roman" w:hAnsi="Times New Roman" w:cs="Times New Roman" w:eastAsia="Times New Roman" w:hint="default"/>
                <w:sz w:val="18"/>
                <w:szCs w:val="18"/>
              </w:rPr>
            </w:pPr>
            <w:r>
              <w:rPr>
                <w:rFonts w:ascii="Times New Roman"/>
                <w:sz w:val="18"/>
              </w:rPr>
              <w:t>8.04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-137,82</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8.04</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1,994,</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479,92</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524,688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,463.03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15,905,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926.84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161,325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,546.59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197,376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,909.01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2,084,0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45,123.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38,856,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880.76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4,984,8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66,921.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r>
    </w:tbl>
    <w:p>
      <w:pPr>
        <w:pStyle w:val="BodyText"/>
        <w:spacing w:line="240" w:lineRule="auto" w:before="51"/>
        <w:ind w:left="1134" w:right="0"/>
        <w:jc w:val="left"/>
      </w:pPr>
      <w:r>
        <w:rPr/>
        <w:t>上期金额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614,84</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1,344.</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1,361,2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34,043.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30,792,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079.20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-1,385,3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47.96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141,422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,357.47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1,469,3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33,950.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22,493,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549.05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3,577,1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47,817.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8,691,2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165,702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775,740</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12,644,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567.58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22,277,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250.84</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614,84</w:t>
            </w:r>
          </w:p>
          <w:p>
            <w:pPr>
              <w:pStyle w:val="TableParagraph"/>
              <w:spacing w:line="240" w:lineRule="auto" w:before="104"/>
              <w:ind w:left="84" w:right="0"/>
              <w:jc w:val="left"/>
              <w:rPr>
                <w:rFonts w:ascii="Times New Roman" w:hAnsi="Times New Roman" w:cs="Times New Roman" w:eastAsia="Times New Roman" w:hint="default"/>
                <w:sz w:val="18"/>
                <w:szCs w:val="18"/>
              </w:rPr>
            </w:pPr>
            <w:r>
              <w:rPr>
                <w:rFonts w:ascii="Times New Roman"/>
                <w:sz w:val="18"/>
              </w:rPr>
              <w:t>1,344.</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1,369,9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25,283.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30,792,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079.20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-1,385,3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47.96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141,588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,060.07</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1,470,1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09,691.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35,138,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116.63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3,599,4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25,068.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712,64</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102,263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-4,343,2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-5,419,5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35,222,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442,473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69,249,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1,360,7</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85" w:hRule="exact"/>
        </w:trPr>
        <w:tc>
          <w:tcPr>
            <w:tcW w:w="143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0,191.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10" w:space="0" w:color="000000"/>
              <w:left w:val="single" w:sz="4" w:space="0" w:color="000000"/>
              <w:bottom w:val="single" w:sz="4" w:space="0" w:color="000000"/>
              <w:right w:val="single" w:sz="4" w:space="0" w:color="000000"/>
            </w:tcBorders>
          </w:tcPr>
          <w:p>
            <w:pPr/>
          </w:p>
        </w:tc>
        <w:tc>
          <w:tcPr>
            <w:tcW w:w="53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,674.58</w:t>
            </w:r>
          </w:p>
        </w:tc>
        <w:tc>
          <w:tcPr>
            <w:tcW w:w="6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27.00</w:t>
            </w:r>
          </w:p>
        </w:tc>
        <w:tc>
          <w:tcPr>
            <w:tcW w:w="6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87.68</w:t>
            </w: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035.78</w:t>
            </w:r>
          </w:p>
        </w:tc>
        <w:tc>
          <w:tcPr>
            <w:tcW w:w="665" w:type="dxa"/>
            <w:tcBorders>
              <w:top w:val="single" w:sz="10" w:space="0" w:color="000000"/>
              <w:left w:val="single" w:sz="4" w:space="0" w:color="000000"/>
              <w:bottom w:val="single" w:sz="4" w:space="0" w:color="000000"/>
              <w:right w:val="single" w:sz="4" w:space="0" w:color="000000"/>
            </w:tcBorders>
          </w:tcPr>
          <w:p>
            <w:pPr/>
          </w:p>
        </w:tc>
        <w:tc>
          <w:tcPr>
            <w:tcW w:w="6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,410.98</w:t>
            </w:r>
          </w:p>
        </w:tc>
        <w:tc>
          <w:tcPr>
            <w:tcW w:w="6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Times New Roman" w:hAnsi="Times New Roman" w:cs="Times New Roman" w:eastAsia="Times New Roman" w:hint="default"/>
                <w:sz w:val="18"/>
                <w:szCs w:val="18"/>
              </w:rPr>
            </w:pPr>
            <w:r>
              <w:rPr>
                <w:rFonts w:ascii="Times New Roman"/>
                <w:sz w:val="18"/>
              </w:rPr>
              <w:t>104.10</w:t>
            </w:r>
          </w:p>
        </w:tc>
        <w:tc>
          <w:tcPr>
            <w:tcW w:w="6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72,055.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-5,419,5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87.68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5" w:right="0"/>
              <w:jc w:val="left"/>
              <w:rPr>
                <w:rFonts w:ascii="Times New Roman" w:hAnsi="Times New Roman" w:cs="Times New Roman" w:eastAsia="Times New Roman" w:hint="default"/>
                <w:sz w:val="18"/>
                <w:szCs w:val="18"/>
              </w:rPr>
            </w:pPr>
            <w:r>
              <w:rPr>
                <w:rFonts w:ascii="Times New Roman"/>
                <w:sz w:val="18"/>
              </w:rPr>
              <w:t>633,118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,638.76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4" w:right="0"/>
              <w:jc w:val="left"/>
              <w:rPr>
                <w:rFonts w:ascii="Times New Roman" w:hAnsi="Times New Roman" w:cs="Times New Roman" w:eastAsia="Times New Roman" w:hint="default"/>
                <w:sz w:val="18"/>
                <w:szCs w:val="18"/>
              </w:rPr>
            </w:pPr>
            <w:r>
              <w:rPr>
                <w:rFonts w:ascii="Times New Roman"/>
                <w:sz w:val="18"/>
              </w:rPr>
              <w:t>-13,169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,069.59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0" w:right="0"/>
              <w:jc w:val="left"/>
              <w:rPr>
                <w:rFonts w:ascii="Times New Roman" w:hAnsi="Times New Roman" w:cs="Times New Roman" w:eastAsia="Times New Roman" w:hint="default"/>
                <w:sz w:val="18"/>
                <w:szCs w:val="18"/>
              </w:rPr>
            </w:pPr>
            <w:r>
              <w:rPr>
                <w:rFonts w:ascii="Times New Roman"/>
                <w:sz w:val="18"/>
              </w:rPr>
              <w:t>614,529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,981.49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97,423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713,627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,298.58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-4,343,2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90,364,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573.69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905,758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,906.27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97,423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,807.0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705,460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,989.08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95,623,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898,508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,446.08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7"/>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8,166,3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09.50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-4,343,2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12,509,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536.50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9" w:right="0"/>
              <w:jc w:val="left"/>
              <w:rPr>
                <w:rFonts w:ascii="Times New Roman" w:hAnsi="Times New Roman" w:cs="Times New Roman" w:eastAsia="Times New Roman" w:hint="default"/>
                <w:sz w:val="18"/>
                <w:szCs w:val="18"/>
              </w:rPr>
            </w:pPr>
            <w:r>
              <w:rPr>
                <w:rFonts w:ascii="Times New Roman"/>
                <w:sz w:val="18"/>
              </w:rPr>
              <w:t>-5,259,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076.31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Times New Roman" w:hAnsi="Times New Roman" w:cs="Times New Roman" w:eastAsia="Times New Roman" w:hint="default"/>
                <w:sz w:val="18"/>
                <w:szCs w:val="18"/>
              </w:rPr>
            </w:pPr>
            <w:r>
              <w:rPr>
                <w:rFonts w:ascii="Times New Roman"/>
                <w:sz w:val="18"/>
              </w:rPr>
              <w:t>-5,259,0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76.31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34,482,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441.10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-188,21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9,273.1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-153,73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1" w:right="0"/>
              <w:jc w:val="left"/>
              <w:rPr>
                <w:rFonts w:ascii="Times New Roman" w:hAnsi="Times New Roman" w:cs="Times New Roman" w:eastAsia="Times New Roman" w:hint="default"/>
                <w:sz w:val="18"/>
                <w:szCs w:val="18"/>
              </w:rPr>
            </w:pPr>
            <w:r>
              <w:rPr>
                <w:rFonts w:ascii="Times New Roman"/>
                <w:sz w:val="18"/>
              </w:rPr>
              <w:t>34,482,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441.10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Times New Roman" w:hAnsi="Times New Roman" w:cs="Times New Roman" w:eastAsia="Times New Roman" w:hint="default"/>
                <w:sz w:val="18"/>
                <w:szCs w:val="18"/>
              </w:rPr>
            </w:pPr>
            <w:r>
              <w:rPr>
                <w:rFonts w:ascii="Times New Roman"/>
                <w:sz w:val="18"/>
              </w:rPr>
              <w:t>-34,482,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441.10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-153,73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-153,73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 w:right="0"/>
              <w:jc w:val="left"/>
              <w:rPr>
                <w:rFonts w:ascii="Times New Roman" w:hAnsi="Times New Roman" w:cs="Times New Roman" w:eastAsia="Times New Roman" w:hint="default"/>
                <w:sz w:val="18"/>
                <w:szCs w:val="18"/>
              </w:rPr>
            </w:pPr>
            <w:r>
              <w:rPr>
                <w:rFonts w:ascii="Times New Roman"/>
                <w:sz w:val="18"/>
              </w:rPr>
              <w:t>615,21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6,384.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-615,21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 w:right="0"/>
              <w:jc w:val="left"/>
              <w:rPr>
                <w:rFonts w:ascii="Times New Roman" w:hAnsi="Times New Roman" w:cs="Times New Roman" w:eastAsia="Times New Roman" w:hint="default"/>
                <w:sz w:val="18"/>
                <w:szCs w:val="18"/>
              </w:rPr>
            </w:pPr>
            <w:r>
              <w:rPr>
                <w:rFonts w:ascii="Times New Roman"/>
                <w:sz w:val="18"/>
              </w:rPr>
              <w:t>615,21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6,384.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-615,21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6"/>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7"/>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2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14" w:hRule="exact"/>
        </w:trPr>
        <w:tc>
          <w:tcPr>
            <w:tcW w:w="143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532" w:type="dxa"/>
            <w:tcBorders>
              <w:top w:val="single" w:sz="10" w:space="0" w:color="000000"/>
              <w:left w:val="single" w:sz="4" w:space="0" w:color="000000"/>
              <w:bottom w:val="single" w:sz="4" w:space="0" w:color="000000"/>
              <w:right w:val="single" w:sz="4" w:space="0" w:color="000000"/>
            </w:tcBorders>
          </w:tcPr>
          <w:p>
            <w:pPr/>
          </w:p>
        </w:tc>
        <w:tc>
          <w:tcPr>
            <w:tcW w:w="530"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78" w:type="dxa"/>
            <w:tcBorders>
              <w:top w:val="single" w:sz="10" w:space="0" w:color="000000"/>
              <w:left w:val="single" w:sz="4" w:space="0" w:color="000000"/>
              <w:bottom w:val="single" w:sz="4" w:space="0" w:color="000000"/>
              <w:right w:val="single" w:sz="4" w:space="0" w:color="000000"/>
            </w:tcBorders>
          </w:tcPr>
          <w:p>
            <w:pPr/>
          </w:p>
        </w:tc>
        <w:tc>
          <w:tcPr>
            <w:tcW w:w="652" w:type="dxa"/>
            <w:tcBorders>
              <w:top w:val="single" w:sz="10" w:space="0" w:color="000000"/>
              <w:left w:val="single" w:sz="4" w:space="0" w:color="000000"/>
              <w:bottom w:val="single" w:sz="4" w:space="0" w:color="000000"/>
              <w:right w:val="single" w:sz="4" w:space="0" w:color="000000"/>
            </w:tcBorders>
          </w:tcPr>
          <w:p>
            <w:pPr/>
          </w:p>
        </w:tc>
        <w:tc>
          <w:tcPr>
            <w:tcW w:w="659"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3,852,7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739,594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-2,425,9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54.68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-7,946,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-5,780,0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1,327,</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481,53</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88,957.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26,448,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852.20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-6,804,9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35.64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176,810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,095.85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83,102.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104,387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,220.73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4,960,1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97,124.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0"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0"/>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1,327,48</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1,535.00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1,461,847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,899.81</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26,448,85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2.20</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75" w:right="0"/>
              <w:jc w:val="left"/>
              <w:rPr>
                <w:rFonts w:ascii="Times New Roman" w:hAnsi="Times New Roman" w:cs="Times New Roman" w:eastAsia="Times New Roman" w:hint="default"/>
                <w:sz w:val="18"/>
                <w:szCs w:val="18"/>
              </w:rPr>
            </w:pPr>
            <w:r>
              <w:rPr>
                <w:rFonts w:ascii="Times New Roman"/>
                <w:sz w:val="18"/>
              </w:rPr>
              <w:t>-1,099,44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9.71</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175,904,7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98.57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839,368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,003.18</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3,777,053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,934.65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1,327,48</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1,535.00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1,461,847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,899.81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26,448,85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-1,099,44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9.71</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175,904,7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98.57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839,368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,003.18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3,777,053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,934.65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666,998,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-933,784,</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336.49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-10,542,9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25.36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164,967,2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28.77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20,566,81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25,788,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985.45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-44,919,9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92.75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164,967,2</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28.77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205,668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,131.65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370,635,3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60.42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3,077,75</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-269,725,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867.45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-10,542,9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25.36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-256,105,</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192.09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8,369,22</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29,381,76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37,750,98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9.97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8,072,441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-10,542,9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25.36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18,615,36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6.55</w:t>
            </w:r>
          </w:p>
        </w:tc>
      </w:tr>
    </w:tbl>
    <w:p>
      <w:pPr>
        <w:spacing w:after="0" w:line="240" w:lineRule="auto"/>
        <w:jc w:val="left"/>
        <w:rPr>
          <w:rFonts w:ascii="Times New Roman" w:hAnsi="Times New Roman" w:cs="Times New Roman" w:eastAsia="Times New Roman" w:hint="default"/>
          <w:sz w:val="18"/>
          <w:szCs w:val="18"/>
        </w:rPr>
        <w:sectPr>
          <w:footerReference w:type="default" r:id="rId15"/>
          <w:pgSz w:w="11910" w:h="16840"/>
          <w:pgMar w:footer="979" w:header="851"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73" w:hRule="exact"/>
        </w:trPr>
        <w:tc>
          <w:tcPr>
            <w:tcW w:w="144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6" w:type="dxa"/>
            <w:tcBorders>
              <w:top w:val="single" w:sz="10" w:space="0" w:color="000000"/>
              <w:left w:val="single" w:sz="4" w:space="0" w:color="000000"/>
              <w:bottom w:val="single" w:sz="4" w:space="0" w:color="000000"/>
              <w:right w:val="single" w:sz="4" w:space="0" w:color="000000"/>
            </w:tcBorders>
          </w:tcPr>
          <w:p>
            <w:pPr/>
          </w:p>
        </w:tc>
        <w:tc>
          <w:tcPr>
            <w:tcW w:w="781"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4" w:right="0"/>
              <w:jc w:val="center"/>
              <w:rPr>
                <w:rFonts w:ascii="Times New Roman" w:hAnsi="Times New Roman" w:cs="Times New Roman" w:eastAsia="Times New Roman" w:hint="default"/>
                <w:sz w:val="18"/>
                <w:szCs w:val="18"/>
              </w:rPr>
            </w:pPr>
            <w:r>
              <w:rPr>
                <w:rFonts w:ascii="Times New Roman"/>
                <w:sz w:val="18"/>
              </w:rPr>
              <w:t>-5,291,4</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70.00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-307,180,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078.61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 w:right="0"/>
              <w:jc w:val="center"/>
              <w:rPr>
                <w:rFonts w:ascii="Times New Roman" w:hAnsi="Times New Roman" w:cs="Times New Roman" w:eastAsia="Times New Roman" w:hint="default"/>
                <w:sz w:val="18"/>
                <w:szCs w:val="18"/>
              </w:rPr>
            </w:pPr>
            <w:r>
              <w:rPr>
                <w:rFonts w:ascii="Times New Roman"/>
                <w:sz w:val="18"/>
              </w:rPr>
              <w:t>-312,471,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548.61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20,566,81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-179,87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9,146.2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-159,312,</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333.04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20,566,81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0"/>
              <w:jc w:val="center"/>
              <w:rPr>
                <w:rFonts w:ascii="Times New Roman" w:hAnsi="Times New Roman" w:cs="Times New Roman" w:eastAsia="Times New Roman" w:hint="default"/>
                <w:sz w:val="18"/>
                <w:szCs w:val="18"/>
              </w:rPr>
            </w:pPr>
            <w:r>
              <w:rPr>
                <w:rFonts w:ascii="Times New Roman"/>
                <w:sz w:val="18"/>
              </w:rPr>
              <w:t>-20,566,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813.16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-159,31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2,333.0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-159,312,</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333.04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Times New Roman" w:hAnsi="Times New Roman" w:cs="Times New Roman" w:eastAsia="Times New Roman" w:hint="default"/>
                <w:sz w:val="18"/>
                <w:szCs w:val="18"/>
              </w:rPr>
            </w:pPr>
            <w:r>
              <w:rPr>
                <w:rFonts w:ascii="Times New Roman"/>
                <w:sz w:val="18"/>
              </w:rPr>
              <w:t>663,920,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-663,920,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641.00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Times New Roman" w:hAnsi="Times New Roman" w:cs="Times New Roman" w:eastAsia="Times New Roman" w:hint="default"/>
                <w:sz w:val="18"/>
                <w:szCs w:val="18"/>
              </w:rPr>
            </w:pPr>
            <w:r>
              <w:rPr>
                <w:rFonts w:ascii="Times New Roman"/>
                <w:sz w:val="18"/>
              </w:rPr>
              <w:t>663,920,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-663,920,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641.00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w w:val="95"/>
                <w:sz w:val="18"/>
              </w:rPr>
              <w:t>-137,828.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w w:val="95"/>
                <w:sz w:val="18"/>
              </w:rPr>
              <w:t>-137,828.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 w:right="0"/>
              <w:jc w:val="left"/>
              <w:rPr>
                <w:rFonts w:ascii="Times New Roman" w:hAnsi="Times New Roman" w:cs="Times New Roman" w:eastAsia="Times New Roman" w:hint="default"/>
                <w:sz w:val="18"/>
                <w:szCs w:val="18"/>
              </w:rPr>
            </w:pPr>
            <w:r>
              <w:rPr>
                <w:rFonts w:ascii="Times New Roman"/>
                <w:sz w:val="18"/>
              </w:rPr>
              <w:t>1,994,47</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9,926.00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Times New Roman" w:hAnsi="Times New Roman" w:cs="Times New Roman" w:eastAsia="Times New Roman" w:hint="default"/>
                <w:sz w:val="18"/>
                <w:szCs w:val="18"/>
              </w:rPr>
            </w:pPr>
            <w:r>
              <w:rPr>
                <w:rFonts w:ascii="Times New Roman"/>
                <w:sz w:val="18"/>
              </w:rPr>
              <w:t>528,063,5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63.32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15,905,92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163,867,7</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79.06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Times New Roman" w:hAnsi="Times New Roman" w:cs="Times New Roman" w:eastAsia="Times New Roman" w:hint="default"/>
                <w:sz w:val="18"/>
                <w:szCs w:val="18"/>
              </w:rPr>
            </w:pPr>
            <w:r>
              <w:rPr>
                <w:rFonts w:ascii="Times New Roman"/>
                <w:sz w:val="18"/>
              </w:rPr>
              <w:t>196,471,6</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11.73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8" w:right="0"/>
              <w:jc w:val="left"/>
              <w:rPr>
                <w:rFonts w:ascii="Times New Roman" w:hAnsi="Times New Roman" w:cs="Times New Roman" w:eastAsia="Times New Roman" w:hint="default"/>
                <w:sz w:val="18"/>
                <w:szCs w:val="18"/>
              </w:rPr>
            </w:pPr>
            <w:r>
              <w:rPr>
                <w:rFonts w:ascii="Times New Roman"/>
                <w:sz w:val="18"/>
              </w:rPr>
              <w:t>865,156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,988.63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 w:right="0"/>
              <w:jc w:val="center"/>
              <w:rPr>
                <w:rFonts w:ascii="Times New Roman" w:hAnsi="Times New Roman" w:cs="Times New Roman" w:eastAsia="Times New Roman" w:hint="default"/>
                <w:sz w:val="18"/>
                <w:szCs w:val="18"/>
              </w:rPr>
            </w:pPr>
            <w:r>
              <w:rPr>
                <w:rFonts w:ascii="Times New Roman"/>
                <w:sz w:val="18"/>
              </w:rPr>
              <w:t>3,732,133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,941.90</w:t>
            </w:r>
          </w:p>
        </w:tc>
      </w:tr>
    </w:tbl>
    <w:p>
      <w:pPr>
        <w:pStyle w:val="BodyText"/>
        <w:spacing w:line="240" w:lineRule="auto" w:before="46"/>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614,841,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344.00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1,355,216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,985.23</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5"/>
              <w:ind w:left="45" w:right="0"/>
              <w:jc w:val="left"/>
              <w:rPr>
                <w:rFonts w:ascii="Times New Roman" w:hAnsi="Times New Roman" w:cs="Times New Roman" w:eastAsia="Times New Roman" w:hint="default"/>
                <w:sz w:val="18"/>
                <w:szCs w:val="18"/>
              </w:rPr>
            </w:pPr>
            <w:r>
              <w:rPr>
                <w:rFonts w:ascii="Times New Roman"/>
                <w:sz w:val="18"/>
              </w:rPr>
              <w:t>30,792,07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9.20</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5"/>
              <w:ind w:left="75" w:right="0"/>
              <w:jc w:val="left"/>
              <w:rPr>
                <w:rFonts w:ascii="Times New Roman" w:hAnsi="Times New Roman" w:cs="Times New Roman" w:eastAsia="Times New Roman" w:hint="default"/>
                <w:sz w:val="18"/>
                <w:szCs w:val="18"/>
              </w:rPr>
            </w:pPr>
            <w:r>
              <w:rPr>
                <w:rFonts w:ascii="Times New Roman"/>
                <w:sz w:val="18"/>
              </w:rPr>
              <w:t>-1,012,44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141,422,3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57.47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706,513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,984.60</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2,786,190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,149.44</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851" w:top="1420" w:bottom="1160" w:left="0" w:right="0"/>
          <w:pgNumType w:start="101"/>
        </w:sect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73" w:hRule="exact"/>
        </w:trPr>
        <w:tc>
          <w:tcPr>
            <w:tcW w:w="144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6" w:type="dxa"/>
            <w:tcBorders>
              <w:top w:val="single" w:sz="10" w:space="0" w:color="000000"/>
              <w:left w:val="single" w:sz="4" w:space="0" w:color="000000"/>
              <w:bottom w:val="single" w:sz="4" w:space="0" w:color="000000"/>
              <w:right w:val="single" w:sz="4" w:space="0" w:color="000000"/>
            </w:tcBorders>
          </w:tcPr>
          <w:p>
            <w:pPr/>
          </w:p>
        </w:tc>
        <w:tc>
          <w:tcPr>
            <w:tcW w:w="781"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 w:right="0"/>
              <w:jc w:val="center"/>
              <w:rPr>
                <w:rFonts w:ascii="Times New Roman" w:hAnsi="Times New Roman" w:cs="Times New Roman" w:eastAsia="Times New Roman" w:hint="default"/>
                <w:sz w:val="18"/>
                <w:szCs w:val="18"/>
              </w:rPr>
            </w:pPr>
            <w:r>
              <w:rPr>
                <w:rFonts w:ascii="Times New Roman"/>
                <w:sz w:val="18"/>
              </w:rPr>
              <w:t>-17,967,</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369.73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 w:right="0"/>
              <w:jc w:val="left"/>
              <w:rPr>
                <w:rFonts w:ascii="Times New Roman" w:hAnsi="Times New Roman" w:cs="Times New Roman" w:eastAsia="Times New Roman" w:hint="default"/>
                <w:sz w:val="18"/>
                <w:szCs w:val="18"/>
              </w:rPr>
            </w:pPr>
            <w:r>
              <w:rPr>
                <w:rFonts w:ascii="Times New Roman"/>
                <w:sz w:val="18"/>
              </w:rPr>
              <w:t>-17,967,3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69.73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 w:right="0"/>
              <w:jc w:val="center"/>
              <w:rPr>
                <w:rFonts w:ascii="Times New Roman" w:hAnsi="Times New Roman" w:cs="Times New Roman" w:eastAsia="Times New Roman" w:hint="default"/>
                <w:sz w:val="18"/>
                <w:szCs w:val="18"/>
              </w:rPr>
            </w:pPr>
            <w:r>
              <w:rPr>
                <w:rFonts w:ascii="Times New Roman"/>
                <w:sz w:val="18"/>
              </w:rPr>
              <w:t>614,841,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center"/>
              <w:rPr>
                <w:rFonts w:ascii="Times New Roman" w:hAnsi="Times New Roman" w:cs="Times New Roman" w:eastAsia="Times New Roman" w:hint="default"/>
                <w:sz w:val="18"/>
                <w:szCs w:val="18"/>
              </w:rPr>
            </w:pPr>
            <w:r>
              <w:rPr>
                <w:rFonts w:ascii="Times New Roman"/>
                <w:sz w:val="18"/>
              </w:rPr>
              <w:t>1,355,216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,985.23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30,792,07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-1,012,44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141,422,3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 w:right="0"/>
              <w:jc w:val="left"/>
              <w:rPr>
                <w:rFonts w:ascii="Times New Roman" w:hAnsi="Times New Roman" w:cs="Times New Roman" w:eastAsia="Times New Roman" w:hint="default"/>
                <w:sz w:val="18"/>
                <w:szCs w:val="18"/>
              </w:rPr>
            </w:pPr>
            <w:r>
              <w:rPr>
                <w:rFonts w:ascii="Times New Roman"/>
                <w:sz w:val="18"/>
              </w:rPr>
              <w:t>688,546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,614.87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Times New Roman" w:hAnsi="Times New Roman" w:cs="Times New Roman" w:eastAsia="Times New Roman" w:hint="default"/>
                <w:sz w:val="18"/>
                <w:szCs w:val="18"/>
              </w:rPr>
            </w:pPr>
            <w:r>
              <w:rPr>
                <w:rFonts w:ascii="Times New Roman"/>
                <w:sz w:val="18"/>
              </w:rPr>
              <w:t>2,768,222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,779.71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7"/>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712,640,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106,630,9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-4,343,22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-87,007.0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34,482,44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150,821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,388.31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1,008,831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,154.94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w w:val="95"/>
                <w:sz w:val="18"/>
              </w:rPr>
              <w:t>-87,007.0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8" w:right="0"/>
              <w:jc w:val="left"/>
              <w:rPr>
                <w:rFonts w:ascii="Times New Roman" w:hAnsi="Times New Roman" w:cs="Times New Roman" w:eastAsia="Times New Roman" w:hint="default"/>
                <w:sz w:val="18"/>
                <w:szCs w:val="18"/>
              </w:rPr>
            </w:pPr>
            <w:r>
              <w:rPr>
                <w:rFonts w:ascii="Times New Roman"/>
                <w:sz w:val="18"/>
              </w:rPr>
              <w:t>339,040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,661.41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 w:right="0"/>
              <w:jc w:val="left"/>
              <w:rPr>
                <w:rFonts w:ascii="Times New Roman" w:hAnsi="Times New Roman" w:cs="Times New Roman" w:eastAsia="Times New Roman" w:hint="default"/>
                <w:sz w:val="18"/>
                <w:szCs w:val="18"/>
              </w:rPr>
            </w:pPr>
            <w:r>
              <w:rPr>
                <w:rFonts w:ascii="Times New Roman"/>
                <w:sz w:val="18"/>
              </w:rPr>
              <w:t>338,953,6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 w:right="0"/>
              <w:jc w:val="left"/>
              <w:rPr>
                <w:rFonts w:ascii="Times New Roman" w:hAnsi="Times New Roman" w:cs="Times New Roman" w:eastAsia="Times New Roman" w:hint="default"/>
                <w:sz w:val="18"/>
                <w:szCs w:val="18"/>
              </w:rPr>
            </w:pPr>
            <w:r>
              <w:rPr>
                <w:rFonts w:ascii="Times New Roman"/>
                <w:sz w:val="18"/>
              </w:rPr>
              <w:t>97,423,8</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713,627,2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-4,343,22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 w:right="0"/>
              <w:jc w:val="left"/>
              <w:rPr>
                <w:rFonts w:ascii="Times New Roman" w:hAnsi="Times New Roman" w:cs="Times New Roman" w:eastAsia="Times New Roman" w:hint="default"/>
                <w:sz w:val="18"/>
                <w:szCs w:val="18"/>
              </w:rPr>
            </w:pPr>
            <w:r>
              <w:rPr>
                <w:rFonts w:ascii="Times New Roman"/>
                <w:sz w:val="18"/>
              </w:rPr>
              <w:t>815,394,3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 w:right="0"/>
              <w:jc w:val="left"/>
              <w:rPr>
                <w:rFonts w:ascii="Times New Roman" w:hAnsi="Times New Roman" w:cs="Times New Roman" w:eastAsia="Times New Roman" w:hint="default"/>
                <w:sz w:val="18"/>
                <w:szCs w:val="18"/>
              </w:rPr>
            </w:pPr>
            <w:r>
              <w:rPr>
                <w:rFonts w:ascii="Times New Roman"/>
                <w:sz w:val="18"/>
              </w:rPr>
              <w:t>97,423,8</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705,460,9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 w:right="0"/>
              <w:jc w:val="left"/>
              <w:rPr>
                <w:rFonts w:ascii="Times New Roman" w:hAnsi="Times New Roman" w:cs="Times New Roman" w:eastAsia="Times New Roman" w:hint="default"/>
                <w:sz w:val="18"/>
                <w:szCs w:val="18"/>
              </w:rPr>
            </w:pPr>
            <w:r>
              <w:rPr>
                <w:rFonts w:ascii="Times New Roman"/>
                <w:sz w:val="18"/>
              </w:rPr>
              <w:t>802,884,7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96.08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7"/>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7"/>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8,166,309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-4,343,22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12,509,53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6.50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34,482,44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z w:val="18"/>
              </w:rPr>
              <w:t>-188,21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9,273.1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-153,736,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832.00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 w:right="0"/>
              <w:jc w:val="left"/>
              <w:rPr>
                <w:rFonts w:ascii="Times New Roman" w:hAnsi="Times New Roman" w:cs="Times New Roman" w:eastAsia="Times New Roman" w:hint="default"/>
                <w:sz w:val="18"/>
                <w:szCs w:val="18"/>
              </w:rPr>
            </w:pPr>
            <w:r>
              <w:rPr>
                <w:rFonts w:ascii="Times New Roman"/>
                <w:sz w:val="18"/>
              </w:rPr>
              <w:t>34,482,44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 w:right="0"/>
              <w:jc w:val="center"/>
              <w:rPr>
                <w:rFonts w:ascii="Times New Roman" w:hAnsi="Times New Roman" w:cs="Times New Roman" w:eastAsia="Times New Roman" w:hint="default"/>
                <w:sz w:val="18"/>
                <w:szCs w:val="18"/>
              </w:rPr>
            </w:pPr>
            <w:r>
              <w:rPr>
                <w:rFonts w:ascii="Times New Roman"/>
                <w:sz w:val="18"/>
              </w:rPr>
              <w:t>-34,482,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441.10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z w:val="18"/>
              </w:rPr>
              <w:t>-153,73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6,832.0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-153,736,</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832.00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 w:right="0"/>
              <w:jc w:val="center"/>
              <w:rPr>
                <w:rFonts w:ascii="Times New Roman" w:hAnsi="Times New Roman" w:cs="Times New Roman" w:eastAsia="Times New Roman" w:hint="default"/>
                <w:sz w:val="18"/>
                <w:szCs w:val="18"/>
              </w:rPr>
            </w:pPr>
            <w:r>
              <w:rPr>
                <w:rFonts w:ascii="Times New Roman"/>
                <w:sz w:val="18"/>
              </w:rPr>
              <w:t>615,216,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1" w:right="0"/>
              <w:jc w:val="center"/>
              <w:rPr>
                <w:rFonts w:ascii="Times New Roman" w:hAnsi="Times New Roman" w:cs="Times New Roman" w:eastAsia="Times New Roman" w:hint="default"/>
                <w:sz w:val="18"/>
                <w:szCs w:val="18"/>
              </w:rPr>
            </w:pPr>
            <w:r>
              <w:rPr>
                <w:rFonts w:ascii="Times New Roman"/>
                <w:sz w:val="18"/>
              </w:rPr>
              <w:t>-615,216,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384.00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6"/>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 w:right="0"/>
              <w:jc w:val="center"/>
              <w:rPr>
                <w:rFonts w:ascii="Times New Roman" w:hAnsi="Times New Roman" w:cs="Times New Roman" w:eastAsia="Times New Roman" w:hint="default"/>
                <w:sz w:val="18"/>
                <w:szCs w:val="18"/>
              </w:rPr>
            </w:pPr>
            <w:r>
              <w:rPr>
                <w:rFonts w:ascii="Times New Roman"/>
                <w:sz w:val="18"/>
              </w:rPr>
              <w:t>615,216,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1" w:right="0"/>
              <w:jc w:val="center"/>
              <w:rPr>
                <w:rFonts w:ascii="Times New Roman" w:hAnsi="Times New Roman" w:cs="Times New Roman" w:eastAsia="Times New Roman" w:hint="default"/>
                <w:sz w:val="18"/>
                <w:szCs w:val="18"/>
              </w:rPr>
            </w:pPr>
            <w:r>
              <w:rPr>
                <w:rFonts w:ascii="Times New Roman"/>
                <w:sz w:val="18"/>
              </w:rPr>
              <w:t>-615,216,</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384.00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6"/>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7"/>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2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14" w:hRule="exact"/>
        </w:trPr>
        <w:tc>
          <w:tcPr>
            <w:tcW w:w="144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665"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6" w:type="dxa"/>
            <w:tcBorders>
              <w:top w:val="single" w:sz="10" w:space="0" w:color="000000"/>
              <w:left w:val="single" w:sz="4" w:space="0" w:color="000000"/>
              <w:bottom w:val="single" w:sz="4" w:space="0" w:color="000000"/>
              <w:right w:val="single" w:sz="4" w:space="0" w:color="000000"/>
            </w:tcBorders>
          </w:tcPr>
          <w:p>
            <w:pPr/>
          </w:p>
        </w:tc>
        <w:tc>
          <w:tcPr>
            <w:tcW w:w="781"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1,327,48</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1,535.00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1,461,847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,899.81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26,448,85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-1,099,44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175,904,7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839,368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,003.18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3,777,053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,934.65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59"/>
      <w:bookmarkEnd w:id="159"/>
      <w:r>
        <w:rPr>
          <w:b w:val="0"/>
          <w:bCs w:val="0"/>
        </w:rPr>
      </w:r>
      <w:r>
        <w:rPr/>
        <w:t>三、公司基本情况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247" w:right="0" w:firstLine="360"/>
        <w:jc w:val="left"/>
      </w:pPr>
      <w:r>
        <w:rPr/>
        <w:t>北京神州泰岳软件股份有限公司（以下简称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）前身系北京神州泰岳软件有限公司，成立于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18</w:t>
      </w:r>
      <w:r>
        <w:rPr/>
        <w:t>日，成立时注册资本为人民币</w:t>
      </w:r>
      <w:r>
        <w:rPr>
          <w:rFonts w:ascii="Times New Roman" w:hAnsi="Times New Roman" w:cs="Times New Roman" w:eastAsia="Times New Roman" w:hint="default"/>
        </w:rPr>
        <w:t>1,000</w:t>
      </w:r>
      <w:r>
        <w:rPr/>
        <w:t>万元。</w:t>
      </w:r>
    </w:p>
    <w:p>
      <w:pPr>
        <w:pStyle w:val="BodyText"/>
        <w:spacing w:line="451" w:lineRule="auto" w:before="43"/>
        <w:ind w:left="1248" w:right="0" w:firstLine="360"/>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日，经股东会表决通过，以截至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日经审计的净资产为基数，按照</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的比例折股，整体变更 设立为股份有限公司。</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日，北京市人民政府经济体制改革办公室出具京政体改股函【</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7</w:t>
      </w:r>
      <w:r>
        <w:rPr/>
        <w:t>号文批准了公司 </w:t>
      </w:r>
      <w:r>
        <w:rPr>
          <w:spacing w:val="-1"/>
        </w:rPr>
        <w:t>的上述整体改制方案。</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27</w:t>
      </w:r>
      <w:r>
        <w:rPr>
          <w:spacing w:val="-1"/>
        </w:rPr>
        <w:t>日，北京京都会计师事务所有限公司出具北京京都验字〔</w:t>
      </w:r>
      <w:r>
        <w:rPr>
          <w:rFonts w:ascii="Times New Roman" w:hAnsi="Times New Roman" w:cs="Times New Roman" w:eastAsia="Times New Roman" w:hint="default"/>
          <w:spacing w:val="-1"/>
        </w:rPr>
        <w:t>2002</w:t>
      </w:r>
      <w:r>
        <w:rPr>
          <w:spacing w:val="-1"/>
        </w:rPr>
        <w:t>〕第</w:t>
      </w:r>
      <w:r>
        <w:rPr>
          <w:rFonts w:ascii="Times New Roman" w:hAnsi="Times New Roman" w:cs="Times New Roman" w:eastAsia="Times New Roman" w:hint="default"/>
          <w:spacing w:val="-1"/>
        </w:rPr>
        <w:t>0025</w:t>
      </w:r>
      <w:r>
        <w:rPr>
          <w:spacing w:val="-1"/>
        </w:rPr>
        <w:t>号《验资报告》</w:t>
      </w:r>
      <w:r>
        <w:rPr>
          <w:spacing w:val="-48"/>
        </w:rPr>
        <w:t> </w:t>
      </w:r>
      <w:r>
        <w:rPr>
          <w:spacing w:val="-48"/>
        </w:rPr>
      </w:r>
      <w:r>
        <w:rPr/>
        <w:t>审验确认，公司注册资本人民币</w:t>
      </w:r>
      <w:r>
        <w:rPr>
          <w:rFonts w:ascii="Times New Roman" w:hAnsi="Times New Roman" w:cs="Times New Roman" w:eastAsia="Times New Roman" w:hint="default"/>
        </w:rPr>
        <w:t>2,159.20</w:t>
      </w:r>
      <w:r>
        <w:rPr/>
        <w:t>万元已缴足。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日，公司在北京市工商行政管理局注册登记并取得注册</w:t>
      </w:r>
      <w:r>
        <w:rPr>
          <w:spacing w:val="-27"/>
        </w:rPr>
        <w:t> </w:t>
      </w:r>
      <w:r>
        <w:rPr>
          <w:spacing w:val="-27"/>
        </w:rPr>
      </w:r>
      <w:r>
        <w:rPr/>
        <w:t>号为</w:t>
      </w:r>
      <w:r>
        <w:rPr>
          <w:rFonts w:ascii="Times New Roman" w:hAnsi="Times New Roman" w:cs="Times New Roman" w:eastAsia="Times New Roman" w:hint="default"/>
        </w:rPr>
        <w:t>1100001270093</w:t>
      </w:r>
      <w:r>
        <w:rPr/>
        <w:t>的《企业法人营业执照》。</w:t>
      </w:r>
    </w:p>
    <w:p>
      <w:pPr>
        <w:pStyle w:val="BodyText"/>
        <w:spacing w:line="240" w:lineRule="auto" w:before="43"/>
        <w:ind w:left="1608" w:right="0"/>
        <w:jc w:val="left"/>
      </w:pPr>
      <w:r>
        <w:rPr/>
        <w:t>经历次股权转让和增资，至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日，公司注册资本为人民币</w:t>
      </w:r>
      <w:r>
        <w:rPr>
          <w:rFonts w:ascii="Times New Roman" w:hAnsi="Times New Roman" w:cs="Times New Roman" w:eastAsia="Times New Roman" w:hint="default"/>
        </w:rPr>
        <w:t>9,480</w:t>
      </w:r>
      <w:r>
        <w:rPr/>
        <w:t>万元。</w:t>
      </w:r>
    </w:p>
    <w:p>
      <w:pPr>
        <w:spacing w:line="240" w:lineRule="auto" w:before="10"/>
        <w:rPr>
          <w:rFonts w:ascii="宋体" w:hAnsi="宋体" w:cs="宋体" w:eastAsia="宋体" w:hint="default"/>
          <w:sz w:val="16"/>
          <w:szCs w:val="16"/>
        </w:rPr>
      </w:pPr>
    </w:p>
    <w:p>
      <w:pPr>
        <w:pStyle w:val="BodyText"/>
        <w:spacing w:line="240" w:lineRule="auto"/>
        <w:ind w:left="1608" w:right="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日，经中国证券监督管理委员会以</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952</w:t>
      </w:r>
      <w:r>
        <w:rPr/>
        <w:t>号</w:t>
      </w:r>
      <w:r>
        <w:rPr>
          <w:rFonts w:ascii="Times New Roman" w:hAnsi="Times New Roman" w:cs="Times New Roman" w:eastAsia="Times New Roman" w:hint="default"/>
        </w:rPr>
        <w:t>”</w:t>
      </w:r>
      <w:r>
        <w:rPr/>
        <w:t>文核准，向社会公众公开发行境内上市内资</w:t>
      </w:r>
    </w:p>
    <w:p>
      <w:pPr>
        <w:spacing w:line="240" w:lineRule="auto" w:before="9"/>
        <w:rPr>
          <w:rFonts w:ascii="宋体" w:hAnsi="宋体" w:cs="宋体" w:eastAsia="宋体" w:hint="default"/>
          <w:sz w:val="16"/>
          <w:szCs w:val="16"/>
        </w:rPr>
      </w:pPr>
    </w:p>
    <w:p>
      <w:pPr>
        <w:pStyle w:val="BodyText"/>
        <w:spacing w:line="451" w:lineRule="auto"/>
        <w:ind w:left="1248" w:right="0"/>
        <w:jc w:val="left"/>
      </w:pPr>
      <w:r>
        <w:rPr/>
        <w:t>（</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3,160</w:t>
      </w:r>
      <w:r>
        <w:rPr/>
        <w:t>万股并在深圳交易所创业板上市交易。</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日，由北京市工商行政管理局换发企业法人营业执</w:t>
      </w:r>
      <w:r>
        <w:rPr>
          <w:spacing w:val="-22"/>
        </w:rPr>
        <w:t> </w:t>
      </w:r>
      <w:r>
        <w:rPr>
          <w:spacing w:val="-22"/>
        </w:rPr>
      </w:r>
      <w:r>
        <w:rPr/>
        <w:t>照，注册号</w:t>
      </w:r>
      <w:r>
        <w:rPr>
          <w:rFonts w:ascii="Times New Roman" w:hAnsi="Times New Roman" w:cs="Times New Roman" w:eastAsia="Times New Roman" w:hint="default"/>
        </w:rPr>
        <w:t>110000002700930</w:t>
      </w:r>
      <w:r>
        <w:rPr/>
        <w:t>。</w:t>
      </w:r>
    </w:p>
    <w:p>
      <w:pPr>
        <w:pStyle w:val="BodyText"/>
        <w:spacing w:line="451" w:lineRule="auto" w:before="43"/>
        <w:ind w:left="1247" w:right="0" w:firstLine="36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日，经公司</w:t>
      </w:r>
      <w:r>
        <w:rPr>
          <w:rFonts w:ascii="Times New Roman" w:hAnsi="Times New Roman" w:cs="Times New Roman" w:eastAsia="Times New Roman" w:hint="default"/>
        </w:rPr>
        <w:t>2009</w:t>
      </w:r>
      <w:r>
        <w:rPr/>
        <w:t>年度股东大会决议通过，以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12,640</w:t>
      </w:r>
      <w:r>
        <w:rPr/>
        <w:t>万股为基数，以资本公积金 向全体股东每</w:t>
      </w:r>
      <w:r>
        <w:rPr>
          <w:rFonts w:ascii="Times New Roman" w:hAnsi="Times New Roman" w:cs="Times New Roman" w:eastAsia="Times New Roman" w:hint="default"/>
        </w:rPr>
        <w:t>10</w:t>
      </w:r>
      <w:r>
        <w:rPr/>
        <w:t>股转</w:t>
      </w:r>
      <w:r>
        <w:rPr>
          <w:rFonts w:ascii="Times New Roman" w:hAnsi="Times New Roman" w:cs="Times New Roman" w:eastAsia="Times New Roman" w:hint="default"/>
        </w:rPr>
        <w:t>15</w:t>
      </w:r>
      <w:r>
        <w:rPr/>
        <w:t>股，合计转增股本</w:t>
      </w:r>
      <w:r>
        <w:rPr>
          <w:rFonts w:ascii="Times New Roman" w:hAnsi="Times New Roman" w:cs="Times New Roman" w:eastAsia="Times New Roman" w:hint="default"/>
        </w:rPr>
        <w:t>18,960</w:t>
      </w:r>
      <w:r>
        <w:rPr/>
        <w:t>万股。</w:t>
      </w:r>
    </w:p>
    <w:p>
      <w:pPr>
        <w:pStyle w:val="BodyText"/>
        <w:spacing w:line="451" w:lineRule="auto" w:before="43"/>
        <w:ind w:left="1247" w:right="0" w:firstLine="36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日，经公司</w:t>
      </w:r>
      <w:r>
        <w:rPr>
          <w:rFonts w:ascii="Times New Roman" w:hAnsi="Times New Roman" w:cs="Times New Roman" w:eastAsia="Times New Roman" w:hint="default"/>
        </w:rPr>
        <w:t>2010</w:t>
      </w:r>
      <w:r>
        <w:rPr/>
        <w:t>年度股东大会决议通过，以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31,600</w:t>
      </w:r>
      <w:r>
        <w:rPr/>
        <w:t>万股为基数，以资本公积金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股，合计转增股本</w:t>
      </w:r>
      <w:r>
        <w:rPr>
          <w:rFonts w:ascii="Times New Roman" w:hAnsi="Times New Roman" w:cs="Times New Roman" w:eastAsia="Times New Roman" w:hint="default"/>
        </w:rPr>
        <w:t>6,320</w:t>
      </w:r>
      <w:r>
        <w:rPr/>
        <w:t>万股。</w:t>
      </w:r>
    </w:p>
    <w:p>
      <w:pPr>
        <w:pStyle w:val="BodyText"/>
        <w:spacing w:line="451" w:lineRule="auto" w:before="43"/>
        <w:ind w:left="1247" w:right="1026"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2012</w:t>
      </w:r>
      <w:r>
        <w:rPr/>
        <w:t>年第一次临时股东大会决议通过《北京神州泰岳软件股份有限公司股票期权与限制性股票激 </w:t>
      </w:r>
      <w:r>
        <w:rPr>
          <w:spacing w:val="-1"/>
        </w:rPr>
        <w:t>励计划》，向</w:t>
      </w:r>
      <w:r>
        <w:rPr>
          <w:rFonts w:ascii="Times New Roman" w:hAnsi="Times New Roman" w:cs="Times New Roman" w:eastAsia="Times New Roman" w:hint="default"/>
          <w:spacing w:val="-1"/>
        </w:rPr>
        <w:t>185</w:t>
      </w:r>
      <w:r>
        <w:rPr>
          <w:spacing w:val="-1"/>
        </w:rPr>
        <w:t>名自然人发行限制性股票</w:t>
      </w:r>
      <w:r>
        <w:rPr>
          <w:rFonts w:ascii="Times New Roman" w:hAnsi="Times New Roman" w:cs="Times New Roman" w:eastAsia="Times New Roman" w:hint="default"/>
          <w:spacing w:val="-1"/>
        </w:rPr>
        <w:t>418.37</w:t>
      </w:r>
      <w:r>
        <w:rPr>
          <w:spacing w:val="-1"/>
        </w:rPr>
        <w:t>万股。</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5</w:t>
      </w:r>
      <w:r>
        <w:rPr>
          <w:spacing w:val="-1"/>
        </w:rPr>
        <w:t>日，由北京市工商行政管理局换发企业法人营业执照，</w:t>
      </w:r>
      <w:r>
        <w:rPr/>
        <w:t> 注册号</w:t>
      </w:r>
      <w:r>
        <w:rPr>
          <w:rFonts w:ascii="Times New Roman" w:hAnsi="Times New Roman" w:cs="Times New Roman" w:eastAsia="Times New Roman" w:hint="default"/>
        </w:rPr>
        <w:t>110000002700930</w:t>
      </w:r>
      <w:r>
        <w:rPr/>
        <w:t>。</w:t>
      </w:r>
    </w:p>
    <w:p>
      <w:pPr>
        <w:pStyle w:val="BodyText"/>
        <w:spacing w:line="451" w:lineRule="auto" w:before="43"/>
        <w:ind w:left="1247" w:right="1129" w:firstLine="360"/>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w:t>
      </w:r>
      <w:r>
        <w:rPr>
          <w:spacing w:val="-2"/>
        </w:rPr>
        <w:t>日，公司</w:t>
      </w:r>
      <w:r>
        <w:rPr>
          <w:rFonts w:ascii="Times New Roman" w:hAnsi="Times New Roman" w:cs="Times New Roman" w:eastAsia="Times New Roman" w:hint="default"/>
          <w:spacing w:val="-2"/>
        </w:rPr>
        <w:t>2012</w:t>
      </w:r>
      <w:r>
        <w:rPr>
          <w:spacing w:val="-2"/>
        </w:rPr>
        <w:t>年度股东大会决议审议通过了《</w:t>
      </w:r>
      <w:r>
        <w:rPr>
          <w:rFonts w:ascii="Times New Roman" w:hAnsi="Times New Roman" w:cs="Times New Roman" w:eastAsia="Times New Roman" w:hint="default"/>
          <w:spacing w:val="-2"/>
        </w:rPr>
        <w:t>2012</w:t>
      </w:r>
      <w:r>
        <w:rPr>
          <w:spacing w:val="-2"/>
        </w:rPr>
        <w:t>年度利润分配及资本公积金转增股本预案》，截止</w:t>
      </w:r>
      <w:r>
        <w:rPr>
          <w:rFonts w:ascii="Times New Roman" w:hAnsi="Times New Roman" w:cs="Times New Roman" w:eastAsia="Times New Roman" w:hint="default"/>
          <w:spacing w:val="-2"/>
        </w:rPr>
        <w:t>2012</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日，母公司资本公积金为</w:t>
      </w:r>
      <w:r>
        <w:rPr>
          <w:rFonts w:ascii="Times New Roman" w:hAnsi="Times New Roman" w:cs="Times New Roman" w:eastAsia="Times New Roman" w:hint="default"/>
          <w:spacing w:val="-1"/>
        </w:rPr>
        <w:t>1,556,513,432.57</w:t>
      </w:r>
      <w:r>
        <w:rPr>
          <w:spacing w:val="-1"/>
        </w:rPr>
        <w:t>元，本次以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38,338.37</w:t>
      </w:r>
      <w:r>
        <w:rPr>
          <w:spacing w:val="-1"/>
        </w:rPr>
        <w:t>万股为基数，由资本公</w:t>
      </w:r>
      <w:r>
        <w:rPr>
          <w:spacing w:val="-36"/>
        </w:rPr>
        <w:t> </w:t>
      </w:r>
      <w:r>
        <w:rPr>
          <w:spacing w:val="-36"/>
        </w:rPr>
      </w:r>
      <w:r>
        <w:rPr/>
        <w:t>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6</w:t>
      </w:r>
      <w:r>
        <w:rPr/>
        <w:t>股，合计转增</w:t>
      </w:r>
      <w:r>
        <w:rPr>
          <w:rFonts w:ascii="Times New Roman" w:hAnsi="Times New Roman" w:cs="Times New Roman" w:eastAsia="Times New Roman" w:hint="default"/>
        </w:rPr>
        <w:t>23,003.02</w:t>
      </w:r>
      <w:r>
        <w:rPr/>
        <w:t>万股。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日，由北京市工商行政管理局换发企业法人营业</w:t>
      </w:r>
      <w:r>
        <w:rPr>
          <w:spacing w:val="-72"/>
        </w:rPr>
        <w:t> </w:t>
      </w:r>
      <w:r>
        <w:rPr>
          <w:spacing w:val="-72"/>
        </w:rPr>
      </w:r>
      <w:r>
        <w:rPr/>
        <w:t>执照，注册号</w:t>
      </w:r>
      <w:r>
        <w:rPr>
          <w:rFonts w:ascii="Times New Roman" w:hAnsi="Times New Roman" w:cs="Times New Roman" w:eastAsia="Times New Roman" w:hint="default"/>
        </w:rPr>
        <w:t>110000002700930</w:t>
      </w:r>
      <w:r>
        <w:rPr/>
        <w:t>。</w:t>
      </w:r>
    </w:p>
    <w:p>
      <w:pPr>
        <w:pStyle w:val="BodyText"/>
        <w:spacing w:line="240" w:lineRule="auto" w:before="43"/>
        <w:ind w:left="1698"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日，公司第五届董事会第六次会议审议通过了《关于回购注销部分已不符合激励条件的原激励对象已获</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63" w:lineRule="auto" w:before="83"/>
        <w:ind w:left="1247" w:right="1131"/>
        <w:jc w:val="both"/>
      </w:pPr>
      <w:r>
        <w:rPr>
          <w:spacing w:val="-1"/>
        </w:rPr>
        <w:t>授的限制性股票的议案》。由于部分原激励对象因个人原因已离职，根据相关规定，其已不具备激励对象资格，公司对该</w:t>
      </w:r>
      <w:r>
        <w:rPr>
          <w:spacing w:val="-56"/>
        </w:rPr>
        <w:t> </w:t>
      </w:r>
      <w:r>
        <w:rPr>
          <w:spacing w:val="-56"/>
        </w:rPr>
      </w:r>
      <w:r>
        <w:rPr>
          <w:spacing w:val="-2"/>
        </w:rPr>
        <w:t>等原激励对象获授的限制性股票全部注销回购，回购数量为</w:t>
      </w:r>
      <w:r>
        <w:rPr>
          <w:rFonts w:ascii="Times New Roman" w:hAnsi="Times New Roman" w:cs="Times New Roman" w:eastAsia="Times New Roman" w:hint="default"/>
          <w:spacing w:val="-2"/>
        </w:rPr>
        <w:t>280,800</w:t>
      </w:r>
      <w:r>
        <w:rPr>
          <w:spacing w:val="-2"/>
        </w:rPr>
        <w:t>股，回购价格为</w:t>
      </w:r>
      <w:r>
        <w:rPr>
          <w:rFonts w:ascii="Times New Roman" w:hAnsi="Times New Roman" w:cs="Times New Roman" w:eastAsia="Times New Roman" w:hint="default"/>
          <w:spacing w:val="-2"/>
        </w:rPr>
        <w:t>5.36</w:t>
      </w:r>
      <w:r>
        <w:rPr>
          <w:spacing w:val="-2"/>
        </w:rPr>
        <w:t>元</w:t>
      </w:r>
      <w:r>
        <w:rPr>
          <w:rFonts w:ascii="Times New Roman" w:hAnsi="Times New Roman" w:cs="Times New Roman" w:eastAsia="Times New Roman" w:hint="default"/>
          <w:spacing w:val="-2"/>
        </w:rPr>
        <w:t>/</w:t>
      </w:r>
      <w:r>
        <w:rPr>
          <w:spacing w:val="-2"/>
        </w:rPr>
        <w:t>股。注销完成后，公司注册资本</w:t>
      </w:r>
      <w:r>
        <w:rPr>
          <w:spacing w:val="-40"/>
        </w:rPr>
        <w:t> </w:t>
      </w:r>
      <w:r>
        <w:rPr>
          <w:spacing w:val="-40"/>
        </w:rPr>
      </w:r>
      <w:r>
        <w:rPr/>
        <w:t>由人民币</w:t>
      </w:r>
      <w:r>
        <w:rPr>
          <w:rFonts w:ascii="Times New Roman" w:hAnsi="Times New Roman" w:cs="Times New Roman" w:eastAsia="Times New Roman" w:hint="default"/>
        </w:rPr>
        <w:t>613,413,920</w:t>
      </w:r>
      <w:r>
        <w:rPr/>
        <w:t>元减少至人民币</w:t>
      </w:r>
      <w:r>
        <w:rPr>
          <w:rFonts w:ascii="Times New Roman" w:hAnsi="Times New Roman" w:cs="Times New Roman" w:eastAsia="Times New Roman" w:hint="default"/>
        </w:rPr>
        <w:t>613,133,120</w:t>
      </w:r>
      <w:r>
        <w:rPr/>
        <w:t>元；公司股份总数由人民币普通股</w:t>
      </w:r>
      <w:r>
        <w:rPr>
          <w:rFonts w:ascii="Times New Roman" w:hAnsi="Times New Roman" w:cs="Times New Roman" w:eastAsia="Times New Roman" w:hint="default"/>
        </w:rPr>
        <w:t>613,413,920</w:t>
      </w:r>
      <w:r>
        <w:rPr/>
        <w:t>股减少至</w:t>
      </w:r>
      <w:r>
        <w:rPr>
          <w:rFonts w:ascii="Times New Roman" w:hAnsi="Times New Roman" w:cs="Times New Roman" w:eastAsia="Times New Roman" w:hint="default"/>
        </w:rPr>
        <w:t>613,133,120</w:t>
      </w:r>
      <w:r>
        <w:rPr/>
        <w:t>股。</w:t>
      </w:r>
    </w:p>
    <w:p>
      <w:pPr>
        <w:pStyle w:val="BodyText"/>
        <w:spacing w:line="451" w:lineRule="auto" w:before="34"/>
        <w:ind w:left="1247" w:right="1129"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日，根据公司</w:t>
      </w:r>
      <w:r>
        <w:rPr>
          <w:rFonts w:ascii="Times New Roman" w:hAnsi="Times New Roman" w:cs="Times New Roman" w:eastAsia="Times New Roman" w:hint="default"/>
        </w:rPr>
        <w:t>2013</w:t>
      </w:r>
      <w:r>
        <w:rPr/>
        <w:t>年第二次临时股东大会审议通过的《公司注册资本变更的议案》和《关于修改</w:t>
      </w:r>
      <w:r>
        <w:rPr>
          <w:rFonts w:ascii="Times New Roman" w:hAnsi="Times New Roman" w:cs="Times New Roman" w:eastAsia="Times New Roman" w:hint="default"/>
        </w:rPr>
        <w:t>&lt;</w:t>
      </w:r>
      <w:r>
        <w:rPr/>
        <w:t>公司</w:t>
      </w:r>
      <w:r>
        <w:rPr>
          <w:spacing w:val="2"/>
        </w:rPr>
        <w:t> </w:t>
      </w:r>
      <w:r>
        <w:rPr/>
        <w:t>章程</w:t>
      </w:r>
      <w:r>
        <w:rPr>
          <w:rFonts w:ascii="Times New Roman" w:hAnsi="Times New Roman" w:cs="Times New Roman" w:eastAsia="Times New Roman" w:hint="default"/>
        </w:rPr>
        <w:t>&gt;</w:t>
      </w:r>
      <w:r>
        <w:rPr/>
        <w:t>的议案》，公司已完成相应的工商变更登记手续，并取得了北京市工商行政管理局换发的《企业法人营业执照》，</w:t>
      </w:r>
      <w:r>
        <w:rPr>
          <w:spacing w:val="-37"/>
        </w:rPr>
        <w:t> </w:t>
      </w:r>
      <w:r>
        <w:rPr/>
        <w:t>注册号为</w:t>
      </w:r>
      <w:r>
        <w:rPr>
          <w:rFonts w:ascii="Times New Roman" w:hAnsi="Times New Roman" w:cs="Times New Roman" w:eastAsia="Times New Roman" w:hint="default"/>
        </w:rPr>
        <w:t>110000002700930</w:t>
      </w:r>
      <w:r>
        <w:rPr/>
        <w:t>。</w:t>
      </w:r>
    </w:p>
    <w:p>
      <w:pPr>
        <w:pStyle w:val="BodyText"/>
        <w:spacing w:line="451" w:lineRule="auto" w:before="43"/>
        <w:ind w:left="1247" w:right="1128"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日，公司</w:t>
      </w:r>
      <w:r>
        <w:rPr>
          <w:rFonts w:ascii="Times New Roman" w:hAnsi="Times New Roman" w:cs="Times New Roman" w:eastAsia="Times New Roman" w:hint="default"/>
          <w:spacing w:val="-1"/>
        </w:rPr>
        <w:t>2013</w:t>
      </w:r>
      <w:r>
        <w:rPr>
          <w:spacing w:val="-1"/>
        </w:rPr>
        <w:t>年度股东大会审议通过《关于修改</w:t>
      </w:r>
      <w:r>
        <w:rPr>
          <w:rFonts w:ascii="Times New Roman" w:hAnsi="Times New Roman" w:cs="Times New Roman" w:eastAsia="Times New Roman" w:hint="default"/>
          <w:spacing w:val="-1"/>
        </w:rPr>
        <w:t>&lt;</w:t>
      </w:r>
      <w:r>
        <w:rPr>
          <w:spacing w:val="-1"/>
        </w:rPr>
        <w:t>公司章程</w:t>
      </w:r>
      <w:r>
        <w:rPr>
          <w:rFonts w:ascii="Times New Roman" w:hAnsi="Times New Roman" w:cs="Times New Roman" w:eastAsia="Times New Roman" w:hint="default"/>
          <w:spacing w:val="-1"/>
        </w:rPr>
        <w:t>&gt;</w:t>
      </w:r>
      <w:r>
        <w:rPr>
          <w:spacing w:val="-1"/>
        </w:rPr>
        <w:t>的议案》，因公司股权激励计划之股票期权行</w:t>
      </w:r>
      <w:r>
        <w:rPr/>
        <w:t> </w:t>
      </w:r>
      <w:r>
        <w:rPr>
          <w:spacing w:val="3"/>
        </w:rPr>
        <w:t>权而增加股份数为</w:t>
      </w:r>
      <w:r>
        <w:rPr>
          <w:rFonts w:ascii="Times New Roman" w:hAnsi="Times New Roman" w:cs="Times New Roman" w:eastAsia="Times New Roman" w:hint="default"/>
          <w:spacing w:val="3"/>
        </w:rPr>
        <w:t>2,083,264</w:t>
      </w:r>
      <w:r>
        <w:rPr>
          <w:spacing w:val="3"/>
        </w:rPr>
        <w:t>股；同时，根据公司《</w:t>
      </w:r>
      <w:r>
        <w:rPr>
          <w:rFonts w:ascii="Times New Roman" w:hAnsi="Times New Roman" w:cs="Times New Roman" w:eastAsia="Times New Roman" w:hint="default"/>
          <w:spacing w:val="3"/>
        </w:rPr>
        <w:t>2013</w:t>
      </w:r>
      <w:r>
        <w:rPr>
          <w:spacing w:val="3"/>
        </w:rPr>
        <w:t>年度利润分配及转增股本预案》，以公司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28</w:t>
      </w:r>
      <w:r>
        <w:rPr>
          <w:spacing w:val="3"/>
        </w:rPr>
        <w:t>日总股本</w:t>
      </w:r>
      <w:r>
        <w:rPr>
          <w:spacing w:val="-52"/>
        </w:rPr>
        <w:t> </w:t>
      </w:r>
      <w:r>
        <w:rPr>
          <w:spacing w:val="-52"/>
        </w:rPr>
      </w:r>
      <w:r>
        <w:rPr>
          <w:rFonts w:ascii="Times New Roman" w:hAnsi="Times New Roman" w:cs="Times New Roman" w:eastAsia="Times New Roman" w:hint="default"/>
          <w:spacing w:val="-2"/>
        </w:rPr>
        <w:t>615,216,384</w:t>
      </w:r>
      <w:r>
        <w:rPr>
          <w:spacing w:val="-2"/>
        </w:rPr>
        <w:t>股为基数，向全体股东以每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2.5</w:t>
      </w:r>
      <w:r>
        <w:rPr>
          <w:spacing w:val="-2"/>
        </w:rPr>
        <w:t>元（含税），以资本公积金向全体股东每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股，实施</w:t>
      </w:r>
      <w:r>
        <w:rPr>
          <w:spacing w:val="-31"/>
        </w:rPr>
        <w:t> </w:t>
      </w:r>
      <w:r>
        <w:rPr>
          <w:spacing w:val="-31"/>
        </w:rPr>
      </w:r>
      <w:r>
        <w:rPr/>
        <w:t>完成后公司注册资本增至</w:t>
      </w:r>
      <w:r>
        <w:rPr>
          <w:rFonts w:ascii="Times New Roman" w:hAnsi="Times New Roman" w:cs="Times New Roman" w:eastAsia="Times New Roman" w:hint="default"/>
        </w:rPr>
        <w:t>1,230,432,768.00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日，由北京市工商行政管理局换发企业法人营业执照，注册号</w:t>
      </w:r>
      <w:r>
        <w:rPr>
          <w:spacing w:val="-31"/>
        </w:rPr>
        <w:t> </w:t>
      </w:r>
      <w:r>
        <w:rPr>
          <w:spacing w:val="-31"/>
        </w:rPr>
      </w:r>
      <w:r>
        <w:rPr>
          <w:rFonts w:ascii="Times New Roman" w:hAnsi="Times New Roman" w:cs="Times New Roman" w:eastAsia="Times New Roman" w:hint="default"/>
        </w:rPr>
        <w:t>110000002700930</w:t>
      </w:r>
      <w:r>
        <w:rPr/>
        <w:t>。</w:t>
      </w:r>
    </w:p>
    <w:p>
      <w:pPr>
        <w:pStyle w:val="BodyText"/>
        <w:spacing w:line="451" w:lineRule="auto" w:before="43"/>
        <w:ind w:left="1247" w:right="0" w:firstLine="360"/>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27</w:t>
      </w:r>
      <w:r>
        <w:rPr>
          <w:spacing w:val="-3"/>
        </w:rPr>
        <w:t>日，公司</w:t>
      </w:r>
      <w:r>
        <w:rPr>
          <w:rFonts w:ascii="Times New Roman" w:hAnsi="Times New Roman" w:cs="Times New Roman" w:eastAsia="Times New Roman" w:hint="default"/>
          <w:spacing w:val="-3"/>
        </w:rPr>
        <w:t>2014</w:t>
      </w:r>
      <w:r>
        <w:rPr>
          <w:spacing w:val="-3"/>
        </w:rPr>
        <w:t>年第一次临时股东大会审议通过《关于变更公司注册资本的议案》、《关于修改</w:t>
      </w:r>
      <w:r>
        <w:rPr>
          <w:rFonts w:ascii="Times New Roman" w:hAnsi="Times New Roman" w:cs="Times New Roman" w:eastAsia="Times New Roman" w:hint="default"/>
          <w:spacing w:val="-3"/>
        </w:rPr>
        <w:t>&lt;</w:t>
      </w:r>
      <w:r>
        <w:rPr>
          <w:spacing w:val="-3"/>
        </w:rPr>
        <w:t>公司章程</w:t>
      </w:r>
      <w:r>
        <w:rPr>
          <w:rFonts w:ascii="Times New Roman" w:hAnsi="Times New Roman" w:cs="Times New Roman" w:eastAsia="Times New Roman" w:hint="default"/>
          <w:spacing w:val="-3"/>
        </w:rPr>
        <w:t>&gt;</w:t>
      </w:r>
      <w:r>
        <w:rPr>
          <w:rFonts w:ascii="Times New Roman" w:hAnsi="Times New Roman" w:cs="Times New Roman" w:eastAsia="Times New Roman" w:hint="default"/>
        </w:rPr>
        <w:t> </w:t>
      </w:r>
      <w:r>
        <w:rPr/>
        <w:t>的议案》，公司因发行股份及支付现金购买资产的相关股份上市手续已办理完毕，公司股本增加了</w:t>
      </w:r>
      <w:r>
        <w:rPr>
          <w:rFonts w:ascii="Times New Roman" w:hAnsi="Times New Roman" w:cs="Times New Roman" w:eastAsia="Times New Roman" w:hint="default"/>
        </w:rPr>
        <w:t>92,756,183</w:t>
      </w:r>
      <w:r>
        <w:rPr/>
        <w:t>股，公司股</w:t>
      </w:r>
      <w:r>
        <w:rPr>
          <w:spacing w:val="-22"/>
        </w:rPr>
        <w:t> </w:t>
      </w:r>
      <w:r>
        <w:rPr>
          <w:spacing w:val="-22"/>
        </w:rPr>
      </w:r>
      <w:r>
        <w:rPr>
          <w:spacing w:val="-1"/>
        </w:rPr>
        <w:t>份总数由</w:t>
      </w:r>
      <w:r>
        <w:rPr>
          <w:rFonts w:ascii="Times New Roman" w:hAnsi="Times New Roman" w:cs="Times New Roman" w:eastAsia="Times New Roman" w:hint="default"/>
          <w:spacing w:val="-1"/>
        </w:rPr>
        <w:t>1,230,432,768.00</w:t>
      </w:r>
      <w:r>
        <w:rPr>
          <w:spacing w:val="-1"/>
        </w:rPr>
        <w:t>股变更为</w:t>
      </w:r>
      <w:r>
        <w:rPr>
          <w:rFonts w:ascii="Times New Roman" w:hAnsi="Times New Roman" w:cs="Times New Roman" w:eastAsia="Times New Roman" w:hint="default"/>
          <w:spacing w:val="-1"/>
        </w:rPr>
        <w:t>1,323,188,951</w:t>
      </w:r>
      <w:r>
        <w:rPr>
          <w:spacing w:val="-1"/>
        </w:rPr>
        <w:t>股，注册资本由人民币</w:t>
      </w:r>
      <w:r>
        <w:rPr>
          <w:rFonts w:ascii="Times New Roman" w:hAnsi="Times New Roman" w:cs="Times New Roman" w:eastAsia="Times New Roman" w:hint="default"/>
          <w:spacing w:val="-1"/>
        </w:rPr>
        <w:t>1,230,432,768.00</w:t>
      </w:r>
      <w:r>
        <w:rPr>
          <w:spacing w:val="-1"/>
        </w:rPr>
        <w:t>元变更为人民币</w:t>
      </w:r>
      <w:r>
        <w:rPr>
          <w:rFonts w:ascii="Times New Roman" w:hAnsi="Times New Roman" w:cs="Times New Roman" w:eastAsia="Times New Roman" w:hint="default"/>
          <w:spacing w:val="-1"/>
        </w:rPr>
        <w:t>1,323,188,951.00</w:t>
      </w:r>
      <w:r>
        <w:rPr>
          <w:spacing w:val="-1"/>
        </w:rPr>
        <w:t>元。</w:t>
      </w:r>
      <w:r>
        <w:rPr>
          <w:spacing w:val="-74"/>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日，由北京市工商行政管理局换发企业法人营业执照，注册号</w:t>
      </w:r>
      <w:r>
        <w:rPr>
          <w:rFonts w:ascii="Times New Roman" w:hAnsi="Times New Roman" w:cs="Times New Roman" w:eastAsia="Times New Roman" w:hint="default"/>
        </w:rPr>
        <w:t>110000002700930</w:t>
      </w:r>
      <w:r>
        <w:rPr/>
        <w:t>。</w:t>
      </w:r>
    </w:p>
    <w:p>
      <w:pPr>
        <w:pStyle w:val="BodyText"/>
        <w:spacing w:line="463" w:lineRule="auto" w:before="44"/>
        <w:ind w:left="1247" w:right="1130" w:firstLine="360"/>
        <w:jc w:val="both"/>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2014</w:t>
      </w:r>
      <w:r>
        <w:rPr/>
        <w:t>年第二次临时股东大会审议通过了《关于修改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的议案》，因公司股权激励计划 </w:t>
      </w:r>
      <w:r>
        <w:rPr>
          <w:spacing w:val="9"/>
        </w:rPr>
        <w:t>第一个行权期激励对象行权、回购注销不符合激励条件的原激励对象已获授的限制性股票等原因，公司股份总数由</w:t>
      </w:r>
      <w:r>
        <w:rPr>
          <w:spacing w:val="-56"/>
        </w:rPr>
        <w:t> </w:t>
      </w:r>
      <w:r>
        <w:rPr>
          <w:spacing w:val="-56"/>
        </w:rPr>
      </w:r>
      <w:r>
        <w:rPr>
          <w:rFonts w:ascii="Times New Roman" w:hAnsi="Times New Roman" w:cs="Times New Roman" w:eastAsia="Times New Roman" w:hint="default"/>
        </w:rPr>
        <w:t>1,323,188,951</w:t>
      </w:r>
      <w:r>
        <w:rPr/>
        <w:t>股变更为</w:t>
      </w:r>
      <w:r>
        <w:rPr>
          <w:rFonts w:ascii="Times New Roman" w:hAnsi="Times New Roman" w:cs="Times New Roman" w:eastAsia="Times New Roman" w:hint="default"/>
        </w:rPr>
        <w:t>1,323,268,087</w:t>
      </w:r>
      <w:r>
        <w:rPr/>
        <w:t>股，注册资本由人民币</w:t>
      </w:r>
      <w:r>
        <w:rPr>
          <w:rFonts w:ascii="Times New Roman" w:hAnsi="Times New Roman" w:cs="Times New Roman" w:eastAsia="Times New Roman" w:hint="default"/>
        </w:rPr>
        <w:t>1,323,188,951.00</w:t>
      </w:r>
      <w:r>
        <w:rPr/>
        <w:t>元变更为人民币</w:t>
      </w:r>
      <w:r>
        <w:rPr>
          <w:rFonts w:ascii="Times New Roman" w:hAnsi="Times New Roman" w:cs="Times New Roman" w:eastAsia="Times New Roman" w:hint="default"/>
        </w:rPr>
        <w:t>1,323,268,087.00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p>
    <w:p>
      <w:pPr>
        <w:pStyle w:val="BodyText"/>
        <w:spacing w:line="240" w:lineRule="auto" w:before="33"/>
        <w:ind w:left="1247" w:right="0"/>
        <w:jc w:val="both"/>
      </w:pPr>
      <w:r>
        <w:rPr/>
        <w:t>月</w:t>
      </w:r>
      <w:r>
        <w:rPr>
          <w:rFonts w:ascii="Times New Roman" w:hAnsi="Times New Roman" w:cs="Times New Roman" w:eastAsia="Times New Roman" w:hint="default"/>
        </w:rPr>
        <w:t>18</w:t>
      </w:r>
      <w:r>
        <w:rPr/>
        <w:t>日，由北京市工商行政管理局换发企业法人营业执照，注册号</w:t>
      </w:r>
      <w:r>
        <w:rPr>
          <w:rFonts w:ascii="Times New Roman" w:hAnsi="Times New Roman" w:cs="Times New Roman" w:eastAsia="Times New Roman" w:hint="default"/>
        </w:rPr>
        <w:t>110000002700930</w:t>
      </w:r>
      <w:r>
        <w:rPr/>
        <w:t>。</w:t>
      </w:r>
    </w:p>
    <w:p>
      <w:pPr>
        <w:spacing w:line="240" w:lineRule="auto" w:before="9"/>
        <w:rPr>
          <w:rFonts w:ascii="宋体" w:hAnsi="宋体" w:cs="宋体" w:eastAsia="宋体" w:hint="default"/>
          <w:sz w:val="16"/>
          <w:szCs w:val="16"/>
        </w:rPr>
      </w:pPr>
    </w:p>
    <w:p>
      <w:pPr>
        <w:pStyle w:val="BodyText"/>
        <w:spacing w:line="451" w:lineRule="auto"/>
        <w:ind w:left="1247" w:right="112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2015</w:t>
      </w:r>
      <w:r>
        <w:rPr/>
        <w:t>年第四次临时股东大会审议通过了《关于修改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的议案》，因根据公司《</w:t>
      </w:r>
      <w:r>
        <w:rPr>
          <w:rFonts w:ascii="Times New Roman" w:hAnsi="Times New Roman" w:cs="Times New Roman" w:eastAsia="Times New Roman" w:hint="default"/>
        </w:rPr>
        <w:t>2014</w:t>
      </w:r>
      <w:r>
        <w:rPr/>
        <w:t>年 度利润分配及转增股本预案》，以公司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1,327,841,494</w:t>
      </w:r>
      <w:r>
        <w:rPr/>
        <w:t>为基数，以资本公积金向全体股东每</w:t>
      </w:r>
      <w:r>
        <w:rPr>
          <w:rFonts w:ascii="Times New Roman" w:hAnsi="Times New Roman" w:cs="Times New Roman" w:eastAsia="Times New Roman" w:hint="default"/>
        </w:rPr>
        <w:t>10</w:t>
      </w:r>
      <w:r>
        <w:rPr/>
        <w:t>股转增</w:t>
      </w:r>
      <w:r>
        <w:rPr>
          <w:spacing w:val="18"/>
        </w:rPr>
        <w:t> </w:t>
      </w:r>
      <w:r>
        <w:rPr>
          <w:rFonts w:ascii="Times New Roman" w:hAnsi="Times New Roman" w:cs="Times New Roman" w:eastAsia="Times New Roman" w:hint="default"/>
        </w:rPr>
        <w:t>5.020004</w:t>
      </w:r>
      <w:r>
        <w:rPr/>
        <w:t>股，以及因公司股权激励计划之股票期权行权而增加股份数、因李毅等承诺人应补偿的股份由上市公司注销减少</w:t>
      </w:r>
      <w:r>
        <w:rPr>
          <w:spacing w:val="-69"/>
        </w:rPr>
        <w:t> </w:t>
      </w:r>
      <w:r>
        <w:rPr>
          <w:spacing w:val="-69"/>
        </w:rPr>
      </w:r>
      <w:r>
        <w:rPr/>
        <w:t>股份数等原因，公司股份总数由</w:t>
      </w:r>
      <w:r>
        <w:rPr>
          <w:rFonts w:ascii="Times New Roman" w:hAnsi="Times New Roman" w:cs="Times New Roman" w:eastAsia="Times New Roman" w:hint="default"/>
        </w:rPr>
        <w:t>1,323,268,087</w:t>
      </w:r>
      <w:r>
        <w:rPr/>
        <w:t>股变更为</w:t>
      </w:r>
      <w:r>
        <w:rPr>
          <w:rFonts w:ascii="Times New Roman" w:hAnsi="Times New Roman" w:cs="Times New Roman" w:eastAsia="Times New Roman" w:hint="default"/>
        </w:rPr>
        <w:t>1,986,470,666</w:t>
      </w:r>
      <w:r>
        <w:rPr/>
        <w:t>股，注册资本由人民币</w:t>
      </w:r>
      <w:r>
        <w:rPr>
          <w:rFonts w:ascii="Times New Roman" w:hAnsi="Times New Roman" w:cs="Times New Roman" w:eastAsia="Times New Roman" w:hint="default"/>
        </w:rPr>
        <w:t>1,323,268,087.00</w:t>
      </w:r>
      <w:r>
        <w:rPr/>
        <w:t>元变更为人民</w:t>
      </w:r>
      <w:r>
        <w:rPr>
          <w:spacing w:val="-34"/>
        </w:rPr>
        <w:t> </w:t>
      </w:r>
      <w:r>
        <w:rPr>
          <w:spacing w:val="-34"/>
        </w:rPr>
      </w:r>
      <w:r>
        <w:rPr/>
        <w:t>币</w:t>
      </w:r>
      <w:r>
        <w:rPr>
          <w:rFonts w:ascii="Times New Roman" w:hAnsi="Times New Roman" w:cs="Times New Roman" w:eastAsia="Times New Roman" w:hint="default"/>
        </w:rPr>
        <w:t>1,986,470,666.00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日，由北京市工商行政管理局换发企业法人营业执照，注册号</w:t>
      </w:r>
      <w:r>
        <w:rPr>
          <w:rFonts w:ascii="Times New Roman" w:hAnsi="Times New Roman" w:cs="Times New Roman" w:eastAsia="Times New Roman" w:hint="default"/>
        </w:rPr>
        <w:t>110000002700930</w:t>
      </w:r>
      <w:r>
        <w:rPr/>
        <w:t>。</w:t>
      </w:r>
    </w:p>
    <w:p>
      <w:pPr>
        <w:pStyle w:val="BodyText"/>
        <w:spacing w:line="451" w:lineRule="auto" w:before="43"/>
        <w:ind w:left="1251" w:right="1111" w:firstLine="360"/>
        <w:jc w:val="both"/>
      </w:pPr>
      <w:r>
        <w:rPr/>
        <w:t>报告期内公司股权激励计划第三个行权期行权条件已满足，第三个行权期为自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日起至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 </w:t>
      </w:r>
      <w:r>
        <w:rPr/>
        <w:t>日止， </w:t>
      </w:r>
      <w:r>
        <w:rPr>
          <w:spacing w:val="-2"/>
        </w:rPr>
        <w:t>可行权数量共计</w:t>
      </w:r>
      <w:r>
        <w:rPr>
          <w:rFonts w:ascii="Times New Roman" w:hAnsi="Times New Roman" w:cs="Times New Roman" w:eastAsia="Times New Roman" w:hint="default"/>
          <w:spacing w:val="-2"/>
        </w:rPr>
        <w:t>9,988,180</w:t>
      </w:r>
      <w:r>
        <w:rPr>
          <w:spacing w:val="-2"/>
        </w:rPr>
        <w:t>份。截止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日第二、三个行权期已自主行权累计增加股本的数量为</w:t>
      </w:r>
      <w:r>
        <w:rPr>
          <w:rFonts w:ascii="Times New Roman" w:hAnsi="Times New Roman" w:cs="Times New Roman" w:eastAsia="Times New Roman" w:hint="default"/>
          <w:spacing w:val="-2"/>
        </w:rPr>
        <w:t>8,009,260.00</w:t>
      </w:r>
      <w:r>
        <w:rPr>
          <w:spacing w:val="-2"/>
        </w:rPr>
        <w:t>股，公</w:t>
      </w:r>
      <w:r>
        <w:rPr>
          <w:spacing w:val="-24"/>
        </w:rPr>
        <w:t> </w:t>
      </w:r>
      <w:r>
        <w:rPr>
          <w:spacing w:val="-24"/>
        </w:rPr>
      </w:r>
      <w:r>
        <w:rPr/>
        <w:t>司股本增至</w:t>
      </w:r>
      <w:r>
        <w:rPr>
          <w:rFonts w:ascii="Times New Roman" w:hAnsi="Times New Roman" w:cs="Times New Roman" w:eastAsia="Times New Roman" w:hint="default"/>
        </w:rPr>
        <w:t>1,994,479,926.00</w:t>
      </w:r>
      <w:r>
        <w:rPr/>
        <w:t>股。</w:t>
      </w:r>
    </w:p>
    <w:p>
      <w:pPr>
        <w:pStyle w:val="BodyText"/>
        <w:spacing w:line="477" w:lineRule="auto" w:before="44"/>
        <w:ind w:left="1608" w:right="0"/>
        <w:jc w:val="left"/>
      </w:pPr>
      <w:r>
        <w:rPr/>
        <w:t>本公司所处行业：计算机应用服务业。 </w:t>
      </w:r>
      <w:r>
        <w:rPr>
          <w:spacing w:val="-1"/>
        </w:rPr>
        <w:t>公司经营范围：计算机网络综合管理及网络系统集成、通讯设备技术开发、技术服务、技术转让、技术培训；电子信</w:t>
      </w:r>
    </w:p>
    <w:p>
      <w:pPr>
        <w:pStyle w:val="BodyText"/>
        <w:spacing w:line="240" w:lineRule="auto" w:before="54"/>
        <w:ind w:left="1248" w:right="0"/>
        <w:jc w:val="both"/>
      </w:pPr>
      <w:r>
        <w:rPr/>
        <w:t>息技术咨询（中介除外）；委托生产通讯设备；销售计算机网络软硬件产品、通讯设备；电子信息技术系统工程设计；通</w:t>
      </w:r>
    </w:p>
    <w:p>
      <w:pPr>
        <w:spacing w:after="0" w:line="240" w:lineRule="auto"/>
        <w:jc w:val="both"/>
        <w:sectPr>
          <w:pgSz w:w="11910" w:h="16840"/>
          <w:pgMar w:header="851" w:footer="979" w:top="1380" w:bottom="1160" w:left="0" w:right="0"/>
        </w:sectPr>
      </w:pPr>
    </w:p>
    <w:p>
      <w:pPr>
        <w:pStyle w:val="BodyText"/>
        <w:spacing w:line="477" w:lineRule="auto" w:before="141"/>
        <w:ind w:left="1247" w:right="1118"/>
        <w:jc w:val="left"/>
      </w:pPr>
      <w:r>
        <w:rPr>
          <w:spacing w:val="-1"/>
        </w:rPr>
        <w:t>讯设备售后服务；技术进出口、代理进出口、货物进出口。（依法须经批准的项目，经相关部门批准后依批准的内容开展</w:t>
      </w:r>
      <w:r>
        <w:rPr>
          <w:spacing w:val="-54"/>
        </w:rPr>
        <w:t> </w:t>
      </w:r>
      <w:r>
        <w:rPr>
          <w:spacing w:val="-54"/>
        </w:rPr>
      </w:r>
      <w:r>
        <w:rPr/>
        <w:t>经营活动。）</w:t>
      </w:r>
    </w:p>
    <w:p>
      <w:pPr>
        <w:pStyle w:val="BodyText"/>
        <w:spacing w:line="463" w:lineRule="auto" w:before="54"/>
        <w:ind w:left="1247" w:right="1132" w:firstLine="360"/>
        <w:jc w:val="both"/>
      </w:pPr>
      <w:r>
        <w:rPr/>
        <w:t>公司的主营业务包括四大核心业务板块，包括：</w:t>
      </w:r>
      <w:r>
        <w:rPr>
          <w:rFonts w:ascii="Times New Roman" w:hAnsi="Times New Roman" w:cs="Times New Roman" w:eastAsia="Times New Roman" w:hint="default"/>
        </w:rPr>
        <w:t>ICT</w:t>
      </w:r>
      <w:r>
        <w:rPr/>
        <w:t>领域运营管理软件研发和服务（简称</w:t>
      </w:r>
      <w:r>
        <w:rPr>
          <w:rFonts w:ascii="Times New Roman" w:hAnsi="Times New Roman" w:cs="Times New Roman" w:eastAsia="Times New Roman" w:hint="default"/>
        </w:rPr>
        <w:t>“</w:t>
      </w:r>
      <w:r>
        <w:rPr/>
        <w:t>运营管理板块</w:t>
      </w:r>
      <w:r>
        <w:rPr>
          <w:rFonts w:ascii="Times New Roman" w:hAnsi="Times New Roman" w:cs="Times New Roman" w:eastAsia="Times New Roman" w:hint="default"/>
        </w:rPr>
        <w:t>”</w:t>
      </w:r>
      <w:r>
        <w:rPr/>
        <w:t>）、手机游 </w:t>
      </w:r>
      <w:r>
        <w:rPr>
          <w:spacing w:val="-1"/>
        </w:rPr>
        <w:t>戏板块、物联网技术应用、创新板块（包括职业教育、大数据、电子商务、互联网金融、视频秀业务），形成信息技术领</w:t>
      </w:r>
      <w:r>
        <w:rPr>
          <w:spacing w:val="-66"/>
        </w:rPr>
        <w:t> </w:t>
      </w:r>
      <w:r>
        <w:rPr>
          <w:spacing w:val="-66"/>
        </w:rPr>
      </w:r>
      <w:r>
        <w:rPr/>
        <w:t>域内相关多元化发展格局。</w:t>
      </w:r>
    </w:p>
    <w:p>
      <w:pPr>
        <w:pStyle w:val="BodyText"/>
        <w:spacing w:line="460" w:lineRule="auto" w:before="65"/>
        <w:ind w:left="1493" w:right="4363"/>
        <w:jc w:val="left"/>
      </w:pPr>
      <w:r>
        <w:rPr/>
        <w:pict>
          <v:shape style="position:absolute;margin-left:55.98pt;margin-top:139.161697pt;width:483.7pt;height:426.6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94"/>
                    <w:gridCol w:w="4665"/>
                  </w:tblGrid>
                  <w:tr>
                    <w:trPr>
                      <w:trHeight w:val="342" w:hRule="exact"/>
                    </w:trPr>
                    <w:tc>
                      <w:tcPr>
                        <w:tcW w:w="4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4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重庆新媒亿网科技有限公司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重庆新迈峰科技有限公司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北京神州泰岳信息安全技术有限公司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北京神州泰岳系统集成有限公司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北京神州泰岳教育科技有限公司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北京融聚世界网络科技有限公司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宁波普天通信技术有限公司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宁波移畅通信设备有限公司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宁波金信通信技术有限公司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宁波普天通信技术（香港）有限公司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宁波普金通信设备有限公司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宁波神州泰岳锐智信息科技有限公司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宁波高新区捷远科技有限公司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奇点新源国际技术开发（北京）有限公司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Bridge Minds Consulting Pte</w:t>
                        </w:r>
                        <w:r>
                          <w:rPr>
                            <w:rFonts w:ascii="Times New Roman"/>
                            <w:spacing w:val="-5"/>
                            <w:sz w:val="18"/>
                          </w:rPr>
                          <w:t> </w:t>
                        </w:r>
                        <w:r>
                          <w:rPr>
                            <w:rFonts w:ascii="Times New Roman"/>
                            <w:sz w:val="18"/>
                          </w:rPr>
                          <w:t>Ltd</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654"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1"/>
                          <w:ind w:left="4" w:right="484"/>
                          <w:jc w:val="left"/>
                          <w:rPr>
                            <w:rFonts w:ascii="Times New Roman" w:hAnsi="Times New Roman" w:cs="Times New Roman" w:eastAsia="Times New Roman" w:hint="default"/>
                            <w:sz w:val="18"/>
                            <w:szCs w:val="18"/>
                          </w:rPr>
                        </w:pPr>
                        <w:r>
                          <w:rPr>
                            <w:rFonts w:ascii="Times New Roman"/>
                            <w:sz w:val="18"/>
                          </w:rPr>
                          <w:t>RED TRUST SOFTWARE AND SERVICE</w:t>
                        </w:r>
                        <w:r>
                          <w:rPr>
                            <w:rFonts w:ascii="Times New Roman"/>
                            <w:spacing w:val="-7"/>
                            <w:sz w:val="18"/>
                          </w:rPr>
                          <w:t> </w:t>
                        </w:r>
                        <w:r>
                          <w:rPr>
                            <w:rFonts w:ascii="Times New Roman"/>
                            <w:sz w:val="18"/>
                          </w:rPr>
                          <w:t>TECHNOLOGY</w:t>
                        </w:r>
                        <w:r>
                          <w:rPr>
                            <w:rFonts w:ascii="Times New Roman"/>
                            <w:w w:val="99"/>
                            <w:sz w:val="18"/>
                          </w:rPr>
                          <w:t> </w:t>
                        </w:r>
                        <w:r>
                          <w:rPr>
                            <w:rFonts w:ascii="Times New Roman"/>
                            <w:sz w:val="18"/>
                          </w:rPr>
                          <w:t>COMPANY</w:t>
                        </w:r>
                        <w:r>
                          <w:rPr>
                            <w:rFonts w:ascii="Times New Roman"/>
                            <w:spacing w:val="-2"/>
                            <w:sz w:val="18"/>
                          </w:rPr>
                          <w:t> </w:t>
                        </w:r>
                        <w:r>
                          <w:rPr>
                            <w:rFonts w:ascii="Times New Roman"/>
                            <w:sz w:val="18"/>
                          </w:rPr>
                          <w:t>LIMITED</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四级</w:t>
                        </w:r>
                      </w:p>
                    </w:tc>
                  </w:tr>
                  <w:tr>
                    <w:trPr>
                      <w:trHeight w:val="343"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ultrapower software MEA</w:t>
                        </w:r>
                        <w:r>
                          <w:rPr>
                            <w:rFonts w:ascii="Times New Roman"/>
                            <w:spacing w:val="-2"/>
                            <w:sz w:val="18"/>
                          </w:rPr>
                          <w:t> </w:t>
                        </w:r>
                        <w:r>
                          <w:rPr>
                            <w:rFonts w:ascii="Times New Roman"/>
                            <w:sz w:val="18"/>
                          </w:rPr>
                          <w:t>FZ-LLC</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四级</w:t>
                        </w:r>
                      </w:p>
                    </w:tc>
                  </w:tr>
                </w:tbl>
                <w:p>
                  <w:pPr/>
                </w:p>
              </w:txbxContent>
            </v:textbox>
            <w10:wrap type="none"/>
          </v:shape>
        </w:pict>
      </w:r>
      <w:r>
        <w:rPr/>
        <w:t>公司法定代表人：王宁。 公司注册地址：北京市海淀区万泉庄路</w:t>
      </w:r>
      <w:r>
        <w:rPr>
          <w:rFonts w:ascii="Times New Roman" w:hAnsi="Times New Roman" w:cs="Times New Roman" w:eastAsia="Times New Roman" w:hint="default"/>
        </w:rPr>
        <w:t>28</w:t>
      </w:r>
      <w:r>
        <w:rPr/>
        <w:t>号万柳新贵大厦</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6</w:t>
      </w:r>
      <w:r>
        <w:rPr/>
        <w:t>层</w:t>
      </w:r>
      <w:r>
        <w:rPr>
          <w:rFonts w:ascii="Times New Roman" w:hAnsi="Times New Roman" w:cs="Times New Roman" w:eastAsia="Times New Roman" w:hint="default"/>
        </w:rPr>
        <w:t>601</w:t>
      </w:r>
      <w:r>
        <w:rPr/>
        <w:t>室。 公司主要办公地址：北京市朝阳区北苑路甲</w:t>
      </w:r>
      <w:r>
        <w:rPr>
          <w:rFonts w:ascii="Times New Roman" w:hAnsi="Times New Roman" w:cs="Times New Roman" w:eastAsia="Times New Roman" w:hint="default"/>
        </w:rPr>
        <w:t>13</w:t>
      </w:r>
      <w:r>
        <w:rPr/>
        <w:t>号院</w:t>
      </w:r>
      <w:r>
        <w:rPr>
          <w:rFonts w:ascii="Times New Roman" w:hAnsi="Times New Roman" w:cs="Times New Roman" w:eastAsia="Times New Roman" w:hint="default"/>
        </w:rPr>
        <w:t>1</w:t>
      </w:r>
      <w:r>
        <w:rPr/>
        <w:t>号楼北辰泰岳大厦</w:t>
      </w:r>
      <w:r>
        <w:rPr>
          <w:rFonts w:ascii="Times New Roman" w:hAnsi="Times New Roman" w:cs="Times New Roman" w:eastAsia="Times New Roman" w:hint="default"/>
        </w:rPr>
        <w:t>22</w:t>
      </w:r>
      <w:r>
        <w:rPr/>
        <w:t>层。 本公司的实际控制人为王宁、李力。 本财务报表业经公司全体董事于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日批准报出。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日止，本公司合并财务报表范围内公司如下：</w:t>
      </w:r>
    </w:p>
    <w:p>
      <w:pPr>
        <w:spacing w:after="0" w:line="460" w:lineRule="auto"/>
        <w:jc w:val="left"/>
        <w:sectPr>
          <w:pgSz w:w="11910" w:h="16840"/>
          <w:pgMar w:header="851" w:footer="979" w:top="1380" w:bottom="1160" w:left="0" w:right="0"/>
        </w:sectPr>
      </w:pPr>
    </w:p>
    <w:tbl>
      <w:tblPr>
        <w:tblW w:w="0" w:type="auto"/>
        <w:jc w:val="left"/>
        <w:tblInd w:w="1119" w:type="dxa"/>
        <w:tblLayout w:type="fixed"/>
        <w:tblCellMar>
          <w:top w:w="0" w:type="dxa"/>
          <w:left w:w="0" w:type="dxa"/>
          <w:bottom w:w="0" w:type="dxa"/>
          <w:right w:w="0" w:type="dxa"/>
        </w:tblCellMar>
        <w:tblLook w:val="01E0"/>
      </w:tblPr>
      <w:tblGrid>
        <w:gridCol w:w="4994"/>
        <w:gridCol w:w="4665"/>
      </w:tblGrid>
      <w:tr>
        <w:trPr>
          <w:trHeight w:val="354" w:hRule="exact"/>
        </w:trPr>
        <w:tc>
          <w:tcPr>
            <w:tcW w:w="49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Ultrapower 360 PTE</w:t>
            </w:r>
            <w:r>
              <w:rPr>
                <w:rFonts w:ascii="Times New Roman"/>
                <w:spacing w:val="-5"/>
                <w:sz w:val="18"/>
              </w:rPr>
              <w:t> </w:t>
            </w:r>
            <w:r>
              <w:rPr>
                <w:rFonts w:ascii="Times New Roman"/>
                <w:sz w:val="18"/>
              </w:rPr>
              <w:t>LTD</w:t>
            </w:r>
          </w:p>
        </w:tc>
        <w:tc>
          <w:tcPr>
            <w:tcW w:w="46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四级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Uqsoft (Thailand) Co.</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Ltd.</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UQSOFT (RUSSIA)</w:t>
            </w:r>
            <w:r>
              <w:rPr>
                <w:rFonts w:ascii="Times New Roman"/>
                <w:spacing w:val="-1"/>
                <w:sz w:val="18"/>
              </w:rPr>
              <w:t> </w:t>
            </w:r>
            <w:r>
              <w:rPr>
                <w:rFonts w:ascii="Times New Roman"/>
                <w:sz w:val="18"/>
              </w:rPr>
              <w:t>CO.</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五级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神州泰奇软件（新加坡）有限公司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Uqsoft (Hong Kong)</w:t>
            </w:r>
            <w:r>
              <w:rPr>
                <w:rFonts w:ascii="Times New Roman"/>
                <w:spacing w:val="-3"/>
                <w:sz w:val="18"/>
              </w:rPr>
              <w:t> </w:t>
            </w:r>
            <w:r>
              <w:rPr>
                <w:rFonts w:ascii="Times New Roman"/>
                <w:sz w:val="18"/>
              </w:rPr>
              <w:t>Limited</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五级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北京泰岳智桥信息技术有限公司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四级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北京裂变科技有限公司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五级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北京左岸风暴科技有限公司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五级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北京神州泰奇互动科技有限公司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五级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UQSOFT YUHAN</w:t>
            </w:r>
            <w:r>
              <w:rPr>
                <w:rFonts w:ascii="Times New Roman"/>
                <w:spacing w:val="-5"/>
                <w:sz w:val="18"/>
              </w:rPr>
              <w:t> </w:t>
            </w:r>
            <w:r>
              <w:rPr>
                <w:rFonts w:ascii="Times New Roman"/>
                <w:sz w:val="18"/>
              </w:rPr>
              <w:t>HOESA</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五级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北京壳木软件有限责任公司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LIMITED</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四级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北京骆骆软件科技有限责任公司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四级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霍尔果斯小小橙软件开发有限责任公司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四级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INC.</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五级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LTD.</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五级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天津安纳西科技有限公司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四级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北京安纳西科技有限公司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五级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北京安纳西互娱科技有限公司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六级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霍尔果斯于艺网络科技有限公司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六级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天津泰岳小漫科技有限公司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1"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泰岳小漫（香港）有限公司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北京广通神州网络技术有限公司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广州短讯神州网络技术有限公司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苏州短讯神州网络技术有限公司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北京神州祥升软件有限公司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二级</w:t>
            </w:r>
          </w:p>
        </w:tc>
      </w:tr>
      <w:tr>
        <w:trPr>
          <w:trHeight w:val="342"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北京浩宇纵横科技有限公司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三级</w:t>
            </w:r>
          </w:p>
        </w:tc>
      </w:tr>
      <w:tr>
        <w:trPr>
          <w:trHeight w:val="343" w:hRule="exact"/>
        </w:trPr>
        <w:tc>
          <w:tcPr>
            <w:tcW w:w="4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北京觉莲软件有限公司</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三级</w:t>
            </w:r>
          </w:p>
        </w:tc>
      </w:tr>
    </w:tbl>
    <w:p>
      <w:pPr>
        <w:pStyle w:val="BodyText"/>
        <w:spacing w:line="240" w:lineRule="auto" w:before="83"/>
        <w:ind w:left="1494"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Heading2"/>
        <w:spacing w:line="240" w:lineRule="auto" w:before="158"/>
        <w:ind w:left="1133" w:right="0"/>
        <w:jc w:val="left"/>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130"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7"/>
        </w:rPr>
        <w:t> </w:t>
      </w:r>
      <w:r>
        <w:rPr>
          <w:spacing w:val="-47"/>
        </w:rPr>
      </w:r>
      <w:r>
        <w:rPr/>
        <w:t>委员会《公开发行证券的公司信息披露编报规则第</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财务报告的一般规定》的披露规定编制财务报表。</w:t>
      </w:r>
    </w:p>
    <w:p>
      <w:pPr>
        <w:spacing w:after="0" w:line="451" w:lineRule="auto"/>
        <w:jc w:val="both"/>
        <w:sectPr>
          <w:pgSz w:w="11910" w:h="16840"/>
          <w:pgMar w:header="851" w:footer="979" w:top="142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2、持续经营" w:id="162"/>
      <w:bookmarkEnd w:id="16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3"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pStyle w:val="Heading2"/>
        <w:spacing w:line="240" w:lineRule="auto" w:before="158"/>
        <w:ind w:left="1133" w:right="0"/>
        <w:jc w:val="left"/>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493" w:right="3553"/>
        <w:jc w:val="left"/>
      </w:pPr>
      <w:r>
        <w:rPr/>
        <w:t>具体会计政策和会计估计提示： 以下披露内容已涵盖了本公司根据实际生产经营特点制定的具体会计政策和会计估计。</w:t>
      </w:r>
    </w:p>
    <w:p>
      <w:pPr>
        <w:spacing w:line="240" w:lineRule="auto" w:before="3"/>
        <w:rPr>
          <w:rFonts w:ascii="宋体" w:hAnsi="宋体" w:cs="宋体" w:eastAsia="宋体" w:hint="default"/>
          <w:sz w:val="19"/>
          <w:szCs w:val="19"/>
        </w:rPr>
      </w:pPr>
    </w:p>
    <w:p>
      <w:pPr>
        <w:pStyle w:val="Heading3"/>
        <w:spacing w:line="240" w:lineRule="auto"/>
        <w:ind w:left="1133" w:right="0"/>
        <w:jc w:val="left"/>
        <w:rPr>
          <w:b w:val="0"/>
          <w:bCs w:val="0"/>
        </w:rPr>
      </w:pPr>
      <w:bookmarkStart w:name="1、遵循企业会计准则的声明" w:id="164"/>
      <w:bookmarkEnd w:id="16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18"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3"/>
        <w:rPr>
          <w:rFonts w:ascii="宋体" w:hAnsi="宋体" w:cs="宋体" w:eastAsia="宋体" w:hint="default"/>
          <w:sz w:val="19"/>
          <w:szCs w:val="19"/>
        </w:rPr>
      </w:pPr>
    </w:p>
    <w:p>
      <w:pPr>
        <w:pStyle w:val="Heading3"/>
        <w:spacing w:line="240" w:lineRule="auto"/>
        <w:ind w:left="1133" w:right="0"/>
        <w:jc w:val="left"/>
        <w:rPr>
          <w:b w:val="0"/>
          <w:bCs w:val="0"/>
        </w:rPr>
      </w:pPr>
      <w:bookmarkStart w:name="2、会计期间" w:id="165"/>
      <w:bookmarkEnd w:id="16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3、营业周期" w:id="166"/>
      <w:bookmarkEnd w:id="16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4" w:right="0"/>
        <w:jc w:val="left"/>
      </w:pPr>
      <w:r>
        <w:rPr/>
        <w:t>本公司营业周期为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4、记账本位币" w:id="167"/>
      <w:bookmarkEnd w:id="16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4" w:right="0"/>
        <w:jc w:val="left"/>
      </w:pPr>
      <w:r>
        <w:rPr>
          <w:rFonts w:ascii="Times New Roman" w:hAnsi="Times New Roman" w:cs="Times New Roman" w:eastAsia="Times New Roman" w:hint="default"/>
        </w:rPr>
        <w:t>1</w:t>
      </w:r>
      <w:r>
        <w:rPr/>
        <w:t>、母公司采用人民币为记账本位币。</w:t>
      </w:r>
    </w:p>
    <w:p>
      <w:pPr>
        <w:spacing w:line="240" w:lineRule="auto" w:before="9"/>
        <w:rPr>
          <w:rFonts w:ascii="宋体" w:hAnsi="宋体" w:cs="宋体" w:eastAsia="宋体" w:hint="default"/>
          <w:sz w:val="16"/>
          <w:szCs w:val="16"/>
        </w:rPr>
      </w:pPr>
    </w:p>
    <w:p>
      <w:pPr>
        <w:pStyle w:val="BodyText"/>
        <w:spacing w:line="240" w:lineRule="auto"/>
        <w:ind w:left="1494" w:right="0"/>
        <w:jc w:val="left"/>
      </w:pPr>
      <w:r>
        <w:rPr>
          <w:rFonts w:ascii="Times New Roman" w:hAnsi="Times New Roman" w:cs="Times New Roman" w:eastAsia="Times New Roman" w:hint="default"/>
        </w:rPr>
        <w:t>2</w:t>
      </w:r>
      <w:r>
        <w:rPr/>
        <w:t>、以下公司记账本位币如下：</w:t>
      </w:r>
    </w:p>
    <w:p>
      <w:pPr>
        <w:spacing w:line="240" w:lineRule="auto" w:before="12"/>
        <w:rPr>
          <w:rFonts w:ascii="宋体" w:hAnsi="宋体" w:cs="宋体" w:eastAsia="宋体" w:hint="default"/>
          <w:sz w:val="9"/>
          <w:szCs w:val="9"/>
        </w:rPr>
      </w:pPr>
    </w:p>
    <w:tbl>
      <w:tblPr>
        <w:tblW w:w="0" w:type="auto"/>
        <w:jc w:val="left"/>
        <w:tblInd w:w="1119" w:type="dxa"/>
        <w:tblLayout w:type="fixed"/>
        <w:tblCellMar>
          <w:top w:w="0" w:type="dxa"/>
          <w:left w:w="0" w:type="dxa"/>
          <w:bottom w:w="0" w:type="dxa"/>
          <w:right w:w="0" w:type="dxa"/>
        </w:tblCellMar>
        <w:tblLook w:val="01E0"/>
      </w:tblPr>
      <w:tblGrid>
        <w:gridCol w:w="6530"/>
        <w:gridCol w:w="1562"/>
        <w:gridCol w:w="1567"/>
      </w:tblGrid>
      <w:tr>
        <w:trPr>
          <w:trHeight w:val="342" w:hRule="exact"/>
        </w:trPr>
        <w:tc>
          <w:tcPr>
            <w:tcW w:w="6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Bridge Minds Consulting Pte</w:t>
            </w:r>
            <w:r>
              <w:rPr>
                <w:rFonts w:ascii="Times New Roman"/>
                <w:spacing w:val="-5"/>
                <w:sz w:val="18"/>
              </w:rPr>
              <w:t> </w:t>
            </w:r>
            <w:r>
              <w:rPr>
                <w:rFonts w:ascii="Times New Roman"/>
                <w:sz w:val="18"/>
              </w:rPr>
              <w:t>Ltd</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新加坡币</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ULTRAPOWER 360 PTE.</w:t>
            </w:r>
            <w:r>
              <w:rPr>
                <w:rFonts w:ascii="Times New Roman"/>
                <w:spacing w:val="-5"/>
                <w:sz w:val="18"/>
              </w:rPr>
              <w:t> </w:t>
            </w:r>
            <w:r>
              <w:rPr>
                <w:rFonts w:ascii="Times New Roman"/>
                <w:sz w:val="18"/>
              </w:rPr>
              <w:t>LTD.</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新加坡币</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INC.</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2"/>
                <w:sz w:val="18"/>
              </w:rPr>
              <w:t> </w:t>
            </w:r>
            <w:r>
              <w:rPr>
                <w:rFonts w:ascii="Times New Roman"/>
                <w:sz w:val="18"/>
              </w:rPr>
              <w:t>LTD.</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开曼群岛</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3"/>
                <w:sz w:val="18"/>
              </w:rPr>
              <w:t> </w:t>
            </w:r>
            <w:r>
              <w:rPr>
                <w:rFonts w:ascii="Times New Roman"/>
                <w:sz w:val="18"/>
              </w:rPr>
              <w:t>Limited</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宁波普天通信技术（香港）有限公司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RED TRUST SOFTWARE AND SERVICE TECHNOLOGY    COMPANY  </w:t>
            </w:r>
            <w:r>
              <w:rPr>
                <w:rFonts w:ascii="Times New Roman"/>
                <w:spacing w:val="36"/>
                <w:sz w:val="18"/>
              </w:rPr>
              <w:t> </w:t>
            </w:r>
            <w:r>
              <w:rPr>
                <w:rFonts w:ascii="Times New Roman"/>
                <w:sz w:val="18"/>
              </w:rPr>
              <w:t>LIMITED</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越南</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越南盾</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Ultrapower Netherlands</w:t>
            </w:r>
            <w:r>
              <w:rPr>
                <w:rFonts w:ascii="Times New Roman"/>
                <w:spacing w:val="-7"/>
                <w:sz w:val="18"/>
              </w:rPr>
              <w:t> </w:t>
            </w:r>
            <w:r>
              <w:rPr>
                <w:rFonts w:ascii="Times New Roman"/>
                <w:sz w:val="18"/>
              </w:rPr>
              <w:t>B.V.</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荷兰</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UQSOFT YUHAN</w:t>
            </w:r>
            <w:r>
              <w:rPr>
                <w:rFonts w:ascii="Times New Roman"/>
                <w:spacing w:val="-5"/>
                <w:sz w:val="18"/>
              </w:rPr>
              <w:t> </w:t>
            </w:r>
            <w:r>
              <w:rPr>
                <w:rFonts w:ascii="Times New Roman"/>
                <w:sz w:val="18"/>
              </w:rPr>
              <w:t>HOESA</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韩国</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韩元</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ultrapower software MEA</w:t>
            </w:r>
            <w:r>
              <w:rPr>
                <w:rFonts w:ascii="Times New Roman"/>
                <w:spacing w:val="-2"/>
                <w:sz w:val="18"/>
              </w:rPr>
              <w:t> </w:t>
            </w:r>
            <w:r>
              <w:rPr>
                <w:rFonts w:ascii="Times New Roman"/>
                <w:sz w:val="18"/>
              </w:rPr>
              <w:t>FZ-LLC</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阿联酋</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迪拉姆</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Uqsoft (Thailand) Co.</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Ltd.</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泰国</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泰铢</w:t>
            </w:r>
          </w:p>
        </w:tc>
      </w:tr>
    </w:tbl>
    <w:p>
      <w:pPr>
        <w:spacing w:after="0" w:line="240" w:lineRule="auto"/>
        <w:jc w:val="center"/>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tbl>
      <w:tblPr>
        <w:tblW w:w="0" w:type="auto"/>
        <w:jc w:val="left"/>
        <w:tblInd w:w="1119" w:type="dxa"/>
        <w:tblLayout w:type="fixed"/>
        <w:tblCellMar>
          <w:top w:w="0" w:type="dxa"/>
          <w:left w:w="0" w:type="dxa"/>
          <w:bottom w:w="0" w:type="dxa"/>
          <w:right w:w="0" w:type="dxa"/>
        </w:tblCellMar>
        <w:tblLook w:val="01E0"/>
      </w:tblPr>
      <w:tblGrid>
        <w:gridCol w:w="6530"/>
        <w:gridCol w:w="1562"/>
        <w:gridCol w:w="1567"/>
      </w:tblGrid>
      <w:tr>
        <w:trPr>
          <w:trHeight w:val="349" w:hRule="exact"/>
        </w:trPr>
        <w:tc>
          <w:tcPr>
            <w:tcW w:w="653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神州泰奇软件（新加坡）有限公司</w:t>
            </w:r>
          </w:p>
        </w:tc>
        <w:tc>
          <w:tcPr>
            <w:tcW w:w="15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15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新加坡币</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Uqsoft (Hong Kong)</w:t>
            </w:r>
            <w:r>
              <w:rPr>
                <w:rFonts w:ascii="Times New Roman"/>
                <w:spacing w:val="-3"/>
                <w:sz w:val="18"/>
              </w:rPr>
              <w:t> </w:t>
            </w:r>
            <w:r>
              <w:rPr>
                <w:rFonts w:ascii="Times New Roman"/>
                <w:sz w:val="18"/>
              </w:rPr>
              <w:t>Limited</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泰岳小漫（香港）有限公司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UQ soft (Singapore) Pte.Ltd - Taiwan</w:t>
            </w:r>
            <w:r>
              <w:rPr>
                <w:rFonts w:ascii="Times New Roman"/>
                <w:spacing w:val="-5"/>
                <w:sz w:val="18"/>
              </w:rPr>
              <w:t> </w:t>
            </w:r>
            <w:r>
              <w:rPr>
                <w:rFonts w:ascii="Times New Roman"/>
                <w:sz w:val="18"/>
              </w:rPr>
              <w:t>Branch</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台湾</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新台币</w:t>
            </w:r>
          </w:p>
        </w:tc>
      </w:tr>
      <w:tr>
        <w:trPr>
          <w:trHeight w:val="342" w:hRule="exact"/>
        </w:trPr>
        <w:tc>
          <w:tcPr>
            <w:tcW w:w="6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UQSOFT (RUSSIA)</w:t>
            </w:r>
            <w:r>
              <w:rPr>
                <w:rFonts w:ascii="Times New Roman"/>
                <w:spacing w:val="-1"/>
                <w:sz w:val="18"/>
              </w:rPr>
              <w:t> </w:t>
            </w:r>
            <w:r>
              <w:rPr>
                <w:rFonts w:ascii="Times New Roman"/>
                <w:sz w:val="18"/>
              </w:rPr>
              <w:t>CO.</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俄罗斯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卢布</w:t>
            </w:r>
          </w:p>
        </w:tc>
      </w:tr>
    </w:tbl>
    <w:p>
      <w:pPr>
        <w:pStyle w:val="BodyText"/>
        <w:spacing w:line="240" w:lineRule="auto" w:before="88"/>
        <w:ind w:left="1584" w:right="0"/>
        <w:jc w:val="left"/>
      </w:pPr>
      <w:r>
        <w:rPr>
          <w:rFonts w:ascii="Times New Roman" w:hAnsi="Times New Roman" w:cs="Times New Roman" w:eastAsia="Times New Roman" w:hint="default"/>
        </w:rPr>
        <w:t>3</w:t>
      </w:r>
      <w:r>
        <w:rPr/>
        <w:t>、除上述公司外，其余公司均采用人民币为记账本位币。</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0"/>
        <w:jc w:val="left"/>
        <w:rPr>
          <w:b w:val="0"/>
          <w:bCs w:val="0"/>
        </w:rPr>
      </w:pPr>
      <w:bookmarkStart w:name="5、同一控制下和非同一控制下企业合并的会计处理方法" w:id="168"/>
      <w:bookmarkEnd w:id="16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1131"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pStyle w:val="BodyText"/>
        <w:spacing w:line="477" w:lineRule="auto" w:before="54"/>
        <w:ind w:left="1134" w:right="0"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477" w:lineRule="auto" w:before="54"/>
        <w:ind w:right="0"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3"/>
        <w:rPr>
          <w:rFonts w:ascii="宋体" w:hAnsi="宋体" w:cs="宋体" w:eastAsia="宋体" w:hint="default"/>
          <w:sz w:val="19"/>
          <w:szCs w:val="19"/>
        </w:rPr>
      </w:pPr>
    </w:p>
    <w:p>
      <w:pPr>
        <w:pStyle w:val="Heading3"/>
        <w:spacing w:line="240" w:lineRule="auto"/>
        <w:ind w:left="1133" w:right="0"/>
        <w:jc w:val="left"/>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56" w:right="0"/>
        <w:jc w:val="left"/>
        <w:rPr>
          <w:b w:val="0"/>
          <w:bCs w:val="0"/>
        </w:rPr>
      </w:pPr>
      <w:r>
        <w:rPr>
          <w:rFonts w:ascii="宋体" w:hAnsi="宋体" w:cs="宋体" w:eastAsia="宋体" w:hint="default"/>
        </w:rPr>
        <w:t>1.</w:t>
      </w:r>
      <w:r>
        <w:rPr/>
        <w:t>合并范围</w:t>
      </w:r>
      <w:r>
        <w:rPr>
          <w:b w:val="0"/>
          <w:bCs w:val="0"/>
        </w:rPr>
      </w:r>
    </w:p>
    <w:p>
      <w:pPr>
        <w:pStyle w:val="BodyText"/>
        <w:spacing w:line="477" w:lineRule="auto" w:before="140"/>
        <w:ind w:right="0" w:firstLine="360"/>
        <w:jc w:val="left"/>
      </w:pPr>
      <w:r>
        <w:rPr>
          <w:spacing w:val="-2"/>
        </w:rPr>
        <w:t>本公司合并财务报表的合并范围以控制为基础确定，所有子公司（包括本公司所控制的被投资方可分割的部分）均纳入</w:t>
      </w:r>
      <w:r>
        <w:rPr/>
        <w:t> 合并财务报表。</w:t>
      </w:r>
    </w:p>
    <w:p>
      <w:pPr>
        <w:pStyle w:val="Heading3"/>
        <w:spacing w:line="242" w:lineRule="exact"/>
        <w:ind w:left="1556" w:right="0"/>
        <w:jc w:val="left"/>
        <w:rPr>
          <w:b w:val="0"/>
          <w:bCs w:val="0"/>
        </w:rPr>
      </w:pPr>
      <w:r>
        <w:rPr>
          <w:rFonts w:ascii="Times New Roman" w:hAnsi="Times New Roman" w:cs="Times New Roman" w:eastAsia="Times New Roman" w:hint="default"/>
        </w:rPr>
        <w:t>2.</w:t>
      </w:r>
      <w:r>
        <w:rPr/>
        <w:t>合并程序</w:t>
      </w:r>
      <w:r>
        <w:rPr>
          <w:b w:val="0"/>
          <w:bCs w:val="0"/>
        </w:rPr>
      </w:r>
    </w:p>
    <w:p>
      <w:pPr>
        <w:pStyle w:val="BodyText"/>
        <w:spacing w:line="477" w:lineRule="auto" w:before="124"/>
        <w:ind w:right="1131"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477" w:lineRule="auto" w:before="54"/>
        <w:ind w:left="1134" w:right="1040"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6"/>
        </w:rPr>
        <w:t> </w:t>
      </w:r>
      <w:r>
        <w:rPr>
          <w:spacing w:val="-66"/>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240" w:lineRule="auto" w:before="54"/>
        <w:ind w:left="1494" w:right="0"/>
        <w:jc w:val="left"/>
      </w:pPr>
      <w:r>
        <w:rPr/>
        <w:t>子公司所有者权益、当期净损益和当期综合收益中属于少数股东的份额分别在合并资产负债表中所有者权益项目下、合</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77" w:lineRule="auto" w:before="83"/>
        <w:ind w:right="0"/>
        <w:jc w:val="left"/>
      </w:pP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451" w:lineRule="auto" w:before="54"/>
        <w:ind w:left="1494" w:right="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477" w:lineRule="auto" w:before="74"/>
        <w:ind w:left="1134" w:right="0"/>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477" w:lineRule="auto" w:before="54"/>
        <w:ind w:right="113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477" w:lineRule="auto" w:before="53"/>
        <w:ind w:left="1134" w:right="1132"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477" w:lineRule="auto" w:before="54"/>
        <w:ind w:left="1134"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54"/>
        <w:ind w:left="1494" w:right="0"/>
        <w:jc w:val="left"/>
      </w:pPr>
      <w:r>
        <w:rPr/>
        <w:t>（</w:t>
      </w:r>
      <w:r>
        <w:rPr>
          <w:rFonts w:ascii="Times New Roman" w:hAnsi="Times New Roman" w:cs="Times New Roman" w:eastAsia="Times New Roman" w:hint="default"/>
        </w:rPr>
        <w:t>2</w:t>
      </w:r>
      <w:r>
        <w:rPr/>
        <w:t>）处置子公司或业务</w:t>
      </w:r>
    </w:p>
    <w:p>
      <w:pPr>
        <w:spacing w:line="240" w:lineRule="auto" w:before="9"/>
        <w:rPr>
          <w:rFonts w:ascii="宋体" w:hAnsi="宋体" w:cs="宋体" w:eastAsia="宋体" w:hint="default"/>
          <w:sz w:val="16"/>
          <w:szCs w:val="16"/>
        </w:rPr>
      </w:pPr>
    </w:p>
    <w:p>
      <w:pPr>
        <w:pStyle w:val="BodyText"/>
        <w:spacing w:line="477" w:lineRule="auto"/>
        <w:ind w:left="1493" w:right="0"/>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477" w:lineRule="auto" w:before="54"/>
        <w:ind w:left="1494" w:right="0"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477" w:lineRule="auto" w:before="54"/>
        <w:ind w:left="1134" w:right="103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54"/>
        <w:ind w:left="1493" w:right="0"/>
        <w:jc w:val="left"/>
      </w:pPr>
      <w:r>
        <w:rPr/>
        <w:t>因其他投资方对子公司增资而导致本公司持股比例下降从而丧失控制权的，按照上述原则进行会计处理。</w:t>
      </w:r>
    </w:p>
    <w:p>
      <w:pPr>
        <w:spacing w:line="240" w:lineRule="auto" w:before="10"/>
        <w:rPr>
          <w:rFonts w:ascii="宋体" w:hAnsi="宋体" w:cs="宋体" w:eastAsia="宋体" w:hint="default"/>
          <w:sz w:val="17"/>
          <w:szCs w:val="17"/>
        </w:rPr>
      </w:pPr>
    </w:p>
    <w:p>
      <w:pPr>
        <w:pStyle w:val="BodyText"/>
        <w:spacing w:line="477" w:lineRule="auto"/>
        <w:ind w:left="1494" w:right="0"/>
        <w:jc w:val="left"/>
      </w:pPr>
      <w:r>
        <w:rPr/>
        <w:t>②分步处置子公司 </w:t>
      </w:r>
      <w:r>
        <w:rPr>
          <w:spacing w:val="-2"/>
        </w:rPr>
        <w:t>通过多次交易分步处置对子公司股权投资直至丧失控制权的，处置对子公司股权投资的各项交易的条款、条件以及经济</w:t>
      </w:r>
    </w:p>
    <w:p>
      <w:pPr>
        <w:spacing w:after="0" w:line="477" w:lineRule="auto"/>
        <w:jc w:val="left"/>
        <w:sectPr>
          <w:pgSz w:w="11910" w:h="16840"/>
          <w:pgMar w:header="851" w:footer="979" w:top="1380" w:bottom="1160" w:left="0" w:right="0"/>
        </w:sectPr>
      </w:pPr>
    </w:p>
    <w:p>
      <w:pPr>
        <w:pStyle w:val="BodyText"/>
        <w:spacing w:line="477" w:lineRule="auto" w:before="141"/>
        <w:ind w:left="1493" w:right="3553" w:hanging="360"/>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477" w:lineRule="auto" w:before="54"/>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477" w:lineRule="auto" w:before="54"/>
        <w:ind w:right="0"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451" w:lineRule="auto" w:before="53"/>
        <w:ind w:left="1494" w:right="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477" w:lineRule="auto" w:before="74"/>
        <w:ind w:left="1134" w:right="1118"/>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451" w:lineRule="auto" w:before="54"/>
        <w:ind w:left="1494"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477" w:lineRule="auto" w:before="74"/>
        <w:ind w:left="1134"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493" w:right="247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54"/>
        <w:ind w:left="149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t>（</w:t>
      </w:r>
      <w:r>
        <w:rPr>
          <w:rFonts w:ascii="Times New Roman" w:hAnsi="Times New Roman" w:cs="Times New Roman" w:eastAsia="Times New Roman" w:hint="default"/>
        </w:rPr>
        <w:t>3</w:t>
      </w:r>
      <w:r>
        <w:rPr/>
        <w:t>）确认出售本公司享有的共同经营产出份额所产生的收入；</w:t>
      </w:r>
    </w:p>
    <w:p>
      <w:pPr>
        <w:spacing w:line="240" w:lineRule="auto" w:before="8"/>
        <w:rPr>
          <w:rFonts w:ascii="宋体" w:hAnsi="宋体" w:cs="宋体" w:eastAsia="宋体" w:hint="default"/>
          <w:sz w:val="16"/>
          <w:szCs w:val="16"/>
        </w:rPr>
      </w:pPr>
    </w:p>
    <w:p>
      <w:pPr>
        <w:pStyle w:val="BodyText"/>
        <w:spacing w:line="240" w:lineRule="auto"/>
        <w:ind w:left="1494" w:right="0"/>
        <w:jc w:val="left"/>
      </w:pPr>
      <w:r>
        <w:rPr/>
        <w:t>（</w:t>
      </w:r>
      <w:r>
        <w:rPr>
          <w:rFonts w:ascii="Times New Roman" w:hAnsi="Times New Roman" w:cs="Times New Roman" w:eastAsia="Times New Roman" w:hint="default"/>
        </w:rPr>
        <w:t>4</w:t>
      </w:r>
      <w:r>
        <w:rPr/>
        <w:t>）按本公司份额确认共同经营因出售产出所产生的收入；</w:t>
      </w:r>
    </w:p>
    <w:p>
      <w:pPr>
        <w:spacing w:line="240" w:lineRule="auto" w:before="10"/>
        <w:rPr>
          <w:rFonts w:ascii="宋体" w:hAnsi="宋体" w:cs="宋体" w:eastAsia="宋体" w:hint="default"/>
          <w:sz w:val="16"/>
          <w:szCs w:val="16"/>
        </w:rPr>
      </w:pPr>
    </w:p>
    <w:p>
      <w:pPr>
        <w:pStyle w:val="BodyText"/>
        <w:spacing w:line="451" w:lineRule="auto"/>
        <w:ind w:left="1493" w:right="4363"/>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五、（十四）长期股权投资</w:t>
      </w:r>
      <w:r>
        <w:rPr>
          <w:rFonts w:ascii="Times New Roman" w:hAnsi="Times New Roman" w:cs="Times New Roman" w:eastAsia="Times New Roman" w:hint="default"/>
        </w:rPr>
        <w:t>”</w:t>
      </w:r>
      <w:r>
        <w:rPr/>
        <w:t>。</w:t>
      </w:r>
    </w:p>
    <w:p>
      <w:pPr>
        <w:spacing w:after="0" w:line="451"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right="0"/>
        <w:jc w:val="left"/>
        <w:rPr>
          <w:b w:val="0"/>
          <w:bCs w:val="0"/>
        </w:rPr>
      </w:pPr>
      <w:bookmarkStart w:name="8、现金及现金等价物的确定标准" w:id="171"/>
      <w:bookmarkEnd w:id="17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494" w:right="3912" w:firstLine="1"/>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477" w:lineRule="auto" w:before="74"/>
        <w:ind w:left="1134" w:right="0"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451" w:lineRule="auto" w:before="54"/>
        <w:ind w:left="1494" w:right="0" w:firstLine="1"/>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477" w:lineRule="auto" w:before="43"/>
        <w:ind w:right="0"/>
        <w:jc w:val="left"/>
      </w:pPr>
      <w:r>
        <w:rPr>
          <w:spacing w:val="-2"/>
        </w:rPr>
        <w:t>目采用发生时的即期汇率折算。利润表中的收入和费用项目，采用交易发生日的即期汇率（或：采用按照系统合理的方法确</w:t>
      </w:r>
      <w:r>
        <w:rPr>
          <w:spacing w:val="-66"/>
        </w:rPr>
        <w:t> </w:t>
      </w:r>
      <w:r>
        <w:rPr>
          <w:spacing w:val="-66"/>
        </w:rPr>
      </w:r>
      <w:r>
        <w:rPr/>
        <w:t>定的、与交易发生日即期汇率近似的汇率。提示：若采用此种方法，应明示何种方法何种口径）折算。</w:t>
      </w:r>
    </w:p>
    <w:p>
      <w:pPr>
        <w:pStyle w:val="BodyText"/>
        <w:spacing w:line="240" w:lineRule="auto" w:before="54"/>
        <w:ind w:left="1493" w:right="0"/>
        <w:jc w:val="left"/>
      </w:pP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left="1133" w:right="0"/>
        <w:jc w:val="left"/>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4" w:right="0"/>
        <w:jc w:val="left"/>
      </w:pPr>
      <w:r>
        <w:rPr/>
        <w:t>金融工具包括金融资产、金融负债和权益工具。</w:t>
      </w:r>
    </w:p>
    <w:p>
      <w:pPr>
        <w:spacing w:line="240" w:lineRule="auto" w:before="10"/>
        <w:rPr>
          <w:rFonts w:ascii="宋体" w:hAnsi="宋体" w:cs="宋体" w:eastAsia="宋体" w:hint="default"/>
          <w:sz w:val="17"/>
          <w:szCs w:val="17"/>
        </w:rPr>
      </w:pPr>
    </w:p>
    <w:p>
      <w:pPr>
        <w:pStyle w:val="BodyText"/>
        <w:spacing w:line="451" w:lineRule="auto"/>
        <w:ind w:left="1494" w:right="0" w:firstLine="1"/>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金融资产和金融负债于初始确认时分类为：以公允价值计量且其变动计入当期损益的金融资产或金融负债，包括交易性</w:t>
      </w:r>
    </w:p>
    <w:p>
      <w:pPr>
        <w:pStyle w:val="BodyText"/>
        <w:spacing w:line="477" w:lineRule="auto" w:before="74"/>
        <w:ind w:left="1134" w:right="0"/>
        <w:jc w:val="left"/>
      </w:pP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Heading6"/>
        <w:spacing w:line="240" w:lineRule="auto" w:before="54"/>
        <w:ind w:left="1495"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1493"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477" w:lineRule="auto" w:before="74"/>
        <w:ind w:left="1493" w:right="2833" w:hanging="360"/>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51" w:lineRule="auto" w:before="54"/>
        <w:ind w:left="1494" w:right="2292"/>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w:t>
      </w:r>
    </w:p>
    <w:p>
      <w:pPr>
        <w:spacing w:after="0" w:line="451"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77" w:lineRule="auto" w:before="83"/>
        <w:ind w:right="0" w:firstLine="360"/>
        <w:jc w:val="left"/>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54"/>
        <w:ind w:left="1493" w:right="0"/>
        <w:jc w:val="left"/>
      </w:pPr>
      <w:r>
        <w:rPr/>
        <w:t>处置时，将所取得价款与该投资账面价值之间的差额计入投资收益。</w:t>
      </w:r>
    </w:p>
    <w:p>
      <w:pPr>
        <w:spacing w:line="240" w:lineRule="auto" w:before="10"/>
        <w:rPr>
          <w:rFonts w:ascii="宋体" w:hAnsi="宋体" w:cs="宋体" w:eastAsia="宋体" w:hint="default"/>
          <w:sz w:val="17"/>
          <w:szCs w:val="17"/>
        </w:rPr>
      </w:pPr>
    </w:p>
    <w:p>
      <w:pPr>
        <w:pStyle w:val="BodyText"/>
        <w:spacing w:line="451" w:lineRule="auto"/>
        <w:ind w:left="1493" w:right="1118"/>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公司对外销售商品或提供劳务形成的应收债权，以及公司持有的其他企业的不包括在活跃市场上有报价的债务工具的债</w:t>
      </w:r>
    </w:p>
    <w:p>
      <w:pPr>
        <w:pStyle w:val="BodyText"/>
        <w:spacing w:line="477" w:lineRule="auto" w:before="74"/>
        <w:ind w:right="1118"/>
        <w:jc w:val="left"/>
      </w:pPr>
      <w:r>
        <w:rPr>
          <w:spacing w:val="-2"/>
        </w:rPr>
        <w:t>权，包括应收账款、其他应收款等，以向购货方应收的合同或协议价款作为初始确认金额；具有融资性质的，按其现值进行</w:t>
      </w:r>
      <w:r>
        <w:rPr>
          <w:spacing w:val="-66"/>
        </w:rPr>
        <w:t> </w:t>
      </w:r>
      <w:r>
        <w:rPr>
          <w:spacing w:val="-66"/>
        </w:rPr>
      </w:r>
      <w:r>
        <w:rPr/>
        <w:t>初始确认。</w:t>
      </w:r>
    </w:p>
    <w:p>
      <w:pPr>
        <w:pStyle w:val="BodyText"/>
        <w:spacing w:line="240" w:lineRule="auto" w:before="54"/>
        <w:ind w:left="1494"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7"/>
          <w:szCs w:val="17"/>
        </w:rPr>
      </w:pPr>
    </w:p>
    <w:p>
      <w:pPr>
        <w:pStyle w:val="BodyText"/>
        <w:spacing w:line="451" w:lineRule="auto"/>
        <w:ind w:left="1494" w:right="0"/>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w:t>
      </w:r>
    </w:p>
    <w:p>
      <w:pPr>
        <w:pStyle w:val="BodyText"/>
        <w:spacing w:line="477" w:lineRule="auto" w:before="73"/>
        <w:ind w:left="1493" w:right="1033" w:hanging="360"/>
        <w:jc w:val="left"/>
      </w:pPr>
      <w:r>
        <w:rPr/>
        <w:t>初始确认金额。 持有期间将取得的利息或现金股利确认为投资收益。期末以公允价值计量且将公允价值变动计入其他综合收益。但是，</w:t>
      </w:r>
    </w:p>
    <w:p>
      <w:pPr>
        <w:pStyle w:val="BodyText"/>
        <w:spacing w:line="477" w:lineRule="auto" w:before="54"/>
        <w:ind w:right="0"/>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477" w:lineRule="auto" w:before="54"/>
        <w:ind w:left="1134" w:right="0"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spacing w:line="463" w:lineRule="auto" w:before="54"/>
        <w:ind w:left="1494" w:right="37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477" w:lineRule="auto" w:before="33"/>
        <w:ind w:right="0"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477" w:lineRule="auto" w:before="54"/>
        <w:ind w:right="0"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54"/>
        <w:ind w:left="1493" w:right="0"/>
        <w:jc w:val="left"/>
      </w:pPr>
      <w:r>
        <w:rPr/>
        <w:t>（</w:t>
      </w:r>
      <w:r>
        <w:rPr>
          <w:rFonts w:ascii="Times New Roman" w:hAnsi="Times New Roman" w:cs="Times New Roman" w:eastAsia="Times New Roman" w:hint="default"/>
        </w:rPr>
        <w:t>1</w:t>
      </w:r>
      <w:r>
        <w:rPr/>
        <w:t>）所转移金融资产的账面价值；</w:t>
      </w:r>
    </w:p>
    <w:p>
      <w:pPr>
        <w:spacing w:line="240" w:lineRule="auto" w:before="9"/>
        <w:rPr>
          <w:rFonts w:ascii="宋体" w:hAnsi="宋体" w:cs="宋体" w:eastAsia="宋体" w:hint="default"/>
          <w:sz w:val="16"/>
          <w:szCs w:val="16"/>
        </w:rPr>
      </w:pPr>
    </w:p>
    <w:p>
      <w:pPr>
        <w:pStyle w:val="BodyText"/>
        <w:spacing w:line="451" w:lineRule="auto"/>
        <w:ind w:left="1134" w:right="1122"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477" w:lineRule="auto" w:before="74"/>
        <w:ind w:right="103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54"/>
        <w:ind w:left="1493" w:right="0"/>
        <w:jc w:val="left"/>
      </w:pPr>
      <w:r>
        <w:rPr/>
        <w:t>（</w:t>
      </w:r>
      <w:r>
        <w:rPr>
          <w:rFonts w:ascii="Times New Roman" w:hAnsi="Times New Roman" w:cs="Times New Roman" w:eastAsia="Times New Roman" w:hint="default"/>
        </w:rPr>
        <w:t>1</w:t>
      </w:r>
      <w:r>
        <w:rPr/>
        <w:t>）终止确认部分的账面价值；</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w:t>
      </w:r>
    </w:p>
    <w:p>
      <w:pPr>
        <w:spacing w:after="0" w:line="240" w:lineRule="auto"/>
        <w:jc w:val="left"/>
        <w:sectPr>
          <w:pgSz w:w="11910" w:h="16840"/>
          <w:pgMar w:header="851" w:footer="979" w:top="1380" w:bottom="1160" w:left="0" w:right="0"/>
        </w:sectPr>
      </w:pPr>
    </w:p>
    <w:p>
      <w:pPr>
        <w:pStyle w:val="BodyText"/>
        <w:spacing w:line="468" w:lineRule="auto" w:before="141"/>
        <w:ind w:left="1493" w:right="1118" w:hanging="360"/>
        <w:jc w:val="left"/>
      </w:pPr>
      <w:r>
        <w:rPr/>
        <w:t>金融资产为可供出售金融资产的情形）之和。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w:t>
      </w:r>
    </w:p>
    <w:p>
      <w:pPr>
        <w:pStyle w:val="BodyText"/>
        <w:spacing w:line="477" w:lineRule="auto" w:before="61"/>
        <w:ind w:right="1133"/>
        <w:jc w:val="both"/>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477" w:lineRule="auto" w:before="54"/>
        <w:ind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477" w:lineRule="auto" w:before="54"/>
        <w:ind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477" w:lineRule="auto" w:before="53"/>
        <w:ind w:right="1033"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451" w:lineRule="auto" w:before="54"/>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存在活跃市场的金融工具，以活跃市场中的报价确定其公允价值。不存在活跃市场的金融工具，采用估值技术确定其公</w:t>
      </w:r>
    </w:p>
    <w:p>
      <w:pPr>
        <w:pStyle w:val="BodyText"/>
        <w:spacing w:line="477" w:lineRule="auto" w:before="74"/>
        <w:ind w:right="1132"/>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spacing w:line="451" w:lineRule="auto" w:before="54"/>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240" w:lineRule="auto" w:before="74"/>
        <w:ind w:right="0"/>
        <w:jc w:val="left"/>
      </w:pPr>
      <w:r>
        <w:rPr/>
        <w:t>有客观证据表明某项金融资产发生减值的，计提减值准备。</w:t>
      </w:r>
    </w:p>
    <w:p>
      <w:pPr>
        <w:spacing w:line="240" w:lineRule="auto" w:before="10"/>
        <w:rPr>
          <w:rFonts w:ascii="宋体" w:hAnsi="宋体" w:cs="宋体" w:eastAsia="宋体" w:hint="default"/>
          <w:sz w:val="17"/>
          <w:szCs w:val="17"/>
        </w:rPr>
      </w:pPr>
    </w:p>
    <w:p>
      <w:pPr>
        <w:pStyle w:val="BodyText"/>
        <w:spacing w:line="451" w:lineRule="auto"/>
        <w:ind w:left="1493" w:right="0"/>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477" w:lineRule="auto" w:before="74"/>
        <w:ind w:left="1493" w:right="0" w:hanging="360"/>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477" w:lineRule="auto" w:before="54"/>
        <w:ind w:left="1494" w:right="5712" w:hanging="360"/>
        <w:jc w:val="left"/>
      </w:pPr>
      <w:r>
        <w:rPr/>
        <w:t>事项有关的，原确认的减值损失予以转回，计入当期损益。 可供出售权益工具投资发生的减值损失，不通过损益转回。</w:t>
      </w:r>
    </w:p>
    <w:p>
      <w:pPr>
        <w:pStyle w:val="BodyText"/>
        <w:spacing w:line="451" w:lineRule="auto" w:before="54"/>
        <w:ind w:left="1493" w:right="481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after="0" w:line="451"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单项金额重大的应收账款是指：余额前五名或占余额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 上的明细之和。单项金额重大的其他应收款是指：余额大于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（一般应收账款及其他应收款）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（移动端游戏业务应收账款）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（取得国内信用证的应收账款）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（一般应收账款及其他应收款）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（移动端游戏业务应收账款）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组合中，采用余额百分比法计提坏账准备的：</w:t>
      </w:r>
    </w:p>
    <w:p>
      <w:pPr>
        <w:spacing w:line="240" w:lineRule="auto" w:before="10"/>
        <w:rPr>
          <w:rFonts w:ascii="宋体" w:hAnsi="宋体" w:cs="宋体" w:eastAsia="宋体" w:hint="default"/>
          <w:sz w:val="20"/>
          <w:szCs w:val="20"/>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4"/>
        <w:ind w:right="0"/>
        <w:jc w:val="left"/>
      </w:pPr>
      <w:r>
        <w:rPr/>
        <w:t>组合中，采用其他方法计提坏账准备的：</w:t>
      </w:r>
    </w:p>
    <w:p>
      <w:pPr>
        <w:spacing w:line="240" w:lineRule="auto" w:before="10"/>
        <w:rPr>
          <w:rFonts w:ascii="宋体" w:hAnsi="宋体" w:cs="宋体" w:eastAsia="宋体" w:hint="default"/>
          <w:sz w:val="20"/>
          <w:szCs w:val="20"/>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（取得国内信用证的应收账款）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除单项金额重大已单独计提坏账准备的应收款项外，公司根 据以往经验结合实际情况判断，以上述组合方式计提的坏账 准备不足以完全覆盖其预计损失额的应收款项，将单独计提 坏账准备。</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根据预计的损失情况足额计提。</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6"/>
        <w:rPr>
          <w:rFonts w:ascii="宋体" w:hAnsi="宋体" w:cs="宋体" w:eastAsia="宋体" w:hint="default"/>
          <w:b/>
          <w:bCs/>
          <w:sz w:val="32"/>
          <w:szCs w:val="32"/>
        </w:rPr>
      </w:pPr>
    </w:p>
    <w:p>
      <w:pPr>
        <w:spacing w:line="463" w:lineRule="auto" w:before="0"/>
        <w:ind w:left="1494" w:right="481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存货分类为：原材料、库存商品、外购软硬件及服务、低值易耗品等。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sz w:val="18"/>
          <w:szCs w:val="18"/>
        </w:rPr>
      </w:r>
    </w:p>
    <w:p>
      <w:pPr>
        <w:pStyle w:val="BodyText"/>
        <w:spacing w:line="477" w:lineRule="auto" w:before="34"/>
        <w:ind w:left="1493" w:right="7333"/>
        <w:jc w:val="left"/>
      </w:pPr>
      <w:r>
        <w:rPr/>
        <w:t>日常核算存货取得时按实际成本计价。 发出时按以下方式确认：</w:t>
      </w:r>
    </w:p>
    <w:p>
      <w:pPr>
        <w:pStyle w:val="BodyText"/>
        <w:spacing w:line="240" w:lineRule="auto" w:before="54"/>
        <w:ind w:left="1493" w:right="0"/>
        <w:jc w:val="left"/>
      </w:pPr>
      <w:r>
        <w:rPr/>
        <w:t>（</w:t>
      </w:r>
      <w:r>
        <w:rPr>
          <w:rFonts w:ascii="Times New Roman" w:hAnsi="Times New Roman" w:cs="Times New Roman" w:eastAsia="Times New Roman" w:hint="default"/>
        </w:rPr>
        <w:t>1</w:t>
      </w:r>
      <w:r>
        <w:rPr/>
        <w:t>）采购存货专门用于单项业务时，按个别计价法确认；</w:t>
      </w:r>
    </w:p>
    <w:p>
      <w:pPr>
        <w:spacing w:line="240" w:lineRule="auto" w:before="9"/>
        <w:rPr>
          <w:rFonts w:ascii="宋体" w:hAnsi="宋体" w:cs="宋体" w:eastAsia="宋体" w:hint="default"/>
          <w:sz w:val="16"/>
          <w:szCs w:val="16"/>
        </w:rPr>
      </w:pPr>
    </w:p>
    <w:p>
      <w:pPr>
        <w:pStyle w:val="BodyText"/>
        <w:spacing w:line="240" w:lineRule="auto"/>
        <w:ind w:left="1494" w:right="0"/>
        <w:jc w:val="left"/>
      </w:pPr>
      <w:r>
        <w:rPr/>
        <w:t>（</w:t>
      </w:r>
      <w:r>
        <w:rPr>
          <w:rFonts w:ascii="Times New Roman" w:hAnsi="Times New Roman" w:cs="Times New Roman" w:eastAsia="Times New Roman" w:hint="default"/>
        </w:rPr>
        <w:t>2</w:t>
      </w:r>
      <w:r>
        <w:rPr/>
        <w:t>）非为单项业务单独采购的存货，按加权平均价格计价确认。</w:t>
      </w:r>
    </w:p>
    <w:p>
      <w:pPr>
        <w:spacing w:line="240" w:lineRule="auto" w:before="9"/>
        <w:rPr>
          <w:rFonts w:ascii="宋体" w:hAnsi="宋体" w:cs="宋体" w:eastAsia="宋体" w:hint="default"/>
          <w:sz w:val="16"/>
          <w:szCs w:val="16"/>
        </w:rPr>
      </w:pPr>
    </w:p>
    <w:p>
      <w:pPr>
        <w:spacing w:line="451" w:lineRule="auto" w:before="0"/>
        <w:ind w:left="149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产成品、库存商品和用于出售的材料等直接用于出售的商品存货，在正常生产经营过程中，以该存货的估计售价减去估</w:t>
      </w:r>
    </w:p>
    <w:p>
      <w:pPr>
        <w:pStyle w:val="BodyText"/>
        <w:spacing w:line="477" w:lineRule="auto" w:before="74"/>
        <w:ind w:right="1131"/>
        <w:jc w:val="both"/>
      </w:pPr>
      <w:r>
        <w:rPr>
          <w:spacing w:val="-2"/>
        </w:rPr>
        <w:t>计的销售费用和相关税费后的金额，确定其可变现净值；需要经过加工的材料存货，在正常生产经营过程中，以所生产的产</w:t>
      </w:r>
      <w:r>
        <w:rPr>
          <w:spacing w:val="-65"/>
        </w:rPr>
        <w:t> </w:t>
      </w:r>
      <w:r>
        <w:rPr>
          <w:spacing w:val="-65"/>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477" w:lineRule="auto" w:before="54"/>
        <w:ind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477" w:lineRule="auto" w:before="54"/>
        <w:ind w:left="1493" w:right="157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after="0" w:line="477" w:lineRule="auto"/>
        <w:jc w:val="left"/>
        <w:sectPr>
          <w:pgSz w:w="11910" w:h="16840"/>
          <w:pgMar w:header="851" w:footer="979" w:top="1380" w:bottom="1160" w:left="0" w:right="0"/>
        </w:sectPr>
      </w:pPr>
    </w:p>
    <w:p>
      <w:pPr>
        <w:spacing w:line="463" w:lineRule="auto" w:before="141"/>
        <w:ind w:left="1493" w:right="7728"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34"/>
        <w:ind w:left="1493" w:right="0"/>
        <w:jc w:val="left"/>
      </w:pPr>
      <w:r>
        <w:rPr/>
        <w:t>（</w:t>
      </w:r>
      <w:r>
        <w:rPr>
          <w:rFonts w:ascii="Times New Roman" w:hAnsi="Times New Roman" w:cs="Times New Roman" w:eastAsia="Times New Roman" w:hint="default"/>
        </w:rPr>
        <w:t>1</w:t>
      </w:r>
      <w:r>
        <w:rPr/>
        <w:t>）低值易耗品采用一次转销法；</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0"/>
        <w:jc w:val="left"/>
        <w:rPr>
          <w:b w:val="0"/>
          <w:bCs w:val="0"/>
        </w:rPr>
      </w:pPr>
      <w:bookmarkStart w:name="13、划分为持有待售资产" w:id="179"/>
      <w:bookmarkEnd w:id="17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3" w:right="0"/>
        <w:jc w:val="left"/>
      </w:pPr>
      <w:r>
        <w:rPr/>
        <w:t>本公司将同时满足下列条件的组成部分（或非流动资产）确认为持有待售：</w:t>
      </w:r>
    </w:p>
    <w:p>
      <w:pPr>
        <w:spacing w:line="240" w:lineRule="auto" w:before="10"/>
        <w:rPr>
          <w:rFonts w:ascii="宋体" w:hAnsi="宋体" w:cs="宋体" w:eastAsia="宋体" w:hint="default"/>
          <w:sz w:val="17"/>
          <w:szCs w:val="17"/>
        </w:rPr>
      </w:pPr>
    </w:p>
    <w:p>
      <w:pPr>
        <w:pStyle w:val="BodyText"/>
        <w:spacing w:line="240" w:lineRule="auto"/>
        <w:ind w:left="1493"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spacing w:line="240" w:lineRule="auto" w:before="9"/>
        <w:rPr>
          <w:rFonts w:ascii="宋体" w:hAnsi="宋体" w:cs="宋体" w:eastAsia="宋体" w:hint="default"/>
          <w:sz w:val="16"/>
          <w:szCs w:val="16"/>
        </w:rPr>
      </w:pPr>
    </w:p>
    <w:p>
      <w:pPr>
        <w:pStyle w:val="BodyText"/>
        <w:spacing w:line="451" w:lineRule="auto"/>
        <w:ind w:left="1134" w:right="1122" w:firstLine="360"/>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）公司已经就处置该组成部分（或非流动资产）作出决议，如按规定需得到股东批准的，已经取得股东大会或相应 权力机构的批准；</w:t>
      </w:r>
    </w:p>
    <w:p>
      <w:pPr>
        <w:pStyle w:val="BodyText"/>
        <w:spacing w:line="240" w:lineRule="auto" w:before="74"/>
        <w:ind w:left="1493" w:right="0"/>
        <w:jc w:val="left"/>
      </w:pPr>
      <w:r>
        <w:rPr/>
        <w:t>（</w:t>
      </w:r>
      <w:r>
        <w:rPr>
          <w:rFonts w:ascii="Times New Roman" w:hAnsi="Times New Roman" w:cs="Times New Roman" w:eastAsia="Times New Roman" w:hint="default"/>
        </w:rPr>
        <w:t>3</w:t>
      </w:r>
      <w:r>
        <w:rPr/>
        <w:t>）公司已与受让方签订了不可撤销的转让协议；</w:t>
      </w:r>
    </w:p>
    <w:p>
      <w:pPr>
        <w:spacing w:line="240" w:lineRule="auto" w:before="9"/>
        <w:rPr>
          <w:rFonts w:ascii="宋体" w:hAnsi="宋体" w:cs="宋体" w:eastAsia="宋体" w:hint="default"/>
          <w:sz w:val="16"/>
          <w:szCs w:val="16"/>
        </w:rPr>
      </w:pPr>
    </w:p>
    <w:p>
      <w:pPr>
        <w:pStyle w:val="BodyText"/>
        <w:spacing w:line="240" w:lineRule="auto"/>
        <w:ind w:left="1494" w:right="0"/>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0"/>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2"/>
          <w:szCs w:val="32"/>
        </w:rPr>
      </w:pPr>
    </w:p>
    <w:p>
      <w:pPr>
        <w:spacing w:line="451" w:lineRule="auto" w:before="0"/>
        <w:ind w:left="149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共同控制，是指按照相关约定对某项安排所共有的控制，并且该安排的相关活动必须经过分享控制权的参与方一致同意</w:t>
      </w:r>
    </w:p>
    <w:p>
      <w:pPr>
        <w:pStyle w:val="BodyText"/>
        <w:spacing w:line="477" w:lineRule="auto" w:before="74"/>
        <w:ind w:left="1134" w:right="1118"/>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477" w:lineRule="auto" w:before="54"/>
        <w:ind w:left="1134" w:right="0" w:firstLine="360"/>
        <w:jc w:val="left"/>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Heading6"/>
        <w:spacing w:line="240" w:lineRule="auto" w:before="54"/>
        <w:ind w:left="1495" w:right="0"/>
        <w:jc w:val="left"/>
        <w:rPr>
          <w:b w:val="0"/>
          <w:bCs w:val="0"/>
        </w:rPr>
      </w:pPr>
      <w:r>
        <w:rPr>
          <w:rFonts w:ascii="Times New Roman" w:hAnsi="Times New Roman" w:cs="Times New Roman" w:eastAsia="Times New Roman" w:hint="default"/>
        </w:rPr>
        <w:t>2.</w:t>
      </w:r>
      <w:r>
        <w:rPr/>
        <w:t>初始投资成本的确定</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1493" w:right="0"/>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477" w:lineRule="auto" w:before="74"/>
        <w:ind w:right="0"/>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6"/>
        </w:rPr>
        <w:t> </w:t>
      </w:r>
      <w:r>
        <w:rPr>
          <w:spacing w:val="-66"/>
        </w:rPr>
      </w:r>
      <w:r>
        <w:rPr>
          <w:spacing w:val="-4"/>
        </w:rPr>
        <w:t>长期股权投资账面价值加上合并日进一步取得股份新支付对价的账面价值之和的差额，调整股本溢价，股本溢价不足冲减的，</w:t>
      </w:r>
      <w:r>
        <w:rPr>
          <w:spacing w:val="-44"/>
        </w:rPr>
        <w:t> </w:t>
      </w:r>
      <w:r>
        <w:rPr>
          <w:spacing w:val="-44"/>
        </w:rPr>
      </w:r>
      <w:r>
        <w:rPr/>
        <w:t>冲减留存收益。</w:t>
      </w:r>
    </w:p>
    <w:p>
      <w:pPr>
        <w:pStyle w:val="BodyText"/>
        <w:spacing w:line="240" w:lineRule="auto" w:before="54"/>
        <w:ind w:left="1493" w:right="0"/>
        <w:jc w:val="left"/>
      </w:pPr>
      <w:r>
        <w:rPr/>
        <w:t>非同一控制下的企业合并：公司按照购买日确定的合并成本作为长期股权投资的初始投资成本。因追加投资等原因能够</w:t>
      </w:r>
    </w:p>
    <w:p>
      <w:pPr>
        <w:spacing w:after="0" w:line="240" w:lineRule="auto"/>
        <w:jc w:val="left"/>
        <w:sectPr>
          <w:pgSz w:w="11910" w:h="16840"/>
          <w:pgMar w:header="851" w:footer="979" w:top="1380" w:bottom="1160" w:left="0" w:right="0"/>
        </w:sectPr>
      </w:pPr>
    </w:p>
    <w:p>
      <w:pPr>
        <w:pStyle w:val="BodyText"/>
        <w:spacing w:line="477" w:lineRule="auto" w:before="141"/>
        <w:ind w:right="1132"/>
        <w:jc w:val="both"/>
      </w:pP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468" w:lineRule="auto" w:before="54"/>
        <w:ind w:left="1493" w:right="1118"/>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477" w:lineRule="auto" w:before="61"/>
        <w:ind w:right="1131"/>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54"/>
        <w:ind w:left="1494" w:right="0"/>
        <w:jc w:val="left"/>
      </w:pPr>
      <w:r>
        <w:rPr/>
        <w:t>通过债务重组取得的长期股权投资，其初始投资成本按照公允价值为基础确定。</w:t>
      </w:r>
    </w:p>
    <w:p>
      <w:pPr>
        <w:spacing w:line="240" w:lineRule="auto" w:before="9"/>
        <w:rPr>
          <w:rFonts w:ascii="宋体" w:hAnsi="宋体" w:cs="宋体" w:eastAsia="宋体" w:hint="default"/>
          <w:sz w:val="17"/>
          <w:szCs w:val="17"/>
        </w:rPr>
      </w:pPr>
    </w:p>
    <w:p>
      <w:pPr>
        <w:pStyle w:val="Heading6"/>
        <w:spacing w:line="240" w:lineRule="auto"/>
        <w:ind w:left="1495" w:right="0"/>
        <w:jc w:val="left"/>
        <w:rPr>
          <w:b w:val="0"/>
          <w:bCs w:val="0"/>
        </w:rPr>
      </w:pPr>
      <w:r>
        <w:rPr>
          <w:rFonts w:ascii="Times New Roman" w:hAnsi="Times New Roman" w:cs="Times New Roman" w:eastAsia="Times New Roman" w:hint="default"/>
        </w:rPr>
        <w:t>3.</w:t>
      </w:r>
      <w:r>
        <w:rPr/>
        <w:t>后续计量及损益确认方法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1493" w:right="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74"/>
        <w:ind w:right="0"/>
        <w:jc w:val="both"/>
      </w:pPr>
      <w:r>
        <w:rPr/>
        <w:t>金股利或利润外，公司按照享有被投资单位宣告发放的现金股利或利润确认当期投资收益。</w:t>
      </w:r>
    </w:p>
    <w:p>
      <w:pPr>
        <w:spacing w:line="240" w:lineRule="auto" w:before="10"/>
        <w:rPr>
          <w:rFonts w:ascii="宋体" w:hAnsi="宋体" w:cs="宋体" w:eastAsia="宋体" w:hint="default"/>
          <w:sz w:val="17"/>
          <w:szCs w:val="17"/>
        </w:rPr>
      </w:pPr>
    </w:p>
    <w:p>
      <w:pPr>
        <w:pStyle w:val="BodyText"/>
        <w:spacing w:line="451" w:lineRule="auto"/>
        <w:ind w:left="1493" w:right="0"/>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477" w:lineRule="auto" w:before="74"/>
        <w:ind w:right="1130"/>
        <w:jc w:val="both"/>
      </w:pPr>
      <w:r>
        <w:rPr>
          <w:spacing w:val="-2"/>
        </w:rPr>
        <w:t>允价值份额的差额，不调整长期股权投资的初始投资成本；初始投资成本小于投资时应享有被投资单位可辨认净资产公允价</w:t>
      </w:r>
      <w:r>
        <w:rPr>
          <w:spacing w:val="-63"/>
        </w:rPr>
        <w:t> </w:t>
      </w:r>
      <w:r>
        <w:rPr>
          <w:spacing w:val="-63"/>
        </w:rPr>
      </w:r>
      <w:r>
        <w:rPr/>
        <w:t>值份额的差额，计入当期损益。</w:t>
      </w:r>
    </w:p>
    <w:p>
      <w:pPr>
        <w:pStyle w:val="BodyText"/>
        <w:spacing w:line="477" w:lineRule="auto" w:before="54"/>
        <w:ind w:right="1132"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4"/>
        </w:rPr>
        <w:t> </w:t>
      </w:r>
      <w:r>
        <w:rPr>
          <w:spacing w:val="-64"/>
        </w:rPr>
      </w:r>
      <w:r>
        <w:rPr>
          <w:spacing w:val="-2"/>
        </w:rPr>
        <w:t>面价值；对于被投资单位除净损益、其他综合收益和利润分配以外所有者权益的其他变动，调整长期股权投资的账面价值并</w:t>
      </w:r>
      <w:r>
        <w:rPr>
          <w:spacing w:val="-66"/>
        </w:rPr>
        <w:t> </w:t>
      </w:r>
      <w:r>
        <w:rPr>
          <w:spacing w:val="-66"/>
        </w:rPr>
      </w:r>
      <w:r>
        <w:rPr/>
        <w:t>计入所有者权益。</w:t>
      </w:r>
    </w:p>
    <w:p>
      <w:pPr>
        <w:pStyle w:val="BodyText"/>
        <w:spacing w:line="477" w:lineRule="auto" w:before="54"/>
        <w:ind w:right="113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6"/>
        </w:rPr>
        <w:t> </w:t>
      </w:r>
      <w:r>
        <w:rPr>
          <w:spacing w:val="-66"/>
        </w:rPr>
      </w:r>
      <w:r>
        <w:rPr/>
        <w:t>务报表中的净利润、其他综合收益和其他所有者权益变动中归属于被投资单位的金额为基础进行核算。</w:t>
      </w:r>
    </w:p>
    <w:p>
      <w:pPr>
        <w:pStyle w:val="BodyText"/>
        <w:spacing w:line="468" w:lineRule="auto" w:before="54"/>
        <w:ind w:right="1133"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6"/>
        </w:rPr>
        <w:t> </w:t>
      </w:r>
      <w:r>
        <w:rPr>
          <w:spacing w:val="-66"/>
        </w:rPr>
      </w:r>
      <w:r>
        <w:rPr/>
        <w:t>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 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240" w:lineRule="auto" w:before="29"/>
        <w:ind w:left="1493" w:right="0"/>
        <w:jc w:val="left"/>
      </w:pPr>
      <w:r>
        <w:rPr/>
        <w:t>在公司确认应分担被投资单位发生的亏损时，按照以下顺序进行处理：首先，冲减长期股权投资的账面价值。其次，长</w:t>
      </w:r>
    </w:p>
    <w:p>
      <w:pPr>
        <w:spacing w:after="0" w:line="240" w:lineRule="auto"/>
        <w:jc w:val="left"/>
        <w:sectPr>
          <w:pgSz w:w="11910" w:h="16840"/>
          <w:pgMar w:header="851" w:footer="979" w:top="1380" w:bottom="1160" w:left="0" w:right="0"/>
        </w:sectPr>
      </w:pPr>
    </w:p>
    <w:p>
      <w:pPr>
        <w:pStyle w:val="BodyText"/>
        <w:spacing w:line="477" w:lineRule="auto" w:before="141"/>
        <w:ind w:right="1033"/>
        <w:jc w:val="left"/>
      </w:pPr>
      <w:r>
        <w:rPr/>
        <w:t>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451" w:lineRule="auto" w:before="54"/>
        <w:ind w:left="1494" w:right="463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477" w:lineRule="auto" w:before="74"/>
        <w:ind w:right="113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477" w:lineRule="auto" w:before="54"/>
        <w:ind w:right="1033"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4"/>
        </w:rPr>
        <w:t> </w:t>
      </w:r>
      <w:r>
        <w:rPr>
          <w:spacing w:val="-64"/>
        </w:rPr>
      </w:r>
      <w:r>
        <w:rPr/>
        <w:t>全部转入当期损益。</w:t>
      </w:r>
    </w:p>
    <w:p>
      <w:pPr>
        <w:pStyle w:val="BodyText"/>
        <w:spacing w:line="477" w:lineRule="auto" w:before="54"/>
        <w:ind w:right="1131"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6"/>
        </w:rPr>
        <w:t> </w:t>
      </w:r>
      <w:r>
        <w:rPr>
          <w:spacing w:val="-66"/>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477" w:lineRule="auto" w:before="54"/>
        <w:ind w:right="113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r>
        <w:rPr>
          <w:spacing w:val="-64"/>
        </w:rPr>
        <w:t> </w:t>
      </w:r>
      <w:r>
        <w:rPr>
          <w:spacing w:val="-64"/>
        </w:rPr>
      </w:r>
      <w:r>
        <w:rPr/>
        <w:t>股权改按金融工具确认和计量准则进行会计处理的，其他综合收益和其他所有者权益全部结转。</w:t>
      </w:r>
    </w:p>
    <w:p>
      <w:pPr>
        <w:spacing w:line="240" w:lineRule="auto" w:before="3"/>
        <w:rPr>
          <w:rFonts w:ascii="宋体" w:hAnsi="宋体" w:cs="宋体" w:eastAsia="宋体" w:hint="default"/>
          <w:sz w:val="19"/>
          <w:szCs w:val="19"/>
        </w:rPr>
      </w:pPr>
    </w:p>
    <w:p>
      <w:pPr>
        <w:pStyle w:val="Heading3"/>
        <w:spacing w:line="240" w:lineRule="auto"/>
        <w:ind w:left="1133" w:right="0"/>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32"/>
          <w:szCs w:val="32"/>
        </w:rPr>
      </w:pPr>
    </w:p>
    <w:p>
      <w:pPr>
        <w:pStyle w:val="BodyText"/>
        <w:spacing w:line="516" w:lineRule="auto"/>
        <w:ind w:left="1494" w:right="8592"/>
        <w:jc w:val="left"/>
      </w:pPr>
      <w:r>
        <w:rPr/>
        <w:t>投资性房地产计量模式 成本法计量 折旧或摊销方法</w:t>
      </w:r>
    </w:p>
    <w:p>
      <w:pPr>
        <w:pStyle w:val="BodyText"/>
        <w:spacing w:line="477" w:lineRule="auto" w:before="64"/>
        <w:ind w:left="1134" w:right="1132"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4"/>
        </w:rPr>
        <w:t> </w:t>
      </w:r>
      <w:r>
        <w:rPr>
          <w:spacing w:val="-64"/>
        </w:rPr>
      </w:r>
      <w:r>
        <w:rPr/>
        <w:t>出租的建筑物）。</w:t>
      </w:r>
    </w:p>
    <w:p>
      <w:pPr>
        <w:spacing w:after="0" w:line="477" w:lineRule="auto"/>
        <w:jc w:val="both"/>
        <w:sectPr>
          <w:pgSz w:w="11910" w:h="16840"/>
          <w:pgMar w:header="851" w:footer="979" w:top="1380" w:bottom="1160" w:left="0" w:right="0"/>
        </w:sectPr>
      </w:pPr>
    </w:p>
    <w:p>
      <w:pPr>
        <w:pStyle w:val="BodyText"/>
        <w:spacing w:line="477" w:lineRule="auto" w:before="141"/>
        <w:ind w:right="0" w:firstLine="360"/>
        <w:jc w:val="left"/>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4"/>
        <w:rPr>
          <w:rFonts w:ascii="宋体" w:hAnsi="宋体" w:cs="宋体" w:eastAsia="宋体" w:hint="default"/>
          <w:sz w:val="19"/>
          <w:szCs w:val="19"/>
        </w:rPr>
      </w:pPr>
    </w:p>
    <w:p>
      <w:pPr>
        <w:pStyle w:val="Heading3"/>
        <w:spacing w:line="240" w:lineRule="auto"/>
        <w:ind w:left="1133" w:right="0"/>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0" w:firstLine="360"/>
        <w:jc w:val="left"/>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7"/>
        <w:rPr>
          <w:rFonts w:ascii="宋体" w:hAnsi="宋体" w:cs="宋体" w:eastAsia="宋体" w:hint="default"/>
          <w:sz w:val="16"/>
          <w:szCs w:val="16"/>
        </w:rPr>
      </w:pPr>
    </w:p>
    <w:p>
      <w:pPr>
        <w:pStyle w:val="Heading3"/>
        <w:spacing w:line="240" w:lineRule="auto"/>
        <w:ind w:left="1133"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19-32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宋体" w:hAnsi="宋体" w:cs="宋体" w:eastAsia="宋体" w:hint="default"/>
          <w:b/>
          <w:bCs/>
          <w:sz w:val="32"/>
          <w:szCs w:val="32"/>
        </w:rPr>
      </w:pPr>
    </w:p>
    <w:p>
      <w:pPr>
        <w:pStyle w:val="BodyText"/>
        <w:spacing w:line="458" w:lineRule="auto"/>
        <w:ind w:right="1130" w:firstLine="360"/>
        <w:jc w:val="both"/>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）租赁期满后租赁资产的所有</w:t>
      </w:r>
      <w:r>
        <w:rPr/>
        <w:t> </w:t>
      </w:r>
      <w:r>
        <w:rPr>
          <w:spacing w:val="-5"/>
        </w:rPr>
        <w:t>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）租赁期占所租赁</w:t>
      </w:r>
      <w:r>
        <w:rPr>
          <w:spacing w:val="-73"/>
        </w:rPr>
        <w:t> </w:t>
      </w:r>
      <w:r>
        <w:rPr>
          <w:spacing w:val="-73"/>
        </w:rPr>
      </w:r>
      <w:r>
        <w:rPr>
          <w:spacing w:val="-4"/>
        </w:rPr>
        <w:t>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）租赁开始日的最低租赁付款额现值，与该资产的公允价值不存在较大的差异。公司在承租开始</w:t>
      </w:r>
      <w:r>
        <w:rPr>
          <w:spacing w:val="-44"/>
        </w:rPr>
        <w:t> </w:t>
      </w:r>
      <w:r>
        <w:rPr>
          <w:spacing w:val="-44"/>
        </w:rPr>
      </w:r>
      <w:r>
        <w:rPr>
          <w:spacing w:val="-2"/>
        </w:rPr>
        <w:t>日，将租赁资产公允价值与最低租赁付款额现值两者中较低者作为租入资产的入账价值，将最低租赁付款额作为长期应付款</w:t>
      </w:r>
      <w:r>
        <w:rPr>
          <w:spacing w:val="-64"/>
        </w:rPr>
        <w:t> </w:t>
      </w:r>
      <w:r>
        <w:rPr>
          <w:spacing w:val="-64"/>
        </w:rPr>
      </w:r>
      <w:r>
        <w:rPr/>
        <w:t>的入账价值，其差额作为未确认的融资费。</w:t>
      </w:r>
    </w:p>
    <w:p>
      <w:pPr>
        <w:spacing w:line="240" w:lineRule="auto" w:before="2"/>
        <w:rPr>
          <w:rFonts w:ascii="宋体" w:hAnsi="宋体" w:cs="宋体" w:eastAsia="宋体" w:hint="default"/>
          <w:sz w:val="20"/>
          <w:szCs w:val="20"/>
        </w:rPr>
      </w:pPr>
    </w:p>
    <w:p>
      <w:pPr>
        <w:pStyle w:val="Heading3"/>
        <w:spacing w:line="240" w:lineRule="auto"/>
        <w:ind w:left="1133" w:right="0"/>
        <w:jc w:val="left"/>
        <w:rPr>
          <w:b w:val="0"/>
          <w:bCs w:val="0"/>
        </w:rPr>
      </w:pPr>
      <w:bookmarkStart w:name="17、在建工程" w:id="186"/>
      <w:bookmarkEnd w:id="18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1134" w:right="1131"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6"/>
        </w:rPr>
        <w:t> </w:t>
      </w:r>
      <w:r>
        <w:rPr>
          <w:spacing w:val="-66"/>
        </w:rPr>
      </w:r>
      <w:r>
        <w:rPr>
          <w:spacing w:val="-2"/>
        </w:rPr>
        <w:t>成本等，按估计的价值转入固定资产，并按本公司固定资产折旧政策计提固定资产的折旧，待办理竣工决算后，再按实际成</w:t>
      </w:r>
      <w:r>
        <w:rPr>
          <w:spacing w:val="-66"/>
        </w:rPr>
        <w:t> </w:t>
      </w:r>
      <w:r>
        <w:rPr>
          <w:spacing w:val="-66"/>
        </w:rPr>
      </w:r>
      <w:r>
        <w:rPr/>
        <w:t>本调整原来的暂估价值，但不调整原已计提的折旧额。</w:t>
      </w:r>
    </w:p>
    <w:p>
      <w:pPr>
        <w:spacing w:after="0" w:line="477" w:lineRule="auto"/>
        <w:jc w:val="both"/>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left="1494" w:right="1118" w:firstLine="1"/>
        <w:jc w:val="left"/>
      </w:pP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公司发生的借款费用，可直接归属于符合资本化条件的资产的购建或者生产的，予以资本化，计入相关资产成本；其</w:t>
      </w:r>
    </w:p>
    <w:p>
      <w:pPr>
        <w:pStyle w:val="BodyText"/>
        <w:spacing w:line="477" w:lineRule="auto" w:before="65"/>
        <w:ind w:left="1569" w:right="1137" w:hanging="360"/>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477" w:lineRule="auto" w:before="54"/>
        <w:ind w:left="1569" w:right="6897" w:hanging="360"/>
        <w:jc w:val="left"/>
      </w:pPr>
      <w:r>
        <w:rPr/>
        <w:t>产、投资性房地产和存货等资产。 借款费用同时满足下列条件时开始资本化：</w:t>
      </w:r>
    </w:p>
    <w:p>
      <w:pPr>
        <w:pStyle w:val="BodyText"/>
        <w:spacing w:line="451" w:lineRule="auto" w:before="54"/>
        <w:ind w:left="1209" w:right="0" w:firstLine="360"/>
        <w:jc w:val="left"/>
      </w:pPr>
      <w:r>
        <w:rPr>
          <w:spacing w:val="-2"/>
        </w:rPr>
        <w:t>（</w:t>
      </w: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）资产支出已经发生，资产支出包括为购建或者生产符合资本化条件的资产而以支付现金、转移非现金资产或者承</w:t>
      </w:r>
      <w:r>
        <w:rPr/>
        <w:t> 担带息债务形式发生的支出；</w:t>
      </w:r>
    </w:p>
    <w:p>
      <w:pPr>
        <w:pStyle w:val="BodyText"/>
        <w:spacing w:line="240" w:lineRule="auto" w:before="74"/>
        <w:ind w:left="1569" w:right="0"/>
        <w:jc w:val="left"/>
      </w:pPr>
      <w:r>
        <w:rPr/>
        <w:t>（</w:t>
      </w:r>
      <w:r>
        <w:rPr>
          <w:rFonts w:ascii="Times New Roman" w:hAnsi="Times New Roman" w:cs="Times New Roman" w:eastAsia="Times New Roman" w:hint="default"/>
        </w:rPr>
        <w:t>2</w:t>
      </w:r>
      <w:r>
        <w:rPr/>
        <w:t>）借款费用已经发生；</w:t>
      </w:r>
    </w:p>
    <w:p>
      <w:pPr>
        <w:spacing w:line="240" w:lineRule="auto" w:before="9"/>
        <w:rPr>
          <w:rFonts w:ascii="宋体" w:hAnsi="宋体" w:cs="宋体" w:eastAsia="宋体" w:hint="default"/>
          <w:sz w:val="16"/>
          <w:szCs w:val="16"/>
        </w:rPr>
      </w:pPr>
    </w:p>
    <w:p>
      <w:pPr>
        <w:pStyle w:val="BodyText"/>
        <w:spacing w:line="240" w:lineRule="auto"/>
        <w:ind w:left="1569"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9"/>
        <w:rPr>
          <w:rFonts w:ascii="宋体" w:hAnsi="宋体" w:cs="宋体" w:eastAsia="宋体" w:hint="default"/>
          <w:sz w:val="16"/>
          <w:szCs w:val="16"/>
        </w:rPr>
      </w:pPr>
    </w:p>
    <w:p>
      <w:pPr>
        <w:pStyle w:val="BodyText"/>
        <w:spacing w:line="470" w:lineRule="auto"/>
        <w:ind w:left="1493" w:right="0" w:firstLine="1"/>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59"/>
        <w:ind w:right="0"/>
        <w:jc w:val="left"/>
      </w:pPr>
      <w:r>
        <w:rPr/>
        <w:t>款费用资本化。</w:t>
      </w:r>
    </w:p>
    <w:p>
      <w:pPr>
        <w:spacing w:line="240" w:lineRule="auto" w:before="10"/>
        <w:rPr>
          <w:rFonts w:ascii="宋体" w:hAnsi="宋体" w:cs="宋体" w:eastAsia="宋体" w:hint="default"/>
          <w:sz w:val="17"/>
          <w:szCs w:val="17"/>
        </w:rPr>
      </w:pPr>
    </w:p>
    <w:p>
      <w:pPr>
        <w:pStyle w:val="BodyText"/>
        <w:spacing w:line="451" w:lineRule="auto"/>
        <w:ind w:left="1493" w:right="0" w:firstLine="1"/>
        <w:jc w:val="left"/>
      </w:pP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477" w:lineRule="auto" w:before="43"/>
        <w:ind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451" w:lineRule="auto" w:before="54"/>
        <w:ind w:left="1569" w:right="1137" w:hanging="7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对于为购建或者生产符合资本化条件的资产而借入的专门借款，以专门借款当期实际发生的借款费用，减去尚未动用</w:t>
      </w:r>
    </w:p>
    <w:p>
      <w:pPr>
        <w:pStyle w:val="BodyText"/>
        <w:spacing w:line="475" w:lineRule="auto" w:before="74"/>
        <w:ind w:left="1569" w:right="1137" w:hanging="360"/>
        <w:jc w:val="left"/>
      </w:pPr>
      <w:r>
        <w:rPr/>
        <w:t>的借款资金存入银行取得的利息收入或进行暂时性投资取得的投资收益后的金额，来确定借款费用的资本化金额。 对于为购建或者生产符合资本化条件的资产而占用的一般借款，根据累计资产支出超过专门借款部分的资产支出加权</w:t>
      </w:r>
    </w:p>
    <w:p>
      <w:pPr>
        <w:pStyle w:val="BodyText"/>
        <w:spacing w:line="477" w:lineRule="auto" w:before="56"/>
        <w:ind w:left="1209" w:right="1137"/>
        <w:jc w:val="left"/>
      </w:pPr>
      <w:r>
        <w:rPr/>
        <w:t>平均数乘以所占用一般借款的资本化率，计算确定一般借款应予资本化的借款费用金额。资本化率根据一般借款加权平均 利率计算确定。</w:t>
      </w:r>
    </w:p>
    <w:p>
      <w:pPr>
        <w:spacing w:after="0" w:line="477"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19、生物资产" w:id="188"/>
      <w:bookmarkEnd w:id="18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0"/>
        <w:jc w:val="left"/>
        <w:rPr>
          <w:b w:val="0"/>
          <w:bCs w:val="0"/>
        </w:rPr>
      </w:pPr>
      <w:bookmarkStart w:name="20、油气资产" w:id="189"/>
      <w:bookmarkEnd w:id="18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宋体" w:hAnsi="宋体" w:cs="宋体" w:eastAsia="宋体" w:hint="default"/>
          <w:b/>
          <w:bCs/>
          <w:sz w:val="32"/>
          <w:szCs w:val="32"/>
        </w:rPr>
      </w:pPr>
    </w:p>
    <w:p>
      <w:pPr>
        <w:pStyle w:val="Heading6"/>
        <w:spacing w:line="240" w:lineRule="auto"/>
        <w:ind w:left="1495" w:right="0"/>
        <w:jc w:val="left"/>
        <w:rPr>
          <w:b w:val="0"/>
          <w:bCs w:val="0"/>
        </w:rPr>
      </w:pPr>
      <w:r>
        <w:rPr>
          <w:rFonts w:ascii="Times New Roman" w:hAnsi="Times New Roman" w:cs="Times New Roman" w:eastAsia="Times New Roman" w:hint="default"/>
        </w:rPr>
        <w:t>1.</w:t>
      </w:r>
      <w:r>
        <w:rPr/>
        <w:t>无形资产的计价方法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1494"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477" w:lineRule="auto" w:before="74"/>
        <w:ind w:left="1493"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477" w:lineRule="auto" w:before="54"/>
        <w:ind w:left="149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477" w:lineRule="auto" w:before="54"/>
        <w:ind w:left="1134"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451" w:lineRule="auto" w:before="54"/>
        <w:ind w:left="1493" w:right="715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477" w:lineRule="auto" w:before="74"/>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Heading6"/>
        <w:spacing w:line="240" w:lineRule="auto" w:before="54"/>
        <w:ind w:left="1586" w:right="0"/>
        <w:jc w:val="left"/>
        <w:rPr>
          <w:b w:val="0"/>
          <w:bCs w:val="0"/>
        </w:rPr>
      </w:pP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9"/>
          <w:szCs w:val="9"/>
        </w:rPr>
      </w:pPr>
    </w:p>
    <w:tbl>
      <w:tblPr>
        <w:tblW w:w="0" w:type="auto"/>
        <w:jc w:val="left"/>
        <w:tblInd w:w="1119" w:type="dxa"/>
        <w:tblLayout w:type="fixed"/>
        <w:tblCellMar>
          <w:top w:w="0" w:type="dxa"/>
          <w:left w:w="0" w:type="dxa"/>
          <w:bottom w:w="0" w:type="dxa"/>
          <w:right w:w="0" w:type="dxa"/>
        </w:tblCellMar>
        <w:tblLook w:val="01E0"/>
      </w:tblPr>
      <w:tblGrid>
        <w:gridCol w:w="5730"/>
        <w:gridCol w:w="3929"/>
      </w:tblGrid>
      <w:tr>
        <w:trPr>
          <w:trHeight w:val="341" w:hRule="exact"/>
        </w:trPr>
        <w:tc>
          <w:tcPr>
            <w:tcW w:w="57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预计使用寿命</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3" w:hRule="exact"/>
        </w:trPr>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外购软件及许可权</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自主研发软件（不含移动端游戏自主研发软件）</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w:t>
            </w:r>
          </w:p>
        </w:tc>
      </w:tr>
      <w:tr>
        <w:trPr>
          <w:trHeight w:val="342" w:hRule="exact"/>
        </w:trPr>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自主研发软件（移动端游戏自主研发软件）</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r>
      <w:tr>
        <w:trPr>
          <w:trHeight w:val="342" w:hRule="exact"/>
        </w:trPr>
        <w:tc>
          <w:tcPr>
            <w:tcW w:w="5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20-50</w:t>
            </w:r>
          </w:p>
        </w:tc>
      </w:tr>
    </w:tbl>
    <w:p>
      <w:pPr>
        <w:spacing w:line="477" w:lineRule="auto" w:before="88"/>
        <w:ind w:left="1493" w:right="4453" w:firstLine="0"/>
        <w:jc w:val="left"/>
        <w:rPr>
          <w:rFonts w:ascii="宋体" w:hAnsi="宋体" w:cs="宋体" w:eastAsia="宋体" w:hint="default"/>
          <w:sz w:val="18"/>
          <w:szCs w:val="18"/>
        </w:rPr>
      </w:pPr>
      <w:r>
        <w:rPr>
          <w:rFonts w:ascii="宋体" w:hAnsi="宋体" w:cs="宋体" w:eastAsia="宋体" w:hint="default"/>
          <w:sz w:val="18"/>
          <w:szCs w:val="18"/>
        </w:rPr>
        <w:t>每年度终了，对使用寿命有限的无形资产的使用寿命及摊销方法进行复核。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使用寿命不确定的无形资产的判断依据以及对其使用寿命进行复核的程序</w:t>
      </w:r>
      <w:r>
        <w:rPr>
          <w:rFonts w:ascii="宋体" w:hAnsi="宋体" w:cs="宋体" w:eastAsia="宋体" w:hint="default"/>
          <w:sz w:val="18"/>
          <w:szCs w:val="18"/>
        </w:rPr>
      </w:r>
    </w:p>
    <w:p>
      <w:pPr>
        <w:spacing w:after="0" w:line="477"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1493" w:right="0"/>
        <w:jc w:val="left"/>
      </w:pPr>
      <w:r>
        <w:rPr/>
        <w:t>每期末，对使用寿命不确定的无形资产的使用寿命进行复核。</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2"/>
          <w:szCs w:val="32"/>
        </w:rPr>
      </w:pPr>
    </w:p>
    <w:p>
      <w:pPr>
        <w:spacing w:line="463" w:lineRule="auto" w:before="0"/>
        <w:ind w:left="1493" w:right="265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477" w:lineRule="auto" w:before="65"/>
        <w:ind w:right="0"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451" w:lineRule="auto" w:before="54"/>
        <w:ind w:left="1493" w:right="445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74"/>
        <w:ind w:left="149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9"/>
        <w:rPr>
          <w:rFonts w:ascii="宋体" w:hAnsi="宋体" w:cs="宋体" w:eastAsia="宋体" w:hint="default"/>
          <w:sz w:val="16"/>
          <w:szCs w:val="16"/>
        </w:rPr>
      </w:pPr>
    </w:p>
    <w:p>
      <w:pPr>
        <w:pStyle w:val="BodyText"/>
        <w:spacing w:line="451" w:lineRule="auto"/>
        <w:ind w:left="1134" w:right="1122"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74"/>
        <w:ind w:left="1494"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6"/>
          <w:szCs w:val="16"/>
        </w:rPr>
      </w:pPr>
    </w:p>
    <w:p>
      <w:pPr>
        <w:pStyle w:val="BodyText"/>
        <w:spacing w:line="451" w:lineRule="auto"/>
        <w:ind w:left="1494" w:right="1752"/>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22、长期资产减值" w:id="193"/>
      <w:bookmarkEnd w:id="19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0"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6"/>
        </w:rPr>
        <w:t> </w:t>
      </w:r>
      <w:r>
        <w:rPr>
          <w:spacing w:val="-66"/>
        </w:rPr>
      </w:r>
      <w:r>
        <w:rPr/>
        <w:t>备并计入减值损失。可收回金额为资产的公允价值减去处置费用后的净额与资产预计未来现金流量的现值两者之间的较高</w:t>
      </w:r>
      <w:r>
        <w:rPr/>
        <w:t> </w:t>
      </w:r>
      <w:r>
        <w:rPr>
          <w:spacing w:val="-2"/>
        </w:rPr>
        <w:t>者。资产减值准备按单项资产为基础计算并确认，如果难以对单项资产的可收回金额进行估计的，以该资产所属的资产组确</w:t>
      </w:r>
      <w:r>
        <w:rPr>
          <w:spacing w:val="-66"/>
        </w:rPr>
        <w:t> </w:t>
      </w:r>
      <w:r>
        <w:rPr>
          <w:spacing w:val="-66"/>
        </w:rPr>
      </w:r>
      <w:r>
        <w:rPr/>
        <w:t>定资产组的可收回金额。资产组是能够独立产生现金流入的最小资产组合。</w:t>
      </w:r>
    </w:p>
    <w:p>
      <w:pPr>
        <w:pStyle w:val="BodyText"/>
        <w:spacing w:line="477" w:lineRule="auto" w:before="54"/>
        <w:ind w:left="1493" w:right="1033"/>
        <w:jc w:val="left"/>
      </w:pPr>
      <w:r>
        <w:rPr/>
        <w:t>商誉至少在每年年度终了进行减值测试。 本公司进行商誉减值测试，对于因企业合并形成的商誉的账面价值，自购买日起按照合理的方法分摊至相关的资产组；</w:t>
      </w:r>
    </w:p>
    <w:p>
      <w:pPr>
        <w:pStyle w:val="BodyText"/>
        <w:spacing w:line="477" w:lineRule="auto" w:before="54"/>
        <w:ind w:right="1033"/>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3"/>
        </w:rPr>
        <w:t> </w:t>
      </w:r>
      <w:r>
        <w:rPr>
          <w:spacing w:val="-63"/>
        </w:rPr>
      </w:r>
      <w:r>
        <w:rPr/>
        <w:t>量的，按照各资产组或者资产组组合的账面价值占相关资产组或者资产组组合账面价值总额的比例进行分摊。</w:t>
      </w:r>
    </w:p>
    <w:p>
      <w:pPr>
        <w:pStyle w:val="BodyText"/>
        <w:spacing w:line="240" w:lineRule="auto" w:before="54"/>
        <w:ind w:left="1493" w:right="0"/>
        <w:jc w:val="left"/>
      </w:pPr>
      <w:r>
        <w:rPr/>
        <w:t>在对包含商誉的相关资产组或者资产组组合进行减值测试时，如与商誉相关的资产组或者资产组组合存在减值迹象的，</w:t>
      </w:r>
    </w:p>
    <w:p>
      <w:pPr>
        <w:spacing w:after="0" w:line="240" w:lineRule="auto"/>
        <w:jc w:val="left"/>
        <w:sectPr>
          <w:pgSz w:w="11910" w:h="16840"/>
          <w:pgMar w:header="851" w:footer="979" w:top="1380" w:bottom="1160" w:left="0" w:right="0"/>
        </w:sectPr>
      </w:pPr>
    </w:p>
    <w:p>
      <w:pPr>
        <w:pStyle w:val="BodyText"/>
        <w:spacing w:line="477" w:lineRule="auto" w:before="141"/>
        <w:ind w:right="1033"/>
        <w:jc w:val="left"/>
      </w:pP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3"/>
        <w:rPr>
          <w:rFonts w:ascii="宋体" w:hAnsi="宋体" w:cs="宋体" w:eastAsia="宋体" w:hint="default"/>
          <w:sz w:val="19"/>
          <w:szCs w:val="19"/>
        </w:rPr>
      </w:pPr>
    </w:p>
    <w:p>
      <w:pPr>
        <w:pStyle w:val="Heading3"/>
        <w:spacing w:line="240" w:lineRule="auto"/>
        <w:ind w:left="1133" w:right="0"/>
        <w:jc w:val="left"/>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0" w:firstLine="360"/>
        <w:jc w:val="left"/>
      </w:pPr>
      <w:r>
        <w:rPr>
          <w:spacing w:val="-2"/>
        </w:rPr>
        <w:t>长期待摊费用为已经发生但应由本期和以后各期负担的分摊期限在一年以上的各项费用。本公司长期待摊费用包括租入</w:t>
      </w:r>
      <w:r>
        <w:rPr/>
        <w:t> 固定资产装修和游戏版权金。</w:t>
      </w:r>
    </w:p>
    <w:p>
      <w:pPr>
        <w:spacing w:line="463" w:lineRule="auto" w:before="54"/>
        <w:ind w:left="1494" w:right="769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摊销方法</w:t>
      </w:r>
      <w:r>
        <w:rPr>
          <w:rFonts w:ascii="宋体" w:hAnsi="宋体" w:cs="宋体" w:eastAsia="宋体" w:hint="default"/>
          <w:b/>
          <w:bCs/>
          <w:w w:val="99"/>
          <w:sz w:val="18"/>
          <w:szCs w:val="18"/>
        </w:rPr>
        <w:t> </w:t>
      </w:r>
      <w:r>
        <w:rPr>
          <w:rFonts w:ascii="宋体" w:hAnsi="宋体" w:cs="宋体" w:eastAsia="宋体" w:hint="default"/>
          <w:sz w:val="18"/>
          <w:szCs w:val="18"/>
        </w:rPr>
        <w:t>长期待摊费用在受益期内平均摊销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摊销年限</w:t>
      </w:r>
      <w:r>
        <w:rPr>
          <w:rFonts w:ascii="宋体" w:hAnsi="宋体" w:cs="宋体" w:eastAsia="宋体" w:hint="default"/>
          <w:sz w:val="18"/>
          <w:szCs w:val="18"/>
        </w:rPr>
      </w:r>
    </w:p>
    <w:p>
      <w:pPr>
        <w:pStyle w:val="BodyText"/>
        <w:spacing w:line="477" w:lineRule="auto" w:before="33"/>
        <w:ind w:left="1494" w:right="3912"/>
        <w:jc w:val="left"/>
      </w:pPr>
      <w:r>
        <w:rPr/>
        <w:t>经营租赁方式租入的固定资产改良支出，按最佳预期经济利益实现方式合理摊销。 购入游戏版权金，在授权期内合理摊销。</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493" w:right="0"/>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w:t>
      </w:r>
    </w:p>
    <w:p>
      <w:pPr>
        <w:pStyle w:val="BodyText"/>
        <w:spacing w:line="477" w:lineRule="auto" w:before="54"/>
        <w:ind w:left="1493" w:right="4633" w:hanging="360"/>
        <w:jc w:val="left"/>
      </w:pPr>
      <w:r>
        <w:rPr/>
        <w:t>的会计期间，根据规定的计提基础和计提比例计算确定相应的职工薪酬金额。 职工福利费为非货币性福利的，如能够可靠计量的，按照公允价值计量。</w:t>
      </w:r>
    </w:p>
    <w:p>
      <w:pPr>
        <w:spacing w:line="240" w:lineRule="auto" w:before="3"/>
        <w:rPr>
          <w:rFonts w:ascii="宋体" w:hAnsi="宋体" w:cs="宋体" w:eastAsia="宋体" w:hint="default"/>
          <w:sz w:val="19"/>
          <w:szCs w:val="19"/>
        </w:rPr>
      </w:pPr>
    </w:p>
    <w:p>
      <w:pPr>
        <w:pStyle w:val="Heading3"/>
        <w:spacing w:line="240" w:lineRule="auto"/>
        <w:ind w:left="1133"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494" w:right="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w:t>
      </w:r>
    </w:p>
    <w:p>
      <w:pPr>
        <w:pStyle w:val="BodyText"/>
        <w:spacing w:line="477" w:lineRule="auto" w:before="74"/>
        <w:ind w:left="1493" w:right="1163" w:hanging="360"/>
        <w:jc w:val="left"/>
      </w:pPr>
      <w:r>
        <w:rPr/>
        <w:t>定的缴纳基数和比例计算应缴纳金额，确认为负债，并计入当期损益或相关资产成本。 除基本养老保险外，本公司还依据国家企业年金制度的相关政策建立了企业年金缴费制度（补充养老保险）</w:t>
      </w:r>
      <w:r>
        <w:rPr>
          <w:rFonts w:ascii="Times New Roman" w:hAnsi="Times New Roman" w:cs="Times New Roman" w:eastAsia="Times New Roman" w:hint="default"/>
        </w:rPr>
        <w:t>/</w:t>
      </w:r>
      <w:r>
        <w:rPr/>
        <w:t>企业年金</w:t>
      </w:r>
    </w:p>
    <w:p>
      <w:pPr>
        <w:pStyle w:val="BodyText"/>
        <w:spacing w:line="240" w:lineRule="auto" w:before="21"/>
        <w:ind w:right="0"/>
        <w:jc w:val="left"/>
      </w:pPr>
      <w:r>
        <w:rPr/>
        <w:t>计划。本公司按职工工资总额的一定比例向当地社会保险机构缴费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spacing w:line="240" w:lineRule="auto" w:before="10"/>
        <w:rPr>
          <w:rFonts w:ascii="宋体" w:hAnsi="宋体" w:cs="宋体" w:eastAsia="宋体" w:hint="default"/>
          <w:sz w:val="16"/>
          <w:szCs w:val="16"/>
        </w:rPr>
      </w:pPr>
    </w:p>
    <w:p>
      <w:pPr>
        <w:pStyle w:val="BodyText"/>
        <w:spacing w:line="451" w:lineRule="auto"/>
        <w:ind w:left="1494" w:right="0"/>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w:t>
      </w:r>
    </w:p>
    <w:p>
      <w:pPr>
        <w:spacing w:after="0" w:line="451" w:lineRule="auto"/>
        <w:jc w:val="left"/>
        <w:sectPr>
          <w:pgSz w:w="11910" w:h="16840"/>
          <w:pgMar w:header="851" w:footer="979" w:top="1380" w:bottom="1160" w:left="0" w:right="0"/>
        </w:sectPr>
      </w:pPr>
    </w:p>
    <w:p>
      <w:pPr>
        <w:pStyle w:val="BodyText"/>
        <w:spacing w:line="477" w:lineRule="auto" w:before="141"/>
        <w:ind w:left="1493" w:right="1033" w:hanging="360"/>
        <w:jc w:val="left"/>
      </w:pPr>
      <w:r>
        <w:rPr/>
        <w:t>益或相关资产成本。 设定受益计划义务现值减去设定受益计划资产公允价值所形成的赤字或盈余确认为一项设定受益计划净负债或净资产。</w:t>
      </w:r>
    </w:p>
    <w:p>
      <w:pPr>
        <w:pStyle w:val="BodyText"/>
        <w:spacing w:line="477" w:lineRule="auto" w:before="54"/>
        <w:ind w:left="1493" w:right="0" w:hanging="360"/>
        <w:jc w:val="left"/>
      </w:pPr>
      <w:r>
        <w:rPr/>
        <w:t>设定受益计划存在盈余的，本公司以设定受益计划的盈余和资产上限两项的孰低者计量设定受益计划净资产。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w:t>
      </w:r>
    </w:p>
    <w:p>
      <w:pPr>
        <w:pStyle w:val="BodyText"/>
        <w:spacing w:line="477" w:lineRule="auto" w:before="54"/>
        <w:ind w:left="1493" w:right="0" w:hanging="360"/>
        <w:jc w:val="left"/>
      </w:pPr>
      <w:r>
        <w:rPr/>
        <w:t>与设定受益计划义务期限和币种相匹配的国债或活跃市场上的高质量公司债券的市场收益率予以折现。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w:t>
      </w:r>
    </w:p>
    <w:p>
      <w:pPr>
        <w:pStyle w:val="BodyText"/>
        <w:spacing w:line="477" w:lineRule="auto" w:before="54"/>
        <w:ind w:right="0"/>
        <w:jc w:val="left"/>
      </w:pPr>
      <w:r>
        <w:rPr>
          <w:spacing w:val="-2"/>
        </w:rPr>
        <w:t>受益计划净负债或净资产所产生的变动计入其他综合收益，并且在后续会计期间不转回至损益，在原设定受益计划终止时在</w:t>
      </w:r>
      <w:r>
        <w:rPr>
          <w:spacing w:val="-64"/>
        </w:rPr>
        <w:t> </w:t>
      </w:r>
      <w:r>
        <w:rPr>
          <w:spacing w:val="-64"/>
        </w:rPr>
      </w:r>
      <w:r>
        <w:rPr/>
        <w:t>权益范围内将原计入其他综合收益的部分全部结转至未分配利润。</w:t>
      </w:r>
    </w:p>
    <w:p>
      <w:pPr>
        <w:pStyle w:val="BodyText"/>
        <w:spacing w:line="240" w:lineRule="auto" w:before="54"/>
        <w:ind w:left="1493" w:right="0"/>
        <w:jc w:val="left"/>
      </w:pPr>
      <w:r>
        <w:rPr/>
        <w:t>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0" w:firstLine="360"/>
        <w:jc w:val="left"/>
      </w:pPr>
      <w:r>
        <w:rPr>
          <w:spacing w:val="-2"/>
        </w:rPr>
        <w:t>本公司在不能单方面撤回因解除劳动关系计划或裁减建议所提供的辞退福利时，或确认与涉及支付辞退福利的重组相关</w:t>
      </w:r>
      <w:r>
        <w:rPr/>
        <w:t> 的成本或费用时（两者孰早），确认辞退福利产生的职工薪酬负债，并计入当期损益。</w:t>
      </w:r>
    </w:p>
    <w:p>
      <w:pPr>
        <w:spacing w:line="240" w:lineRule="auto" w:before="3"/>
        <w:rPr>
          <w:rFonts w:ascii="宋体" w:hAnsi="宋体" w:cs="宋体" w:eastAsia="宋体" w:hint="default"/>
          <w:sz w:val="19"/>
          <w:szCs w:val="19"/>
        </w:rPr>
      </w:pPr>
    </w:p>
    <w:p>
      <w:pPr>
        <w:pStyle w:val="Heading3"/>
        <w:spacing w:line="240" w:lineRule="auto"/>
        <w:ind w:left="1133" w:right="0"/>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3"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0"/>
        <w:jc w:val="left"/>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494" w:right="1572"/>
        <w:jc w:val="left"/>
      </w:pP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74"/>
        <w:ind w:left="1493" w:right="0"/>
        <w:jc w:val="left"/>
      </w:pPr>
      <w:r>
        <w:rPr/>
        <w:t>（</w:t>
      </w:r>
      <w:r>
        <w:rPr>
          <w:rFonts w:ascii="Times New Roman" w:hAnsi="Times New Roman" w:cs="Times New Roman" w:eastAsia="Times New Roman" w:hint="default"/>
        </w:rPr>
        <w:t>1</w:t>
      </w:r>
      <w:r>
        <w:rPr/>
        <w:t>）该义务是本公司承担的现时义务；</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t>（</w:t>
      </w:r>
      <w:r>
        <w:rPr>
          <w:rFonts w:ascii="Times New Roman" w:hAnsi="Times New Roman" w:cs="Times New Roman" w:eastAsia="Times New Roman" w:hint="default"/>
        </w:rPr>
        <w:t>2</w:t>
      </w:r>
      <w:r>
        <w:rPr/>
        <w:t>）履行该义务很可能导致经济利益流出本公司；</w:t>
      </w:r>
    </w:p>
    <w:p>
      <w:pPr>
        <w:spacing w:line="240" w:lineRule="auto" w:before="9"/>
        <w:rPr>
          <w:rFonts w:ascii="宋体" w:hAnsi="宋体" w:cs="宋体" w:eastAsia="宋体" w:hint="default"/>
          <w:sz w:val="16"/>
          <w:szCs w:val="16"/>
        </w:rPr>
      </w:pPr>
    </w:p>
    <w:p>
      <w:pPr>
        <w:pStyle w:val="BodyText"/>
        <w:spacing w:line="240" w:lineRule="auto"/>
        <w:ind w:left="1494" w:right="0"/>
        <w:jc w:val="left"/>
      </w:pPr>
      <w:r>
        <w:rPr/>
        <w:t>（</w:t>
      </w:r>
      <w:r>
        <w:rPr>
          <w:rFonts w:ascii="Times New Roman" w:hAnsi="Times New Roman" w:cs="Times New Roman" w:eastAsia="Times New Roman" w:hint="default"/>
        </w:rPr>
        <w:t>3</w:t>
      </w:r>
      <w:r>
        <w:rPr/>
        <w:t>）该义务的金额能够可靠地计量。</w:t>
      </w:r>
    </w:p>
    <w:p>
      <w:pPr>
        <w:spacing w:line="240" w:lineRule="auto" w:before="9"/>
        <w:rPr>
          <w:rFonts w:ascii="宋体" w:hAnsi="宋体" w:cs="宋体" w:eastAsia="宋体" w:hint="default"/>
          <w:sz w:val="16"/>
          <w:szCs w:val="16"/>
        </w:rPr>
      </w:pPr>
    </w:p>
    <w:p>
      <w:pPr>
        <w:pStyle w:val="BodyText"/>
        <w:spacing w:line="451" w:lineRule="auto"/>
        <w:ind w:left="1493" w:right="4273"/>
        <w:jc w:val="left"/>
      </w:pP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477" w:lineRule="auto" w:before="74"/>
        <w:ind w:right="0"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477" w:lineRule="auto" w:before="54"/>
        <w:ind w:left="1494" w:right="0"/>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240" w:lineRule="auto" w:before="54"/>
        <w:ind w:left="1134" w:right="0"/>
        <w:jc w:val="left"/>
      </w:pPr>
      <w:r>
        <w:rPr/>
        <w:t>即上下限金额的平均数确定。</w:t>
      </w:r>
    </w:p>
    <w:p>
      <w:pPr>
        <w:spacing w:after="0" w:line="240" w:lineRule="auto"/>
        <w:jc w:val="left"/>
        <w:sectPr>
          <w:pgSz w:w="11910" w:h="16840"/>
          <w:pgMar w:header="851" w:footer="979" w:top="1380" w:bottom="1160" w:left="0" w:right="0"/>
        </w:sectPr>
      </w:pPr>
    </w:p>
    <w:p>
      <w:pPr>
        <w:pStyle w:val="BodyText"/>
        <w:spacing w:line="477" w:lineRule="auto" w:before="141"/>
        <w:ind w:right="1131" w:firstLine="360"/>
        <w:jc w:val="both"/>
      </w:pPr>
      <w:r>
        <w:rPr>
          <w:spacing w:val="-2"/>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477" w:lineRule="auto" w:before="54"/>
        <w:ind w:right="1033"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3"/>
        <w:rPr>
          <w:rFonts w:ascii="宋体" w:hAnsi="宋体" w:cs="宋体" w:eastAsia="宋体" w:hint="default"/>
          <w:sz w:val="19"/>
          <w:szCs w:val="19"/>
        </w:rPr>
      </w:pPr>
    </w:p>
    <w:p>
      <w:pPr>
        <w:pStyle w:val="Heading3"/>
        <w:spacing w:line="240" w:lineRule="auto"/>
        <w:ind w:left="1133" w:right="0"/>
        <w:jc w:val="both"/>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0" w:firstLine="360"/>
        <w:jc w:val="left"/>
      </w:pPr>
      <w:r>
        <w:rPr>
          <w:spacing w:val="-2"/>
        </w:rPr>
        <w:t>本公司的股份支付是为了获取职工提供服务而授予权益工具或者承担以权益工具为基础确定的负债的交易。本公司的股</w:t>
      </w:r>
      <w:r>
        <w:rPr/>
        <w:t> 份支付为以权益结算的股份支付。</w:t>
      </w:r>
    </w:p>
    <w:p>
      <w:pPr>
        <w:spacing w:line="477" w:lineRule="auto" w:before="54"/>
        <w:ind w:left="1494" w:right="0" w:firstLine="1"/>
        <w:jc w:val="left"/>
        <w:rPr>
          <w:rFonts w:ascii="宋体" w:hAnsi="宋体" w:cs="宋体" w:eastAsia="宋体" w:hint="default"/>
          <w:sz w:val="18"/>
          <w:szCs w:val="18"/>
        </w:rPr>
      </w:pPr>
      <w:r>
        <w:rPr>
          <w:rFonts w:ascii="宋体" w:hAnsi="宋体" w:cs="宋体" w:eastAsia="宋体" w:hint="default"/>
          <w:b/>
          <w:bCs/>
          <w:sz w:val="18"/>
          <w:szCs w:val="18"/>
        </w:rPr>
        <w:t>以权益结算的股份支付及权益工具</w:t>
      </w:r>
      <w:r>
        <w:rPr>
          <w:rFonts w:ascii="宋体" w:hAnsi="宋体" w:cs="宋体" w:eastAsia="宋体" w:hint="default"/>
          <w:b/>
          <w:bCs/>
          <w:w w:val="99"/>
          <w:sz w:val="18"/>
          <w:szCs w:val="18"/>
        </w:rPr>
        <w:t> </w:t>
      </w:r>
      <w:r>
        <w:rPr>
          <w:rFonts w:ascii="宋体" w:hAnsi="宋体" w:cs="宋体" w:eastAsia="宋体" w:hint="default"/>
          <w:spacing w:val="-2"/>
          <w:sz w:val="18"/>
          <w:szCs w:val="18"/>
        </w:rPr>
        <w:t>以权益结算的股份支付换取职工提供服务的，以授予职工权益工具的公允价值计量。本公司以限制性股票进行股份支付</w:t>
      </w:r>
    </w:p>
    <w:p>
      <w:pPr>
        <w:pStyle w:val="BodyText"/>
        <w:spacing w:line="477" w:lineRule="auto" w:before="54"/>
        <w:ind w:left="1134" w:right="1043"/>
        <w:jc w:val="both"/>
      </w:pPr>
      <w:r>
        <w:rPr>
          <w:spacing w:val="-2"/>
        </w:rPr>
        <w:t>的，职工出资认购股票，股票在达到解锁条件并解锁前不得上市流通或转让；如果最终股权激励计划规定的解锁条件未能达</w:t>
      </w:r>
      <w:r>
        <w:rPr>
          <w:spacing w:val="-66"/>
        </w:rPr>
        <w:t> </w:t>
      </w:r>
      <w:r>
        <w:rPr>
          <w:spacing w:val="-66"/>
        </w:rPr>
      </w:r>
      <w:r>
        <w:rPr>
          <w:spacing w:val="-2"/>
        </w:rPr>
        <w:t>到，则本公司按照事先约定的价格回购股票。本公司取得职工认购限制性股票支付的款项时，按照取得的认股款确认股本和</w:t>
      </w:r>
      <w:r>
        <w:rPr>
          <w:spacing w:val="-66"/>
        </w:rPr>
        <w:t> </w:t>
      </w:r>
      <w:r>
        <w:rPr>
          <w:spacing w:val="-66"/>
        </w:rPr>
      </w:r>
      <w:r>
        <w:rPr>
          <w:spacing w:val="-2"/>
        </w:rPr>
        <w:t>资本公积（股本溢价），同时就回购义务全额确认一项负债并确认库存股。在等待期内每个资产负债表日，本公司根据最新</w:t>
      </w:r>
      <w:r>
        <w:rPr>
          <w:spacing w:val="-65"/>
        </w:rPr>
        <w:t> </w:t>
      </w:r>
      <w:r>
        <w:rPr>
          <w:spacing w:val="-65"/>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r>
        <w:rPr>
          <w:spacing w:val="-66"/>
        </w:rPr>
        <w:t> </w:t>
      </w:r>
      <w:r>
        <w:rPr>
          <w:spacing w:val="-66"/>
        </w:rPr>
      </w:r>
      <w:r>
        <w:rPr>
          <w:spacing w:val="-4"/>
        </w:rPr>
        <w:t>费用和所有者权益总额进行调整。但授予后立即可行权的，在授予日按照公允价值计入相关成本或费用，相应增加资本公积。</w:t>
      </w:r>
    </w:p>
    <w:p>
      <w:pPr>
        <w:pStyle w:val="BodyText"/>
        <w:spacing w:line="477" w:lineRule="auto" w:before="54"/>
        <w:ind w:left="1134" w:right="0" w:firstLine="360"/>
        <w:jc w:val="left"/>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p>
    <w:p>
      <w:pPr>
        <w:pStyle w:val="BodyText"/>
        <w:spacing w:line="477" w:lineRule="auto" w:before="54"/>
        <w:ind w:right="0"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p>
    <w:p>
      <w:pPr>
        <w:pStyle w:val="BodyText"/>
        <w:spacing w:line="477" w:lineRule="auto" w:before="54"/>
        <w:ind w:right="0" w:firstLine="360"/>
        <w:jc w:val="left"/>
      </w:pPr>
      <w:r>
        <w:rPr>
          <w:spacing w:val="-2"/>
        </w:rPr>
        <w:t>如果取消了以权益结算的股份支付，则于取消日作为加速行权处理，立即确认尚未确认的金额。职工或其他方能够选择</w:t>
      </w:r>
      <w:r>
        <w:rPr/>
        <w:t> </w:t>
      </w:r>
      <w:r>
        <w:rPr>
          <w:spacing w:val="-2"/>
        </w:rPr>
        <w:t>满足非可行权条件但在等待期内未满足的，作为取消以权益结算的股份支付处理。但是，如果授予新的权益工具，并在新权</w:t>
      </w:r>
      <w:r>
        <w:rPr>
          <w:spacing w:val="-66"/>
        </w:rPr>
        <w:t> </w:t>
      </w:r>
      <w:r>
        <w:rPr>
          <w:spacing w:val="-66"/>
        </w:rPr>
      </w:r>
      <w:r>
        <w:rPr/>
        <w:t>益工具授予日认定所授予的新权益工具是用于替代被取消的权益工具的，则以与处理原权益工具条款和条件修改相同的方 式，对所授予的替代权益工具进行处理。</w:t>
      </w:r>
    </w:p>
    <w:p>
      <w:pPr>
        <w:spacing w:line="240" w:lineRule="auto" w:before="3"/>
        <w:rPr>
          <w:rFonts w:ascii="宋体" w:hAnsi="宋体" w:cs="宋体" w:eastAsia="宋体" w:hint="default"/>
          <w:sz w:val="19"/>
          <w:szCs w:val="19"/>
        </w:rPr>
      </w:pPr>
    </w:p>
    <w:p>
      <w:pPr>
        <w:pStyle w:val="Heading3"/>
        <w:spacing w:line="240" w:lineRule="auto"/>
        <w:ind w:left="1133" w:right="0"/>
        <w:jc w:val="both"/>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1493" w:right="0"/>
        <w:jc w:val="left"/>
      </w:pPr>
      <w:r>
        <w:rPr/>
        <w:t>无。</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6"/>
        <w:rPr>
          <w:rFonts w:ascii="宋体" w:hAnsi="宋体" w:cs="宋体" w:eastAsia="宋体" w:hint="default"/>
          <w:b/>
          <w:bCs/>
          <w:sz w:val="32"/>
          <w:szCs w:val="32"/>
        </w:rPr>
      </w:pPr>
    </w:p>
    <w:p>
      <w:pPr>
        <w:pStyle w:val="Heading6"/>
        <w:spacing w:line="240" w:lineRule="auto"/>
        <w:ind w:left="1495" w:right="0"/>
        <w:jc w:val="left"/>
        <w:rPr>
          <w:b w:val="0"/>
          <w:bCs w:val="0"/>
        </w:rPr>
      </w:pPr>
      <w:r>
        <w:rPr/>
        <w:t>公司收入在交易结果能够可靠估计时，按以下原则确认：</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left="1494" w:right="0"/>
        <w:jc w:val="left"/>
      </w:pPr>
      <w:r>
        <w:rPr/>
        <w:t>（</w:t>
      </w:r>
      <w:r>
        <w:rPr>
          <w:rFonts w:ascii="Times New Roman" w:hAnsi="Times New Roman" w:cs="Times New Roman" w:eastAsia="Times New Roman" w:hint="default"/>
        </w:rPr>
        <w:t>1</w:t>
      </w:r>
      <w:r>
        <w:rPr/>
        <w:t>）软件产品开发与销售： </w:t>
      </w:r>
      <w:r>
        <w:rPr>
          <w:spacing w:val="-2"/>
        </w:rPr>
        <w:t>软件产品包括自主开发软件产品和定制开发软件产品。自主开发软件产品指公司自行开发研制的软件产品；定制开发软</w:t>
      </w:r>
    </w:p>
    <w:p>
      <w:pPr>
        <w:pStyle w:val="BodyText"/>
        <w:spacing w:line="477" w:lineRule="auto" w:before="74"/>
        <w:ind w:left="1494" w:right="0" w:hanging="360"/>
        <w:jc w:val="left"/>
      </w:pPr>
      <w:r>
        <w:rPr/>
        <w:t>件产品指公司根据买方的实际需求进行定制、开发的软件产品。 </w:t>
      </w:r>
      <w:r>
        <w:rPr>
          <w:spacing w:val="-2"/>
        </w:rPr>
        <w:t>对于自主开发软件产品的销售，公司在软件产品的主要风险和报酬已转移给买方，不再保留与之相联系的管理权和控制</w:t>
      </w:r>
    </w:p>
    <w:p>
      <w:pPr>
        <w:pStyle w:val="BodyText"/>
        <w:spacing w:line="477" w:lineRule="auto" w:before="54"/>
        <w:ind w:left="1493" w:right="4453" w:hanging="360"/>
        <w:jc w:val="left"/>
      </w:pPr>
      <w:r>
        <w:rPr/>
        <w:t>权，取得明确的收款证据，相关成本能够可靠地计量时，确认收入。 对于定制开发软件产品，经客户验收确认，按完工百分比确认收入。 对于包含在系统集成中的软件产品，按系统集成的收入确认原则确认收入。</w:t>
      </w:r>
    </w:p>
    <w:p>
      <w:pPr>
        <w:pStyle w:val="BodyText"/>
        <w:spacing w:line="451" w:lineRule="auto" w:before="54"/>
        <w:ind w:left="1494" w:right="1024"/>
        <w:jc w:val="left"/>
      </w:pPr>
      <w:r>
        <w:rPr/>
        <w:t>（</w:t>
      </w:r>
      <w:r>
        <w:rPr>
          <w:rFonts w:ascii="Times New Roman" w:hAnsi="Times New Roman" w:cs="Times New Roman" w:eastAsia="Times New Roman" w:hint="default"/>
        </w:rPr>
        <w:t>2</w:t>
      </w:r>
      <w:r>
        <w:rPr/>
        <w:t>）技术服务收入： </w:t>
      </w:r>
      <w:r>
        <w:rPr>
          <w:spacing w:val="-3"/>
        </w:rPr>
        <w:t>技术服务包括公司向客户提供的与</w:t>
      </w:r>
      <w:r>
        <w:rPr>
          <w:rFonts w:ascii="Times New Roman" w:hAnsi="Times New Roman" w:cs="Times New Roman" w:eastAsia="Times New Roman" w:hint="default"/>
          <w:spacing w:val="-3"/>
        </w:rPr>
        <w:t>IT</w:t>
      </w:r>
      <w:r>
        <w:rPr>
          <w:spacing w:val="-3"/>
        </w:rPr>
        <w:t>运维管理相关的技术支持、技术咨询、技术开发、系统维护、运营管理等服务内容。</w:t>
      </w:r>
      <w:r>
        <w:rPr/>
        <w:t> </w:t>
      </w:r>
      <w:r>
        <w:rPr>
          <w:spacing w:val="-2"/>
        </w:rPr>
        <w:t>公司在已根据合同约定提供了相应服务，取得明确的收款证据，相关成本能够可靠地计量时，确认收入。合同明确约定</w:t>
      </w:r>
    </w:p>
    <w:p>
      <w:pPr>
        <w:pStyle w:val="BodyText"/>
        <w:spacing w:line="477" w:lineRule="auto" w:before="74"/>
        <w:ind w:left="1134" w:right="1118"/>
        <w:jc w:val="left"/>
      </w:pPr>
      <w:r>
        <w:rPr>
          <w:spacing w:val="-2"/>
        </w:rPr>
        <w:t>服务期限的，在合同约定的服务期限内，按进度确认收入；合同明确约定服务成果需经客户验收确认的，根据客户验收情况</w:t>
      </w:r>
      <w:r>
        <w:rPr>
          <w:spacing w:val="-66"/>
        </w:rPr>
        <w:t> </w:t>
      </w:r>
      <w:r>
        <w:rPr>
          <w:spacing w:val="-66"/>
        </w:rPr>
      </w:r>
      <w:r>
        <w:rPr/>
        <w:t>确认收入。</w:t>
      </w:r>
    </w:p>
    <w:p>
      <w:pPr>
        <w:pStyle w:val="BodyText"/>
        <w:spacing w:line="451" w:lineRule="auto" w:before="54"/>
        <w:ind w:left="1494" w:right="5532"/>
        <w:jc w:val="left"/>
      </w:pPr>
      <w:r>
        <w:rPr/>
        <w:t>（</w:t>
      </w:r>
      <w:r>
        <w:rPr>
          <w:rFonts w:ascii="Times New Roman" w:hAnsi="Times New Roman" w:cs="Times New Roman" w:eastAsia="Times New Roman" w:hint="default"/>
        </w:rPr>
        <w:t>3</w:t>
      </w:r>
      <w:r>
        <w:rPr/>
        <w:t>）系统集成收入： 系统集成包括外购软硬件产品和公司软件产品的销售及安装。</w:t>
      </w:r>
    </w:p>
    <w:p>
      <w:pPr>
        <w:pStyle w:val="BodyText"/>
        <w:spacing w:line="477" w:lineRule="auto" w:before="74"/>
        <w:ind w:left="1134" w:right="0" w:firstLine="360"/>
        <w:jc w:val="left"/>
      </w:pPr>
      <w:r>
        <w:rPr>
          <w:spacing w:val="-4"/>
        </w:rPr>
        <w:t>对于系统集成，公司根据合同的约定，在系统集成中的外购软硬件产品和公司软件产品的主要风险和报酬已转移给买方，</w:t>
      </w:r>
      <w:r>
        <w:rPr/>
        <w:t> </w:t>
      </w:r>
      <w:r>
        <w:rPr>
          <w:spacing w:val="-2"/>
        </w:rPr>
        <w:t>不再保留与之相联系的继续管理权和控制权，系统已按合同约定的条件安装调试、取得了买方的验收确认，相关成本能够可</w:t>
      </w:r>
      <w:r>
        <w:rPr>
          <w:spacing w:val="-66"/>
        </w:rPr>
        <w:t> </w:t>
      </w:r>
      <w:r>
        <w:rPr>
          <w:spacing w:val="-66"/>
        </w:rPr>
      </w:r>
      <w:r>
        <w:rPr/>
        <w:t>靠地计量时，按完工百分比确认收入。</w:t>
      </w:r>
    </w:p>
    <w:p>
      <w:pPr>
        <w:pStyle w:val="BodyText"/>
        <w:spacing w:line="451" w:lineRule="auto" w:before="54"/>
        <w:ind w:left="1494" w:right="0"/>
        <w:jc w:val="left"/>
      </w:pPr>
      <w:r>
        <w:rPr/>
        <w:t>（</w:t>
      </w:r>
      <w:r>
        <w:rPr>
          <w:rFonts w:ascii="Times New Roman" w:hAnsi="Times New Roman" w:cs="Times New Roman" w:eastAsia="Times New Roman" w:hint="default"/>
        </w:rPr>
        <w:t>4</w:t>
      </w:r>
      <w:r>
        <w:rPr/>
        <w:t>）电子商务收入： </w:t>
      </w:r>
      <w:r>
        <w:rPr>
          <w:spacing w:val="-2"/>
        </w:rPr>
        <w:t>对于电子商务业务，以公司将商品所有权上的主要风险和报酬转移给购买方；公司既没有保留与所有权相联系的继续管</w:t>
      </w:r>
    </w:p>
    <w:p>
      <w:pPr>
        <w:pStyle w:val="BodyText"/>
        <w:spacing w:line="477" w:lineRule="auto" w:before="74"/>
        <w:ind w:left="1134" w:right="0"/>
        <w:jc w:val="left"/>
      </w:pPr>
      <w:r>
        <w:rPr>
          <w:spacing w:val="-2"/>
        </w:rPr>
        <w:t>理权，也没有对已售出的商品实施有效控制；收入的金额能够可靠地计量；相关的经济利益很可能流入企业；相关的已发生</w:t>
      </w:r>
      <w:r>
        <w:rPr>
          <w:spacing w:val="-66"/>
        </w:rPr>
        <w:t> </w:t>
      </w:r>
      <w:r>
        <w:rPr>
          <w:spacing w:val="-66"/>
        </w:rPr>
      </w:r>
      <w:r>
        <w:rPr/>
        <w:t>或将发生的成本能够可靠地计量时，确认商品销售收入实现。</w:t>
      </w:r>
    </w:p>
    <w:p>
      <w:pPr>
        <w:pStyle w:val="BodyText"/>
        <w:spacing w:line="463" w:lineRule="auto" w:before="54"/>
        <w:ind w:left="1493" w:right="4813"/>
        <w:jc w:val="left"/>
      </w:pPr>
      <w:r>
        <w:rPr/>
        <w:t>（</w:t>
      </w:r>
      <w:r>
        <w:rPr>
          <w:rFonts w:ascii="Times New Roman" w:hAnsi="Times New Roman" w:cs="Times New Roman" w:eastAsia="Times New Roman" w:hint="default"/>
        </w:rPr>
        <w:t>5</w:t>
      </w:r>
      <w:r>
        <w:rPr/>
        <w:t>）移动端游戏收入： 公司目前的移动游戏分为联机游戏和单机游戏，其中以联机游戏为主。 </w:t>
      </w:r>
      <w:r>
        <w:rPr>
          <w:rFonts w:ascii="Times New Roman" w:hAnsi="Times New Roman" w:cs="Times New Roman" w:eastAsia="Times New Roman" w:hint="default"/>
        </w:rPr>
        <w:t>1.</w:t>
      </w:r>
      <w:r>
        <w:rPr/>
        <w:t>联机游戏目前采用</w:t>
      </w:r>
      <w:r>
        <w:rPr>
          <w:rFonts w:ascii="Times New Roman" w:hAnsi="Times New Roman" w:cs="Times New Roman" w:eastAsia="Times New Roman" w:hint="default"/>
        </w:rPr>
        <w:t>“</w:t>
      </w:r>
      <w:r>
        <w:rPr/>
        <w:t>游戏基础功能免费、部分道具收费</w:t>
      </w:r>
      <w:r>
        <w:rPr>
          <w:rFonts w:ascii="Times New Roman" w:hAnsi="Times New Roman" w:cs="Times New Roman" w:eastAsia="Times New Roman" w:hint="default"/>
        </w:rPr>
        <w:t>”</w:t>
      </w:r>
      <w:r>
        <w:rPr/>
        <w:t>的运营模式。</w:t>
      </w:r>
    </w:p>
    <w:p>
      <w:pPr>
        <w:pStyle w:val="BodyText"/>
        <w:spacing w:line="477" w:lineRule="auto" w:before="34"/>
        <w:ind w:right="0" w:firstLine="360"/>
        <w:jc w:val="left"/>
      </w:pPr>
      <w:r>
        <w:rPr>
          <w:spacing w:val="-2"/>
        </w:rPr>
        <w:t>月末与合作方对账确认后，以协议约定的分成比例为基础，在玩家实际使用付费获得的游戏内货币购买道具及其他合理</w:t>
      </w:r>
      <w:r>
        <w:rPr/>
        <w:t> 方式确认收入。</w:t>
      </w:r>
    </w:p>
    <w:p>
      <w:pPr>
        <w:pStyle w:val="BodyText"/>
        <w:spacing w:line="240" w:lineRule="auto" w:before="54"/>
        <w:ind w:left="1493" w:right="0"/>
        <w:jc w:val="left"/>
      </w:pPr>
      <w:r>
        <w:rPr>
          <w:rFonts w:ascii="Times New Roman" w:hAnsi="Times New Roman" w:cs="Times New Roman" w:eastAsia="Times New Roman" w:hint="default"/>
        </w:rPr>
        <w:t>2.</w:t>
      </w:r>
      <w:r>
        <w:rPr/>
        <w:t>单机游戏目前采用</w:t>
      </w:r>
      <w:r>
        <w:rPr>
          <w:rFonts w:ascii="Times New Roman" w:hAnsi="Times New Roman" w:cs="Times New Roman" w:eastAsia="Times New Roman" w:hint="default"/>
        </w:rPr>
        <w:t>“</w:t>
      </w:r>
      <w:r>
        <w:rPr/>
        <w:t>下载一次性收费</w:t>
      </w:r>
      <w:r>
        <w:rPr>
          <w:rFonts w:ascii="Times New Roman" w:hAnsi="Times New Roman" w:cs="Times New Roman" w:eastAsia="Times New Roman" w:hint="default"/>
        </w:rPr>
        <w:t>”</w:t>
      </w:r>
      <w:r>
        <w:rPr/>
        <w:t>模式，在玩家下载游戏并确认付费时确认收入。</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w:id="205"/>
      <w:bookmarkEnd w:id="205"/>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1134" w:right="1132" w:firstLine="360"/>
        <w:jc w:val="both"/>
      </w:pPr>
      <w:r>
        <w:rPr>
          <w:spacing w:val="-2"/>
        </w:rPr>
        <w:t>与资产相关的政府补助，是指本公司取得的、用于购建或以其他方式形成长期资产的政府补助，包括购买固定资产或无</w:t>
      </w:r>
      <w:r>
        <w:rPr/>
        <w:t> </w:t>
      </w:r>
      <w:r>
        <w:rPr>
          <w:spacing w:val="-2"/>
        </w:rPr>
        <w:t>形资产的财政拨款、固定资产专门借款的财政贴息等。与收益相关的政府补助，是指除与资产相关的政府补助之外的政府补</w:t>
      </w:r>
      <w:r>
        <w:rPr>
          <w:spacing w:val="-66"/>
        </w:rPr>
        <w:t> </w:t>
      </w:r>
      <w:r>
        <w:rPr>
          <w:spacing w:val="-66"/>
        </w:rPr>
      </w:r>
      <w:r>
        <w:rPr>
          <w:spacing w:val="-2"/>
        </w:rPr>
        <w:t>助。与资产相关的政府补助，在实际收到或者获得了收取政府补助的权利并基本确定能收到时确认为递延收益，并按照所建</w:t>
      </w:r>
      <w:r>
        <w:rPr>
          <w:spacing w:val="-66"/>
        </w:rPr>
        <w:t> </w:t>
      </w:r>
      <w:r>
        <w:rPr>
          <w:spacing w:val="-66"/>
        </w:rPr>
      </w:r>
      <w:r>
        <w:rPr/>
        <w:t>造或购买的资产使用年限分期计入营业外收入。</w:t>
      </w:r>
    </w:p>
    <w:p>
      <w:pPr>
        <w:pStyle w:val="BodyText"/>
        <w:spacing w:line="240" w:lineRule="auto" w:before="54"/>
        <w:ind w:left="1494" w:right="0"/>
        <w:jc w:val="left"/>
      </w:pPr>
      <w:r>
        <w:rPr/>
        <w:t>与资产相关的政府补助，确认为递延收益，按照所建造或购买的资产使用年限分期计入营业外收入。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left="1133"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129" w:firstLine="360"/>
        <w:jc w:val="both"/>
      </w:pPr>
      <w:r>
        <w:rPr/>
        <w:t>与收益相关的政府补助，在实际收到或者获得了收取政府补助的权利并基本确定能收到时予以确认。其中：（</w:t>
      </w:r>
      <w:r>
        <w:rPr>
          <w:rFonts w:ascii="Times New Roman" w:hAnsi="Times New Roman" w:cs="Times New Roman" w:eastAsia="Times New Roman" w:hint="default"/>
        </w:rPr>
        <w:t>1</w:t>
      </w:r>
      <w:r>
        <w:rPr/>
        <w:t>）用于 补偿企业以后期间的相关费用或损失的，取得时确认为递延收益，在确认相关费用的期间计入当期营业外收入；（</w:t>
      </w:r>
      <w:r>
        <w:rPr>
          <w:rFonts w:ascii="Times New Roman" w:hAnsi="Times New Roman" w:cs="Times New Roman" w:eastAsia="Times New Roman" w:hint="default"/>
        </w:rPr>
        <w:t>2</w:t>
      </w:r>
      <w:r>
        <w:rPr/>
        <w:t>）用于</w:t>
      </w:r>
      <w:r>
        <w:rPr>
          <w:spacing w:val="-83"/>
        </w:rPr>
        <w:t> </w:t>
      </w:r>
      <w:r>
        <w:rPr>
          <w:spacing w:val="-83"/>
        </w:rPr>
      </w:r>
      <w:r>
        <w:rPr/>
        <w:t>补偿企业已发生的相关费用或损失的，取得时直接计入当期营业外收入。</w:t>
      </w:r>
    </w:p>
    <w:p>
      <w:pPr>
        <w:pStyle w:val="BodyText"/>
        <w:spacing w:line="477" w:lineRule="auto" w:before="74"/>
        <w:ind w:right="1133" w:firstLine="360"/>
        <w:jc w:val="both"/>
      </w:pPr>
      <w:r>
        <w:rPr>
          <w:spacing w:val="-2"/>
        </w:rPr>
        <w:t>与收益相关的政府补助，用于补偿本公司以后期间的相关费用或损失的，取得时确认为递延收益，在确认相关费用的期</w:t>
      </w:r>
      <w:r>
        <w:rPr/>
        <w:t> 间计入当期营业外收入；用于补偿本公司已发生的相关费用或损失的，取得时直接计入当期营业外收入。</w:t>
      </w:r>
    </w:p>
    <w:p>
      <w:pPr>
        <w:spacing w:line="240" w:lineRule="auto" w:before="4"/>
        <w:rPr>
          <w:rFonts w:ascii="宋体" w:hAnsi="宋体" w:cs="宋体" w:eastAsia="宋体" w:hint="default"/>
          <w:sz w:val="19"/>
          <w:szCs w:val="19"/>
        </w:rPr>
      </w:pPr>
    </w:p>
    <w:p>
      <w:pPr>
        <w:pStyle w:val="Heading3"/>
        <w:spacing w:line="240" w:lineRule="auto"/>
        <w:ind w:left="1133" w:right="0"/>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2" w:firstLine="360"/>
        <w:jc w:val="both"/>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477" w:lineRule="auto" w:before="54"/>
        <w:ind w:left="1494"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477" w:lineRule="auto" w:before="54"/>
        <w:ind w:left="1494" w:right="0" w:hanging="360"/>
        <w:jc w:val="left"/>
      </w:pPr>
      <w:r>
        <w:rPr/>
        <w:t>润也不影响应纳税所得额（或可抵扣亏损）的其他交易或事项。 </w:t>
      </w:r>
      <w:r>
        <w:rPr>
          <w:spacing w:val="-2"/>
        </w:rPr>
        <w:t>当拥有以净额结算的法定权利，且意图以净额结算或取得资产、清偿负债同时进行时，当期所得税资产及当期所得税负</w:t>
      </w:r>
    </w:p>
    <w:p>
      <w:pPr>
        <w:pStyle w:val="BodyText"/>
        <w:spacing w:line="477" w:lineRule="auto" w:before="54"/>
        <w:ind w:left="1494" w:right="0" w:hanging="360"/>
        <w:jc w:val="left"/>
      </w:pPr>
      <w:r>
        <w:rPr/>
        <w:t>债以抵销后的净额列报。 </w:t>
      </w:r>
      <w:r>
        <w:rPr>
          <w:spacing w:val="-2"/>
        </w:rPr>
        <w:t>当拥有以净额结算当期所得税资产及当期所得税负债的法定权利，且递延所得税资产及递延所得税负债是与同一税收征</w:t>
      </w:r>
    </w:p>
    <w:p>
      <w:pPr>
        <w:pStyle w:val="BodyText"/>
        <w:spacing w:line="477" w:lineRule="auto" w:before="54"/>
        <w:ind w:left="1134"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after="0" w:line="477" w:lineRule="auto"/>
        <w:jc w:val="both"/>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1134" w:right="1139" w:firstLine="360"/>
        <w:jc w:val="both"/>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 的与租赁交易相关的初始直接费用，计入当期费用。</w:t>
      </w:r>
    </w:p>
    <w:p>
      <w:pPr>
        <w:pStyle w:val="BodyText"/>
        <w:spacing w:line="477" w:lineRule="auto" w:before="74"/>
        <w:ind w:left="1134" w:right="113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463" w:lineRule="auto" w:before="54"/>
        <w:ind w:left="1134" w:right="1131" w:firstLine="360"/>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 </w:t>
      </w:r>
      <w:r>
        <w:rPr>
          <w:spacing w:val="-2"/>
        </w:rPr>
        <w:t>司支付的与租赁交易相关的初始直接费用，计入当期费用；如金额较大的，则予以资本化，在整个租赁期间内按照与租赁相</w:t>
      </w:r>
      <w:r>
        <w:rPr>
          <w:spacing w:val="-66"/>
        </w:rPr>
        <w:t> </w:t>
      </w:r>
      <w:r>
        <w:rPr>
          <w:spacing w:val="-66"/>
        </w:rPr>
      </w:r>
      <w:r>
        <w:rPr/>
        <w:t>关收入确认相同的基础分期计入当期收益。</w:t>
      </w:r>
    </w:p>
    <w:p>
      <w:pPr>
        <w:pStyle w:val="BodyText"/>
        <w:spacing w:line="477" w:lineRule="auto" w:before="65"/>
        <w:ind w:left="1134" w:right="1131"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63" w:lineRule="auto"/>
        <w:ind w:left="1134" w:right="1133" w:firstLine="360"/>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 </w:t>
      </w:r>
      <w:r>
        <w:rPr>
          <w:spacing w:val="-2"/>
        </w:rPr>
        <w:t>账价值，将最低租赁付款额作为长期应付款的入账价值，其差额作为未确认的融资费用。公司采用实际利率法对未确认的融</w:t>
      </w:r>
      <w:r>
        <w:rPr>
          <w:spacing w:val="-66"/>
        </w:rPr>
        <w:t> </w:t>
      </w:r>
      <w:r>
        <w:rPr>
          <w:spacing w:val="-66"/>
        </w:rPr>
      </w:r>
      <w:r>
        <w:rPr/>
        <w:t>资费用，在资产租赁期间内摊销，计入财务费用。公司发生的初始直接费用，计入租入资产价值。</w:t>
      </w:r>
    </w:p>
    <w:p>
      <w:pPr>
        <w:pStyle w:val="BodyText"/>
        <w:spacing w:line="463" w:lineRule="auto" w:before="65"/>
        <w:ind w:left="1134" w:right="0" w:firstLine="36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133" w:right="0"/>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32"/>
          <w:szCs w:val="32"/>
        </w:rPr>
      </w:pPr>
    </w:p>
    <w:p>
      <w:pPr>
        <w:spacing w:before="0"/>
        <w:ind w:left="14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32"/>
          <w:szCs w:val="32"/>
        </w:rPr>
      </w:pPr>
    </w:p>
    <w:p>
      <w:pPr>
        <w:spacing w:before="0"/>
        <w:ind w:left="14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34、其他" w:id="215"/>
      <w:bookmarkEnd w:id="215"/>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left="1133" w:right="0"/>
        <w:jc w:val="left"/>
        <w:rPr>
          <w:b w:val="0"/>
          <w:bCs w:val="0"/>
        </w:rPr>
      </w:pPr>
      <w:bookmarkStart w:name="六、税项" w:id="216"/>
      <w:bookmarkEnd w:id="216"/>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6"/>
        <w:rPr>
          <w:rFonts w:ascii="宋体" w:hAnsi="宋体" w:cs="宋体" w:eastAsia="宋体" w:hint="default"/>
          <w:b/>
          <w:bCs/>
          <w:sz w:val="6"/>
          <w:szCs w:val="6"/>
        </w:rPr>
      </w:pPr>
    </w:p>
    <w:p>
      <w:pPr>
        <w:pStyle w:val="BodyText"/>
        <w:spacing w:line="240" w:lineRule="auto" w:before="44"/>
        <w:ind w:left="1494" w:right="0"/>
        <w:jc w:val="left"/>
      </w:pPr>
      <w:r>
        <w:rPr/>
        <w:t>存在不同企业所得税税率纳税主体的，披露情况说明</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北京神州泰岳软件股份有限公司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宁波普天通信技术（香港）有限公司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3"/>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8"/>
                <w:sz w:val="18"/>
              </w:rPr>
              <w:t> </w:t>
            </w:r>
            <w:r>
              <w:rPr>
                <w:rFonts w:ascii="Times New Roman"/>
                <w:sz w:val="18"/>
              </w:rPr>
              <w:t>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5"/>
                <w:sz w:val="18"/>
              </w:rPr>
              <w:t> 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Bridge Minds Consulting Pte</w:t>
            </w:r>
            <w:r>
              <w:rPr>
                <w:rFonts w:ascii="Times New Roman"/>
                <w:spacing w:val="-8"/>
                <w:sz w:val="18"/>
              </w:rPr>
              <w:t> </w:t>
            </w:r>
            <w:r>
              <w:rPr>
                <w:rFonts w:ascii="Times New Roman"/>
                <w:sz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ULTRAPOWER 360</w:t>
            </w:r>
            <w:r>
              <w:rPr>
                <w:rFonts w:ascii="Times New Roman"/>
                <w:spacing w:val="-16"/>
                <w:sz w:val="18"/>
              </w:rPr>
              <w:t> </w:t>
            </w:r>
            <w:r>
              <w:rPr>
                <w:rFonts w:ascii="Times New Roman"/>
                <w:spacing w:val="-3"/>
                <w:sz w:val="18"/>
              </w:rPr>
              <w:t>PTE.LTD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17.00%</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8"/>
              <w:jc w:val="left"/>
              <w:rPr>
                <w:rFonts w:ascii="Times New Roman" w:hAnsi="Times New Roman" w:cs="Times New Roman" w:eastAsia="Times New Roman" w:hint="default"/>
                <w:sz w:val="18"/>
                <w:szCs w:val="18"/>
              </w:rPr>
            </w:pPr>
            <w:r>
              <w:rPr>
                <w:rFonts w:ascii="Times New Roman"/>
                <w:sz w:val="18"/>
              </w:rPr>
              <w:t>RED TRUST </w:t>
            </w:r>
            <w:r>
              <w:rPr>
                <w:rFonts w:ascii="Times New Roman"/>
                <w:spacing w:val="-3"/>
                <w:sz w:val="18"/>
              </w:rPr>
              <w:t>SOFTWARE </w:t>
            </w:r>
            <w:r>
              <w:rPr>
                <w:rFonts w:ascii="Times New Roman"/>
                <w:sz w:val="18"/>
              </w:rPr>
              <w:t>AND </w:t>
            </w:r>
            <w:r>
              <w:rPr>
                <w:rFonts w:ascii="Times New Roman"/>
                <w:spacing w:val="-3"/>
                <w:sz w:val="18"/>
              </w:rPr>
              <w:t>SERVICE</w:t>
            </w:r>
            <w:r>
              <w:rPr>
                <w:rFonts w:ascii="Times New Roman"/>
                <w:spacing w:val="-12"/>
                <w:sz w:val="18"/>
              </w:rPr>
              <w:t> </w:t>
            </w:r>
            <w:r>
              <w:rPr>
                <w:rFonts w:ascii="Times New Roman"/>
                <w:sz w:val="18"/>
              </w:rPr>
              <w:t>TECHNOLOGY</w:t>
            </w:r>
            <w:r>
              <w:rPr>
                <w:rFonts w:ascii="Times New Roman"/>
                <w:w w:val="99"/>
                <w:sz w:val="18"/>
              </w:rPr>
              <w:t> </w:t>
            </w:r>
            <w:r>
              <w:rPr>
                <w:rFonts w:ascii="Times New Roman"/>
                <w:spacing w:val="-3"/>
                <w:sz w:val="18"/>
              </w:rPr>
              <w:t>COMPANY</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泰岳小漫（香港）有限公司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ultrapower software MEA</w:t>
            </w:r>
            <w:r>
              <w:rPr>
                <w:rFonts w:ascii="Times New Roman"/>
                <w:spacing w:val="-14"/>
                <w:sz w:val="18"/>
              </w:rPr>
              <w:t> </w:t>
            </w:r>
            <w:r>
              <w:rPr>
                <w:rFonts w:ascii="Times New Roman"/>
                <w:sz w:val="18"/>
              </w:rPr>
              <w:t>FZ-LLC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Uqsoft (Thailand) Co.</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Uqsoft (Hong Kong)</w:t>
            </w:r>
            <w:r>
              <w:rPr>
                <w:rFonts w:ascii="Times New Roman"/>
                <w:spacing w:val="-3"/>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UQSOFT (RUSSIA)</w:t>
            </w:r>
            <w:r>
              <w:rPr>
                <w:rFonts w:ascii="Times New Roman"/>
                <w:spacing w:val="-5"/>
                <w:sz w:val="18"/>
              </w:rPr>
              <w:t> </w:t>
            </w:r>
            <w:r>
              <w:rPr>
                <w:rFonts w:ascii="Times New Roman"/>
                <w:sz w:val="18"/>
              </w:rPr>
              <w:t>CO.</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r>
    </w:tbl>
    <w:p>
      <w:pPr>
        <w:pStyle w:val="BodyText"/>
        <w:spacing w:line="206" w:lineRule="exact"/>
        <w:ind w:left="1494" w:right="0"/>
        <w:jc w:val="left"/>
      </w:pPr>
      <w:r>
        <w:rPr/>
        <w:t>注：所在地为美国特拉华州，公司所得税分为联邦所得税和特拉华州所得税。其中：对于联邦所得税，其应纳税所得额</w:t>
      </w:r>
    </w:p>
    <w:p>
      <w:pPr>
        <w:pStyle w:val="BodyText"/>
        <w:spacing w:line="338" w:lineRule="auto" w:before="115"/>
        <w:ind w:right="1185"/>
        <w:jc w:val="left"/>
      </w:pPr>
      <w:r>
        <w:rPr/>
        <w:t>少于五万美元的公司，按</w:t>
      </w:r>
      <w:r>
        <w:rPr>
          <w:spacing w:val="-46"/>
        </w:rPr>
        <w:t> </w:t>
      </w:r>
      <w:r>
        <w:rPr>
          <w:rFonts w:ascii="Times New Roman" w:hAnsi="Times New Roman" w:cs="Times New Roman" w:eastAsia="Times New Roman" w:hint="default"/>
        </w:rPr>
        <w:t>15%</w:t>
      </w:r>
      <w:r>
        <w:rPr/>
        <w:t>的比例纳税，五万美元到七万五千美元之间的所得按</w:t>
      </w:r>
      <w:r>
        <w:rPr>
          <w:spacing w:val="-46"/>
        </w:rPr>
        <w:t> </w:t>
      </w:r>
      <w:r>
        <w:rPr>
          <w:rFonts w:ascii="Times New Roman" w:hAnsi="Times New Roman" w:cs="Times New Roman" w:eastAsia="Times New Roman" w:hint="default"/>
        </w:rPr>
        <w:t>25%</w:t>
      </w:r>
      <w:r>
        <w:rPr/>
        <w:t>的比例纳税，七万五千美元到一千 万美元之间的所得按</w:t>
      </w:r>
      <w:r>
        <w:rPr>
          <w:spacing w:val="-46"/>
        </w:rPr>
        <w:t> </w:t>
      </w:r>
      <w:r>
        <w:rPr>
          <w:rFonts w:ascii="Times New Roman" w:hAnsi="Times New Roman" w:cs="Times New Roman" w:eastAsia="Times New Roman" w:hint="default"/>
        </w:rPr>
        <w:t>34%</w:t>
      </w:r>
      <w:r>
        <w:rPr/>
        <w:t>的比例纳税，一千万美元以上的所得按</w:t>
      </w:r>
      <w:r>
        <w:rPr>
          <w:spacing w:val="-46"/>
        </w:rPr>
        <w:t> </w:t>
      </w:r>
      <w:r>
        <w:rPr>
          <w:rFonts w:ascii="Times New Roman" w:hAnsi="Times New Roman" w:cs="Times New Roman" w:eastAsia="Times New Roman" w:hint="default"/>
        </w:rPr>
        <w:t>35%</w:t>
      </w:r>
      <w:r>
        <w:rPr/>
        <w:t>的比例纳税；特拉华州所得税税率为</w:t>
      </w:r>
      <w:r>
        <w:rPr>
          <w:spacing w:val="-46"/>
        </w:rPr>
        <w:t> </w:t>
      </w:r>
      <w:r>
        <w:rPr>
          <w:rFonts w:ascii="Times New Roman" w:hAnsi="Times New Roman" w:cs="Times New Roman" w:eastAsia="Times New Roman" w:hint="default"/>
        </w:rPr>
        <w:t>8.7%</w:t>
      </w:r>
      <w:r>
        <w:rPr/>
        <w:t>。</w:t>
      </w:r>
    </w:p>
    <w:p>
      <w:pPr>
        <w:spacing w:after="0" w:line="338"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2"/>
          <w:szCs w:val="32"/>
        </w:rPr>
      </w:pPr>
    </w:p>
    <w:p>
      <w:pPr>
        <w:pStyle w:val="Heading6"/>
        <w:spacing w:line="240" w:lineRule="auto"/>
        <w:ind w:right="0"/>
        <w:jc w:val="left"/>
        <w:rPr>
          <w:b w:val="0"/>
          <w:bCs w:val="0"/>
        </w:rPr>
      </w:pPr>
      <w:r>
        <w:rPr>
          <w:rFonts w:ascii="Times New Roman" w:hAnsi="Times New Roman" w:cs="Times New Roman" w:eastAsia="Times New Roman" w:hint="default"/>
        </w:rPr>
        <w:t>1.</w:t>
      </w:r>
      <w:r>
        <w:rPr/>
        <w:t>增值税</w:t>
      </w:r>
      <w:r>
        <w:rPr>
          <w:b w:val="0"/>
          <w:bCs w:val="0"/>
        </w:rPr>
      </w:r>
    </w:p>
    <w:p>
      <w:pPr>
        <w:spacing w:line="240" w:lineRule="auto" w:before="10"/>
        <w:rPr>
          <w:rFonts w:ascii="宋体" w:hAnsi="宋体" w:cs="宋体" w:eastAsia="宋体" w:hint="default"/>
          <w:b/>
          <w:bCs/>
          <w:sz w:val="16"/>
          <w:szCs w:val="16"/>
        </w:rPr>
      </w:pPr>
    </w:p>
    <w:p>
      <w:pPr>
        <w:pStyle w:val="BodyText"/>
        <w:spacing w:line="460" w:lineRule="auto"/>
        <w:ind w:right="1130" w:firstLine="360"/>
        <w:jc w:val="both"/>
      </w:pPr>
      <w:r>
        <w:rPr>
          <w:spacing w:val="-2"/>
        </w:rPr>
        <w:t>根据国务院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月发布的国发【</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4</w:t>
      </w:r>
      <w:r>
        <w:rPr>
          <w:spacing w:val="-2"/>
        </w:rPr>
        <w:t>号《关于印发进一步鼓励软件产业和集成电路产业发展若干政策的通知》和</w:t>
      </w:r>
      <w:r>
        <w:rPr/>
        <w:t> 财政部、国家税务总局发布的财税【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号《关于软件产品增值税政策的通知》中的有关规定，本公司，全资子公司 </w:t>
      </w:r>
      <w:r>
        <w:rPr>
          <w:spacing w:val="-2"/>
        </w:rPr>
        <w:t>北京新媒传信科技有限公司、北京神州泰岳系统集成有限公司、北京神州泰岳信息安全技术有限公司、北京神州祥升软件有</w:t>
      </w:r>
      <w:r>
        <w:rPr>
          <w:spacing w:val="-66"/>
        </w:rPr>
        <w:t> </w:t>
      </w:r>
      <w:r>
        <w:rPr>
          <w:spacing w:val="-66"/>
        </w:rPr>
      </w:r>
      <w:r>
        <w:rPr>
          <w:spacing w:val="-2"/>
        </w:rPr>
        <w:t>限公司、奇点新源国际技术开发（北京）有限公司、北京神州泰岳智能数据技术有限公司、天津泰岳小漫科技有限公司，孙</w:t>
      </w:r>
      <w:r>
        <w:rPr>
          <w:spacing w:val="-67"/>
        </w:rPr>
        <w:t> </w:t>
      </w:r>
      <w:r>
        <w:rPr>
          <w:spacing w:val="-67"/>
        </w:rPr>
      </w:r>
      <w:r>
        <w:rPr/>
        <w:t>公司宁波金信通讯技术有限公司、宁波移畅通信设备有限公司销售自行开发生产的软件产品时对增值税实际税负超过</w:t>
      </w:r>
      <w:r>
        <w:rPr>
          <w:rFonts w:ascii="Times New Roman" w:hAnsi="Times New Roman" w:cs="Times New Roman" w:eastAsia="Times New Roman" w:hint="default"/>
        </w:rPr>
        <w:t>3%</w:t>
      </w:r>
      <w:r>
        <w:rPr/>
        <w:t>的 部分即征即退。</w:t>
      </w:r>
    </w:p>
    <w:p>
      <w:pPr>
        <w:pStyle w:val="BodyText"/>
        <w:spacing w:line="468" w:lineRule="auto" w:before="67"/>
        <w:ind w:left="1134" w:right="1032" w:firstLine="360"/>
        <w:jc w:val="left"/>
      </w:pPr>
      <w:r>
        <w:rPr/>
        <w:t>根据财政部和国家税务总局财税【</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106</w:t>
      </w:r>
      <w:r>
        <w:rPr/>
        <w:t>号《财政部国家税务总局关于将铁路运输和邮政业纳入营业税改征增值税 </w:t>
      </w:r>
      <w:r>
        <w:rPr>
          <w:spacing w:val="-2"/>
        </w:rPr>
        <w:t>试点的通知》本公司及全资子公司北京新媒传信科技有限公司、北京神州泰岳系统集成有限公司、重庆新媒农信科技有限公</w:t>
      </w:r>
      <w:r>
        <w:rPr>
          <w:spacing w:val="-66"/>
        </w:rPr>
        <w:t> </w:t>
      </w:r>
      <w:r>
        <w:rPr>
          <w:spacing w:val="-66"/>
        </w:rPr>
      </w:r>
      <w:r>
        <w:rPr/>
        <w:t>司、北京神州泰岳信息安全技术有限公司从事技术转让、技术开发业务和与之相关的技术咨询、技术服务业务取得的收入， 符合条件的，免征增值税。</w:t>
      </w:r>
    </w:p>
    <w:p>
      <w:pPr>
        <w:pStyle w:val="BodyText"/>
        <w:spacing w:line="463" w:lineRule="auto" w:before="61"/>
        <w:ind w:left="1134" w:right="1130" w:firstLine="360"/>
        <w:jc w:val="both"/>
      </w:pPr>
      <w:r>
        <w:rPr/>
        <w:t>根据财税【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118</w:t>
      </w:r>
      <w:r>
        <w:rPr/>
        <w:t>号《关于影视等出口服务适用增值税率零税率政策的通知》的有关规定，本公司孙公司北京壳木 </w:t>
      </w:r>
      <w:r>
        <w:rPr>
          <w:spacing w:val="-2"/>
        </w:rPr>
        <w:t>软件有限责任公司、霍尔果斯小小橙软件开发有限责任公司、北京安纳西科技有限公司向境外单位提供软件服务产生的收入</w:t>
      </w:r>
      <w:r>
        <w:rPr>
          <w:spacing w:val="-63"/>
        </w:rPr>
        <w:t> </w:t>
      </w:r>
      <w:r>
        <w:rPr>
          <w:spacing w:val="-63"/>
        </w:rPr>
      </w:r>
      <w:r>
        <w:rPr/>
        <w:t>免征增值税。</w:t>
      </w:r>
    </w:p>
    <w:p>
      <w:pPr>
        <w:pStyle w:val="BodyText"/>
        <w:spacing w:line="451" w:lineRule="auto" w:before="65"/>
        <w:ind w:left="1493" w:right="1118" w:firstLine="1"/>
        <w:jc w:val="left"/>
      </w:pPr>
      <w:r>
        <w:rPr>
          <w:rFonts w:ascii="Times New Roman" w:hAnsi="Times New Roman" w:cs="Times New Roman" w:eastAsia="Times New Roman" w:hint="default"/>
          <w:b/>
          <w:bCs/>
        </w:rPr>
        <w:t>2.</w:t>
      </w:r>
      <w:r>
        <w:rPr>
          <w:rFonts w:ascii="宋体" w:hAnsi="宋体" w:cs="宋体" w:eastAsia="宋体" w:hint="default"/>
          <w:b/>
          <w:bCs/>
        </w:rPr>
        <w:t>企业所得税</w:t>
      </w:r>
      <w:r>
        <w:rPr>
          <w:rFonts w:ascii="宋体" w:hAnsi="宋体" w:cs="宋体" w:eastAsia="宋体" w:hint="default"/>
          <w:b/>
          <w:bCs/>
          <w:w w:val="99"/>
        </w:rPr>
        <w:t> </w:t>
      </w:r>
      <w:r>
        <w:rPr>
          <w:spacing w:val="-2"/>
        </w:rPr>
        <w:t>本公司与全资子公司北京新媒传信科技有限公司、北京神州泰岳智能数据技术有限公司、北京互联时代通讯科技有限公</w:t>
      </w:r>
    </w:p>
    <w:p>
      <w:pPr>
        <w:pStyle w:val="BodyText"/>
        <w:spacing w:line="477" w:lineRule="auto" w:before="74"/>
        <w:ind w:right="0"/>
        <w:jc w:val="left"/>
      </w:pPr>
      <w:r>
        <w:rPr>
          <w:spacing w:val="-2"/>
        </w:rPr>
        <w:t>司、宁波普天通信技术有限公司、北京广通神州网络技术有限公司，孙公司宁波金信通讯技术有限公司、广州短讯神州网络</w:t>
      </w:r>
      <w:r>
        <w:rPr>
          <w:spacing w:val="-66"/>
        </w:rPr>
        <w:t> </w:t>
      </w:r>
      <w:r>
        <w:rPr>
          <w:spacing w:val="-66"/>
        </w:rPr>
      </w:r>
      <w:r>
        <w:rPr>
          <w:spacing w:val="-4"/>
        </w:rPr>
        <w:t>技术有限公司、宁波高新区捷远科技有限公司、北京浩宇纵横科技有限公司被认定为高新技术企业，根据《企业所得税法》、</w:t>
      </w:r>
    </w:p>
    <w:p>
      <w:pPr>
        <w:pStyle w:val="BodyText"/>
        <w:spacing w:line="451" w:lineRule="auto" w:before="54"/>
        <w:ind w:left="1493" w:right="0" w:hanging="360"/>
        <w:jc w:val="left"/>
      </w:pPr>
      <w:r>
        <w:rPr/>
        <w:t>《高新技术企业认定管理办法》等规定，本年减按</w:t>
      </w:r>
      <w:r>
        <w:rPr>
          <w:rFonts w:ascii="Times New Roman" w:hAnsi="Times New Roman" w:cs="Times New Roman" w:eastAsia="Times New Roman" w:hint="default"/>
        </w:rPr>
        <w:t>15%</w:t>
      </w:r>
      <w:r>
        <w:rPr/>
        <w:t>的税率征收企业所得税。 </w:t>
      </w:r>
      <w:r>
        <w:rPr>
          <w:spacing w:val="-2"/>
        </w:rPr>
        <w:t>重庆新媒农信科技有限公司</w:t>
      </w:r>
      <w:r>
        <w:rPr>
          <w:rFonts w:ascii="Times New Roman" w:hAnsi="Times New Roman" w:cs="Times New Roman" w:eastAsia="Times New Roman" w:hint="default"/>
          <w:spacing w:val="-2"/>
        </w:rPr>
        <w:t>2011</w:t>
      </w:r>
      <w:r>
        <w:rPr>
          <w:spacing w:val="-2"/>
        </w:rPr>
        <w:t>年被批准认定为软件企业，自</w:t>
      </w:r>
      <w:r>
        <w:rPr>
          <w:rFonts w:ascii="Times New Roman" w:hAnsi="Times New Roman" w:cs="Times New Roman" w:eastAsia="Times New Roman" w:hint="default"/>
          <w:spacing w:val="-2"/>
        </w:rPr>
        <w:t>2011</w:t>
      </w:r>
      <w:r>
        <w:rPr>
          <w:spacing w:val="-2"/>
        </w:rPr>
        <w:t>年起享受所得税两免三减半优惠政策，本年为所得税</w:t>
      </w:r>
    </w:p>
    <w:p>
      <w:pPr>
        <w:pStyle w:val="BodyText"/>
        <w:spacing w:line="451" w:lineRule="auto" w:before="43"/>
        <w:ind w:left="1493" w:right="0" w:hanging="360"/>
        <w:jc w:val="left"/>
      </w:pPr>
      <w:r>
        <w:rPr/>
        <w:t>两免三减半的第五年，即减按</w:t>
      </w:r>
      <w:r>
        <w:rPr>
          <w:rFonts w:ascii="Times New Roman" w:hAnsi="Times New Roman" w:cs="Times New Roman" w:eastAsia="Times New Roman" w:hint="default"/>
        </w:rPr>
        <w:t>12.5%</w:t>
      </w:r>
      <w:r>
        <w:rPr/>
        <w:t>的税率征收企业所得税。 </w:t>
      </w:r>
      <w:r>
        <w:rPr>
          <w:spacing w:val="-2"/>
        </w:rPr>
        <w:t>宁波移畅通信设备有限公司</w:t>
      </w:r>
      <w:r>
        <w:rPr>
          <w:rFonts w:ascii="Times New Roman" w:hAnsi="Times New Roman" w:cs="Times New Roman" w:eastAsia="Times New Roman" w:hint="default"/>
          <w:spacing w:val="-2"/>
        </w:rPr>
        <w:t>2012</w:t>
      </w:r>
      <w:r>
        <w:rPr>
          <w:spacing w:val="-2"/>
        </w:rPr>
        <w:t>年被认定为新办软件生产企业和集成电路设计企业，自</w:t>
      </w:r>
      <w:r>
        <w:rPr>
          <w:rFonts w:ascii="Times New Roman" w:hAnsi="Times New Roman" w:cs="Times New Roman" w:eastAsia="Times New Roman" w:hint="default"/>
          <w:spacing w:val="-2"/>
        </w:rPr>
        <w:t>2012</w:t>
      </w:r>
      <w:r>
        <w:rPr>
          <w:spacing w:val="-2"/>
        </w:rPr>
        <w:t>年起享受所得税二免三减半</w:t>
      </w:r>
    </w:p>
    <w:p>
      <w:pPr>
        <w:pStyle w:val="BodyText"/>
        <w:spacing w:line="451" w:lineRule="auto" w:before="43"/>
        <w:ind w:left="1493" w:right="0" w:hanging="360"/>
        <w:jc w:val="left"/>
      </w:pPr>
      <w:r>
        <w:rPr/>
        <w:t>优惠政策，本年为所得税两免三减半的第四年，即减按</w:t>
      </w:r>
      <w:r>
        <w:rPr>
          <w:rFonts w:ascii="Times New Roman" w:hAnsi="Times New Roman" w:cs="Times New Roman" w:eastAsia="Times New Roman" w:hint="default"/>
        </w:rPr>
        <w:t>12.5%</w:t>
      </w:r>
      <w:r>
        <w:rPr/>
        <w:t>的税率征收企业所得税。 </w:t>
      </w:r>
      <w:r>
        <w:rPr>
          <w:spacing w:val="-2"/>
        </w:rPr>
        <w:t>北京壳木软件有限责任公司</w:t>
      </w:r>
      <w:r>
        <w:rPr>
          <w:rFonts w:ascii="Times New Roman" w:hAnsi="Times New Roman" w:cs="Times New Roman" w:eastAsia="Times New Roman" w:hint="default"/>
          <w:spacing w:val="-2"/>
        </w:rPr>
        <w:t>2012</w:t>
      </w:r>
      <w:r>
        <w:rPr>
          <w:spacing w:val="-2"/>
        </w:rPr>
        <w:t>年被认定为我国境内新办的符合条件的软件企业，自</w:t>
      </w:r>
      <w:r>
        <w:rPr>
          <w:rFonts w:ascii="Times New Roman" w:hAnsi="Times New Roman" w:cs="Times New Roman" w:eastAsia="Times New Roman" w:hint="default"/>
          <w:spacing w:val="-2"/>
        </w:rPr>
        <w:t>2012</w:t>
      </w:r>
      <w:r>
        <w:rPr>
          <w:spacing w:val="-2"/>
        </w:rPr>
        <w:t>年起享受所得税二免三减半优</w:t>
      </w:r>
    </w:p>
    <w:p>
      <w:pPr>
        <w:pStyle w:val="BodyText"/>
        <w:spacing w:line="451" w:lineRule="auto" w:before="42"/>
        <w:ind w:left="1493" w:right="0" w:hanging="360"/>
        <w:jc w:val="left"/>
      </w:pPr>
      <w:r>
        <w:rPr/>
        <w:t>惠政策，本年为所得税两免三减半的第四年，即减按</w:t>
      </w:r>
      <w:r>
        <w:rPr>
          <w:rFonts w:ascii="Times New Roman" w:hAnsi="Times New Roman" w:cs="Times New Roman" w:eastAsia="Times New Roman" w:hint="default"/>
        </w:rPr>
        <w:t>12.5%</w:t>
      </w:r>
      <w:r>
        <w:rPr/>
        <w:t>的税率征收企业所得税。 </w:t>
      </w:r>
      <w:r>
        <w:rPr>
          <w:spacing w:val="-2"/>
        </w:rPr>
        <w:t>北京神州泰岳信息安全技术有限公司</w:t>
      </w:r>
      <w:r>
        <w:rPr>
          <w:rFonts w:ascii="Times New Roman" w:hAnsi="Times New Roman" w:cs="Times New Roman" w:eastAsia="Times New Roman" w:hint="default"/>
          <w:spacing w:val="-2"/>
        </w:rPr>
        <w:t>2014</w:t>
      </w:r>
      <w:r>
        <w:rPr>
          <w:spacing w:val="-2"/>
        </w:rPr>
        <w:t>年被批准认定为软件企业，自</w:t>
      </w:r>
      <w:r>
        <w:rPr>
          <w:rFonts w:ascii="Times New Roman" w:hAnsi="Times New Roman" w:cs="Times New Roman" w:eastAsia="Times New Roman" w:hint="default"/>
          <w:spacing w:val="-2"/>
        </w:rPr>
        <w:t>2014</w:t>
      </w:r>
      <w:r>
        <w:rPr>
          <w:spacing w:val="-2"/>
        </w:rPr>
        <w:t>年起享受所得税两免三减半优惠政策，本年</w:t>
      </w:r>
    </w:p>
    <w:p>
      <w:pPr>
        <w:pStyle w:val="BodyText"/>
        <w:spacing w:line="477" w:lineRule="auto" w:before="43"/>
        <w:ind w:left="1494" w:right="0" w:hanging="360"/>
        <w:jc w:val="left"/>
      </w:pPr>
      <w:r>
        <w:rPr/>
        <w:t>为所得税两免三减半的第二年，即免征企业所得税。 </w:t>
      </w:r>
      <w:r>
        <w:rPr>
          <w:spacing w:val="-2"/>
        </w:rPr>
        <w:t>霍尔果斯小小橙软件开发有限责任公司</w:t>
      </w:r>
      <w:r>
        <w:rPr>
          <w:rFonts w:ascii="Times New Roman" w:hAnsi="Times New Roman" w:cs="Times New Roman" w:eastAsia="Times New Roman" w:hint="default"/>
          <w:spacing w:val="-2"/>
        </w:rPr>
        <w:t>2015</w:t>
      </w:r>
      <w:r>
        <w:rPr>
          <w:spacing w:val="-2"/>
        </w:rPr>
        <w:t>年备案登记为特殊经济开发区新办企业，享受自取得第一笔生产经营收入所</w:t>
      </w:r>
    </w:p>
    <w:p>
      <w:pPr>
        <w:spacing w:after="0" w:line="477"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77" w:lineRule="auto" w:before="83"/>
        <w:ind w:left="1493" w:right="0" w:hanging="360"/>
        <w:jc w:val="left"/>
      </w:pPr>
      <w:r>
        <w:rPr/>
        <w:t>属纳税年度起，五年内免征企业所得税，本年为所得税免征的第一年。 </w:t>
      </w:r>
      <w:r>
        <w:rPr>
          <w:spacing w:val="-2"/>
        </w:rPr>
        <w:t>北京安纳西科技有限公司</w:t>
      </w:r>
      <w:r>
        <w:rPr>
          <w:rFonts w:ascii="Times New Roman" w:hAnsi="Times New Roman" w:cs="Times New Roman" w:eastAsia="Times New Roman" w:hint="default"/>
          <w:spacing w:val="-2"/>
        </w:rPr>
        <w:t>2014</w:t>
      </w:r>
      <w:r>
        <w:rPr>
          <w:spacing w:val="-2"/>
        </w:rPr>
        <w:t>年被批准认定为软件企业，自</w:t>
      </w:r>
      <w:r>
        <w:rPr>
          <w:rFonts w:ascii="Times New Roman" w:hAnsi="Times New Roman" w:cs="Times New Roman" w:eastAsia="Times New Roman" w:hint="default"/>
          <w:spacing w:val="-2"/>
        </w:rPr>
        <w:t>2014</w:t>
      </w:r>
      <w:r>
        <w:rPr>
          <w:spacing w:val="-2"/>
        </w:rPr>
        <w:t>年起享受所得税两免三减半优惠政策，本年为所得税两</w:t>
      </w:r>
    </w:p>
    <w:p>
      <w:pPr>
        <w:pStyle w:val="BodyText"/>
        <w:spacing w:line="477" w:lineRule="auto" w:before="21"/>
        <w:ind w:left="1493" w:right="0" w:hanging="360"/>
        <w:jc w:val="left"/>
      </w:pPr>
      <w:r>
        <w:rPr/>
        <w:t>免三减半的第二年，即免征企业所得税。 </w:t>
      </w:r>
      <w:r>
        <w:rPr>
          <w:spacing w:val="-2"/>
        </w:rPr>
        <w:t>北京神州祥升软件有限公司</w:t>
      </w:r>
      <w:r>
        <w:rPr>
          <w:rFonts w:ascii="Times New Roman" w:hAnsi="Times New Roman" w:cs="Times New Roman" w:eastAsia="Times New Roman" w:hint="default"/>
          <w:spacing w:val="-2"/>
        </w:rPr>
        <w:t>2014</w:t>
      </w:r>
      <w:r>
        <w:rPr>
          <w:spacing w:val="-2"/>
        </w:rPr>
        <w:t>年被批准认定为软件企业，自</w:t>
      </w:r>
      <w:r>
        <w:rPr>
          <w:rFonts w:ascii="Times New Roman" w:hAnsi="Times New Roman" w:cs="Times New Roman" w:eastAsia="Times New Roman" w:hint="default"/>
          <w:spacing w:val="-2"/>
        </w:rPr>
        <w:t>2014</w:t>
      </w:r>
      <w:r>
        <w:rPr>
          <w:spacing w:val="-2"/>
        </w:rPr>
        <w:t>年起享受所得税两免三减半优惠政策，本年为所得税</w:t>
      </w:r>
    </w:p>
    <w:p>
      <w:pPr>
        <w:pStyle w:val="BodyText"/>
        <w:spacing w:line="240" w:lineRule="auto" w:before="21"/>
        <w:ind w:right="0"/>
        <w:jc w:val="left"/>
      </w:pPr>
      <w:r>
        <w:rPr/>
        <w:t>两免三减半的第二年，即免征企业所得税。</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left="1133" w:right="0"/>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208,529.79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294,321.83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675,880,413.07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1,255,009,420.22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32,776,300.91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10,002,092.39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708,865,243.77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1,265,305,834.44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129,324,256.09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181,601,877.33</w:t>
            </w:r>
          </w:p>
        </w:tc>
      </w:tr>
    </w:tbl>
    <w:p>
      <w:pPr>
        <w:spacing w:line="240" w:lineRule="auto" w:before="7"/>
        <w:rPr>
          <w:rFonts w:ascii="宋体" w:hAnsi="宋体" w:cs="宋体" w:eastAsia="宋体" w:hint="default"/>
          <w:sz w:val="6"/>
          <w:szCs w:val="6"/>
        </w:rPr>
      </w:pPr>
    </w:p>
    <w:p>
      <w:pPr>
        <w:pStyle w:val="BodyText"/>
        <w:spacing w:line="240" w:lineRule="auto" w:before="44"/>
        <w:ind w:left="1134" w:right="0"/>
        <w:jc w:val="left"/>
      </w:pPr>
      <w:r>
        <w:rPr/>
        <w:t>其他说明</w:t>
      </w:r>
    </w:p>
    <w:p>
      <w:pPr>
        <w:spacing w:line="240" w:lineRule="auto" w:before="10"/>
        <w:rPr>
          <w:rFonts w:ascii="宋体" w:hAnsi="宋体" w:cs="宋体" w:eastAsia="宋体" w:hint="default"/>
          <w:sz w:val="14"/>
          <w:szCs w:val="14"/>
        </w:rPr>
      </w:pPr>
    </w:p>
    <w:tbl>
      <w:tblPr>
        <w:tblW w:w="0" w:type="auto"/>
        <w:jc w:val="left"/>
        <w:tblInd w:w="1121" w:type="dxa"/>
        <w:tblLayout w:type="fixed"/>
        <w:tblCellMar>
          <w:top w:w="0" w:type="dxa"/>
          <w:left w:w="0" w:type="dxa"/>
          <w:bottom w:w="0" w:type="dxa"/>
          <w:right w:w="0" w:type="dxa"/>
        </w:tblCellMar>
        <w:tblLook w:val="01E0"/>
      </w:tblPr>
      <w:tblGrid>
        <w:gridCol w:w="4124"/>
        <w:gridCol w:w="2766"/>
        <w:gridCol w:w="2766"/>
      </w:tblGrid>
      <w:tr>
        <w:trPr>
          <w:trHeight w:val="332" w:hRule="exact"/>
        </w:trPr>
        <w:tc>
          <w:tcPr>
            <w:tcW w:w="4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876"/>
              <w:jc w:val="right"/>
              <w:rPr>
                <w:rFonts w:ascii="宋体" w:hAnsi="宋体" w:cs="宋体" w:eastAsia="宋体" w:hint="default"/>
                <w:sz w:val="18"/>
                <w:szCs w:val="18"/>
              </w:rPr>
            </w:pPr>
            <w:r>
              <w:rPr>
                <w:rFonts w:ascii="宋体" w:hAnsi="宋体" w:cs="宋体" w:eastAsia="宋体" w:hint="default"/>
                <w:sz w:val="18"/>
                <w:szCs w:val="18"/>
              </w:rPr>
              <w:t>项目</w:t>
            </w:r>
          </w:p>
        </w:tc>
        <w:tc>
          <w:tcPr>
            <w:tcW w:w="2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766"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12,381,047.67</w:t>
            </w:r>
          </w:p>
        </w:tc>
        <w:tc>
          <w:tcPr>
            <w:tcW w:w="2766"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银行保函保证金</w:t>
            </w:r>
          </w:p>
        </w:tc>
        <w:tc>
          <w:tcPr>
            <w:tcW w:w="276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14,612,324.92</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7,857,886.30</w:t>
            </w:r>
          </w:p>
        </w:tc>
      </w:tr>
      <w:tr>
        <w:trPr>
          <w:trHeight w:val="342" w:hRule="exact"/>
        </w:trPr>
        <w:tc>
          <w:tcPr>
            <w:tcW w:w="4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876"/>
              <w:jc w:val="right"/>
              <w:rPr>
                <w:rFonts w:ascii="宋体" w:hAnsi="宋体" w:cs="宋体" w:eastAsia="宋体" w:hint="default"/>
                <w:sz w:val="18"/>
                <w:szCs w:val="18"/>
              </w:rPr>
            </w:pPr>
            <w:r>
              <w:rPr>
                <w:rFonts w:ascii="宋体" w:hAnsi="宋体" w:cs="宋体" w:eastAsia="宋体" w:hint="default"/>
                <w:sz w:val="18"/>
                <w:szCs w:val="18"/>
              </w:rPr>
              <w:t>合计</w:t>
            </w:r>
          </w:p>
        </w:tc>
        <w:tc>
          <w:tcPr>
            <w:tcW w:w="276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26,993,372.59</w:t>
            </w:r>
          </w:p>
        </w:tc>
        <w:tc>
          <w:tcPr>
            <w:tcW w:w="2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7,857,886.30</w:t>
            </w:r>
          </w:p>
        </w:tc>
      </w:tr>
    </w:tbl>
    <w:p>
      <w:pPr>
        <w:pStyle w:val="BodyText"/>
        <w:spacing w:line="451" w:lineRule="auto" w:before="88"/>
        <w:ind w:right="0" w:firstLine="360"/>
        <w:jc w:val="left"/>
      </w:pP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日，其他货币资金中人民币</w:t>
      </w:r>
      <w:r>
        <w:rPr>
          <w:rFonts w:ascii="Times New Roman" w:hAnsi="Times New Roman" w:cs="Times New Roman" w:eastAsia="Times New Roman" w:hint="default"/>
          <w:spacing w:val="-1"/>
        </w:rPr>
        <w:t>14,612,324.92</w:t>
      </w:r>
      <w:r>
        <w:rPr>
          <w:spacing w:val="-1"/>
        </w:rPr>
        <w:t>元为本公司向银行申请开具无条件、不可撤销的担保函所存</w:t>
      </w:r>
      <w:r>
        <w:rPr/>
        <w:t> 入的保证金存款。</w:t>
      </w: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2、以公允价值计量且其变动计入当期损益的金融资产" w:id="221"/>
      <w:bookmarkEnd w:id="22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32"/>
          <w:szCs w:val="32"/>
        </w:rPr>
      </w:pPr>
    </w:p>
    <w:p>
      <w:pPr>
        <w:spacing w:before="0"/>
        <w:ind w:left="14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pStyle w:val="Heading3"/>
        <w:spacing w:line="240" w:lineRule="auto"/>
        <w:ind w:right="0"/>
        <w:jc w:val="left"/>
        <w:rPr>
          <w:b w:val="0"/>
          <w:bCs w:val="0"/>
        </w:rPr>
      </w:pPr>
      <w:bookmarkStart w:name="3、衍生金融资产" w:id="222"/>
      <w:bookmarkEnd w:id="22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32"/>
          <w:szCs w:val="32"/>
        </w:rPr>
      </w:pPr>
    </w:p>
    <w:p>
      <w:pPr>
        <w:spacing w:before="0"/>
        <w:ind w:left="14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4、应收票据" w:id="223"/>
      <w:bookmarkEnd w:id="223"/>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票据分类列示" w:id="224"/>
      <w:bookmarkEnd w:id="224"/>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222,743,113.00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126,469,963.00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201,468,080.66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424,211,193.66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128,617,963.00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25"/>
      <w:bookmarkEnd w:id="225"/>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3）期末公司已背书或贴现且在资产负债表日尚未到期的应收票据" w:id="226"/>
      <w:bookmarkEnd w:id="226"/>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46,040,988.00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109,913,814.00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46,040,988.00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109,913,814.00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227"/>
      <w:bookmarkEnd w:id="227"/>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5、应收账款" w:id="228"/>
      <w:bookmarkEnd w:id="22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29"/>
      <w:bookmarkEnd w:id="2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994,220,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473.04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102,237,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108.14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891,983,3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64.90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45,577.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91,848,09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921,997,48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3.38</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53,556.84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38" w:hRule="exact"/>
        </w:trPr>
        <w:tc>
          <w:tcPr>
            <w:tcW w:w="163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994,220,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473.04</w:t>
            </w:r>
          </w:p>
        </w:tc>
        <w:tc>
          <w:tcPr>
            <w:tcW w:w="7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102,237,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108.14</w:t>
            </w:r>
          </w:p>
        </w:tc>
        <w:tc>
          <w:tcPr>
            <w:tcW w:w="762" w:type="dxa"/>
            <w:tcBorders>
              <w:top w:val="single" w:sz="10" w:space="0" w:color="000000"/>
              <w:left w:val="single" w:sz="4" w:space="0" w:color="000000"/>
              <w:bottom w:val="single" w:sz="4" w:space="0" w:color="000000"/>
              <w:right w:val="single" w:sz="4" w:space="0" w:color="000000"/>
            </w:tcBorders>
          </w:tcPr>
          <w:p>
            <w:pPr/>
          </w:p>
        </w:tc>
        <w:tc>
          <w:tcPr>
            <w:tcW w:w="7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891,983,3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64.90</w:t>
            </w:r>
          </w:p>
        </w:tc>
        <w:tc>
          <w:tcPr>
            <w:tcW w:w="6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1,013,8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99,134.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7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91,901,65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0.81</w:t>
            </w:r>
          </w:p>
        </w:tc>
        <w:tc>
          <w:tcPr>
            <w:tcW w:w="932" w:type="dxa"/>
            <w:tcBorders>
              <w:top w:val="single" w:sz="10" w:space="0" w:color="000000"/>
              <w:left w:val="single" w:sz="4" w:space="0" w:color="000000"/>
              <w:bottom w:val="single" w:sz="4" w:space="0" w:color="000000"/>
              <w:right w:val="single" w:sz="4" w:space="0" w:color="000000"/>
            </w:tcBorders>
          </w:tcPr>
          <w:p>
            <w:pPr/>
          </w:p>
        </w:tc>
        <w:tc>
          <w:tcPr>
            <w:tcW w:w="9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921,997,48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3.38</w:t>
            </w:r>
          </w:p>
        </w:tc>
      </w:tr>
    </w:tbl>
    <w:p>
      <w:pPr>
        <w:spacing w:line="240" w:lineRule="auto" w:before="7"/>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期末单项金额重大并单项计提坏账准备的应收账款：</w:t>
      </w:r>
    </w:p>
    <w:p>
      <w:pPr>
        <w:spacing w:line="240" w:lineRule="auto" w:before="12"/>
        <w:rPr>
          <w:rFonts w:ascii="宋体" w:hAnsi="宋体" w:cs="宋体" w:eastAsia="宋体" w:hint="default"/>
          <w:sz w:val="20"/>
          <w:szCs w:val="20"/>
        </w:rPr>
      </w:pPr>
    </w:p>
    <w:p>
      <w:pPr>
        <w:pStyle w:val="BodyText"/>
        <w:spacing w:line="489" w:lineRule="auto"/>
        <w:ind w:left="113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组合中，按账龄分析法计提坏账准备的应收账款：</w:t>
      </w:r>
    </w:p>
    <w:p>
      <w:pPr>
        <w:spacing w:before="85"/>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691,549,091.26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34,577,454.60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206,353,137.35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20,635,313.72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57,002,567.60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17,100,770.28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17,684,218.46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8,842,109.25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2,749,990.41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2,199,992.33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18,881,467.96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18,881,467.96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994,220,473.04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102,237,108.14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518" w:lineRule="auto" w:before="44"/>
        <w:ind w:left="1134" w:right="6432"/>
        <w:jc w:val="left"/>
      </w:pPr>
      <w:r>
        <w:rPr/>
        <w:t>确定该组合依据的说明： 组合中，采用余额百分比法计提坏账准备的应收账款：</w:t>
      </w:r>
    </w:p>
    <w:p>
      <w:pPr>
        <w:pStyle w:val="BodyText"/>
        <w:spacing w:line="504" w:lineRule="auto" w:before="63"/>
        <w:ind w:left="1134"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组合中，采用其他方法计提坏账准备的应收账款： 无。</w:t>
      </w:r>
    </w:p>
    <w:p>
      <w:pPr>
        <w:spacing w:line="240" w:lineRule="auto" w:before="7"/>
        <w:rPr>
          <w:rFonts w:ascii="宋体" w:hAnsi="宋体" w:cs="宋体" w:eastAsia="宋体" w:hint="default"/>
          <w:sz w:val="17"/>
          <w:szCs w:val="17"/>
        </w:rPr>
      </w:pPr>
    </w:p>
    <w:p>
      <w:pPr>
        <w:pStyle w:val="Heading3"/>
        <w:spacing w:line="240" w:lineRule="auto"/>
        <w:ind w:right="0"/>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134" w:right="0"/>
        <w:jc w:val="left"/>
      </w:pPr>
      <w:r>
        <w:rPr/>
        <w:t>本期计提坏账准备金额</w:t>
      </w:r>
      <w:r>
        <w:rPr>
          <w:spacing w:val="-47"/>
        </w:rPr>
        <w:t> </w:t>
      </w:r>
      <w:r>
        <w:rPr>
          <w:rFonts w:ascii="Times New Roman" w:hAnsi="Times New Roman" w:cs="Times New Roman" w:eastAsia="Times New Roman" w:hint="default"/>
        </w:rPr>
        <w:t>14,943,557.70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133" w:right="0"/>
        <w:jc w:val="left"/>
        <w:rPr>
          <w:b w:val="0"/>
          <w:bCs w:val="0"/>
        </w:rPr>
      </w:pPr>
      <w:bookmarkStart w:name="（3）本期实际核销的应收账款情况" w:id="231"/>
      <w:bookmarkEnd w:id="2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按欠款方归集的期末余额前五名的应收账款情况" w:id="232"/>
      <w:bookmarkEnd w:id="2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19" w:type="dxa"/>
        <w:tblLayout w:type="fixed"/>
        <w:tblCellMar>
          <w:top w:w="0" w:type="dxa"/>
          <w:left w:w="0" w:type="dxa"/>
          <w:bottom w:w="0" w:type="dxa"/>
          <w:right w:w="0" w:type="dxa"/>
        </w:tblCellMar>
        <w:tblLook w:val="01E0"/>
      </w:tblPr>
      <w:tblGrid>
        <w:gridCol w:w="4154"/>
        <w:gridCol w:w="5505"/>
      </w:tblGrid>
      <w:tr>
        <w:trPr>
          <w:trHeight w:val="342" w:hRule="exact"/>
        </w:trPr>
        <w:tc>
          <w:tcPr>
            <w:tcW w:w="41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tbl>
      <w:tblPr>
        <w:tblW w:w="0" w:type="auto"/>
        <w:jc w:val="left"/>
        <w:tblInd w:w="1121" w:type="dxa"/>
        <w:tblLayout w:type="fixed"/>
        <w:tblCellMar>
          <w:top w:w="0" w:type="dxa"/>
          <w:left w:w="0" w:type="dxa"/>
          <w:bottom w:w="0" w:type="dxa"/>
          <w:right w:w="0" w:type="dxa"/>
        </w:tblCellMar>
        <w:tblLook w:val="01E0"/>
      </w:tblPr>
      <w:tblGrid>
        <w:gridCol w:w="4149"/>
        <w:gridCol w:w="1978"/>
        <w:gridCol w:w="1766"/>
        <w:gridCol w:w="1764"/>
      </w:tblGrid>
      <w:tr>
        <w:trPr>
          <w:trHeight w:val="666" w:hRule="exact"/>
        </w:trPr>
        <w:tc>
          <w:tcPr>
            <w:tcW w:w="4149" w:type="dxa"/>
            <w:tcBorders>
              <w:top w:val="single" w:sz="10" w:space="0" w:color="000000"/>
              <w:left w:val="single" w:sz="4" w:space="0" w:color="000000"/>
              <w:bottom w:val="single" w:sz="4" w:space="0" w:color="000000"/>
              <w:right w:val="single" w:sz="4" w:space="0" w:color="000000"/>
            </w:tcBorders>
            <w:shd w:val="clear" w:color="auto" w:fill="D9D9D9"/>
          </w:tcPr>
          <w:p>
            <w:pPr/>
          </w:p>
        </w:tc>
        <w:tc>
          <w:tcPr>
            <w:tcW w:w="1978"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0"/>
              <w:ind w:left="561" w:right="66"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6" w:hRule="exact"/>
        </w:trPr>
        <w:tc>
          <w:tcPr>
            <w:tcW w:w="4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9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182,306,366.57</w:t>
            </w:r>
          </w:p>
        </w:tc>
        <w:tc>
          <w:tcPr>
            <w:tcW w:w="17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18"/>
                <w:szCs w:val="18"/>
              </w:rPr>
            </w:pPr>
            <w:r>
              <w:rPr>
                <w:rFonts w:ascii="Times New Roman"/>
                <w:sz w:val="18"/>
              </w:rPr>
              <w:t>18.34</w:t>
            </w:r>
          </w:p>
        </w:tc>
        <w:tc>
          <w:tcPr>
            <w:tcW w:w="17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18"/>
                <w:szCs w:val="18"/>
              </w:rPr>
            </w:pPr>
            <w:r>
              <w:rPr>
                <w:rFonts w:ascii="Times New Roman"/>
                <w:spacing w:val="-1"/>
                <w:sz w:val="18"/>
              </w:rPr>
              <w:t>10,935,713.32</w:t>
            </w:r>
          </w:p>
        </w:tc>
      </w:tr>
      <w:tr>
        <w:trPr>
          <w:trHeight w:val="423" w:hRule="exact"/>
        </w:trPr>
        <w:tc>
          <w:tcPr>
            <w:tcW w:w="4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116,333,296.12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15,518,203.08</w:t>
            </w:r>
          </w:p>
        </w:tc>
      </w:tr>
      <w:tr>
        <w:trPr>
          <w:trHeight w:val="422" w:hRule="exact"/>
        </w:trPr>
        <w:tc>
          <w:tcPr>
            <w:tcW w:w="4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9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54,517,921.83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5.48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10,509,033.32</w:t>
            </w:r>
          </w:p>
        </w:tc>
      </w:tr>
      <w:tr>
        <w:trPr>
          <w:trHeight w:val="421" w:hRule="exact"/>
        </w:trPr>
        <w:tc>
          <w:tcPr>
            <w:tcW w:w="4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9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40,114,731.53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2,762,052.41</w:t>
            </w:r>
          </w:p>
        </w:tc>
      </w:tr>
      <w:tr>
        <w:trPr>
          <w:trHeight w:val="422" w:hRule="exact"/>
        </w:trPr>
        <w:tc>
          <w:tcPr>
            <w:tcW w:w="4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9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36,115,615.13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3.63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2,275,435.02</w:t>
            </w:r>
          </w:p>
        </w:tc>
      </w:tr>
      <w:tr>
        <w:trPr>
          <w:trHeight w:val="342" w:hRule="exact"/>
        </w:trPr>
        <w:tc>
          <w:tcPr>
            <w:tcW w:w="41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429,387,931.18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43.18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42,000,437.15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6、预付款项" w:id="233"/>
      <w:bookmarkEnd w:id="23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95,157,452.66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56,421,234.34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99.62%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520,954.06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216,778.18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95,678,406.72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56,638,012.52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6"/>
          <w:szCs w:val="26"/>
        </w:rPr>
      </w:pPr>
    </w:p>
    <w:tbl>
      <w:tblPr>
        <w:tblW w:w="0" w:type="auto"/>
        <w:jc w:val="left"/>
        <w:tblInd w:w="1121" w:type="dxa"/>
        <w:tblLayout w:type="fixed"/>
        <w:tblCellMar>
          <w:top w:w="0" w:type="dxa"/>
          <w:left w:w="0" w:type="dxa"/>
          <w:bottom w:w="0" w:type="dxa"/>
          <w:right w:w="0" w:type="dxa"/>
        </w:tblCellMar>
        <w:tblLook w:val="01E0"/>
      </w:tblPr>
      <w:tblGrid>
        <w:gridCol w:w="4362"/>
        <w:gridCol w:w="2167"/>
        <w:gridCol w:w="3128"/>
      </w:tblGrid>
      <w:tr>
        <w:trPr>
          <w:trHeight w:val="337" w:hRule="exact"/>
        </w:trPr>
        <w:tc>
          <w:tcPr>
            <w:tcW w:w="4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2"/>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7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41"/>
              <w:jc w:val="right"/>
              <w:rPr>
                <w:rFonts w:ascii="宋体" w:hAnsi="宋体" w:cs="宋体" w:eastAsia="宋体" w:hint="default"/>
                <w:sz w:val="18"/>
                <w:szCs w:val="18"/>
              </w:rPr>
            </w:pPr>
            <w:r>
              <w:rPr>
                <w:rFonts w:ascii="宋体" w:hAnsi="宋体" w:cs="宋体" w:eastAsia="宋体" w:hint="default"/>
                <w:sz w:val="18"/>
                <w:szCs w:val="18"/>
              </w:rPr>
              <w:t>占预付款期末余额合计数的比例（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1</w:t>
            </w:r>
          </w:p>
        </w:tc>
        <w:tc>
          <w:tcPr>
            <w:tcW w:w="2167"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13,491,995.95</w:t>
            </w:r>
          </w:p>
        </w:tc>
        <w:tc>
          <w:tcPr>
            <w:tcW w:w="312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14.10</w:t>
            </w:r>
          </w:p>
        </w:tc>
      </w:tr>
      <w:tr>
        <w:trPr>
          <w:trHeight w:val="422" w:hRule="exact"/>
        </w:trPr>
        <w:tc>
          <w:tcPr>
            <w:tcW w:w="4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1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10,004,200.00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10.46</w:t>
            </w:r>
          </w:p>
        </w:tc>
      </w:tr>
      <w:tr>
        <w:trPr>
          <w:trHeight w:val="421" w:hRule="exact"/>
        </w:trPr>
        <w:tc>
          <w:tcPr>
            <w:tcW w:w="4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1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9,529,953.43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9.96</w:t>
            </w:r>
          </w:p>
        </w:tc>
      </w:tr>
      <w:tr>
        <w:trPr>
          <w:trHeight w:val="422" w:hRule="exact"/>
        </w:trPr>
        <w:tc>
          <w:tcPr>
            <w:tcW w:w="4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1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8,692,273.86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9.08</w:t>
            </w:r>
          </w:p>
        </w:tc>
      </w:tr>
      <w:tr>
        <w:trPr>
          <w:trHeight w:val="422" w:hRule="exact"/>
        </w:trPr>
        <w:tc>
          <w:tcPr>
            <w:tcW w:w="4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1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8,547,412.56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8.93</w:t>
            </w:r>
          </w:p>
        </w:tc>
      </w:tr>
      <w:tr>
        <w:trPr>
          <w:trHeight w:val="342" w:hRule="exact"/>
        </w:trPr>
        <w:tc>
          <w:tcPr>
            <w:tcW w:w="4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167"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50,265,835.80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52.53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7、应收利息" w:id="236"/>
      <w:bookmarkEnd w:id="23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无。</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8、应收股利" w:id="237"/>
      <w:bookmarkEnd w:id="237"/>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股利" w:id="238"/>
      <w:bookmarkEnd w:id="238"/>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其他应收款" w:id="239"/>
      <w:bookmarkEnd w:id="239"/>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0"/>
      <w:bookmarkEnd w:id="2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19,940,1</w:t>
            </w:r>
          </w:p>
          <w:p>
            <w:pPr>
              <w:pStyle w:val="TableParagraph"/>
              <w:spacing w:line="240" w:lineRule="auto" w:before="106"/>
              <w:ind w:left="319" w:right="0"/>
              <w:jc w:val="left"/>
              <w:rPr>
                <w:rFonts w:ascii="Times New Roman" w:hAnsi="Times New Roman" w:cs="Times New Roman" w:eastAsia="Times New Roman" w:hint="default"/>
                <w:sz w:val="18"/>
                <w:szCs w:val="18"/>
              </w:rPr>
            </w:pPr>
            <w:r>
              <w:rPr>
                <w:rFonts w:ascii="Times New Roman"/>
                <w:sz w:val="18"/>
              </w:rPr>
              <w:t>81.11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2,726,94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17,213,23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19,058,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807.10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86.50%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2,433,999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16,624,807.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8,184,00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7.08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8,184,007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2,974,9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89.20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2,974,989.2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28,124,1</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88.19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2,726,94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8.02</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25,397,24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0.17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22,033,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796.30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2,433,999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19,599,796.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期末单项金额重大并单项计提坏账准备的其他应收款：</w:t>
      </w:r>
    </w:p>
    <w:p>
      <w:pPr>
        <w:spacing w:line="240" w:lineRule="auto" w:before="12"/>
        <w:rPr>
          <w:rFonts w:ascii="宋体" w:hAnsi="宋体" w:cs="宋体" w:eastAsia="宋体" w:hint="default"/>
          <w:sz w:val="20"/>
          <w:szCs w:val="20"/>
        </w:rPr>
      </w:pPr>
    </w:p>
    <w:p>
      <w:pPr>
        <w:pStyle w:val="BodyText"/>
        <w:spacing w:line="489" w:lineRule="auto"/>
        <w:ind w:left="113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组合中，按账龄分析法计提坏账准备的其他应收款：</w:t>
      </w:r>
    </w:p>
    <w:p>
      <w:pPr>
        <w:spacing w:before="85"/>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13,307,703.18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665,385.17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4,196,756.68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419,675.67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786,190.72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235,857.22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14" w:hRule="exact"/>
        </w:trPr>
        <w:tc>
          <w:tcPr>
            <w:tcW w:w="239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312,962.55</w:t>
            </w:r>
          </w:p>
        </w:tc>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156,481.28</w:t>
            </w:r>
          </w:p>
        </w:tc>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435,096.48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348,077.18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901,471.50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901,471.50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19,940,181.11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2,726,948.02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518" w:lineRule="auto" w:before="44"/>
        <w:ind w:left="1134" w:right="6252"/>
        <w:jc w:val="left"/>
      </w:pPr>
      <w:r>
        <w:rPr/>
        <w:t>确定该组合依据的说明： 组合中，采用余额百分比法计提坏账准备的其他应收款：</w:t>
      </w:r>
    </w:p>
    <w:p>
      <w:pPr>
        <w:pStyle w:val="BodyText"/>
        <w:spacing w:line="489" w:lineRule="auto" w:before="63"/>
        <w:ind w:left="113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组合中，采用其他方法计提坏账准备的其他应收款：</w:t>
      </w:r>
    </w:p>
    <w:p>
      <w:pPr>
        <w:spacing w:before="8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right="0"/>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6"/>
        </w:rPr>
        <w:t> </w:t>
      </w:r>
      <w:r>
        <w:rPr>
          <w:rFonts w:ascii="Times New Roman" w:hAnsi="Times New Roman" w:cs="Times New Roman" w:eastAsia="Times New Roman" w:hint="default"/>
        </w:rPr>
        <w:t>123,215.78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其他应收款情况" w:id="242"/>
      <w:bookmarkEnd w:id="24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34,085.00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其他应收款按款项性质分类情况" w:id="243"/>
      <w:bookmarkEnd w:id="24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15,446,996.63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13,432,606.63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员工股权激励相关款项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8,184,007.08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2,986,094.20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4,493,184.48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2,881,013.27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财务资助</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2,734,082.20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28,124,188.19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22,033,796.30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44"/>
      <w:bookmarkEnd w:id="24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员工股权激励相关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8,184,007.08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8" w:right="0"/>
              <w:jc w:val="left"/>
              <w:rPr>
                <w:rFonts w:ascii="Times New Roman" w:hAnsi="Times New Roman" w:cs="Times New Roman" w:eastAsia="Times New Roman" w:hint="default"/>
                <w:sz w:val="18"/>
                <w:szCs w:val="18"/>
              </w:rPr>
            </w:pPr>
            <w:r>
              <w:rPr>
                <w:rFonts w:ascii="Times New Roman"/>
                <w:sz w:val="18"/>
              </w:rPr>
              <w:t>29.10%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73" w:hRule="exact"/>
        </w:trPr>
        <w:tc>
          <w:tcPr>
            <w:tcW w:w="1594" w:type="dxa"/>
            <w:tcBorders>
              <w:top w:val="single" w:sz="10" w:space="0" w:color="000000"/>
              <w:left w:val="single" w:sz="4" w:space="0" w:color="000000"/>
              <w:bottom w:val="single" w:sz="4" w:space="0" w:color="000000"/>
              <w:right w:val="single" w:sz="4" w:space="0" w:color="000000"/>
            </w:tcBorders>
          </w:tcPr>
          <w:p>
            <w:pP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款项</w:t>
            </w:r>
          </w:p>
        </w:tc>
        <w:tc>
          <w:tcPr>
            <w:tcW w:w="1594"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6" w:type="dxa"/>
            <w:tcBorders>
              <w:top w:val="single" w:sz="10" w:space="0" w:color="000000"/>
              <w:left w:val="single" w:sz="4" w:space="0" w:color="000000"/>
              <w:bottom w:val="single" w:sz="4" w:space="0" w:color="000000"/>
              <w:right w:val="single" w:sz="4" w:space="0" w:color="000000"/>
            </w:tcBorders>
          </w:tcPr>
          <w:p>
            <w:pPr/>
          </w:p>
        </w:tc>
        <w:tc>
          <w:tcPr>
            <w:tcW w:w="1595"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2,080,252.00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104,012.60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重庆经济技术开发 区管理委员会建设 管理局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工程押金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151,600.00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北京市经济管理学 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647,016.00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32,350.80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河北宏信招标有限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12,877,275.08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310,463.40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存货" w:id="245"/>
      <w:bookmarkEnd w:id="245"/>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46"/>
      <w:bookmarkEnd w:id="24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777,604.97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777,604.97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264,825.26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264,825.26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34,547.00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34,547.00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265,293,275.50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78,853.68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265,214,421.82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150,433,392.34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150,039,123.94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93,988.14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93,988.14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6,289.53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6,289.53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外购软硬件及服 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81,933,582.21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81,933,582.21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69,425,664.56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69,425,664.56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348,132,997.82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78,853.68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348,054,144.14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220,130,171.69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219,735,903.29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47"/>
      <w:bookmarkEnd w:id="24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409,155.55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315,414.72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409,155.55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78,853.68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394,268.40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409,155.55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315,414.72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409,155.55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78,853.68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划分为持有待售的资产" w:id="248"/>
      <w:bookmarkEnd w:id="248"/>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3" w:right="0"/>
        <w:jc w:val="left"/>
      </w:pPr>
      <w:r>
        <w:rPr/>
        <w:t>无。</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12、一年内到期的非流动资产" w:id="249"/>
      <w:bookmarkEnd w:id="24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3"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13、其他流动资产" w:id="250"/>
      <w:bookmarkEnd w:id="25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26,171,226.12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22,469,515.06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预缴的其他税金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574,487.41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10,989,215.67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26,745,713.53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33,458,730.73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可供出售金融资产" w:id="251"/>
      <w:bookmarkEnd w:id="251"/>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可供出售金融资产情况" w:id="252"/>
      <w:bookmarkEnd w:id="25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331,947,024.68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1,365,478.00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330,581,546.68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266,404,205.37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266,004,205.37</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331,947,024.68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1,365,478.00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330,581,546.68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266,404,205.37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266,004,205.37</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回购李毅等股票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166,886,616.94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166,886,616.94</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498,833,641.62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1,365,478.00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497,468,163.62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266,404,205.37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266,004,205.37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53"/>
      <w:bookmarkEnd w:id="25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1"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84" w:lineRule="auto" w:before="119"/>
              <w:ind w:left="53" w:right="54"/>
              <w:jc w:val="left"/>
              <w:rPr>
                <w:rFonts w:ascii="宋体" w:hAnsi="宋体" w:cs="宋体" w:eastAsia="宋体" w:hint="default"/>
                <w:sz w:val="15"/>
                <w:szCs w:val="15"/>
              </w:rPr>
            </w:pPr>
            <w:r>
              <w:rPr>
                <w:rFonts w:ascii="宋体" w:hAnsi="宋体" w:cs="宋体" w:eastAsia="宋体" w:hint="default"/>
                <w:sz w:val="15"/>
                <w:szCs w:val="15"/>
              </w:rPr>
              <w:t>在被投资单 位持股比例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84" w:lineRule="auto" w:before="119"/>
              <w:ind w:left="353" w:right="54" w:hanging="300"/>
              <w:jc w:val="left"/>
              <w:rPr>
                <w:rFonts w:ascii="宋体" w:hAnsi="宋体" w:cs="宋体" w:eastAsia="宋体" w:hint="default"/>
                <w:sz w:val="15"/>
                <w:szCs w:val="15"/>
              </w:rPr>
            </w:pPr>
            <w:r>
              <w:rPr>
                <w:rFonts w:ascii="宋体" w:hAnsi="宋体" w:cs="宋体" w:eastAsia="宋体" w:hint="default"/>
                <w:sz w:val="15"/>
                <w:szCs w:val="15"/>
              </w:rPr>
              <w:t>本期现金红 利</w:t>
            </w:r>
          </w:p>
        </w:tc>
      </w:tr>
      <w:tr>
        <w:trPr>
          <w:trHeight w:val="402"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79" w:right="0"/>
              <w:jc w:val="left"/>
              <w:rPr>
                <w:rFonts w:ascii="宋体" w:hAnsi="宋体" w:cs="宋体" w:eastAsia="宋体" w:hint="default"/>
                <w:sz w:val="15"/>
                <w:szCs w:val="15"/>
              </w:rPr>
            </w:pPr>
            <w:r>
              <w:rPr>
                <w:rFonts w:ascii="宋体" w:hAnsi="宋体" w:cs="宋体" w:eastAsia="宋体" w:hint="default"/>
                <w:sz w:val="15"/>
                <w:szCs w:val="15"/>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9"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9"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79" w:right="0"/>
              <w:jc w:val="left"/>
              <w:rPr>
                <w:rFonts w:ascii="宋体" w:hAnsi="宋体" w:cs="宋体" w:eastAsia="宋体" w:hint="default"/>
                <w:sz w:val="15"/>
                <w:szCs w:val="15"/>
              </w:rPr>
            </w:pPr>
            <w:r>
              <w:rPr>
                <w:rFonts w:ascii="宋体" w:hAnsi="宋体" w:cs="宋体" w:eastAsia="宋体" w:hint="default"/>
                <w:sz w:val="15"/>
                <w:szCs w:val="15"/>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9"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29"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8"/>
              <w:jc w:val="both"/>
              <w:rPr>
                <w:rFonts w:ascii="宋体" w:hAnsi="宋体" w:cs="宋体" w:eastAsia="宋体" w:hint="default"/>
                <w:sz w:val="15"/>
                <w:szCs w:val="15"/>
              </w:rPr>
            </w:pPr>
            <w:r>
              <w:rPr>
                <w:rFonts w:ascii="宋体" w:hAnsi="宋体" w:cs="宋体" w:eastAsia="宋体" w:hint="default"/>
                <w:sz w:val="15"/>
                <w:szCs w:val="15"/>
              </w:rPr>
              <w:t>北京润佳华 商创新投资 管理中心</w:t>
            </w:r>
          </w:p>
          <w:p>
            <w:pPr>
              <w:pStyle w:val="TableParagraph"/>
              <w:spacing w:line="384" w:lineRule="auto" w:before="27"/>
              <w:ind w:left="22" w:right="228"/>
              <w:jc w:val="left"/>
              <w:rPr>
                <w:rFonts w:ascii="宋体" w:hAnsi="宋体" w:cs="宋体" w:eastAsia="宋体" w:hint="default"/>
                <w:sz w:val="15"/>
                <w:szCs w:val="15"/>
              </w:rPr>
            </w:pPr>
            <w:r>
              <w:rPr>
                <w:rFonts w:ascii="宋体" w:hAnsi="宋体" w:cs="宋体" w:eastAsia="宋体" w:hint="default"/>
                <w:sz w:val="15"/>
                <w:szCs w:val="15"/>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65,000,000.0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65,000,000.0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59.91%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78"/>
              <w:jc w:val="both"/>
              <w:rPr>
                <w:rFonts w:ascii="宋体" w:hAnsi="宋体" w:cs="宋体" w:eastAsia="宋体" w:hint="default"/>
                <w:sz w:val="15"/>
                <w:szCs w:val="15"/>
              </w:rPr>
            </w:pPr>
            <w:r>
              <w:rPr>
                <w:rFonts w:ascii="宋体" w:hAnsi="宋体" w:cs="宋体" w:eastAsia="宋体" w:hint="default"/>
                <w:sz w:val="15"/>
                <w:szCs w:val="15"/>
              </w:rPr>
              <w:t>广东中科白 云投资管理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w w:val="95"/>
                <w:sz w:val="15"/>
              </w:rPr>
              <w:t>11.02%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5"/>
                <w:szCs w:val="15"/>
              </w:rPr>
            </w:pPr>
            <w:r>
              <w:rPr>
                <w:rFonts w:ascii="Times New Roman"/>
                <w:sz w:val="15"/>
              </w:rPr>
              <w:t>3,072,692.00</w:t>
            </w: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北京安德伦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1" w:right="0"/>
              <w:jc w:val="left"/>
              <w:rPr>
                <w:rFonts w:ascii="Times New Roman" w:hAnsi="Times New Roman" w:cs="Times New Roman" w:eastAsia="Times New Roman" w:hint="default"/>
                <w:sz w:val="15"/>
                <w:szCs w:val="15"/>
              </w:rPr>
            </w:pPr>
            <w:r>
              <w:rPr>
                <w:rFonts w:ascii="Times New Roman"/>
                <w:sz w:val="15"/>
              </w:rPr>
              <w:t>250,000.00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7" w:right="0"/>
              <w:jc w:val="center"/>
              <w:rPr>
                <w:rFonts w:ascii="Times New Roman" w:hAnsi="Times New Roman" w:cs="Times New Roman" w:eastAsia="Times New Roman" w:hint="default"/>
                <w:sz w:val="15"/>
                <w:szCs w:val="15"/>
              </w:rPr>
            </w:pPr>
            <w:r>
              <w:rPr>
                <w:rFonts w:ascii="Times New Roman"/>
                <w:sz w:val="15"/>
              </w:rPr>
              <w:t>250,000.00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2" w:right="0"/>
              <w:jc w:val="left"/>
              <w:rPr>
                <w:rFonts w:ascii="Times New Roman" w:hAnsi="Times New Roman" w:cs="Times New Roman" w:eastAsia="Times New Roman" w:hint="default"/>
                <w:sz w:val="15"/>
                <w:szCs w:val="15"/>
              </w:rPr>
            </w:pPr>
            <w:r>
              <w:rPr>
                <w:rFonts w:ascii="Times New Roman"/>
                <w:sz w:val="15"/>
              </w:rPr>
              <w:t>250,000.00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8" w:right="0"/>
              <w:jc w:val="center"/>
              <w:rPr>
                <w:rFonts w:ascii="Times New Roman" w:hAnsi="Times New Roman" w:cs="Times New Roman" w:eastAsia="Times New Roman" w:hint="default"/>
                <w:sz w:val="15"/>
                <w:szCs w:val="15"/>
              </w:rPr>
            </w:pPr>
            <w:r>
              <w:rPr>
                <w:rFonts w:ascii="Times New Roman"/>
                <w:sz w:val="15"/>
              </w:rPr>
              <w:t>250,000.00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85" w:hRule="exact"/>
        </w:trPr>
        <w:tc>
          <w:tcPr>
            <w:tcW w:w="863" w:type="dxa"/>
            <w:tcBorders>
              <w:top w:val="single" w:sz="10" w:space="0" w:color="000000"/>
              <w:left w:val="single" w:sz="4" w:space="0" w:color="000000"/>
              <w:bottom w:val="single" w:sz="4" w:space="0" w:color="000000"/>
              <w:right w:val="single" w:sz="4" w:space="0" w:color="000000"/>
            </w:tcBorders>
          </w:tcPr>
          <w:p>
            <w:pPr>
              <w:pStyle w:val="TableParagraph"/>
              <w:spacing w:line="384" w:lineRule="auto" w:before="33"/>
              <w:ind w:left="22" w:right="78"/>
              <w:jc w:val="left"/>
              <w:rPr>
                <w:rFonts w:ascii="宋体" w:hAnsi="宋体" w:cs="宋体" w:eastAsia="宋体" w:hint="default"/>
                <w:sz w:val="15"/>
                <w:szCs w:val="15"/>
              </w:rPr>
            </w:pPr>
            <w:r>
              <w:rPr>
                <w:rFonts w:ascii="宋体" w:hAnsi="宋体" w:cs="宋体" w:eastAsia="宋体" w:hint="default"/>
                <w:sz w:val="15"/>
                <w:szCs w:val="15"/>
              </w:rPr>
              <w:t>技术开发有 限公司</w:t>
            </w:r>
          </w:p>
        </w:tc>
        <w:tc>
          <w:tcPr>
            <w:tcW w:w="870" w:type="dxa"/>
            <w:tcBorders>
              <w:top w:val="single" w:sz="10" w:space="0" w:color="000000"/>
              <w:left w:val="single" w:sz="4" w:space="0" w:color="000000"/>
              <w:bottom w:val="single" w:sz="4" w:space="0" w:color="000000"/>
              <w:right w:val="single" w:sz="4" w:space="0" w:color="000000"/>
            </w:tcBorders>
          </w:tcPr>
          <w:p>
            <w:pPr/>
          </w:p>
        </w:tc>
        <w:tc>
          <w:tcPr>
            <w:tcW w:w="870" w:type="dxa"/>
            <w:tcBorders>
              <w:top w:val="single" w:sz="10" w:space="0" w:color="000000"/>
              <w:left w:val="single" w:sz="4" w:space="0" w:color="000000"/>
              <w:bottom w:val="single" w:sz="4" w:space="0" w:color="000000"/>
              <w:right w:val="single" w:sz="4" w:space="0" w:color="000000"/>
            </w:tcBorders>
          </w:tcPr>
          <w:p>
            <w:pPr/>
          </w:p>
        </w:tc>
        <w:tc>
          <w:tcPr>
            <w:tcW w:w="870" w:type="dxa"/>
            <w:tcBorders>
              <w:top w:val="single" w:sz="10" w:space="0" w:color="000000"/>
              <w:left w:val="single" w:sz="4" w:space="0" w:color="000000"/>
              <w:bottom w:val="single" w:sz="4" w:space="0" w:color="000000"/>
              <w:right w:val="single" w:sz="4" w:space="0" w:color="000000"/>
            </w:tcBorders>
          </w:tcPr>
          <w:p>
            <w:pPr/>
          </w:p>
        </w:tc>
        <w:tc>
          <w:tcPr>
            <w:tcW w:w="870" w:type="dxa"/>
            <w:tcBorders>
              <w:top w:val="single" w:sz="10" w:space="0" w:color="000000"/>
              <w:left w:val="single" w:sz="4" w:space="0" w:color="000000"/>
              <w:bottom w:val="single" w:sz="4" w:space="0" w:color="000000"/>
              <w:right w:val="single" w:sz="4" w:space="0" w:color="000000"/>
            </w:tcBorders>
          </w:tcPr>
          <w:p>
            <w:pPr/>
          </w:p>
        </w:tc>
        <w:tc>
          <w:tcPr>
            <w:tcW w:w="870" w:type="dxa"/>
            <w:tcBorders>
              <w:top w:val="single" w:sz="10" w:space="0" w:color="000000"/>
              <w:left w:val="single" w:sz="4" w:space="0" w:color="000000"/>
              <w:bottom w:val="single" w:sz="4" w:space="0" w:color="000000"/>
              <w:right w:val="single" w:sz="4" w:space="0" w:color="000000"/>
            </w:tcBorders>
          </w:tcPr>
          <w:p>
            <w:pPr/>
          </w:p>
        </w:tc>
        <w:tc>
          <w:tcPr>
            <w:tcW w:w="870" w:type="dxa"/>
            <w:tcBorders>
              <w:top w:val="single" w:sz="10" w:space="0" w:color="000000"/>
              <w:left w:val="single" w:sz="4" w:space="0" w:color="000000"/>
              <w:bottom w:val="single" w:sz="4" w:space="0" w:color="000000"/>
              <w:right w:val="single" w:sz="4" w:space="0" w:color="000000"/>
            </w:tcBorders>
          </w:tcPr>
          <w:p>
            <w:pPr/>
          </w:p>
        </w:tc>
        <w:tc>
          <w:tcPr>
            <w:tcW w:w="870" w:type="dxa"/>
            <w:tcBorders>
              <w:top w:val="single" w:sz="10" w:space="0" w:color="000000"/>
              <w:left w:val="single" w:sz="4" w:space="0" w:color="000000"/>
              <w:bottom w:val="single" w:sz="4" w:space="0" w:color="000000"/>
              <w:right w:val="single" w:sz="4" w:space="0" w:color="000000"/>
            </w:tcBorders>
          </w:tcPr>
          <w:p>
            <w:pPr/>
          </w:p>
        </w:tc>
        <w:tc>
          <w:tcPr>
            <w:tcW w:w="870" w:type="dxa"/>
            <w:tcBorders>
              <w:top w:val="single" w:sz="10" w:space="0" w:color="000000"/>
              <w:left w:val="single" w:sz="4" w:space="0" w:color="000000"/>
              <w:bottom w:val="single" w:sz="4" w:space="0" w:color="000000"/>
              <w:right w:val="single" w:sz="4" w:space="0" w:color="000000"/>
            </w:tcBorders>
          </w:tcPr>
          <w:p>
            <w:pPr/>
          </w:p>
        </w:tc>
        <w:tc>
          <w:tcPr>
            <w:tcW w:w="870" w:type="dxa"/>
            <w:tcBorders>
              <w:top w:val="single" w:sz="10" w:space="0" w:color="000000"/>
              <w:left w:val="single" w:sz="4" w:space="0" w:color="000000"/>
              <w:bottom w:val="single" w:sz="4" w:space="0" w:color="000000"/>
              <w:right w:val="single" w:sz="4" w:space="0" w:color="000000"/>
            </w:tcBorders>
          </w:tcPr>
          <w:p>
            <w:pPr/>
          </w:p>
        </w:tc>
        <w:tc>
          <w:tcPr>
            <w:tcW w:w="870" w:type="dxa"/>
            <w:tcBorders>
              <w:top w:val="single" w:sz="10"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78"/>
              <w:jc w:val="both"/>
              <w:rPr>
                <w:rFonts w:ascii="宋体" w:hAnsi="宋体" w:cs="宋体" w:eastAsia="宋体" w:hint="default"/>
                <w:sz w:val="15"/>
                <w:szCs w:val="15"/>
              </w:rPr>
            </w:pPr>
            <w:r>
              <w:rPr>
                <w:rFonts w:ascii="宋体" w:hAnsi="宋体" w:cs="宋体" w:eastAsia="宋体" w:hint="default"/>
                <w:sz w:val="15"/>
                <w:szCs w:val="15"/>
              </w:rPr>
              <w:t>宁波互通网 络技术服务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8" w:right="0"/>
              <w:jc w:val="center"/>
              <w:rPr>
                <w:rFonts w:ascii="Times New Roman" w:hAnsi="Times New Roman" w:cs="Times New Roman" w:eastAsia="Times New Roman" w:hint="default"/>
                <w:sz w:val="15"/>
                <w:szCs w:val="15"/>
              </w:rPr>
            </w:pPr>
            <w:r>
              <w:rPr>
                <w:rFonts w:ascii="Times New Roman"/>
                <w:sz w:val="15"/>
              </w:rPr>
              <w:t>150,000.00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7" w:right="0"/>
              <w:jc w:val="center"/>
              <w:rPr>
                <w:rFonts w:ascii="Times New Roman" w:hAnsi="Times New Roman" w:cs="Times New Roman" w:eastAsia="Times New Roman" w:hint="default"/>
                <w:sz w:val="15"/>
                <w:szCs w:val="15"/>
              </w:rPr>
            </w:pPr>
            <w:r>
              <w:rPr>
                <w:rFonts w:ascii="Times New Roman"/>
                <w:sz w:val="15"/>
              </w:rPr>
              <w:t>150,000.00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104"/>
              <w:ind w:left="22" w:right="246"/>
              <w:jc w:val="left"/>
              <w:rPr>
                <w:rFonts w:ascii="Times New Roman" w:hAnsi="Times New Roman" w:cs="Times New Roman" w:eastAsia="Times New Roman" w:hint="default"/>
                <w:sz w:val="15"/>
                <w:szCs w:val="15"/>
              </w:rPr>
            </w:pPr>
            <w:r>
              <w:rPr>
                <w:rFonts w:ascii="Times New Roman"/>
                <w:sz w:val="15"/>
              </w:rPr>
              <w:t>Limited Liability Company A2B</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 w:right="0"/>
              <w:jc w:val="center"/>
              <w:rPr>
                <w:rFonts w:ascii="Times New Roman" w:hAnsi="Times New Roman" w:cs="Times New Roman" w:eastAsia="Times New Roman" w:hint="default"/>
                <w:sz w:val="15"/>
                <w:szCs w:val="15"/>
              </w:rPr>
            </w:pPr>
            <w:r>
              <w:rPr>
                <w:rFonts w:ascii="Times New Roman"/>
                <w:sz w:val="15"/>
              </w:rPr>
              <w:t>1,004,205.37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-38,727.37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center"/>
              <w:rPr>
                <w:rFonts w:ascii="Times New Roman" w:hAnsi="Times New Roman" w:cs="Times New Roman" w:eastAsia="Times New Roman" w:hint="default"/>
                <w:sz w:val="15"/>
                <w:szCs w:val="15"/>
              </w:rPr>
            </w:pPr>
            <w:r>
              <w:rPr>
                <w:rFonts w:ascii="Times New Roman"/>
                <w:sz w:val="15"/>
              </w:rPr>
              <w:t>965,478.00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965,478.00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965,478.00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434" w:lineRule="auto" w:before="104"/>
              <w:ind w:left="22" w:right="93"/>
              <w:jc w:val="left"/>
              <w:rPr>
                <w:rFonts w:ascii="Times New Roman" w:hAnsi="Times New Roman" w:cs="Times New Roman" w:eastAsia="Times New Roman" w:hint="default"/>
                <w:sz w:val="15"/>
                <w:szCs w:val="15"/>
              </w:rPr>
            </w:pPr>
            <w:r>
              <w:rPr>
                <w:rFonts w:ascii="Times New Roman"/>
                <w:sz w:val="15"/>
              </w:rPr>
              <w:t>Reliance</w:t>
            </w:r>
            <w:r>
              <w:rPr>
                <w:rFonts w:ascii="Times New Roman"/>
                <w:spacing w:val="-4"/>
                <w:sz w:val="15"/>
              </w:rPr>
              <w:t> </w:t>
            </w:r>
            <w:r>
              <w:rPr>
                <w:rFonts w:ascii="Times New Roman"/>
                <w:sz w:val="15"/>
              </w:rPr>
              <w:t>Jio</w:t>
            </w:r>
            <w:r>
              <w:rPr>
                <w:rFonts w:ascii="Times New Roman"/>
                <w:w w:val="99"/>
                <w:sz w:val="15"/>
              </w:rPr>
              <w:t> </w:t>
            </w:r>
            <w:r>
              <w:rPr>
                <w:rFonts w:ascii="Times New Roman"/>
                <w:sz w:val="15"/>
              </w:rPr>
              <w:t>electronics</w:t>
            </w:r>
            <w:r>
              <w:rPr>
                <w:rFonts w:ascii="Times New Roman"/>
                <w:w w:val="99"/>
                <w:sz w:val="15"/>
              </w:rPr>
              <w:t> </w:t>
            </w:r>
            <w:r>
              <w:rPr>
                <w:rFonts w:ascii="Times New Roman"/>
                <w:sz w:val="15"/>
              </w:rPr>
              <w:t>private</w:t>
            </w:r>
            <w:r>
              <w:rPr>
                <w:rFonts w:ascii="Times New Roman"/>
                <w:sz w:val="15"/>
              </w:rPr>
              <w:t> Limited</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14,681,546.6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14,681,546.6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23.44%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78"/>
              <w:jc w:val="both"/>
              <w:rPr>
                <w:rFonts w:ascii="宋体" w:hAnsi="宋体" w:cs="宋体" w:eastAsia="宋体" w:hint="default"/>
                <w:sz w:val="15"/>
                <w:szCs w:val="15"/>
              </w:rPr>
            </w:pPr>
            <w:r>
              <w:rPr>
                <w:rFonts w:ascii="宋体" w:hAnsi="宋体" w:cs="宋体" w:eastAsia="宋体" w:hint="default"/>
                <w:sz w:val="15"/>
                <w:szCs w:val="15"/>
              </w:rPr>
              <w:t>杭州爱财网 络科技有限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40,000,000.0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40,000,000.0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12.94%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1"/>
              <w:ind w:left="22" w:right="78"/>
              <w:jc w:val="left"/>
              <w:rPr>
                <w:rFonts w:ascii="宋体" w:hAnsi="宋体" w:cs="宋体" w:eastAsia="宋体" w:hint="default"/>
                <w:sz w:val="15"/>
                <w:szCs w:val="15"/>
              </w:rPr>
            </w:pPr>
            <w:r>
              <w:rPr>
                <w:rFonts w:ascii="宋体" w:hAnsi="宋体" w:cs="宋体" w:eastAsia="宋体" w:hint="default"/>
                <w:sz w:val="15"/>
                <w:szCs w:val="15"/>
              </w:rPr>
              <w:t>北京创金兴 业投资中心</w:t>
            </w:r>
          </w:p>
          <w:p>
            <w:pPr>
              <w:pStyle w:val="TableParagraph"/>
              <w:spacing w:line="384" w:lineRule="auto" w:before="28"/>
              <w:ind w:left="22" w:right="228"/>
              <w:jc w:val="left"/>
              <w:rPr>
                <w:rFonts w:ascii="宋体" w:hAnsi="宋体" w:cs="宋体" w:eastAsia="宋体" w:hint="default"/>
                <w:sz w:val="15"/>
                <w:szCs w:val="15"/>
              </w:rPr>
            </w:pPr>
            <w:r>
              <w:rPr>
                <w:rFonts w:ascii="宋体" w:hAnsi="宋体" w:cs="宋体" w:eastAsia="宋体" w:hint="default"/>
                <w:sz w:val="15"/>
                <w:szCs w:val="15"/>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t>7,000,000.00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1.92%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78"/>
              <w:jc w:val="both"/>
              <w:rPr>
                <w:rFonts w:ascii="宋体" w:hAnsi="宋体" w:cs="宋体" w:eastAsia="宋体" w:hint="default"/>
                <w:sz w:val="15"/>
                <w:szCs w:val="15"/>
              </w:rPr>
            </w:pPr>
            <w:r>
              <w:rPr>
                <w:rFonts w:ascii="宋体" w:hAnsi="宋体" w:cs="宋体" w:eastAsia="宋体" w:hint="default"/>
                <w:sz w:val="15"/>
                <w:szCs w:val="15"/>
              </w:rPr>
              <w:t>北京云中融 信网络科技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37" w:right="0"/>
              <w:jc w:val="center"/>
              <w:rPr>
                <w:rFonts w:ascii="Times New Roman" w:hAnsi="Times New Roman" w:cs="Times New Roman" w:eastAsia="Times New Roman" w:hint="default"/>
                <w:sz w:val="15"/>
                <w:szCs w:val="15"/>
              </w:rPr>
            </w:pPr>
            <w:r>
              <w:rPr>
                <w:rFonts w:ascii="Times New Roman"/>
                <w:sz w:val="15"/>
              </w:rPr>
              <w:t>900,000.00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69"/>
              <w:ind w:left="22" w:right="78"/>
              <w:jc w:val="both"/>
              <w:rPr>
                <w:rFonts w:ascii="宋体" w:hAnsi="宋体" w:cs="宋体" w:eastAsia="宋体" w:hint="default"/>
                <w:sz w:val="15"/>
                <w:szCs w:val="15"/>
              </w:rPr>
            </w:pPr>
            <w:r>
              <w:rPr>
                <w:rFonts w:ascii="宋体" w:hAnsi="宋体" w:cs="宋体" w:eastAsia="宋体" w:hint="default"/>
                <w:sz w:val="15"/>
                <w:szCs w:val="15"/>
              </w:rPr>
              <w:t>北京魔力码 头科技有限 责任公司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center"/>
              <w:rPr>
                <w:rFonts w:ascii="Times New Roman" w:hAnsi="Times New Roman" w:cs="Times New Roman" w:eastAsia="Times New Roman" w:hint="default"/>
                <w:sz w:val="15"/>
                <w:szCs w:val="15"/>
              </w:rPr>
            </w:pPr>
            <w:r>
              <w:rPr>
                <w:rFonts w:ascii="Times New Roman"/>
                <w:sz w:val="15"/>
              </w:rPr>
              <w:t>3,000,000.00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266,404,205.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5"/>
                <w:szCs w:val="15"/>
              </w:rPr>
            </w:pPr>
            <w:r>
              <w:rPr>
                <w:rFonts w:ascii="Times New Roman"/>
                <w:spacing w:val="-1"/>
                <w:sz w:val="15"/>
              </w:rPr>
              <w:t>65,542,819.3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331,947,024.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965,478.00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1,365,478.00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9" w:right="0"/>
              <w:jc w:val="left"/>
              <w:rPr>
                <w:rFonts w:ascii="Times New Roman" w:hAnsi="Times New Roman" w:cs="Times New Roman" w:eastAsia="Times New Roman" w:hint="default"/>
                <w:sz w:val="15"/>
                <w:szCs w:val="15"/>
              </w:rPr>
            </w:pPr>
            <w:r>
              <w:rPr>
                <w:rFonts w:ascii="Times New Roman"/>
                <w:sz w:val="15"/>
              </w:rPr>
              <w:t>3,072,692.00</w:t>
            </w:r>
          </w:p>
        </w:tc>
      </w:tr>
    </w:tbl>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3）报告期内可供出售金融资产减值的变动情况" w:id="254"/>
      <w:bookmarkEnd w:id="254"/>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2390"/>
        <w:gridCol w:w="2426"/>
        <w:gridCol w:w="2414"/>
        <w:gridCol w:w="241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965,478.00</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965,478.00</w:t>
            </w:r>
          </w:p>
        </w:tc>
      </w:tr>
      <w:tr>
        <w:trPr>
          <w:trHeight w:val="41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1,365,478.00</w:t>
            </w:r>
          </w:p>
        </w:tc>
        <w:tc>
          <w:tcPr>
            <w:tcW w:w="2414"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1,365,478.00</w:t>
            </w:r>
          </w:p>
        </w:tc>
      </w:tr>
    </w:tbl>
    <w:p>
      <w:pPr>
        <w:spacing w:line="240" w:lineRule="auto" w:before="7"/>
        <w:rPr>
          <w:rFonts w:ascii="宋体" w:hAnsi="宋体" w:cs="宋体" w:eastAsia="宋体" w:hint="default"/>
          <w:sz w:val="6"/>
          <w:szCs w:val="6"/>
        </w:rPr>
      </w:pPr>
    </w:p>
    <w:p>
      <w:pPr>
        <w:pStyle w:val="BodyText"/>
        <w:spacing w:line="240" w:lineRule="auto" w:before="44"/>
        <w:ind w:left="1134" w:right="0"/>
        <w:jc w:val="left"/>
      </w:pPr>
      <w:r>
        <w:rPr/>
        <w:t>其他说明</w:t>
      </w:r>
    </w:p>
    <w:p>
      <w:pPr>
        <w:spacing w:line="240" w:lineRule="auto" w:before="9"/>
        <w:rPr>
          <w:rFonts w:ascii="宋体" w:hAnsi="宋体" w:cs="宋体" w:eastAsia="宋体" w:hint="default"/>
          <w:sz w:val="20"/>
          <w:szCs w:val="20"/>
        </w:rPr>
      </w:pPr>
    </w:p>
    <w:p>
      <w:pPr>
        <w:pStyle w:val="BodyText"/>
        <w:spacing w:line="451" w:lineRule="auto"/>
        <w:ind w:right="0" w:firstLine="360"/>
        <w:jc w:val="left"/>
      </w:pPr>
      <w:r>
        <w:rPr>
          <w:spacing w:val="-2"/>
        </w:rPr>
        <w:t>根据李毅、李章晶及天津骆壳科技信息咨询合伙企业（有限合伙）（以下简称</w:t>
      </w:r>
      <w:r>
        <w:rPr>
          <w:rFonts w:ascii="Times New Roman" w:hAnsi="Times New Roman" w:cs="Times New Roman" w:eastAsia="Times New Roman" w:hint="default"/>
          <w:spacing w:val="-2"/>
        </w:rPr>
        <w:t>“</w:t>
      </w:r>
      <w:r>
        <w:rPr>
          <w:spacing w:val="-2"/>
        </w:rPr>
        <w:t>认购人</w:t>
      </w:r>
      <w:r>
        <w:rPr>
          <w:rFonts w:ascii="Times New Roman" w:hAnsi="Times New Roman" w:cs="Times New Roman" w:eastAsia="Times New Roman" w:hint="default"/>
          <w:spacing w:val="-2"/>
        </w:rPr>
        <w:t>”</w:t>
      </w:r>
      <w:r>
        <w:rPr>
          <w:spacing w:val="-2"/>
        </w:rPr>
        <w:t>）与本公司签订的《发行股份及</w:t>
      </w:r>
      <w:r>
        <w:rPr/>
        <w:t> </w:t>
      </w:r>
      <w:r>
        <w:rPr>
          <w:spacing w:val="-2"/>
        </w:rPr>
        <w:t>支付现金购买资产协议》的约定，天津壳木软件有限责任公司在盈利承诺期内实现的实际净利润数不低于承诺净利润数，否</w:t>
      </w:r>
    </w:p>
    <w:p>
      <w:pPr>
        <w:spacing w:after="0" w:line="451" w:lineRule="auto"/>
        <w:jc w:val="left"/>
        <w:sectPr>
          <w:pgSz w:w="11910" w:h="16840"/>
          <w:pgMar w:header="851" w:footer="979" w:top="142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77" w:lineRule="auto" w:before="83"/>
        <w:ind w:right="0"/>
        <w:jc w:val="left"/>
      </w:pPr>
      <w:r>
        <w:rPr>
          <w:spacing w:val="-2"/>
        </w:rPr>
        <w:t>则认购人应按照重组协议约定对神州泰岳予以补偿。认购人承诺天津壳木软件有限责任公司盈利承诺期内各年度的净利润数</w:t>
      </w:r>
      <w:r>
        <w:rPr>
          <w:spacing w:val="-64"/>
        </w:rPr>
        <w:t> </w:t>
      </w:r>
      <w:r>
        <w:rPr>
          <w:spacing w:val="-64"/>
        </w:rPr>
      </w:r>
      <w:r>
        <w:rPr/>
        <w:t>如下：</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0.8</w:t>
      </w:r>
      <w:r>
        <w:rPr/>
        <w:t>亿元；</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1.1</w:t>
      </w:r>
      <w:r>
        <w:rPr/>
        <w:t>亿元；</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1.5</w:t>
      </w:r>
      <w:r>
        <w:rPr/>
        <w:t>亿元；</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w:t>
      </w:r>
      <w:r>
        <w:rPr/>
        <w:t>亿元。</w:t>
      </w:r>
    </w:p>
    <w:p>
      <w:pPr>
        <w:pStyle w:val="BodyText"/>
        <w:spacing w:line="463" w:lineRule="auto" w:before="21"/>
        <w:ind w:right="1130" w:firstLine="360"/>
        <w:jc w:val="both"/>
      </w:pPr>
      <w:r>
        <w:rPr>
          <w:spacing w:val="-2"/>
        </w:rPr>
        <w:t>盈利承诺期内，标的资产截至当期期末累积实际净利润数低于截至当期期末累积承诺净利润数，认购人应当对上市公司</w:t>
      </w:r>
      <w:r>
        <w:rPr/>
        <w:t> 进行补偿。当年应补偿金额＝（截止当期期末累积承诺净利润数</w:t>
      </w:r>
      <w:r>
        <w:rPr>
          <w:rFonts w:ascii="Times New Roman" w:hAnsi="Times New Roman" w:cs="Times New Roman" w:eastAsia="Times New Roman" w:hint="default"/>
        </w:rPr>
        <w:t>—</w:t>
      </w:r>
      <w:r>
        <w:rPr/>
        <w:t>截止当期期末累积实际净利润数）</w:t>
      </w:r>
      <w:r>
        <w:rPr>
          <w:rFonts w:ascii="Times New Roman" w:hAnsi="Times New Roman" w:cs="Times New Roman" w:eastAsia="Times New Roman" w:hint="default"/>
        </w:rPr>
        <w:t>÷</w:t>
      </w:r>
      <w:r>
        <w:rPr/>
        <w:t>盈利承诺期内累积承 诺净利润数</w:t>
      </w:r>
      <w:r>
        <w:rPr>
          <w:rFonts w:ascii="Times New Roman" w:hAnsi="Times New Roman" w:cs="Times New Roman" w:eastAsia="Times New Roman" w:hint="default"/>
        </w:rPr>
        <w:t>×</w:t>
      </w:r>
      <w:r>
        <w:rPr/>
        <w:t>标的资产交易价格</w:t>
      </w:r>
      <w:r>
        <w:rPr>
          <w:rFonts w:ascii="Times New Roman" w:hAnsi="Times New Roman" w:cs="Times New Roman" w:eastAsia="Times New Roman" w:hint="default"/>
        </w:rPr>
        <w:t>—</w:t>
      </w:r>
      <w:r>
        <w:rPr/>
        <w:t>已补偿金额。</w:t>
      </w:r>
    </w:p>
    <w:p>
      <w:pPr>
        <w:pStyle w:val="BodyText"/>
        <w:spacing w:line="477" w:lineRule="auto" w:before="33"/>
        <w:ind w:right="1132" w:firstLine="360"/>
        <w:jc w:val="both"/>
      </w:pPr>
      <w:r>
        <w:rPr>
          <w:spacing w:val="-2"/>
        </w:rPr>
        <w:t>盈利承诺期内认购人发生补偿义务的，认购人首先以本次交易获得的上市公司的股份进行补偿。当年应补偿的股份数＝</w:t>
      </w:r>
      <w:r>
        <w:rPr/>
        <w:t> 当年应补偿金额</w:t>
      </w:r>
      <w:r>
        <w:rPr>
          <w:rFonts w:ascii="Times New Roman" w:hAnsi="Times New Roman" w:cs="Times New Roman" w:eastAsia="Times New Roman" w:hint="default"/>
        </w:rPr>
        <w:t>÷</w:t>
      </w:r>
      <w:r>
        <w:rPr/>
        <w:t>本次发行价格。</w:t>
      </w:r>
    </w:p>
    <w:p>
      <w:pPr>
        <w:pStyle w:val="BodyText"/>
        <w:spacing w:line="451" w:lineRule="auto" w:before="21"/>
        <w:ind w:right="1130" w:firstLine="360"/>
        <w:jc w:val="left"/>
      </w:pPr>
      <w:r>
        <w:rPr/>
        <w:t>天津壳木软件有限责任公司</w:t>
      </w:r>
      <w:r>
        <w:rPr>
          <w:rFonts w:ascii="Times New Roman" w:hAnsi="Times New Roman" w:cs="Times New Roman" w:eastAsia="Times New Roman" w:hint="default"/>
        </w:rPr>
        <w:t>2015</w:t>
      </w:r>
      <w:r>
        <w:rPr/>
        <w:t>年度净利润为（以扣除非经常性损益后归属于母公司股东的净利润数为计算依据）为 </w:t>
      </w:r>
      <w:r>
        <w:rPr>
          <w:rFonts w:ascii="Times New Roman" w:hAnsi="Times New Roman" w:cs="Times New Roman" w:eastAsia="Times New Roman" w:hint="default"/>
        </w:rPr>
        <w:t>7,582.82</w:t>
      </w:r>
      <w:r>
        <w:rPr/>
        <w:t>万元，经计算李毅需要补偿股份数为</w:t>
      </w:r>
      <w:r>
        <w:rPr>
          <w:rFonts w:ascii="Times New Roman" w:hAnsi="Times New Roman" w:cs="Times New Roman" w:eastAsia="Times New Roman" w:hint="default"/>
        </w:rPr>
        <w:t>24,275,774</w:t>
      </w:r>
      <w:r>
        <w:rPr/>
        <w:t>股、</w:t>
      </w:r>
      <w:r>
        <w:rPr>
          <w:spacing w:val="-7"/>
        </w:rPr>
        <w:t> </w:t>
      </w:r>
      <w:r>
        <w:rPr/>
        <w:t>李章晶需要补偿股份数为</w:t>
      </w:r>
      <w:r>
        <w:rPr>
          <w:rFonts w:ascii="Times New Roman" w:hAnsi="Times New Roman" w:cs="Times New Roman" w:eastAsia="Times New Roman" w:hint="default"/>
        </w:rPr>
        <w:t>1,312,204</w:t>
      </w:r>
      <w:r>
        <w:rPr/>
        <w:t>股、天津骆壳科技信息咨询 合伙企业（有限合伙）需要补偿的股份数为</w:t>
      </w:r>
      <w:r>
        <w:rPr>
          <w:rFonts w:ascii="Times New Roman" w:hAnsi="Times New Roman" w:cs="Times New Roman" w:eastAsia="Times New Roman" w:hint="default"/>
        </w:rPr>
        <w:t>3,936,612</w:t>
      </w:r>
      <w:r>
        <w:rPr/>
        <w:t>股，合计</w:t>
      </w:r>
      <w:r>
        <w:rPr>
          <w:rFonts w:ascii="Times New Roman" w:hAnsi="Times New Roman" w:cs="Times New Roman" w:eastAsia="Times New Roman" w:hint="default"/>
        </w:rPr>
        <w:t>29,524,590</w:t>
      </w:r>
      <w:r>
        <w:rPr/>
        <w:t>股。按发行价格</w:t>
      </w:r>
      <w:r>
        <w:rPr>
          <w:rFonts w:ascii="Times New Roman" w:hAnsi="Times New Roman" w:cs="Times New Roman" w:eastAsia="Times New Roman" w:hint="default"/>
        </w:rPr>
        <w:t>5.56</w:t>
      </w:r>
      <w:r>
        <w:rPr/>
        <w:t>元</w:t>
      </w:r>
      <w:r>
        <w:rPr>
          <w:rFonts w:ascii="Times New Roman" w:hAnsi="Times New Roman" w:cs="Times New Roman" w:eastAsia="Times New Roman" w:hint="default"/>
        </w:rPr>
        <w:t>/</w:t>
      </w:r>
      <w:r>
        <w:rPr/>
        <w:t>股计算，需要补偿公司 </w:t>
      </w:r>
      <w:r>
        <w:rPr>
          <w:rFonts w:ascii="Times New Roman" w:hAnsi="Times New Roman" w:cs="Times New Roman" w:eastAsia="Times New Roman" w:hint="default"/>
        </w:rPr>
        <w:t>166,886,616.94</w:t>
      </w:r>
      <w:r>
        <w:rPr/>
        <w:t>元。</w:t>
      </w:r>
    </w:p>
    <w:p>
      <w:pPr>
        <w:pStyle w:val="BodyText"/>
        <w:spacing w:line="463" w:lineRule="auto" w:before="43"/>
        <w:ind w:right="1132" w:firstLine="360"/>
        <w:jc w:val="both"/>
      </w:pPr>
      <w:r>
        <w:rPr/>
        <w:t>以上所补偿的股份由本公司以</w:t>
      </w:r>
      <w:r>
        <w:rPr>
          <w:rFonts w:ascii="Times New Roman" w:hAnsi="Times New Roman" w:cs="Times New Roman" w:eastAsia="Times New Roman" w:hint="default"/>
        </w:rPr>
        <w:t>1</w:t>
      </w:r>
      <w:r>
        <w:rPr/>
        <w:t>元总价回购。本公司将在会计事务所出具审核意见后</w:t>
      </w:r>
      <w:r>
        <w:rPr>
          <w:rFonts w:ascii="Times New Roman" w:hAnsi="Times New Roman" w:cs="Times New Roman" w:eastAsia="Times New Roman" w:hint="default"/>
        </w:rPr>
        <w:t>30</w:t>
      </w:r>
      <w:r>
        <w:rPr/>
        <w:t>个工作日内，召开董事会及股东 </w:t>
      </w:r>
      <w:r>
        <w:rPr>
          <w:spacing w:val="-2"/>
        </w:rPr>
        <w:t>大会审议关于回购李毅等应补偿的股份并注销相关方案，并同步履行通知债权人等法律、法规等关于减少注册资本的相关程</w:t>
      </w:r>
      <w:r>
        <w:rPr>
          <w:spacing w:val="-64"/>
        </w:rPr>
        <w:t> </w:t>
      </w:r>
      <w:r>
        <w:rPr>
          <w:spacing w:val="-64"/>
        </w:rPr>
      </w:r>
      <w:r>
        <w:rPr/>
        <w:t>序。</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15、持有至到期投资" w:id="255"/>
      <w:bookmarkEnd w:id="25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3"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16、长期应收款" w:id="256"/>
      <w:bookmarkEnd w:id="256"/>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17、长期股权投资" w:id="257"/>
      <w:bookmarkEnd w:id="25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381" w:lineRule="auto"/>
              <w:ind w:left="318" w:right="93" w:hanging="226"/>
              <w:jc w:val="left"/>
              <w:rPr>
                <w:rFonts w:ascii="宋体" w:hAnsi="宋体" w:cs="宋体" w:eastAsia="宋体" w:hint="default"/>
                <w:sz w:val="15"/>
                <w:szCs w:val="15"/>
              </w:rPr>
            </w:pPr>
            <w:r>
              <w:rPr>
                <w:rFonts w:ascii="宋体" w:hAnsi="宋体" w:cs="宋体" w:eastAsia="宋体" w:hint="default"/>
                <w:sz w:val="15"/>
                <w:szCs w:val="15"/>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381" w:lineRule="auto"/>
              <w:ind w:left="93" w:right="92"/>
              <w:jc w:val="left"/>
              <w:rPr>
                <w:rFonts w:ascii="宋体" w:hAnsi="宋体" w:cs="宋体" w:eastAsia="宋体" w:hint="default"/>
                <w:sz w:val="15"/>
                <w:szCs w:val="15"/>
              </w:rPr>
            </w:pPr>
            <w:r>
              <w:rPr>
                <w:rFonts w:ascii="宋体" w:hAnsi="宋体" w:cs="宋体" w:eastAsia="宋体" w:hint="default"/>
                <w:sz w:val="15"/>
                <w:szCs w:val="15"/>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93" w:right="93"/>
              <w:jc w:val="both"/>
              <w:rPr>
                <w:rFonts w:ascii="宋体" w:hAnsi="宋体" w:cs="宋体" w:eastAsia="宋体" w:hint="default"/>
                <w:sz w:val="15"/>
                <w:szCs w:val="15"/>
              </w:rPr>
            </w:pPr>
            <w:r>
              <w:rPr>
                <w:rFonts w:ascii="宋体" w:hAnsi="宋体" w:cs="宋体" w:eastAsia="宋体" w:hint="default"/>
                <w:sz w:val="15"/>
                <w:szCs w:val="15"/>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93" w:right="92"/>
              <w:jc w:val="left"/>
              <w:rPr>
                <w:rFonts w:ascii="宋体" w:hAnsi="宋体" w:cs="宋体" w:eastAsia="宋体" w:hint="default"/>
                <w:sz w:val="15"/>
                <w:szCs w:val="15"/>
              </w:rPr>
            </w:pPr>
            <w:r>
              <w:rPr>
                <w:rFonts w:ascii="宋体" w:hAnsi="宋体" w:cs="宋体" w:eastAsia="宋体" w:hint="default"/>
                <w:sz w:val="15"/>
                <w:szCs w:val="15"/>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243" w:right="92" w:hanging="150"/>
              <w:jc w:val="left"/>
              <w:rPr>
                <w:rFonts w:ascii="宋体" w:hAnsi="宋体" w:cs="宋体" w:eastAsia="宋体" w:hint="default"/>
                <w:sz w:val="15"/>
                <w:szCs w:val="15"/>
              </w:rPr>
            </w:pPr>
            <w:r>
              <w:rPr>
                <w:rFonts w:ascii="宋体" w:hAnsi="宋体" w:cs="宋体" w:eastAsia="宋体" w:hint="default"/>
                <w:sz w:val="15"/>
                <w:szCs w:val="15"/>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93" w:right="92"/>
              <w:jc w:val="both"/>
              <w:rPr>
                <w:rFonts w:ascii="宋体" w:hAnsi="宋体" w:cs="宋体" w:eastAsia="宋体" w:hint="default"/>
                <w:sz w:val="15"/>
                <w:szCs w:val="15"/>
              </w:rPr>
            </w:pPr>
            <w:r>
              <w:rPr>
                <w:rFonts w:ascii="宋体" w:hAnsi="宋体" w:cs="宋体" w:eastAsia="宋体" w:hint="default"/>
                <w:sz w:val="15"/>
                <w:szCs w:val="15"/>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243" w:right="93" w:hanging="150"/>
              <w:jc w:val="left"/>
              <w:rPr>
                <w:rFonts w:ascii="宋体" w:hAnsi="宋体" w:cs="宋体" w:eastAsia="宋体" w:hint="default"/>
                <w:sz w:val="15"/>
                <w:szCs w:val="15"/>
              </w:rPr>
            </w:pPr>
            <w:r>
              <w:rPr>
                <w:rFonts w:ascii="宋体" w:hAnsi="宋体" w:cs="宋体" w:eastAsia="宋体" w:hint="default"/>
                <w:sz w:val="15"/>
                <w:szCs w:val="15"/>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61"/>
              <w:jc w:val="both"/>
              <w:rPr>
                <w:rFonts w:ascii="宋体" w:hAnsi="宋体" w:cs="宋体" w:eastAsia="宋体" w:hint="default"/>
                <w:sz w:val="15"/>
                <w:szCs w:val="15"/>
              </w:rPr>
            </w:pPr>
            <w:r>
              <w:rPr>
                <w:rFonts w:ascii="宋体" w:hAnsi="宋体" w:cs="宋体" w:eastAsia="宋体" w:hint="default"/>
                <w:sz w:val="15"/>
                <w:szCs w:val="15"/>
              </w:rPr>
              <w:t>深圳市前 海泰岳梧 桐投资基</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9" w:right="0"/>
              <w:jc w:val="left"/>
              <w:rPr>
                <w:rFonts w:ascii="Times New Roman" w:hAnsi="Times New Roman" w:cs="Times New Roman" w:eastAsia="Times New Roman" w:hint="default"/>
                <w:sz w:val="15"/>
                <w:szCs w:val="15"/>
              </w:rPr>
            </w:pPr>
            <w:r>
              <w:rPr>
                <w:rFonts w:ascii="Times New Roman"/>
                <w:sz w:val="15"/>
              </w:rPr>
              <w:t>-309,573.50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left"/>
              <w:rPr>
                <w:rFonts w:ascii="Times New Roman" w:hAnsi="Times New Roman" w:cs="Times New Roman" w:eastAsia="Times New Roman" w:hint="default"/>
                <w:sz w:val="15"/>
                <w:szCs w:val="15"/>
              </w:rPr>
            </w:pPr>
            <w:r>
              <w:rPr>
                <w:rFonts w:ascii="Times New Roman"/>
                <w:sz w:val="15"/>
              </w:rPr>
              <w:t>690,426.50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85" w:hRule="exact"/>
        </w:trPr>
        <w:tc>
          <w:tcPr>
            <w:tcW w:w="796" w:type="dxa"/>
            <w:tcBorders>
              <w:top w:val="single" w:sz="10" w:space="0" w:color="000000"/>
              <w:left w:val="single" w:sz="4" w:space="0" w:color="000000"/>
              <w:bottom w:val="single" w:sz="4" w:space="0" w:color="000000"/>
              <w:right w:val="single" w:sz="4" w:space="0" w:color="000000"/>
            </w:tcBorders>
          </w:tcPr>
          <w:p>
            <w:pPr>
              <w:pStyle w:val="TableParagraph"/>
              <w:spacing w:line="384" w:lineRule="auto" w:before="33"/>
              <w:ind w:left="22" w:right="161"/>
              <w:jc w:val="left"/>
              <w:rPr>
                <w:rFonts w:ascii="宋体" w:hAnsi="宋体" w:cs="宋体" w:eastAsia="宋体" w:hint="default"/>
                <w:sz w:val="15"/>
                <w:szCs w:val="15"/>
              </w:rPr>
            </w:pPr>
            <w:r>
              <w:rPr>
                <w:rFonts w:ascii="宋体" w:hAnsi="宋体" w:cs="宋体" w:eastAsia="宋体" w:hint="default"/>
                <w:sz w:val="15"/>
                <w:szCs w:val="15"/>
              </w:rPr>
              <w:t>金管理有 限公司</w:t>
            </w:r>
          </w:p>
        </w:tc>
        <w:tc>
          <w:tcPr>
            <w:tcW w:w="798"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pacing w:val="-1"/>
                <w:sz w:val="15"/>
              </w:rPr>
              <w:t>1,000,000.0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9" w:right="0"/>
              <w:jc w:val="left"/>
              <w:rPr>
                <w:rFonts w:ascii="Times New Roman" w:hAnsi="Times New Roman" w:cs="Times New Roman" w:eastAsia="Times New Roman" w:hint="default"/>
                <w:sz w:val="15"/>
                <w:szCs w:val="15"/>
              </w:rPr>
            </w:pPr>
            <w:r>
              <w:rPr>
                <w:rFonts w:ascii="Times New Roman"/>
                <w:sz w:val="15"/>
              </w:rPr>
              <w:t>-309,573.50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5"/>
                <w:szCs w:val="15"/>
              </w:rPr>
            </w:pPr>
            <w:r>
              <w:rPr>
                <w:rFonts w:ascii="Times New Roman"/>
                <w:sz w:val="15"/>
              </w:rPr>
              <w:t>690,426.50</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2"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161"/>
              <w:jc w:val="both"/>
              <w:rPr>
                <w:rFonts w:ascii="宋体" w:hAnsi="宋体" w:cs="宋体" w:eastAsia="宋体" w:hint="default"/>
                <w:sz w:val="15"/>
                <w:szCs w:val="15"/>
              </w:rPr>
            </w:pPr>
            <w:r>
              <w:rPr>
                <w:rFonts w:ascii="宋体" w:hAnsi="宋体" w:cs="宋体" w:eastAsia="宋体" w:hint="default"/>
                <w:sz w:val="15"/>
                <w:szCs w:val="15"/>
              </w:rPr>
              <w:t>大连华信 计算机技 术股份有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119,363,61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2" w:right="0"/>
              <w:jc w:val="left"/>
              <w:rPr>
                <w:rFonts w:ascii="Times New Roman" w:hAnsi="Times New Roman" w:cs="Times New Roman" w:eastAsia="Times New Roman" w:hint="default"/>
                <w:sz w:val="15"/>
                <w:szCs w:val="15"/>
              </w:rPr>
            </w:pPr>
            <w:r>
              <w:rPr>
                <w:rFonts w:ascii="Times New Roman"/>
                <w:sz w:val="15"/>
              </w:rPr>
              <w:t>3.10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13,130,086.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209,134.92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-137,828.04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-19,800,000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4" w:right="0"/>
              <w:jc w:val="left"/>
              <w:rPr>
                <w:rFonts w:ascii="Times New Roman" w:hAnsi="Times New Roman" w:cs="Times New Roman" w:eastAsia="Times New Roman" w:hint="default"/>
                <w:sz w:val="15"/>
                <w:szCs w:val="15"/>
              </w:rPr>
            </w:pPr>
            <w:r>
              <w:rPr>
                <w:rFonts w:ascii="Times New Roman"/>
                <w:sz w:val="15"/>
              </w:rPr>
              <w:t>112,765,00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6.90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1"/>
              <w:ind w:left="22" w:right="161"/>
              <w:jc w:val="left"/>
              <w:rPr>
                <w:rFonts w:ascii="宋体" w:hAnsi="宋体" w:cs="宋体" w:eastAsia="宋体" w:hint="default"/>
                <w:sz w:val="15"/>
                <w:szCs w:val="15"/>
              </w:rPr>
            </w:pPr>
            <w:r>
              <w:rPr>
                <w:rFonts w:ascii="宋体" w:hAnsi="宋体" w:cs="宋体" w:eastAsia="宋体" w:hint="default"/>
                <w:sz w:val="15"/>
                <w:szCs w:val="15"/>
              </w:rPr>
              <w:t>神州泰岳 顶策科技</w:t>
            </w:r>
          </w:p>
          <w:p>
            <w:pPr>
              <w:pStyle w:val="TableParagraph"/>
              <w:spacing w:line="384" w:lineRule="auto" w:before="28"/>
              <w:ind w:left="22" w:right="21"/>
              <w:jc w:val="left"/>
              <w:rPr>
                <w:rFonts w:ascii="宋体" w:hAnsi="宋体" w:cs="宋体" w:eastAsia="宋体" w:hint="default"/>
                <w:sz w:val="15"/>
                <w:szCs w:val="15"/>
              </w:rPr>
            </w:pPr>
            <w:r>
              <w:rPr>
                <w:rFonts w:ascii="宋体" w:hAnsi="宋体" w:cs="宋体" w:eastAsia="宋体" w:hint="default"/>
                <w:spacing w:val="-2"/>
                <w:sz w:val="15"/>
                <w:szCs w:val="15"/>
              </w:rPr>
              <w:t>（北京）有</w:t>
            </w:r>
            <w:r>
              <w:rPr>
                <w:rFonts w:ascii="宋体" w:hAnsi="宋体" w:cs="宋体" w:eastAsia="宋体" w:hint="default"/>
                <w:sz w:val="15"/>
                <w:szCs w:val="15"/>
              </w:rPr>
              <w:t>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9,026,184.0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 w:right="0"/>
              <w:jc w:val="left"/>
              <w:rPr>
                <w:rFonts w:ascii="Times New Roman" w:hAnsi="Times New Roman" w:cs="Times New Roman" w:eastAsia="Times New Roman" w:hint="default"/>
                <w:sz w:val="15"/>
                <w:szCs w:val="15"/>
              </w:rPr>
            </w:pPr>
            <w:r>
              <w:rPr>
                <w:rFonts w:ascii="Times New Roman"/>
                <w:sz w:val="15"/>
              </w:rPr>
              <w:t>-551,226.62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-8,474,957.</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161"/>
              <w:jc w:val="both"/>
              <w:rPr>
                <w:rFonts w:ascii="宋体" w:hAnsi="宋体" w:cs="宋体" w:eastAsia="宋体" w:hint="default"/>
                <w:sz w:val="15"/>
                <w:szCs w:val="15"/>
              </w:rPr>
            </w:pPr>
            <w:r>
              <w:rPr>
                <w:rFonts w:ascii="宋体" w:hAnsi="宋体" w:cs="宋体" w:eastAsia="宋体" w:hint="default"/>
                <w:sz w:val="15"/>
                <w:szCs w:val="15"/>
              </w:rPr>
              <w:t>北京盈海 益讯科技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2,019,257.8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4,324,177.2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6,343,435.1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161"/>
              <w:jc w:val="both"/>
              <w:rPr>
                <w:rFonts w:ascii="宋体" w:hAnsi="宋体" w:cs="宋体" w:eastAsia="宋体" w:hint="default"/>
                <w:sz w:val="15"/>
                <w:szCs w:val="15"/>
              </w:rPr>
            </w:pPr>
            <w:r>
              <w:rPr>
                <w:rFonts w:ascii="宋体" w:hAnsi="宋体" w:cs="宋体" w:eastAsia="宋体" w:hint="default"/>
                <w:sz w:val="15"/>
                <w:szCs w:val="15"/>
              </w:rPr>
              <w:t>北京华泰 德丰技术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2,609,963.6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-2,609,963.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161"/>
              <w:jc w:val="both"/>
              <w:rPr>
                <w:rFonts w:ascii="宋体" w:hAnsi="宋体" w:cs="宋体" w:eastAsia="宋体" w:hint="default"/>
                <w:sz w:val="15"/>
                <w:szCs w:val="15"/>
              </w:rPr>
            </w:pPr>
            <w:r>
              <w:rPr>
                <w:rFonts w:ascii="宋体" w:hAnsi="宋体" w:cs="宋体" w:eastAsia="宋体" w:hint="default"/>
                <w:sz w:val="15"/>
                <w:szCs w:val="15"/>
              </w:rPr>
              <w:t>宁波泰岳 梧桐投资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7,361,141.9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-2,075,595.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5,285,546.3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69"/>
              <w:ind w:left="22" w:right="161"/>
              <w:jc w:val="both"/>
              <w:rPr>
                <w:rFonts w:ascii="宋体" w:hAnsi="宋体" w:cs="宋体" w:eastAsia="宋体" w:hint="default"/>
                <w:sz w:val="15"/>
                <w:szCs w:val="15"/>
              </w:rPr>
            </w:pPr>
            <w:r>
              <w:rPr>
                <w:rFonts w:ascii="宋体" w:hAnsi="宋体" w:cs="宋体" w:eastAsia="宋体" w:hint="default"/>
                <w:sz w:val="15"/>
                <w:szCs w:val="15"/>
              </w:rPr>
              <w:t>北京神州 泰岳良品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75,384,763.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75,384,763.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1" w:right="0"/>
              <w:jc w:val="left"/>
              <w:rPr>
                <w:rFonts w:ascii="Times New Roman" w:hAnsi="Times New Roman" w:cs="Times New Roman" w:eastAsia="Times New Roman" w:hint="default"/>
                <w:sz w:val="15"/>
                <w:szCs w:val="15"/>
              </w:rPr>
            </w:pPr>
            <w:r>
              <w:rPr>
                <w:rFonts w:ascii="Times New Roman"/>
                <w:sz w:val="15"/>
              </w:rPr>
              <w:t>140,380,16</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2" w:right="0"/>
              <w:jc w:val="left"/>
              <w:rPr>
                <w:rFonts w:ascii="Times New Roman" w:hAnsi="Times New Roman" w:cs="Times New Roman" w:eastAsia="Times New Roman" w:hint="default"/>
                <w:sz w:val="15"/>
                <w:szCs w:val="15"/>
              </w:rPr>
            </w:pPr>
            <w:r>
              <w:rPr>
                <w:rFonts w:ascii="Times New Roman"/>
                <w:sz w:val="15"/>
              </w:rPr>
              <w:t>0.62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5"/>
                <w:szCs w:val="15"/>
              </w:rPr>
            </w:pPr>
            <w:r>
              <w:rPr>
                <w:rFonts w:ascii="Times New Roman"/>
                <w:spacing w:val="-1"/>
                <w:sz w:val="15"/>
              </w:rPr>
              <w:t>12,217,478.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209,134.92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-137,828.04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-19,800,000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66,909,805.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0" w:right="0"/>
              <w:jc w:val="left"/>
              <w:rPr>
                <w:rFonts w:ascii="Times New Roman" w:hAnsi="Times New Roman" w:cs="Times New Roman" w:eastAsia="Times New Roman" w:hint="default"/>
                <w:sz w:val="15"/>
                <w:szCs w:val="15"/>
              </w:rPr>
            </w:pPr>
            <w:r>
              <w:rPr>
                <w:rFonts w:ascii="Times New Roman"/>
                <w:sz w:val="15"/>
              </w:rPr>
              <w:t>199,778,75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1.46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1" w:right="0"/>
              <w:jc w:val="left"/>
              <w:rPr>
                <w:rFonts w:ascii="Times New Roman" w:hAnsi="Times New Roman" w:cs="Times New Roman" w:eastAsia="Times New Roman" w:hint="default"/>
                <w:sz w:val="15"/>
                <w:szCs w:val="15"/>
              </w:rPr>
            </w:pPr>
            <w:r>
              <w:rPr>
                <w:rFonts w:ascii="Times New Roman"/>
                <w:sz w:val="15"/>
              </w:rPr>
              <w:t>140,380,16</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2" w:right="0"/>
              <w:jc w:val="left"/>
              <w:rPr>
                <w:rFonts w:ascii="Times New Roman" w:hAnsi="Times New Roman" w:cs="Times New Roman" w:eastAsia="Times New Roman" w:hint="default"/>
                <w:sz w:val="15"/>
                <w:szCs w:val="15"/>
              </w:rPr>
            </w:pPr>
            <w:r>
              <w:rPr>
                <w:rFonts w:ascii="Times New Roman"/>
                <w:sz w:val="15"/>
              </w:rPr>
              <w:t>0.62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5"/>
                <w:szCs w:val="15"/>
              </w:rPr>
            </w:pPr>
            <w:r>
              <w:rPr>
                <w:rFonts w:ascii="Times New Roman"/>
                <w:spacing w:val="-1"/>
                <w:sz w:val="15"/>
              </w:rPr>
              <w:t>1,000,000.0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11,907,904.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209,134.92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-137,828.04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-19,800,000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66,909,805.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0" w:right="0"/>
              <w:jc w:val="left"/>
              <w:rPr>
                <w:rFonts w:ascii="Times New Roman" w:hAnsi="Times New Roman" w:cs="Times New Roman" w:eastAsia="Times New Roman" w:hint="default"/>
                <w:sz w:val="15"/>
                <w:szCs w:val="15"/>
              </w:rPr>
            </w:pPr>
            <w:r>
              <w:rPr>
                <w:rFonts w:ascii="Times New Roman"/>
                <w:sz w:val="15"/>
              </w:rPr>
              <w:t>200,469,17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7.96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6"/>
          <w:szCs w:val="6"/>
        </w:rPr>
      </w:pPr>
    </w:p>
    <w:p>
      <w:pPr>
        <w:pStyle w:val="BodyText"/>
        <w:spacing w:line="240" w:lineRule="auto" w:before="44"/>
        <w:ind w:left="1134" w:right="0"/>
        <w:jc w:val="left"/>
      </w:pPr>
      <w:r>
        <w:rPr/>
        <w:t>其他说明</w:t>
      </w:r>
    </w:p>
    <w:p>
      <w:pPr>
        <w:spacing w:line="240" w:lineRule="auto" w:before="10"/>
        <w:rPr>
          <w:rFonts w:ascii="宋体" w:hAnsi="宋体" w:cs="宋体" w:eastAsia="宋体" w:hint="default"/>
          <w:sz w:val="20"/>
          <w:szCs w:val="20"/>
        </w:rPr>
      </w:pPr>
    </w:p>
    <w:p>
      <w:pPr>
        <w:pStyle w:val="BodyText"/>
        <w:spacing w:line="451" w:lineRule="auto"/>
        <w:ind w:right="1063" w:firstLine="360"/>
        <w:jc w:val="left"/>
      </w:pPr>
      <w:r>
        <w:rPr/>
        <w:t>北京神州泰岳良品电子商务有限公司本报告内进行增资引入了新股东，本公司股权比例由</w:t>
      </w:r>
      <w:r>
        <w:rPr>
          <w:rFonts w:ascii="Times New Roman" w:hAnsi="Times New Roman" w:cs="Times New Roman" w:eastAsia="Times New Roman" w:hint="default"/>
        </w:rPr>
        <w:t>89%</w:t>
      </w:r>
      <w:r>
        <w:rPr/>
        <w:t>（直接持股加间接持股） 稀释到了</w:t>
      </w:r>
      <w:r>
        <w:rPr>
          <w:rFonts w:ascii="Times New Roman" w:hAnsi="Times New Roman" w:cs="Times New Roman" w:eastAsia="Times New Roman" w:hint="default"/>
        </w:rPr>
        <w:t>42.39%</w:t>
      </w:r>
      <w:r>
        <w:rPr/>
        <w:t>（直接持股加间接持股），核算方法由纳入合并范围的子公司变更为权益法核算的联营公司，北京神州泰 岳良品电子商务有限公司于本报告期末退出合并范围。</w:t>
      </w:r>
    </w:p>
    <w:p>
      <w:pPr>
        <w:spacing w:after="0" w:line="451" w:lineRule="auto"/>
        <w:jc w:val="left"/>
        <w:sectPr>
          <w:pgSz w:w="11910" w:h="16840"/>
          <w:pgMar w:header="851" w:footer="979" w:top="142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18、投资性房地产" w:id="258"/>
      <w:bookmarkEnd w:id="258"/>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9"/>
      <w:bookmarkEnd w:id="25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188,678,119.29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188,678,119.29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188,678,119.29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188,678,119.29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16,453,164.97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16,453,164.97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4,081,462.20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4,081,462.20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4,081,462.20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4,081,462.20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20,534,627.17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20,534,627.17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14" w:hRule="exact"/>
        </w:trPr>
        <w:tc>
          <w:tcPr>
            <w:tcW w:w="1912" w:type="dxa"/>
            <w:tcBorders>
              <w:top w:val="single" w:sz="10" w:space="0" w:color="000000"/>
              <w:left w:val="single" w:sz="4" w:space="0" w:color="000000"/>
              <w:bottom w:val="single" w:sz="4" w:space="0" w:color="000000"/>
              <w:right w:val="single" w:sz="4" w:space="0" w:color="000000"/>
            </w:tcBorders>
          </w:tcPr>
          <w:p>
            <w:pPr/>
          </w:p>
        </w:tc>
        <w:tc>
          <w:tcPr>
            <w:tcW w:w="1917"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168,143,492.12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168,143,492.12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172,224,954.32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172,224,954.32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60"/>
      <w:bookmarkEnd w:id="26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right="0"/>
        <w:jc w:val="left"/>
        <w:rPr>
          <w:b w:val="0"/>
          <w:bCs w:val="0"/>
        </w:rPr>
      </w:pPr>
      <w:bookmarkStart w:name="19、固定资产" w:id="261"/>
      <w:bookmarkEnd w:id="26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62"/>
      <w:bookmarkEnd w:id="26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办公及电子设备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349,923,591.99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19,058,693.65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81,098,675.77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9" w:right="0"/>
              <w:jc w:val="left"/>
              <w:rPr>
                <w:rFonts w:ascii="Times New Roman" w:hAnsi="Times New Roman" w:cs="Times New Roman" w:eastAsia="Times New Roman" w:hint="default"/>
                <w:sz w:val="18"/>
                <w:szCs w:val="18"/>
              </w:rPr>
            </w:pPr>
            <w:r>
              <w:rPr>
                <w:rFonts w:ascii="Times New Roman"/>
                <w:sz w:val="18"/>
              </w:rPr>
              <w:t>8,533,703.85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2,472,221.66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461,086,886.92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1,725,749.48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15,104,002.54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16,834,538.34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1,659,720.42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14,079,742.86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15,744,249.60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66,029.06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980,933.91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1,046,962.97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汇率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43,325.77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43,325.77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6,193,368.71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2,171,935.86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8,365,304.57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1,292,091.02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1,520,080.67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2,812,171.69</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退出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合并范围</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4,901,277.69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651,855.19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5,553,132.88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14" w:hRule="exact"/>
        </w:trPr>
        <w:tc>
          <w:tcPr>
            <w:tcW w:w="135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10"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349,923,591.99</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14,591,074.42</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94,030,742.45</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8,533,703.85</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2,477,007.98</w:t>
            </w:r>
          </w:p>
        </w:tc>
        <w:tc>
          <w:tcPr>
            <w:tcW w:w="13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469,556,120.69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33,017,888.86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9,565,398.95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56,681,975.37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7,152,033.96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366,688.42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106,783,985.56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7"/>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8,143,595.30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2,935,575.92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11,538,226.30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1,306,469.89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470,074.07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24,393,941.48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8,143,595.30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2,923,814.45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10,951,679.33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1,306,469.89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470,074.07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23,795,633.04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6"/>
              <w:ind w:left="22" w:right="10" w:firstLine="54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567,444.73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579,206.20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率变动</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19,102.24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19,102.24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6"/>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3,536,037.81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1,324,845.61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4,860,883.42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6"/>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1,121,534.90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1,144,879.89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2,266,414.79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2,414,502.91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179,965.72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2,594,468.63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41,161,484.16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8,964,937.06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66,895,356.06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8,458,503.85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836,762.49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126,317,043.62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7"/>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6"/>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7"/>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7"/>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308,762,107.83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5,626,137.36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27,135,386.39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1,640,245.49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343,239,077.07</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7"/>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316,905,703.13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9,493,294.70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24,416,700.40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1,381,669.89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2,105,533.24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354,302,901.36</w:t>
            </w:r>
          </w:p>
        </w:tc>
      </w:tr>
    </w:tbl>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2）未办妥产权证书的固定资产情况" w:id="263"/>
      <w:bookmarkEnd w:id="263"/>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after="0" w:line="240" w:lineRule="auto"/>
        <w:jc w:val="right"/>
        <w:sectPr>
          <w:pgSz w:w="11910" w:h="16840"/>
          <w:pgMar w:header="851" w:footer="979" w:top="1420" w:bottom="1160" w:left="0" w:right="0"/>
        </w:sectPr>
      </w:pPr>
    </w:p>
    <w:p>
      <w:pPr>
        <w:spacing w:line="240" w:lineRule="auto" w:before="12"/>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985"/>
        <w:gridCol w:w="1702"/>
        <w:gridCol w:w="5883"/>
      </w:tblGrid>
      <w:tr>
        <w:trPr>
          <w:trHeight w:val="409" w:hRule="exact"/>
        </w:trPr>
        <w:tc>
          <w:tcPr>
            <w:tcW w:w="198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06"/>
              <w:jc w:val="right"/>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588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7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39,581,480.94</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普金厂房主体工程已办理完竣工结算，其余零星工程尚未办理竣工结算， 因此尚未开始办理产权证书。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7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18,570,308.30</w:t>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北辰泰岳大厦地下车库于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月交付使用，权证尚未办理完毕。</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在建工程" w:id="264"/>
      <w:bookmarkEnd w:id="26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65"/>
      <w:bookmarkEnd w:id="26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办公及研发用房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87,960,565.87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87,960,565.87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27,523,320.41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27,523,320.41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88" w:right="0"/>
              <w:jc w:val="left"/>
              <w:rPr>
                <w:rFonts w:ascii="Times New Roman" w:hAnsi="Times New Roman" w:cs="Times New Roman" w:eastAsia="Times New Roman" w:hint="default"/>
                <w:sz w:val="18"/>
                <w:szCs w:val="18"/>
              </w:rPr>
            </w:pPr>
            <w:r>
              <w:rPr>
                <w:rFonts w:ascii="Times New Roman"/>
                <w:sz w:val="18"/>
              </w:rPr>
              <w:t>87,960,565.87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87,960,565.87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27,523,320.41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27,523,320.41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66"/>
      <w:bookmarkEnd w:id="26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212" w:right="61" w:hanging="150"/>
              <w:jc w:val="left"/>
              <w:rPr>
                <w:rFonts w:ascii="宋体" w:hAnsi="宋体" w:cs="宋体" w:eastAsia="宋体" w:hint="default"/>
                <w:sz w:val="15"/>
                <w:szCs w:val="15"/>
              </w:rPr>
            </w:pPr>
            <w:r>
              <w:rPr>
                <w:rFonts w:ascii="宋体" w:hAnsi="宋体" w:cs="宋体" w:eastAsia="宋体" w:hint="default"/>
                <w:sz w:val="15"/>
                <w:szCs w:val="15"/>
              </w:rPr>
              <w:t>本期增加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62" w:right="61"/>
              <w:jc w:val="center"/>
              <w:rPr>
                <w:rFonts w:ascii="宋体" w:hAnsi="宋体" w:cs="宋体" w:eastAsia="宋体" w:hint="default"/>
                <w:sz w:val="15"/>
                <w:szCs w:val="15"/>
              </w:rPr>
            </w:pPr>
            <w:r>
              <w:rPr>
                <w:rFonts w:ascii="宋体" w:hAnsi="宋体" w:cs="宋体" w:eastAsia="宋体" w:hint="default"/>
                <w:sz w:val="15"/>
                <w:szCs w:val="15"/>
              </w:rPr>
              <w:t>本期转入 固定资产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63" w:right="61"/>
              <w:jc w:val="left"/>
              <w:rPr>
                <w:rFonts w:ascii="宋体" w:hAnsi="宋体" w:cs="宋体" w:eastAsia="宋体" w:hint="default"/>
                <w:sz w:val="15"/>
                <w:szCs w:val="15"/>
              </w:rPr>
            </w:pPr>
            <w:r>
              <w:rPr>
                <w:rFonts w:ascii="宋体" w:hAnsi="宋体" w:cs="宋体" w:eastAsia="宋体" w:hint="default"/>
                <w:sz w:val="15"/>
                <w:szCs w:val="15"/>
              </w:rPr>
              <w:t>本期其他 减少金额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62" w:right="61"/>
              <w:jc w:val="both"/>
              <w:rPr>
                <w:rFonts w:ascii="宋体" w:hAnsi="宋体" w:cs="宋体" w:eastAsia="宋体" w:hint="default"/>
                <w:sz w:val="15"/>
                <w:szCs w:val="15"/>
              </w:rPr>
            </w:pPr>
            <w:r>
              <w:rPr>
                <w:rFonts w:ascii="宋体" w:hAnsi="宋体" w:cs="宋体" w:eastAsia="宋体" w:hint="default"/>
                <w:sz w:val="15"/>
                <w:szCs w:val="15"/>
              </w:rPr>
              <w:t>工程累计 投入占预 算比例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工程进度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62" w:right="63"/>
              <w:jc w:val="center"/>
              <w:rPr>
                <w:rFonts w:ascii="宋体" w:hAnsi="宋体" w:cs="宋体" w:eastAsia="宋体" w:hint="default"/>
                <w:sz w:val="15"/>
                <w:szCs w:val="15"/>
              </w:rPr>
            </w:pPr>
            <w:r>
              <w:rPr>
                <w:rFonts w:ascii="宋体" w:hAnsi="宋体" w:cs="宋体" w:eastAsia="宋体" w:hint="default"/>
                <w:sz w:val="15"/>
                <w:szCs w:val="15"/>
              </w:rPr>
              <w:t>利息资本 化累计金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62" w:right="20" w:hanging="40"/>
              <w:jc w:val="both"/>
              <w:rPr>
                <w:rFonts w:ascii="宋体" w:hAnsi="宋体" w:cs="宋体" w:eastAsia="宋体" w:hint="default"/>
                <w:sz w:val="15"/>
                <w:szCs w:val="15"/>
              </w:rPr>
            </w:pPr>
            <w:r>
              <w:rPr>
                <w:rFonts w:ascii="宋体" w:hAnsi="宋体" w:cs="宋体" w:eastAsia="宋体" w:hint="default"/>
                <w:spacing w:val="-14"/>
                <w:sz w:val="15"/>
                <w:szCs w:val="15"/>
              </w:rPr>
              <w:t>其中：本期</w:t>
            </w:r>
            <w:r>
              <w:rPr>
                <w:rFonts w:ascii="宋体" w:hAnsi="宋体" w:cs="宋体" w:eastAsia="宋体" w:hint="default"/>
                <w:sz w:val="15"/>
                <w:szCs w:val="15"/>
              </w:rPr>
              <w:t> 利息资本 化金额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63" w:right="61"/>
              <w:jc w:val="left"/>
              <w:rPr>
                <w:rFonts w:ascii="宋体" w:hAnsi="宋体" w:cs="宋体" w:eastAsia="宋体" w:hint="default"/>
                <w:sz w:val="15"/>
                <w:szCs w:val="15"/>
              </w:rPr>
            </w:pPr>
            <w:r>
              <w:rPr>
                <w:rFonts w:ascii="宋体" w:hAnsi="宋体" w:cs="宋体" w:eastAsia="宋体" w:hint="default"/>
                <w:sz w:val="15"/>
                <w:szCs w:val="15"/>
              </w:rPr>
              <w:t>本期利息 资本化率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资金来源</w:t>
            </w:r>
          </w:p>
        </w:tc>
      </w:tr>
      <w:tr>
        <w:trPr>
          <w:trHeight w:val="25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381" w:lineRule="auto"/>
              <w:ind w:left="22" w:right="99"/>
              <w:jc w:val="both"/>
              <w:rPr>
                <w:rFonts w:ascii="宋体" w:hAnsi="宋体" w:cs="宋体" w:eastAsia="宋体" w:hint="default"/>
                <w:sz w:val="15"/>
                <w:szCs w:val="15"/>
              </w:rPr>
            </w:pPr>
            <w:r>
              <w:rPr>
                <w:rFonts w:ascii="宋体" w:hAnsi="宋体" w:cs="宋体" w:eastAsia="宋体" w:hint="default"/>
                <w:sz w:val="15"/>
                <w:szCs w:val="15"/>
              </w:rPr>
              <w:t>重庆农信 茶园新媒 软件园建 造工程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88,760,000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27,523,320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60,437,245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87,960,565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241" w:right="0"/>
              <w:jc w:val="left"/>
              <w:rPr>
                <w:rFonts w:ascii="Times New Roman" w:hAnsi="Times New Roman" w:cs="Times New Roman" w:eastAsia="Times New Roman" w:hint="default"/>
                <w:sz w:val="15"/>
                <w:szCs w:val="15"/>
              </w:rPr>
            </w:pPr>
            <w:r>
              <w:rPr>
                <w:rFonts w:ascii="Times New Roman"/>
                <w:sz w:val="15"/>
              </w:rPr>
              <w:t>99.10%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3" w:right="20"/>
              <w:jc w:val="left"/>
              <w:rPr>
                <w:rFonts w:ascii="宋体" w:hAnsi="宋体" w:cs="宋体" w:eastAsia="宋体" w:hint="default"/>
                <w:sz w:val="15"/>
                <w:szCs w:val="15"/>
              </w:rPr>
            </w:pPr>
            <w:r>
              <w:rPr>
                <w:rFonts w:ascii="宋体" w:hAnsi="宋体" w:cs="宋体" w:eastAsia="宋体" w:hint="default"/>
                <w:sz w:val="15"/>
                <w:szCs w:val="15"/>
              </w:rPr>
              <w:t>大楼建造 </w:t>
            </w:r>
            <w:r>
              <w:rPr>
                <w:rFonts w:ascii="宋体" w:hAnsi="宋体" w:cs="宋体" w:eastAsia="宋体" w:hint="default"/>
                <w:spacing w:val="-14"/>
                <w:sz w:val="15"/>
                <w:szCs w:val="15"/>
              </w:rPr>
              <w:t>完毕，已通</w:t>
            </w:r>
            <w:r>
              <w:rPr>
                <w:rFonts w:ascii="宋体" w:hAnsi="宋体" w:cs="宋体" w:eastAsia="宋体" w:hint="default"/>
                <w:sz w:val="15"/>
                <w:szCs w:val="15"/>
              </w:rPr>
              <w:t> 过预验收</w:t>
            </w:r>
          </w:p>
          <w:p>
            <w:pPr>
              <w:pStyle w:val="TableParagraph"/>
              <w:spacing w:line="381" w:lineRule="auto" w:before="27"/>
              <w:ind w:left="23" w:right="20"/>
              <w:jc w:val="left"/>
              <w:rPr>
                <w:rFonts w:ascii="宋体" w:hAnsi="宋体" w:cs="宋体" w:eastAsia="宋体" w:hint="default"/>
                <w:sz w:val="15"/>
                <w:szCs w:val="15"/>
              </w:rPr>
            </w:pPr>
            <w:r>
              <w:rPr>
                <w:rFonts w:ascii="宋体" w:hAnsi="宋体" w:cs="宋体" w:eastAsia="宋体" w:hint="default"/>
                <w:spacing w:val="-14"/>
                <w:sz w:val="15"/>
                <w:szCs w:val="15"/>
              </w:rPr>
              <w:t>（电梯、园</w:t>
            </w:r>
            <w:r>
              <w:rPr>
                <w:rFonts w:ascii="宋体" w:hAnsi="宋体" w:cs="宋体" w:eastAsia="宋体" w:hint="default"/>
                <w:sz w:val="15"/>
                <w:szCs w:val="15"/>
              </w:rPr>
              <w:t> 林、消防 </w:t>
            </w:r>
            <w:r>
              <w:rPr>
                <w:rFonts w:ascii="宋体" w:hAnsi="宋体" w:cs="宋体" w:eastAsia="宋体" w:hint="default"/>
                <w:spacing w:val="-15"/>
                <w:sz w:val="15"/>
                <w:szCs w:val="15"/>
              </w:rPr>
              <w:t>等），正在</w:t>
            </w:r>
            <w:r>
              <w:rPr>
                <w:rFonts w:ascii="宋体" w:hAnsi="宋体" w:cs="宋体" w:eastAsia="宋体" w:hint="default"/>
                <w:sz w:val="15"/>
                <w:szCs w:val="15"/>
              </w:rPr>
              <w:t> 进行其他 专项验收</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0" w:right="0"/>
              <w:jc w:val="center"/>
              <w:rPr>
                <w:rFonts w:ascii="宋体" w:hAnsi="宋体" w:cs="宋体" w:eastAsia="宋体" w:hint="default"/>
                <w:sz w:val="15"/>
                <w:szCs w:val="15"/>
              </w:rPr>
            </w:pPr>
            <w:r>
              <w:rPr>
                <w:rFonts w:ascii="宋体" w:hAnsi="宋体" w:cs="宋体" w:eastAsia="宋体" w:hint="default"/>
                <w:sz w:val="15"/>
                <w:szCs w:val="15"/>
              </w:rPr>
              <w:t>募股资金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88,760,000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27,523,320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60,437,245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87,960,565</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w:t>
            </w:r>
          </w:p>
        </w:tc>
      </w:tr>
    </w:tbl>
    <w:p>
      <w:pPr>
        <w:spacing w:line="240" w:lineRule="auto" w:before="2"/>
        <w:rPr>
          <w:rFonts w:ascii="宋体" w:hAnsi="宋体" w:cs="宋体" w:eastAsia="宋体" w:hint="default"/>
          <w:sz w:val="19"/>
          <w:szCs w:val="19"/>
        </w:rPr>
      </w:pPr>
    </w:p>
    <w:p>
      <w:pPr>
        <w:pStyle w:val="Heading3"/>
        <w:spacing w:line="240" w:lineRule="auto" w:before="35"/>
        <w:ind w:left="692" w:right="9065"/>
        <w:jc w:val="center"/>
        <w:rPr>
          <w:b w:val="0"/>
          <w:bCs w:val="0"/>
        </w:rPr>
      </w:pPr>
      <w:bookmarkStart w:name="21、工程物资" w:id="267"/>
      <w:bookmarkEnd w:id="26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bookmarkStart w:name="22、固定资产清理" w:id="268"/>
      <w:bookmarkEnd w:id="26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09" w:right="9065"/>
        <w:jc w:val="center"/>
      </w:pPr>
      <w:r>
        <w:rPr/>
        <w:t>无。</w:t>
      </w:r>
    </w:p>
    <w:p>
      <w:pPr>
        <w:spacing w:after="0" w:line="240" w:lineRule="auto"/>
        <w:jc w:val="cente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23、生产性生物资产" w:id="269"/>
      <w:bookmarkEnd w:id="26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24、油气资产" w:id="270"/>
      <w:bookmarkEnd w:id="270"/>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25、无形资产" w:id="271"/>
      <w:bookmarkEnd w:id="271"/>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72"/>
      <w:bookmarkEnd w:id="27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35"/>
        <w:gridCol w:w="968"/>
        <w:gridCol w:w="958"/>
        <w:gridCol w:w="957"/>
        <w:gridCol w:w="958"/>
        <w:gridCol w:w="956"/>
        <w:gridCol w:w="958"/>
        <w:gridCol w:w="957"/>
        <w:gridCol w:w="958"/>
        <w:gridCol w:w="956"/>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10" w:right="0"/>
              <w:jc w:val="left"/>
              <w:rPr>
                <w:rFonts w:ascii="宋体" w:hAnsi="宋体" w:cs="宋体" w:eastAsia="宋体" w:hint="default"/>
                <w:sz w:val="15"/>
                <w:szCs w:val="15"/>
              </w:rPr>
            </w:pPr>
            <w:r>
              <w:rPr>
                <w:rFonts w:ascii="宋体" w:hAnsi="宋体" w:cs="宋体" w:eastAsia="宋体" w:hint="default"/>
                <w:sz w:val="15"/>
                <w:szCs w:val="15"/>
              </w:rPr>
              <w:t>土地使用权</w:t>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248" w:right="0"/>
              <w:jc w:val="left"/>
              <w:rPr>
                <w:rFonts w:ascii="宋体" w:hAnsi="宋体" w:cs="宋体" w:eastAsia="宋体" w:hint="default"/>
                <w:sz w:val="15"/>
                <w:szCs w:val="15"/>
              </w:rPr>
            </w:pPr>
            <w:r>
              <w:rPr>
                <w:rFonts w:ascii="宋体" w:hAnsi="宋体" w:cs="宋体" w:eastAsia="宋体" w:hint="default"/>
                <w:sz w:val="15"/>
                <w:szCs w:val="15"/>
              </w:rPr>
              <w:t>专利权</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98" w:right="0"/>
              <w:jc w:val="left"/>
              <w:rPr>
                <w:rFonts w:ascii="宋体" w:hAnsi="宋体" w:cs="宋体" w:eastAsia="宋体" w:hint="default"/>
                <w:sz w:val="15"/>
                <w:szCs w:val="15"/>
              </w:rPr>
            </w:pPr>
            <w:r>
              <w:rPr>
                <w:rFonts w:ascii="宋体" w:hAnsi="宋体" w:cs="宋体" w:eastAsia="宋体" w:hint="default"/>
                <w:sz w:val="15"/>
                <w:szCs w:val="15"/>
              </w:rPr>
              <w:t>非专利技术</w:t>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自主研发软件</w:t>
            </w: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98" w:right="0"/>
              <w:jc w:val="left"/>
              <w:rPr>
                <w:rFonts w:ascii="宋体" w:hAnsi="宋体" w:cs="宋体" w:eastAsia="宋体" w:hint="default"/>
                <w:sz w:val="15"/>
                <w:szCs w:val="15"/>
              </w:rPr>
            </w:pPr>
            <w:r>
              <w:rPr>
                <w:rFonts w:ascii="宋体" w:hAnsi="宋体" w:cs="宋体" w:eastAsia="宋体" w:hint="default"/>
                <w:sz w:val="15"/>
                <w:szCs w:val="15"/>
              </w:rPr>
              <w:t>许可使用权</w:t>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98" w:right="0"/>
              <w:jc w:val="left"/>
              <w:rPr>
                <w:rFonts w:ascii="宋体" w:hAnsi="宋体" w:cs="宋体" w:eastAsia="宋体" w:hint="default"/>
                <w:sz w:val="15"/>
                <w:szCs w:val="15"/>
              </w:rPr>
            </w:pPr>
            <w:r>
              <w:rPr>
                <w:rFonts w:ascii="宋体" w:hAnsi="宋体" w:cs="宋体" w:eastAsia="宋体" w:hint="default"/>
                <w:sz w:val="15"/>
                <w:szCs w:val="15"/>
              </w:rPr>
              <w:t>软件著作权</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软件</w:t>
            </w:r>
          </w:p>
        </w:tc>
        <w:tc>
          <w:tcPr>
            <w:tcW w:w="95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一、账面原值</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w:t>
            </w:r>
          </w:p>
          <w:p>
            <w:pPr>
              <w:pStyle w:val="TableParagraph"/>
              <w:spacing w:line="240" w:lineRule="auto" w:before="104"/>
              <w:ind w:left="11" w:right="0"/>
              <w:jc w:val="left"/>
              <w:rPr>
                <w:rFonts w:ascii="宋体" w:hAnsi="宋体" w:cs="宋体" w:eastAsia="宋体" w:hint="default"/>
                <w:sz w:val="15"/>
                <w:szCs w:val="15"/>
              </w:rPr>
            </w:pPr>
            <w:r>
              <w:rPr>
                <w:rFonts w:ascii="宋体" w:hAnsi="宋体" w:cs="宋体" w:eastAsia="宋体" w:hint="default"/>
                <w:sz w:val="15"/>
                <w:szCs w:val="15"/>
              </w:rPr>
              <w:t>额</w:t>
            </w:r>
          </w:p>
        </w:tc>
        <w:tc>
          <w:tcPr>
            <w:tcW w:w="9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1" w:right="0"/>
              <w:jc w:val="left"/>
              <w:rPr>
                <w:rFonts w:ascii="Times New Roman" w:hAnsi="Times New Roman" w:cs="Times New Roman" w:eastAsia="Times New Roman" w:hint="default"/>
                <w:sz w:val="15"/>
                <w:szCs w:val="15"/>
              </w:rPr>
            </w:pPr>
            <w:r>
              <w:rPr>
                <w:rFonts w:ascii="Times New Roman"/>
                <w:sz w:val="15"/>
              </w:rPr>
              <w:t>23,731,349.77</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2,899,000.00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124,153,258.6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3,639,145.31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1" w:right="0"/>
              <w:jc w:val="left"/>
              <w:rPr>
                <w:rFonts w:ascii="Times New Roman" w:hAnsi="Times New Roman" w:cs="Times New Roman" w:eastAsia="Times New Roman" w:hint="default"/>
                <w:sz w:val="15"/>
                <w:szCs w:val="15"/>
              </w:rPr>
            </w:pPr>
            <w:r>
              <w:rPr>
                <w:rFonts w:ascii="Times New Roman"/>
                <w:sz w:val="15"/>
              </w:rPr>
              <w:t>29,400,000.00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5,414,023.51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189,236,777.2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1</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75"/>
              <w:ind w:left="11" w:right="48"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 加金额</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120,442,126.6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1,998,300.00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7,763,715.28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130,204,141.8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424" w:right="0"/>
              <w:jc w:val="left"/>
              <w:rPr>
                <w:rFonts w:ascii="宋体" w:hAnsi="宋体" w:cs="宋体" w:eastAsia="宋体" w:hint="default"/>
                <w:sz w:val="15"/>
                <w:szCs w:val="15"/>
              </w:rPr>
            </w:pPr>
            <w:r>
              <w:rPr>
                <w:rFonts w:ascii="宋体" w:hAnsi="宋体" w:cs="宋体" w:eastAsia="宋体" w:hint="default"/>
                <w:spacing w:val="-19"/>
                <w:sz w:val="15"/>
                <w:szCs w:val="15"/>
              </w:rPr>
              <w:t>（</w:t>
            </w:r>
            <w:r>
              <w:rPr>
                <w:rFonts w:ascii="Times New Roman" w:hAnsi="Times New Roman" w:cs="Times New Roman" w:eastAsia="Times New Roman" w:hint="default"/>
                <w:spacing w:val="-19"/>
                <w:sz w:val="15"/>
                <w:szCs w:val="15"/>
              </w:rPr>
              <w:t>1</w:t>
            </w:r>
            <w:r>
              <w:rPr>
                <w:rFonts w:ascii="宋体" w:hAnsi="宋体" w:cs="宋体" w:eastAsia="宋体" w:hint="default"/>
                <w:spacing w:val="-19"/>
                <w:sz w:val="15"/>
                <w:szCs w:val="15"/>
              </w:rPr>
              <w:t>）购</w:t>
            </w:r>
            <w:r>
              <w:rPr>
                <w:rFonts w:ascii="宋体" w:hAnsi="宋体" w:cs="宋体" w:eastAsia="宋体" w:hint="default"/>
                <w:sz w:val="15"/>
                <w:szCs w:val="15"/>
              </w:rPr>
            </w:r>
          </w:p>
          <w:p>
            <w:pPr>
              <w:pStyle w:val="TableParagraph"/>
              <w:spacing w:line="240" w:lineRule="auto" w:before="104"/>
              <w:ind w:left="11" w:right="0"/>
              <w:jc w:val="left"/>
              <w:rPr>
                <w:rFonts w:ascii="宋体" w:hAnsi="宋体" w:cs="宋体" w:eastAsia="宋体" w:hint="default"/>
                <w:sz w:val="15"/>
                <w:szCs w:val="15"/>
              </w:rPr>
            </w:pPr>
            <w:r>
              <w:rPr>
                <w:rFonts w:ascii="宋体" w:hAnsi="宋体" w:cs="宋体" w:eastAsia="宋体" w:hint="default"/>
                <w:sz w:val="15"/>
                <w:szCs w:val="15"/>
              </w:rPr>
              <w:t>置</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7,599,881.62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7,599,881.62</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75"/>
              <w:ind w:left="11" w:right="47" w:firstLine="412"/>
              <w:jc w:val="left"/>
              <w:rPr>
                <w:rFonts w:ascii="宋体" w:hAnsi="宋体" w:cs="宋体" w:eastAsia="宋体" w:hint="default"/>
                <w:sz w:val="15"/>
                <w:szCs w:val="15"/>
              </w:rPr>
            </w:pPr>
            <w:r>
              <w:rPr>
                <w:rFonts w:ascii="宋体" w:hAnsi="宋体" w:cs="宋体" w:eastAsia="宋体" w:hint="default"/>
                <w:spacing w:val="-19"/>
                <w:sz w:val="15"/>
                <w:szCs w:val="15"/>
              </w:rPr>
              <w:t>（</w:t>
            </w:r>
            <w:r>
              <w:rPr>
                <w:rFonts w:ascii="Times New Roman" w:hAnsi="Times New Roman" w:cs="Times New Roman" w:eastAsia="Times New Roman" w:hint="default"/>
                <w:spacing w:val="-19"/>
                <w:sz w:val="15"/>
                <w:szCs w:val="15"/>
              </w:rPr>
              <w:t>2</w:t>
            </w:r>
            <w:r>
              <w:rPr>
                <w:rFonts w:ascii="宋体" w:hAnsi="宋体" w:cs="宋体" w:eastAsia="宋体" w:hint="default"/>
                <w:spacing w:val="-19"/>
                <w:sz w:val="15"/>
                <w:szCs w:val="15"/>
              </w:rPr>
              <w:t>）内</w:t>
            </w:r>
            <w:r>
              <w:rPr>
                <w:rFonts w:ascii="宋体" w:hAnsi="宋体" w:cs="宋体" w:eastAsia="宋体" w:hint="default"/>
                <w:spacing w:val="-38"/>
                <w:sz w:val="15"/>
                <w:szCs w:val="15"/>
              </w:rPr>
              <w:t> </w:t>
            </w:r>
            <w:r>
              <w:rPr>
                <w:rFonts w:ascii="宋体" w:hAnsi="宋体" w:cs="宋体" w:eastAsia="宋体" w:hint="default"/>
                <w:sz w:val="15"/>
                <w:szCs w:val="15"/>
              </w:rPr>
              <w:t>部研发</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120,442,126.6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120,442,126.6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75"/>
              <w:ind w:left="11" w:right="47" w:firstLine="412"/>
              <w:jc w:val="left"/>
              <w:rPr>
                <w:rFonts w:ascii="宋体" w:hAnsi="宋体" w:cs="宋体" w:eastAsia="宋体" w:hint="default"/>
                <w:sz w:val="15"/>
                <w:szCs w:val="15"/>
              </w:rPr>
            </w:pPr>
            <w:r>
              <w:rPr>
                <w:rFonts w:ascii="宋体" w:hAnsi="宋体" w:cs="宋体" w:eastAsia="宋体" w:hint="default"/>
                <w:spacing w:val="-19"/>
                <w:sz w:val="15"/>
                <w:szCs w:val="15"/>
              </w:rPr>
              <w:t>（</w:t>
            </w:r>
            <w:r>
              <w:rPr>
                <w:rFonts w:ascii="Times New Roman" w:hAnsi="Times New Roman" w:cs="Times New Roman" w:eastAsia="Times New Roman" w:hint="default"/>
                <w:spacing w:val="-19"/>
                <w:sz w:val="15"/>
                <w:szCs w:val="15"/>
              </w:rPr>
              <w:t>3</w:t>
            </w:r>
            <w:r>
              <w:rPr>
                <w:rFonts w:ascii="宋体" w:hAnsi="宋体" w:cs="宋体" w:eastAsia="宋体" w:hint="default"/>
                <w:spacing w:val="-19"/>
                <w:sz w:val="15"/>
                <w:szCs w:val="15"/>
              </w:rPr>
              <w:t>）企</w:t>
            </w:r>
            <w:r>
              <w:rPr>
                <w:rFonts w:ascii="宋体" w:hAnsi="宋体" w:cs="宋体" w:eastAsia="宋体" w:hint="default"/>
                <w:spacing w:val="-38"/>
                <w:sz w:val="15"/>
                <w:szCs w:val="15"/>
              </w:rPr>
              <w:t> </w:t>
            </w:r>
            <w:r>
              <w:rPr>
                <w:rFonts w:ascii="宋体" w:hAnsi="宋体" w:cs="宋体" w:eastAsia="宋体" w:hint="default"/>
                <w:sz w:val="15"/>
                <w:szCs w:val="15"/>
              </w:rPr>
              <w:t>业合并增加</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1,998,300.00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1,998,300.00</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4</w:t>
            </w:r>
            <w:r>
              <w:rPr>
                <w:rFonts w:ascii="宋体" w:hAnsi="宋体" w:cs="宋体" w:eastAsia="宋体" w:hint="default"/>
                <w:spacing w:val="-75"/>
                <w:sz w:val="15"/>
                <w:szCs w:val="15"/>
              </w:rPr>
              <w:t>）</w:t>
            </w:r>
            <w:r>
              <w:rPr>
                <w:rFonts w:ascii="宋体" w:hAnsi="宋体" w:cs="宋体" w:eastAsia="宋体" w:hint="default"/>
                <w:sz w:val="15"/>
                <w:szCs w:val="15"/>
              </w:rPr>
              <w:t>汇率变动</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163,833.66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163,833.66</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74"/>
              <w:ind w:left="11" w:right="48" w:firstLine="15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本期减少 金额</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6" w:right="0"/>
              <w:jc w:val="center"/>
              <w:rPr>
                <w:rFonts w:ascii="Times New Roman" w:hAnsi="Times New Roman" w:cs="Times New Roman" w:eastAsia="Times New Roman" w:hint="default"/>
                <w:sz w:val="15"/>
                <w:szCs w:val="15"/>
              </w:rPr>
            </w:pPr>
            <w:r>
              <w:rPr>
                <w:rFonts w:ascii="Times New Roman"/>
                <w:sz w:val="15"/>
              </w:rPr>
              <w:t>39,396,854.37</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14,786.32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39,411,640.69</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424" w:right="0"/>
              <w:jc w:val="left"/>
              <w:rPr>
                <w:rFonts w:ascii="宋体" w:hAnsi="宋体" w:cs="宋体" w:eastAsia="宋体" w:hint="default"/>
                <w:sz w:val="15"/>
                <w:szCs w:val="15"/>
              </w:rPr>
            </w:pPr>
            <w:r>
              <w:rPr>
                <w:rFonts w:ascii="宋体" w:hAnsi="宋体" w:cs="宋体" w:eastAsia="宋体" w:hint="default"/>
                <w:spacing w:val="-19"/>
                <w:sz w:val="15"/>
                <w:szCs w:val="15"/>
              </w:rPr>
              <w:t>（</w:t>
            </w:r>
            <w:r>
              <w:rPr>
                <w:rFonts w:ascii="Times New Roman" w:hAnsi="Times New Roman" w:cs="Times New Roman" w:eastAsia="Times New Roman" w:hint="default"/>
                <w:spacing w:val="-19"/>
                <w:sz w:val="15"/>
                <w:szCs w:val="15"/>
              </w:rPr>
              <w:t>1</w:t>
            </w:r>
            <w:r>
              <w:rPr>
                <w:rFonts w:ascii="宋体" w:hAnsi="宋体" w:cs="宋体" w:eastAsia="宋体" w:hint="default"/>
                <w:spacing w:val="-19"/>
                <w:sz w:val="15"/>
                <w:szCs w:val="15"/>
              </w:rPr>
              <w:t>）处</w:t>
            </w:r>
            <w:r>
              <w:rPr>
                <w:rFonts w:ascii="宋体" w:hAnsi="宋体" w:cs="宋体" w:eastAsia="宋体" w:hint="default"/>
                <w:sz w:val="15"/>
                <w:szCs w:val="15"/>
              </w:rPr>
            </w:r>
          </w:p>
          <w:p>
            <w:pPr>
              <w:pStyle w:val="TableParagraph"/>
              <w:spacing w:line="240" w:lineRule="auto" w:before="105"/>
              <w:ind w:left="11" w:right="0"/>
              <w:jc w:val="left"/>
              <w:rPr>
                <w:rFonts w:ascii="宋体" w:hAnsi="宋体" w:cs="宋体" w:eastAsia="宋体" w:hint="default"/>
                <w:sz w:val="15"/>
                <w:szCs w:val="15"/>
              </w:rPr>
            </w:pPr>
            <w:r>
              <w:rPr>
                <w:rFonts w:ascii="宋体" w:hAnsi="宋体" w:cs="宋体" w:eastAsia="宋体" w:hint="default"/>
                <w:sz w:val="15"/>
                <w:szCs w:val="15"/>
              </w:rPr>
              <w:t>置</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6" w:right="0"/>
              <w:jc w:val="center"/>
              <w:rPr>
                <w:rFonts w:ascii="Times New Roman" w:hAnsi="Times New Roman" w:cs="Times New Roman" w:eastAsia="Times New Roman" w:hint="default"/>
                <w:sz w:val="15"/>
                <w:szCs w:val="15"/>
              </w:rPr>
            </w:pPr>
            <w:r>
              <w:rPr>
                <w:rFonts w:ascii="Times New Roman"/>
                <w:sz w:val="15"/>
              </w:rPr>
              <w:t>38,349,213.92</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683.76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38,349,897.68</w:t>
            </w:r>
          </w:p>
        </w:tc>
      </w:tr>
      <w:tr>
        <w:trPr>
          <w:trHeight w:val="1026"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62" w:lineRule="auto"/>
              <w:ind w:left="11" w:right="135"/>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退出合并</w:t>
            </w:r>
            <w:r>
              <w:rPr>
                <w:rFonts w:ascii="宋体" w:hAnsi="宋体" w:cs="宋体" w:eastAsia="宋体" w:hint="default"/>
                <w:w w:val="99"/>
                <w:sz w:val="15"/>
                <w:szCs w:val="15"/>
              </w:rPr>
              <w:t> </w:t>
            </w:r>
            <w:r>
              <w:rPr>
                <w:rFonts w:ascii="宋体" w:hAnsi="宋体" w:cs="宋体" w:eastAsia="宋体" w:hint="default"/>
                <w:sz w:val="15"/>
                <w:szCs w:val="15"/>
              </w:rPr>
              <w:t>范围</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5"/>
                <w:szCs w:val="15"/>
              </w:rPr>
            </w:pPr>
            <w:r>
              <w:rPr>
                <w:rFonts w:ascii="Times New Roman"/>
                <w:sz w:val="15"/>
              </w:rPr>
              <w:t>1,047,640.45</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14,102.56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1,061,743.01</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w:t>
            </w:r>
          </w:p>
          <w:p>
            <w:pPr>
              <w:pStyle w:val="TableParagraph"/>
              <w:spacing w:line="240" w:lineRule="auto" w:before="105"/>
              <w:ind w:left="11" w:right="0"/>
              <w:jc w:val="left"/>
              <w:rPr>
                <w:rFonts w:ascii="宋体" w:hAnsi="宋体" w:cs="宋体" w:eastAsia="宋体" w:hint="default"/>
                <w:sz w:val="15"/>
                <w:szCs w:val="15"/>
              </w:rPr>
            </w:pPr>
            <w:r>
              <w:rPr>
                <w:rFonts w:ascii="宋体" w:hAnsi="宋体" w:cs="宋体" w:eastAsia="宋体" w:hint="default"/>
                <w:sz w:val="15"/>
                <w:szCs w:val="15"/>
              </w:rPr>
              <w:t>额</w:t>
            </w:r>
          </w:p>
        </w:tc>
        <w:tc>
          <w:tcPr>
            <w:tcW w:w="9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1" w:right="0"/>
              <w:jc w:val="left"/>
              <w:rPr>
                <w:rFonts w:ascii="Times New Roman" w:hAnsi="Times New Roman" w:cs="Times New Roman" w:eastAsia="Times New Roman" w:hint="default"/>
                <w:sz w:val="15"/>
                <w:szCs w:val="15"/>
              </w:rPr>
            </w:pPr>
            <w:r>
              <w:rPr>
                <w:rFonts w:ascii="Times New Roman"/>
                <w:sz w:val="15"/>
              </w:rPr>
              <w:t>23,731,349.77</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2,899,000.00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205,198,530.8</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3,639,145.31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1" w:right="0"/>
              <w:jc w:val="left"/>
              <w:rPr>
                <w:rFonts w:ascii="Times New Roman" w:hAnsi="Times New Roman" w:cs="Times New Roman" w:eastAsia="Times New Roman" w:hint="default"/>
                <w:sz w:val="15"/>
                <w:szCs w:val="15"/>
              </w:rPr>
            </w:pPr>
            <w:r>
              <w:rPr>
                <w:rFonts w:ascii="Times New Roman"/>
                <w:sz w:val="15"/>
              </w:rPr>
              <w:t>31,398,300.00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13,162,952.47</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280,029,278.4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二、累计摊销</w:t>
            </w:r>
          </w:p>
        </w:tc>
        <w:tc>
          <w:tcPr>
            <w:tcW w:w="968" w:type="dxa"/>
            <w:tcBorders>
              <w:top w:val="single" w:sz="4" w:space="0" w:color="000000"/>
              <w:left w:val="single" w:sz="13" w:space="0" w:color="D9D9D9"/>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31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w:t>
            </w:r>
          </w:p>
          <w:p>
            <w:pPr>
              <w:pStyle w:val="TableParagraph"/>
              <w:spacing w:line="240" w:lineRule="auto" w:before="105"/>
              <w:ind w:left="11" w:right="0"/>
              <w:jc w:val="left"/>
              <w:rPr>
                <w:rFonts w:ascii="宋体" w:hAnsi="宋体" w:cs="宋体" w:eastAsia="宋体" w:hint="default"/>
                <w:sz w:val="15"/>
                <w:szCs w:val="15"/>
              </w:rPr>
            </w:pPr>
            <w:r>
              <w:rPr>
                <w:rFonts w:ascii="宋体" w:hAnsi="宋体" w:cs="宋体" w:eastAsia="宋体" w:hint="default"/>
                <w:sz w:val="15"/>
                <w:szCs w:val="15"/>
              </w:rPr>
              <w:t>额</w:t>
            </w:r>
          </w:p>
        </w:tc>
        <w:tc>
          <w:tcPr>
            <w:tcW w:w="96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1,929,985.99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2,892,498.53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6" w:right="0"/>
              <w:jc w:val="center"/>
              <w:rPr>
                <w:rFonts w:ascii="Times New Roman" w:hAnsi="Times New Roman" w:cs="Times New Roman" w:eastAsia="Times New Roman" w:hint="default"/>
                <w:sz w:val="15"/>
                <w:szCs w:val="15"/>
              </w:rPr>
            </w:pPr>
            <w:r>
              <w:rPr>
                <w:rFonts w:ascii="Times New Roman"/>
                <w:sz w:val="15"/>
              </w:rPr>
              <w:t>20,264,164.61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2,936,628.70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6" w:right="0"/>
              <w:jc w:val="left"/>
              <w:rPr>
                <w:rFonts w:ascii="Times New Roman" w:hAnsi="Times New Roman" w:cs="Times New Roman" w:eastAsia="Times New Roman" w:hint="default"/>
                <w:sz w:val="15"/>
                <w:szCs w:val="15"/>
              </w:rPr>
            </w:pPr>
            <w:r>
              <w:rPr>
                <w:rFonts w:ascii="Times New Roman"/>
                <w:sz w:val="15"/>
              </w:rPr>
              <w:t>9,800,000.00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3,440,177.21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41,263,455.04</w:t>
            </w:r>
          </w:p>
        </w:tc>
      </w:tr>
    </w:tbl>
    <w:p>
      <w:pPr>
        <w:spacing w:after="0" w:line="240" w:lineRule="auto"/>
        <w:jc w:val="right"/>
        <w:rPr>
          <w:rFonts w:ascii="Times New Roman" w:hAnsi="Times New Roman" w:cs="Times New Roman" w:eastAsia="Times New Roman" w:hint="default"/>
          <w:sz w:val="15"/>
          <w:szCs w:val="15"/>
        </w:rPr>
        <w:sectPr>
          <w:pgSz w:w="11910" w:h="16840"/>
          <w:pgMar w:header="851" w:footer="979"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957"/>
        <w:gridCol w:w="957"/>
        <w:gridCol w:w="958"/>
        <w:gridCol w:w="957"/>
        <w:gridCol w:w="958"/>
        <w:gridCol w:w="956"/>
        <w:gridCol w:w="958"/>
        <w:gridCol w:w="957"/>
        <w:gridCol w:w="958"/>
        <w:gridCol w:w="956"/>
      </w:tblGrid>
      <w:tr>
        <w:trPr>
          <w:trHeight w:val="726" w:hRule="exact"/>
        </w:trPr>
        <w:tc>
          <w:tcPr>
            <w:tcW w:w="95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74"/>
              <w:ind w:left="22" w:right="60"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 加金额</w:t>
            </w:r>
          </w:p>
        </w:tc>
        <w:tc>
          <w:tcPr>
            <w:tcW w:w="95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475,080.00</w:t>
            </w:r>
          </w:p>
        </w:tc>
        <w:tc>
          <w:tcPr>
            <w:tcW w:w="958" w:type="dxa"/>
            <w:tcBorders>
              <w:top w:val="single" w:sz="10" w:space="0" w:color="000000"/>
              <w:left w:val="single" w:sz="4" w:space="0" w:color="000000"/>
              <w:bottom w:val="single" w:sz="4" w:space="0" w:color="000000"/>
              <w:right w:val="single" w:sz="4" w:space="0" w:color="000000"/>
            </w:tcBorders>
          </w:tcPr>
          <w:p>
            <w:pPr/>
          </w:p>
        </w:tc>
        <w:tc>
          <w:tcPr>
            <w:tcW w:w="95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6,501.47</w:t>
            </w:r>
          </w:p>
        </w:tc>
        <w:tc>
          <w:tcPr>
            <w:tcW w:w="9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16,489,839.86</w:t>
            </w:r>
          </w:p>
        </w:tc>
        <w:tc>
          <w:tcPr>
            <w:tcW w:w="9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702,516.61</w:t>
            </w:r>
          </w:p>
        </w:tc>
        <w:tc>
          <w:tcPr>
            <w:tcW w:w="9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7,078,324.24</w:t>
            </w:r>
          </w:p>
        </w:tc>
        <w:tc>
          <w:tcPr>
            <w:tcW w:w="95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1,729,553.27</w:t>
            </w:r>
          </w:p>
        </w:tc>
        <w:tc>
          <w:tcPr>
            <w:tcW w:w="958" w:type="dxa"/>
            <w:tcBorders>
              <w:top w:val="single" w:sz="10" w:space="0" w:color="000000"/>
              <w:left w:val="single" w:sz="4" w:space="0" w:color="000000"/>
              <w:bottom w:val="single" w:sz="4" w:space="0" w:color="000000"/>
              <w:right w:val="single" w:sz="4" w:space="0" w:color="000000"/>
            </w:tcBorders>
          </w:tcPr>
          <w:p>
            <w:pPr/>
          </w:p>
        </w:tc>
        <w:tc>
          <w:tcPr>
            <w:tcW w:w="9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26,481,815.45</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435" w:right="0"/>
              <w:jc w:val="left"/>
              <w:rPr>
                <w:rFonts w:ascii="宋体" w:hAnsi="宋体" w:cs="宋体" w:eastAsia="宋体" w:hint="default"/>
                <w:sz w:val="15"/>
                <w:szCs w:val="15"/>
              </w:rPr>
            </w:pPr>
            <w:r>
              <w:rPr>
                <w:rFonts w:ascii="宋体" w:hAnsi="宋体" w:cs="宋体" w:eastAsia="宋体" w:hint="default"/>
                <w:spacing w:val="-19"/>
                <w:sz w:val="15"/>
                <w:szCs w:val="15"/>
              </w:rPr>
              <w:t>（</w:t>
            </w:r>
            <w:r>
              <w:rPr>
                <w:rFonts w:ascii="Times New Roman" w:hAnsi="Times New Roman" w:cs="Times New Roman" w:eastAsia="Times New Roman" w:hint="default"/>
                <w:spacing w:val="-19"/>
                <w:sz w:val="15"/>
                <w:szCs w:val="15"/>
              </w:rPr>
              <w:t>1</w:t>
            </w:r>
            <w:r>
              <w:rPr>
                <w:rFonts w:ascii="宋体" w:hAnsi="宋体" w:cs="宋体" w:eastAsia="宋体" w:hint="default"/>
                <w:spacing w:val="-19"/>
                <w:sz w:val="15"/>
                <w:szCs w:val="15"/>
              </w:rPr>
              <w:t>）计</w:t>
            </w:r>
            <w:r>
              <w:rPr>
                <w:rFonts w:ascii="宋体" w:hAnsi="宋体" w:cs="宋体" w:eastAsia="宋体" w:hint="default"/>
                <w:sz w:val="15"/>
                <w:szCs w:val="15"/>
              </w:rPr>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提</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475,080.00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6,501.47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16,489,839.86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702,516.61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7,017,769.69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1,582,136.52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26,273,844.15</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62" w:lineRule="auto"/>
              <w:ind w:left="22" w:right="146"/>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企业合并</w:t>
            </w:r>
            <w:r>
              <w:rPr>
                <w:rFonts w:ascii="宋体" w:hAnsi="宋体" w:cs="宋体" w:eastAsia="宋体" w:hint="default"/>
                <w:w w:val="99"/>
                <w:sz w:val="15"/>
                <w:szCs w:val="15"/>
              </w:rPr>
              <w:t> </w:t>
            </w:r>
            <w:r>
              <w:rPr>
                <w:rFonts w:ascii="宋体" w:hAnsi="宋体" w:cs="宋体" w:eastAsia="宋体" w:hint="default"/>
                <w:sz w:val="15"/>
                <w:szCs w:val="15"/>
              </w:rPr>
              <w:t>增加</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60,554.55</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60,554.55</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汇率变动</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147,416.75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147,416.75</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69"/>
              <w:ind w:left="22" w:right="60"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 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619,329.27</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6,169.89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625,499.16</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435" w:right="0"/>
              <w:jc w:val="left"/>
              <w:rPr>
                <w:rFonts w:ascii="宋体" w:hAnsi="宋体" w:cs="宋体" w:eastAsia="宋体" w:hint="default"/>
                <w:sz w:val="15"/>
                <w:szCs w:val="15"/>
              </w:rPr>
            </w:pPr>
            <w:r>
              <w:rPr>
                <w:rFonts w:ascii="宋体" w:hAnsi="宋体" w:cs="宋体" w:eastAsia="宋体" w:hint="default"/>
                <w:spacing w:val="-19"/>
                <w:sz w:val="15"/>
                <w:szCs w:val="15"/>
              </w:rPr>
              <w:t>（</w:t>
            </w:r>
            <w:r>
              <w:rPr>
                <w:rFonts w:ascii="Times New Roman" w:hAnsi="Times New Roman" w:cs="Times New Roman" w:eastAsia="Times New Roman" w:hint="default"/>
                <w:spacing w:val="-19"/>
                <w:sz w:val="15"/>
                <w:szCs w:val="15"/>
              </w:rPr>
              <w:t>1</w:t>
            </w:r>
            <w:r>
              <w:rPr>
                <w:rFonts w:ascii="宋体" w:hAnsi="宋体" w:cs="宋体" w:eastAsia="宋体" w:hint="default"/>
                <w:spacing w:val="-19"/>
                <w:sz w:val="15"/>
                <w:szCs w:val="15"/>
              </w:rPr>
              <w:t>）处</w:t>
            </w:r>
            <w:r>
              <w:rPr>
                <w:rFonts w:ascii="宋体" w:hAnsi="宋体" w:cs="宋体" w:eastAsia="宋体" w:hint="default"/>
                <w:sz w:val="15"/>
                <w:szCs w:val="15"/>
              </w:rPr>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505,834.85</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505,834.85</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62" w:lineRule="auto"/>
              <w:ind w:left="22" w:right="21"/>
              <w:jc w:val="left"/>
              <w:rPr>
                <w:rFonts w:ascii="宋体" w:hAnsi="宋体" w:cs="宋体" w:eastAsia="宋体" w:hint="default"/>
                <w:sz w:val="15"/>
                <w:szCs w:val="15"/>
              </w:rPr>
            </w:pPr>
            <w:r>
              <w:rPr>
                <w:rFonts w:ascii="宋体" w:hAnsi="宋体" w:cs="宋体" w:eastAsia="宋体" w:hint="default"/>
                <w:spacing w:val="-11"/>
                <w:sz w:val="15"/>
                <w:szCs w:val="15"/>
              </w:rPr>
              <w:t>（</w:t>
            </w:r>
            <w:r>
              <w:rPr>
                <w:rFonts w:ascii="Times New Roman" w:hAnsi="Times New Roman" w:cs="Times New Roman" w:eastAsia="Times New Roman" w:hint="default"/>
                <w:spacing w:val="-11"/>
                <w:sz w:val="15"/>
                <w:szCs w:val="15"/>
              </w:rPr>
              <w:t>2</w:t>
            </w:r>
            <w:r>
              <w:rPr>
                <w:rFonts w:ascii="宋体" w:hAnsi="宋体" w:cs="宋体" w:eastAsia="宋体" w:hint="default"/>
                <w:spacing w:val="-11"/>
                <w:sz w:val="15"/>
                <w:szCs w:val="15"/>
              </w:rPr>
              <w:t>）退出合并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范围</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113,494.42</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6,169.89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119,664.31</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left="3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2,405,065.99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2,899,000.00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36,134,675.20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3,639,145.31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16,878,324.24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5,163,560.59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67,119,771.33</w:t>
            </w: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9"/>
              <w:ind w:right="24"/>
              <w:jc w:val="right"/>
              <w:rPr>
                <w:rFonts w:ascii="宋体" w:hAnsi="宋体" w:cs="宋体" w:eastAsia="宋体" w:hint="default"/>
                <w:sz w:val="15"/>
                <w:szCs w:val="15"/>
              </w:rPr>
            </w:pPr>
            <w:r>
              <w:rPr>
                <w:rFonts w:ascii="宋体" w:hAnsi="宋体" w:cs="宋体" w:eastAsia="宋体" w:hint="default"/>
                <w:sz w:val="15"/>
                <w:szCs w:val="15"/>
              </w:rPr>
              <w:t>三、减值准备</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0"/>
              <w:ind w:left="3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期初余</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69"/>
              <w:ind w:left="22" w:right="60"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本期增 加金额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435" w:right="0"/>
              <w:jc w:val="left"/>
              <w:rPr>
                <w:rFonts w:ascii="宋体" w:hAnsi="宋体" w:cs="宋体" w:eastAsia="宋体" w:hint="default"/>
                <w:sz w:val="15"/>
                <w:szCs w:val="15"/>
              </w:rPr>
            </w:pPr>
            <w:r>
              <w:rPr>
                <w:rFonts w:ascii="宋体" w:hAnsi="宋体" w:cs="宋体" w:eastAsia="宋体" w:hint="default"/>
                <w:spacing w:val="-19"/>
                <w:sz w:val="15"/>
                <w:szCs w:val="15"/>
              </w:rPr>
              <w:t>（</w:t>
            </w:r>
            <w:r>
              <w:rPr>
                <w:rFonts w:ascii="Times New Roman" w:hAnsi="Times New Roman" w:cs="Times New Roman" w:eastAsia="Times New Roman" w:hint="default"/>
                <w:spacing w:val="-19"/>
                <w:sz w:val="15"/>
                <w:szCs w:val="15"/>
              </w:rPr>
              <w:t>1</w:t>
            </w:r>
            <w:r>
              <w:rPr>
                <w:rFonts w:ascii="宋体" w:hAnsi="宋体" w:cs="宋体" w:eastAsia="宋体" w:hint="default"/>
                <w:spacing w:val="-19"/>
                <w:sz w:val="15"/>
                <w:szCs w:val="15"/>
              </w:rPr>
              <w:t>）计</w:t>
            </w:r>
            <w:r>
              <w:rPr>
                <w:rFonts w:ascii="宋体" w:hAnsi="宋体" w:cs="宋体" w:eastAsia="宋体" w:hint="default"/>
                <w:sz w:val="15"/>
                <w:szCs w:val="15"/>
              </w:rPr>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提</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71"/>
              <w:ind w:left="22" w:right="60"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本期减 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21"/>
              <w:jc w:val="right"/>
              <w:rPr>
                <w:rFonts w:ascii="宋体" w:hAnsi="宋体" w:cs="宋体" w:eastAsia="宋体" w:hint="default"/>
                <w:sz w:val="15"/>
                <w:szCs w:val="15"/>
              </w:rPr>
            </w:pPr>
            <w:r>
              <w:rPr>
                <w:rFonts w:ascii="宋体" w:hAnsi="宋体" w:cs="宋体" w:eastAsia="宋体" w:hint="default"/>
                <w:spacing w:val="-8"/>
                <w:sz w:val="15"/>
                <w:szCs w:val="15"/>
              </w:rPr>
              <w:t>（</w:t>
            </w:r>
            <w:r>
              <w:rPr>
                <w:rFonts w:ascii="Times New Roman" w:hAnsi="Times New Roman" w:cs="Times New Roman" w:eastAsia="Times New Roman" w:hint="default"/>
                <w:spacing w:val="-8"/>
                <w:sz w:val="15"/>
                <w:szCs w:val="15"/>
              </w:rPr>
              <w:t>1</w:t>
            </w:r>
            <w:r>
              <w:rPr>
                <w:rFonts w:ascii="宋体" w:hAnsi="宋体" w:cs="宋体" w:eastAsia="宋体" w:hint="default"/>
                <w:spacing w:val="-8"/>
                <w:sz w:val="15"/>
                <w:szCs w:val="15"/>
              </w:rPr>
              <w:t>）处置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3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期末余</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right="24"/>
              <w:jc w:val="right"/>
              <w:rPr>
                <w:rFonts w:ascii="宋体" w:hAnsi="宋体" w:cs="宋体" w:eastAsia="宋体" w:hint="default"/>
                <w:sz w:val="15"/>
                <w:szCs w:val="15"/>
              </w:rPr>
            </w:pPr>
            <w:r>
              <w:rPr>
                <w:rFonts w:ascii="宋体" w:hAnsi="宋体" w:cs="宋体" w:eastAsia="宋体" w:hint="default"/>
                <w:sz w:val="15"/>
                <w:szCs w:val="15"/>
              </w:rPr>
              <w:t>四、账面价值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71"/>
              <w:ind w:left="22" w:right="60"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期末账 面价值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21,326,283.78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5"/>
                <w:szCs w:val="15"/>
              </w:rPr>
            </w:pPr>
            <w:r>
              <w:rPr>
                <w:rFonts w:ascii="Times New Roman"/>
                <w:spacing w:val="-1"/>
                <w:sz w:val="15"/>
              </w:rPr>
              <w:t>169,063,855.6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5</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14,519,975.76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7,999,391.88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pacing w:val="-1"/>
                <w:sz w:val="15"/>
              </w:rPr>
              <w:t>212,909,507.0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7</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0" w:lineRule="auto" w:before="71"/>
              <w:ind w:left="22" w:right="60" w:firstLine="30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期初账 面价值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21,801,363.78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6,501.47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1"/>
              <w:jc w:val="right"/>
              <w:rPr>
                <w:rFonts w:ascii="Times New Roman" w:hAnsi="Times New Roman" w:cs="Times New Roman" w:eastAsia="Times New Roman" w:hint="default"/>
                <w:sz w:val="15"/>
                <w:szCs w:val="15"/>
              </w:rPr>
            </w:pPr>
            <w:r>
              <w:rPr>
                <w:rFonts w:ascii="Times New Roman"/>
                <w:spacing w:val="-1"/>
                <w:sz w:val="15"/>
              </w:rPr>
              <w:t>103,889,094.0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702,516.61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19,600,000.00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1,973,846.30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pacing w:val="-1"/>
                <w:sz w:val="15"/>
              </w:rPr>
              <w:t>147,973,322.1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7</w:t>
            </w:r>
          </w:p>
        </w:tc>
      </w:tr>
    </w:tbl>
    <w:p>
      <w:pPr>
        <w:spacing w:line="240" w:lineRule="auto" w:before="2"/>
        <w:rPr>
          <w:rFonts w:ascii="宋体" w:hAnsi="宋体" w:cs="宋体" w:eastAsia="宋体" w:hint="default"/>
          <w:sz w:val="6"/>
          <w:szCs w:val="6"/>
        </w:rPr>
      </w:pPr>
    </w:p>
    <w:p>
      <w:pPr>
        <w:pStyle w:val="BodyText"/>
        <w:spacing w:line="240" w:lineRule="auto" w:before="44"/>
        <w:ind w:left="1134"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79.41%</w:t>
      </w:r>
      <w:r>
        <w:rPr/>
        <w:t>。</w:t>
      </w:r>
    </w:p>
    <w:p>
      <w:pPr>
        <w:spacing w:after="0" w:line="240" w:lineRule="auto"/>
        <w:jc w:val="left"/>
        <w:sectPr>
          <w:pgSz w:w="11910" w:h="16840"/>
          <w:pgMar w:header="851" w:footer="979" w:top="142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26、开发支出" w:id="273"/>
      <w:bookmarkEnd w:id="273"/>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01" w:type="dxa"/>
        <w:tblLayout w:type="fixed"/>
        <w:tblCellMar>
          <w:top w:w="0" w:type="dxa"/>
          <w:left w:w="0" w:type="dxa"/>
          <w:bottom w:w="0" w:type="dxa"/>
          <w:right w:w="0" w:type="dxa"/>
        </w:tblCellMar>
        <w:tblLook w:val="01E0"/>
      </w:tblPr>
      <w:tblGrid>
        <w:gridCol w:w="3430"/>
        <w:gridCol w:w="1559"/>
        <w:gridCol w:w="1561"/>
        <w:gridCol w:w="1701"/>
        <w:gridCol w:w="1444"/>
      </w:tblGrid>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生活化即时通讯社交平台系统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12,978,644.05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1,505,772.31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14,484,416.36</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面向中东地区基于地理位置的陌生人交友 平台</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1,765,860.03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1,765,860.03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面向中东地区的视频互动平台</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4,069,552.08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4,069,552.08</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行业数据管理平台软件</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8,391,462.45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8,391,462.45</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互联网安全攻防</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691,585.58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691,585.58</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移动互联全智能项目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983,155.06</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983,155.06</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智能产品创新平台</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1,104,952.89</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1,104,952.89</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智能节能及环保微课</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479,821.38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479,821.38</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企业移动协作平台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Ultra-ME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10,327,428.33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10,327,428.33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神州泰岳云运维平台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Ultra-CloudITSM 1.0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19,679,283.77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19,679,283.77</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通用软件维护系统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Ultra-USM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5,146,009.80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5,146,009.80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漏洞深度检测系统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Ultra-DeepScanner</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V2.0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11,898,253.47</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11,898,253.47</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rcs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14,278,529.77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1,640,830.70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15,919,360.47</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音视频通信引擎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10,225,549.50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10,225,549.50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基于移动互联网的云沟通平台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3,758,340.95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1,027,875.67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4,786,216.62</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的融合通信加强系统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12,528,578.65</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12,528,578.65</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Python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的数据库集群管理系统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7,493,510.42</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7,493,510.42</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网络技术平台在线交流系统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3,230,210.83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3,230,210.83</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连接人与服务的即时通讯云平台</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4,783,479.36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4,783,479.36</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智能化内容审核平台系统</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562,289.18</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562,289.18</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视频点播系统云平台项目</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6,016,439.66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6,016,439.66</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2,796,815.79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5,308,133.57</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8,104,949.36</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1,392,634.52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1,318,729.85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2,711,364.37</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TSM</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229,979.28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4,709,831.52</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4,939,810.80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SmartWater</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智能硬件</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324,943.35</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324,943.35</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皮卡丘</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1,540,399.91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1,846,618.94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3,387,018.85</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天子传奇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2,017,682.97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3,500,791.15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5,518,474.12</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战争与秩序</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3,567,726.99</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3,567,726.99</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小小帝国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355,544.86</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355,544.86</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风暴传说</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81,684.34</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81,684.34</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01" w:type="dxa"/>
        <w:tblLayout w:type="fixed"/>
        <w:tblCellMar>
          <w:top w:w="0" w:type="dxa"/>
          <w:left w:w="0" w:type="dxa"/>
          <w:bottom w:w="0" w:type="dxa"/>
          <w:right w:w="0" w:type="dxa"/>
        </w:tblCellMar>
        <w:tblLook w:val="01E0"/>
      </w:tblPr>
      <w:tblGrid>
        <w:gridCol w:w="3430"/>
        <w:gridCol w:w="1559"/>
        <w:gridCol w:w="1561"/>
        <w:gridCol w:w="1701"/>
        <w:gridCol w:w="1446"/>
      </w:tblGrid>
      <w:tr>
        <w:trPr>
          <w:trHeight w:val="414" w:hRule="exact"/>
        </w:trPr>
        <w:tc>
          <w:tcPr>
            <w:tcW w:w="343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491" w:right="0"/>
              <w:jc w:val="left"/>
              <w:rPr>
                <w:rFonts w:ascii="Times New Roman" w:hAnsi="Times New Roman" w:cs="Times New Roman" w:eastAsia="Times New Roman" w:hint="default"/>
                <w:sz w:val="18"/>
                <w:szCs w:val="18"/>
              </w:rPr>
            </w:pPr>
            <w:r>
              <w:rPr>
                <w:rFonts w:ascii="Times New Roman"/>
                <w:sz w:val="18"/>
              </w:rPr>
              <w:t>49,218,576.74</w:t>
            </w:r>
          </w:p>
        </w:tc>
        <w:tc>
          <w:tcPr>
            <w:tcW w:w="15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403" w:right="0"/>
              <w:jc w:val="left"/>
              <w:rPr>
                <w:rFonts w:ascii="Times New Roman" w:hAnsi="Times New Roman" w:cs="Times New Roman" w:eastAsia="Times New Roman" w:hint="default"/>
                <w:sz w:val="18"/>
                <w:szCs w:val="18"/>
              </w:rPr>
            </w:pPr>
            <w:r>
              <w:rPr>
                <w:rFonts w:ascii="Times New Roman"/>
                <w:sz w:val="18"/>
              </w:rPr>
              <w:t>124,340,356.19</w:t>
            </w:r>
          </w:p>
        </w:tc>
        <w:tc>
          <w:tcPr>
            <w:tcW w:w="17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542" w:right="0"/>
              <w:jc w:val="left"/>
              <w:rPr>
                <w:rFonts w:ascii="Times New Roman" w:hAnsi="Times New Roman" w:cs="Times New Roman" w:eastAsia="Times New Roman" w:hint="default"/>
                <w:sz w:val="18"/>
                <w:szCs w:val="18"/>
              </w:rPr>
            </w:pPr>
            <w:r>
              <w:rPr>
                <w:rFonts w:ascii="Times New Roman"/>
                <w:sz w:val="18"/>
              </w:rPr>
              <w:t>120,442,126.60</w:t>
            </w:r>
          </w:p>
        </w:tc>
        <w:tc>
          <w:tcPr>
            <w:tcW w:w="14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382" w:right="0"/>
              <w:jc w:val="left"/>
              <w:rPr>
                <w:rFonts w:ascii="Times New Roman" w:hAnsi="Times New Roman" w:cs="Times New Roman" w:eastAsia="Times New Roman" w:hint="default"/>
                <w:sz w:val="18"/>
                <w:szCs w:val="18"/>
              </w:rPr>
            </w:pPr>
            <w:r>
              <w:rPr>
                <w:rFonts w:ascii="Times New Roman"/>
                <w:sz w:val="18"/>
              </w:rPr>
              <w:t>53,116,806.33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7、商誉" w:id="274"/>
      <w:bookmarkEnd w:id="274"/>
      <w:r>
        <w:rPr>
          <w:b w:val="0"/>
          <w:bCs w:val="0"/>
        </w:rPr>
      </w: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75"/>
      <w:bookmarkEnd w:id="27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北京神州泰岳系 统集成有限公司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33,470,814.63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33,470,814.63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宁波普天通信技 术有限公司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206,137,154.75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206,137,154.75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奇点新源国际技 术开发（北京） 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13,156,878.95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13,156,878.95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北京广通神州网 络技术有限公司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45,572,687.69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45,572,687.69</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2"/>
              <w:ind w:left="22" w:right="255"/>
              <w:jc w:val="left"/>
              <w:rPr>
                <w:rFonts w:ascii="Times New Roman" w:hAnsi="Times New Roman" w:cs="Times New Roman" w:eastAsia="Times New Roman" w:hint="default"/>
                <w:sz w:val="18"/>
                <w:szCs w:val="18"/>
              </w:rPr>
            </w:pPr>
            <w:r>
              <w:rPr>
                <w:rFonts w:ascii="Times New Roman"/>
                <w:sz w:val="18"/>
              </w:rPr>
              <w:t>Bridge</w:t>
            </w:r>
            <w:r>
              <w:rPr>
                <w:rFonts w:ascii="Times New Roman"/>
                <w:spacing w:val="1"/>
                <w:sz w:val="18"/>
              </w:rPr>
              <w:t> </w:t>
            </w:r>
            <w:r>
              <w:rPr>
                <w:rFonts w:ascii="Times New Roman"/>
                <w:sz w:val="18"/>
              </w:rPr>
              <w:t>Minds</w:t>
            </w:r>
            <w:r>
              <w:rPr>
                <w:rFonts w:ascii="Times New Roman"/>
                <w:w w:val="99"/>
                <w:sz w:val="18"/>
              </w:rPr>
              <w:t> </w:t>
            </w:r>
            <w:r>
              <w:rPr>
                <w:rFonts w:ascii="Times New Roman"/>
                <w:sz w:val="18"/>
              </w:rPr>
              <w:t>Consulting</w:t>
            </w:r>
            <w:r>
              <w:rPr>
                <w:rFonts w:ascii="Times New Roman"/>
                <w:spacing w:val="-1"/>
                <w:sz w:val="18"/>
              </w:rPr>
              <w:t> </w:t>
            </w:r>
            <w:r>
              <w:rPr>
                <w:rFonts w:ascii="Times New Roman"/>
                <w:sz w:val="18"/>
              </w:rPr>
              <w:t>Pte</w:t>
            </w:r>
            <w:r>
              <w:rPr>
                <w:rFonts w:ascii="Times New Roman"/>
                <w:w w:val="99"/>
                <w:sz w:val="18"/>
              </w:rPr>
              <w:t> </w:t>
            </w:r>
            <w:r>
              <w:rPr>
                <w:rFonts w:ascii="Times New Roman"/>
                <w:sz w:val="18"/>
              </w:rPr>
              <w:t>Ltd</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46,913,784.54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46,913,784.54</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北京神州泰岳智 能数据技术有限 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33,027,608.12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33,027,608.12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天津壳木软件有 限责任公司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1,085,618,741.77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1,085,618,741.77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天津安纳西科技 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72,341,201.72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72,341,201.72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宁波高新区捷远 科技有限公司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2,154,884.91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2,154,884.91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1,463,897,670.45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74,496,086.63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1,538,393,757.08</w:t>
            </w:r>
          </w:p>
        </w:tc>
      </w:tr>
    </w:tbl>
    <w:p>
      <w:pPr>
        <w:pStyle w:val="BodyText"/>
        <w:spacing w:line="205" w:lineRule="exact"/>
        <w:ind w:left="1134" w:right="0"/>
        <w:jc w:val="left"/>
      </w:pPr>
      <w:r>
        <w:rPr/>
        <w:t>商誉计算过程</w:t>
      </w:r>
    </w:p>
    <w:p>
      <w:pPr>
        <w:pStyle w:val="BodyText"/>
        <w:spacing w:line="240" w:lineRule="auto" w:before="113"/>
        <w:ind w:left="1493" w:right="0"/>
        <w:jc w:val="left"/>
      </w:pPr>
      <w:r>
        <w:rPr/>
        <w:t>（</w:t>
      </w:r>
      <w:r>
        <w:rPr>
          <w:rFonts w:ascii="宋体" w:hAnsi="宋体" w:cs="宋体" w:eastAsia="宋体" w:hint="default"/>
        </w:rPr>
        <w:t>1</w:t>
      </w:r>
      <w:r>
        <w:rPr/>
        <w:t>）本公司于</w:t>
      </w:r>
      <w:r>
        <w:rPr>
          <w:spacing w:val="-35"/>
        </w:rPr>
        <w:t> </w:t>
      </w:r>
      <w:r>
        <w:rPr>
          <w:rFonts w:ascii="宋体" w:hAnsi="宋体" w:cs="宋体" w:eastAsia="宋体" w:hint="default"/>
        </w:rPr>
        <w:t>2010</w:t>
      </w:r>
      <w:r>
        <w:rPr>
          <w:rFonts w:ascii="宋体" w:hAnsi="宋体" w:cs="宋体" w:eastAsia="宋体" w:hint="default"/>
          <w:spacing w:val="-35"/>
        </w:rPr>
        <w:t> </w:t>
      </w:r>
      <w:r>
        <w:rPr/>
        <w:t>年以人民币</w:t>
      </w:r>
      <w:r>
        <w:rPr>
          <w:spacing w:val="-35"/>
        </w:rPr>
        <w:t> </w:t>
      </w:r>
      <w:r>
        <w:rPr>
          <w:rFonts w:ascii="宋体" w:hAnsi="宋体" w:cs="宋体" w:eastAsia="宋体" w:hint="default"/>
        </w:rPr>
        <w:t>5,900</w:t>
      </w:r>
      <w:r>
        <w:rPr>
          <w:rFonts w:ascii="宋体" w:hAnsi="宋体" w:cs="宋体" w:eastAsia="宋体" w:hint="default"/>
          <w:spacing w:val="-35"/>
        </w:rPr>
        <w:t> </w:t>
      </w:r>
      <w:r>
        <w:rPr/>
        <w:t>万元作为合并成本购买北京神州泰岳系统集成有限公司</w:t>
      </w:r>
      <w:r>
        <w:rPr>
          <w:spacing w:val="-34"/>
        </w:rPr>
        <w:t> </w:t>
      </w:r>
      <w:r>
        <w:rPr>
          <w:rFonts w:ascii="宋体" w:hAnsi="宋体" w:cs="宋体" w:eastAsia="宋体" w:hint="default"/>
        </w:rPr>
        <w:t>100%</w:t>
      </w:r>
      <w:r>
        <w:rPr/>
        <w:t>股权。合并成本超</w:t>
      </w:r>
    </w:p>
    <w:p>
      <w:pPr>
        <w:pStyle w:val="BodyText"/>
        <w:spacing w:line="357" w:lineRule="auto" w:before="115"/>
        <w:ind w:right="1117"/>
        <w:jc w:val="left"/>
      </w:pPr>
      <w:r>
        <w:rPr/>
        <w:t>过按比例获得的北京神州泰岳系统集成有限公司可辨认资产、负债公允价值的差额人民币 </w:t>
      </w:r>
      <w:r>
        <w:rPr>
          <w:rFonts w:ascii="宋体" w:hAnsi="宋体" w:cs="宋体" w:eastAsia="宋体" w:hint="default"/>
        </w:rPr>
        <w:t>33,470,814.63</w:t>
      </w:r>
      <w:r>
        <w:rPr>
          <w:rFonts w:ascii="宋体" w:hAnsi="宋体" w:cs="宋体" w:eastAsia="宋体" w:hint="default"/>
          <w:spacing w:val="6"/>
        </w:rPr>
        <w:t> </w:t>
      </w:r>
      <w:r>
        <w:rPr/>
        <w:t>元，确认为与北 京神州泰岳系统集成有限公司相关的商誉。</w:t>
      </w:r>
    </w:p>
    <w:p>
      <w:pPr>
        <w:pStyle w:val="BodyText"/>
        <w:spacing w:line="357" w:lineRule="auto" w:before="27"/>
        <w:ind w:right="1132" w:firstLine="360"/>
        <w:jc w:val="both"/>
      </w:pPr>
      <w:r>
        <w:rPr>
          <w:spacing w:val="-6"/>
        </w:rPr>
        <w:t>（</w:t>
      </w:r>
      <w:r>
        <w:rPr>
          <w:rFonts w:ascii="宋体" w:hAnsi="宋体" w:cs="宋体" w:eastAsia="宋体" w:hint="default"/>
          <w:spacing w:val="-6"/>
        </w:rPr>
        <w:t>2</w:t>
      </w:r>
      <w:r>
        <w:rPr>
          <w:spacing w:val="-6"/>
        </w:rPr>
        <w:t>）本公司于</w:t>
      </w:r>
      <w:r>
        <w:rPr>
          <w:spacing w:val="-45"/>
        </w:rPr>
        <w:t> </w:t>
      </w:r>
      <w:r>
        <w:rPr>
          <w:rFonts w:ascii="宋体" w:hAnsi="宋体" w:cs="宋体" w:eastAsia="宋体" w:hint="default"/>
        </w:rPr>
        <w:t>2011</w:t>
      </w:r>
      <w:r>
        <w:rPr>
          <w:rFonts w:ascii="宋体" w:hAnsi="宋体" w:cs="宋体" w:eastAsia="宋体" w:hint="default"/>
          <w:spacing w:val="-46"/>
        </w:rPr>
        <w:t> </w:t>
      </w:r>
      <w:r>
        <w:rPr/>
        <w:t>年以人民币</w:t>
      </w:r>
      <w:r>
        <w:rPr>
          <w:spacing w:val="-46"/>
        </w:rPr>
        <w:t> </w:t>
      </w:r>
      <w:r>
        <w:rPr>
          <w:rFonts w:ascii="宋体" w:hAnsi="宋体" w:cs="宋体" w:eastAsia="宋体" w:hint="default"/>
        </w:rPr>
        <w:t>24,000</w:t>
      </w:r>
      <w:r>
        <w:rPr>
          <w:rFonts w:ascii="宋体" w:hAnsi="宋体" w:cs="宋体" w:eastAsia="宋体" w:hint="default"/>
          <w:spacing w:val="-46"/>
        </w:rPr>
        <w:t> </w:t>
      </w:r>
      <w:r>
        <w:rPr/>
        <w:t>万元作为合并成本购买宁波普天通信技术有限公司</w:t>
      </w:r>
      <w:r>
        <w:rPr>
          <w:spacing w:val="-45"/>
        </w:rPr>
        <w:t> </w:t>
      </w:r>
      <w:r>
        <w:rPr>
          <w:rFonts w:ascii="宋体" w:hAnsi="宋体" w:cs="宋体" w:eastAsia="宋体" w:hint="default"/>
        </w:rPr>
        <w:t>100%</w:t>
      </w:r>
      <w:r>
        <w:rPr/>
        <w:t>的股权。合并成本超过 按</w:t>
      </w:r>
      <w:r>
        <w:rPr>
          <w:spacing w:val="-65"/>
        </w:rPr>
        <w:t> </w:t>
      </w:r>
      <w:r>
        <w:rPr/>
        <w:t>比</w:t>
      </w:r>
      <w:r>
        <w:rPr>
          <w:spacing w:val="-65"/>
        </w:rPr>
        <w:t> </w:t>
      </w:r>
      <w:r>
        <w:rPr/>
        <w:t>例</w:t>
      </w:r>
      <w:r>
        <w:rPr>
          <w:spacing w:val="-65"/>
        </w:rPr>
        <w:t> </w:t>
      </w:r>
      <w:r>
        <w:rPr/>
        <w:t>获</w:t>
      </w:r>
      <w:r>
        <w:rPr>
          <w:spacing w:val="-64"/>
        </w:rPr>
        <w:t> </w:t>
      </w:r>
      <w:r>
        <w:rPr/>
        <w:t>得</w:t>
      </w:r>
      <w:r>
        <w:rPr>
          <w:spacing w:val="-64"/>
        </w:rPr>
        <w:t> </w:t>
      </w:r>
      <w:r>
        <w:rPr/>
        <w:t>的</w:t>
      </w:r>
      <w:r>
        <w:rPr>
          <w:spacing w:val="-65"/>
        </w:rPr>
        <w:t> </w:t>
      </w:r>
      <w:r>
        <w:rPr/>
        <w:t>宁</w:t>
      </w:r>
      <w:r>
        <w:rPr>
          <w:spacing w:val="-65"/>
        </w:rPr>
        <w:t> </w:t>
      </w:r>
      <w:r>
        <w:rPr/>
        <w:t>波</w:t>
      </w:r>
      <w:r>
        <w:rPr>
          <w:spacing w:val="-65"/>
        </w:rPr>
        <w:t> </w:t>
      </w:r>
      <w:r>
        <w:rPr/>
        <w:t>普</w:t>
      </w:r>
      <w:r>
        <w:rPr>
          <w:spacing w:val="-64"/>
        </w:rPr>
        <w:t> </w:t>
      </w:r>
      <w:r>
        <w:rPr/>
        <w:t>天</w:t>
      </w:r>
      <w:r>
        <w:rPr>
          <w:spacing w:val="-64"/>
        </w:rPr>
        <w:t> </w:t>
      </w:r>
      <w:r>
        <w:rPr/>
        <w:t>通</w:t>
      </w:r>
      <w:r>
        <w:rPr>
          <w:spacing w:val="-65"/>
        </w:rPr>
        <w:t> </w:t>
      </w:r>
      <w:r>
        <w:rPr/>
        <w:t>信</w:t>
      </w:r>
      <w:r>
        <w:rPr>
          <w:spacing w:val="-65"/>
        </w:rPr>
        <w:t> </w:t>
      </w:r>
      <w:r>
        <w:rPr/>
        <w:t>技</w:t>
      </w:r>
      <w:r>
        <w:rPr>
          <w:spacing w:val="-65"/>
        </w:rPr>
        <w:t> </w:t>
      </w:r>
      <w:r>
        <w:rPr/>
        <w:t>术</w:t>
      </w:r>
      <w:r>
        <w:rPr>
          <w:spacing w:val="-64"/>
        </w:rPr>
        <w:t> </w:t>
      </w:r>
      <w:r>
        <w:rPr/>
        <w:t>有</w:t>
      </w:r>
      <w:r>
        <w:rPr>
          <w:spacing w:val="-64"/>
        </w:rPr>
        <w:t> </w:t>
      </w:r>
      <w:r>
        <w:rPr/>
        <w:t>限</w:t>
      </w:r>
      <w:r>
        <w:rPr>
          <w:spacing w:val="-65"/>
        </w:rPr>
        <w:t> </w:t>
      </w:r>
      <w:r>
        <w:rPr/>
        <w:t>公</w:t>
      </w:r>
      <w:r>
        <w:rPr>
          <w:spacing w:val="-65"/>
        </w:rPr>
        <w:t> </w:t>
      </w:r>
      <w:r>
        <w:rPr/>
        <w:t>司</w:t>
      </w:r>
      <w:r>
        <w:rPr>
          <w:spacing w:val="-65"/>
        </w:rPr>
        <w:t> </w:t>
      </w:r>
      <w:r>
        <w:rPr/>
        <w:t>可</w:t>
      </w:r>
      <w:r>
        <w:rPr>
          <w:spacing w:val="-64"/>
        </w:rPr>
        <w:t> </w:t>
      </w:r>
      <w:r>
        <w:rPr/>
        <w:t>辨</w:t>
      </w:r>
      <w:r>
        <w:rPr>
          <w:spacing w:val="-64"/>
        </w:rPr>
        <w:t> </w:t>
      </w:r>
      <w:r>
        <w:rPr/>
        <w:t>认</w:t>
      </w:r>
      <w:r>
        <w:rPr>
          <w:spacing w:val="-65"/>
        </w:rPr>
        <w:t> </w:t>
      </w:r>
      <w:r>
        <w:rPr/>
        <w:t>资</w:t>
      </w:r>
      <w:r>
        <w:rPr>
          <w:spacing w:val="-65"/>
        </w:rPr>
        <w:t> </w:t>
      </w:r>
      <w:r>
        <w:rPr/>
        <w:t>产</w:t>
      </w:r>
      <w:r>
        <w:rPr>
          <w:spacing w:val="-65"/>
        </w:rPr>
        <w:t> </w:t>
      </w:r>
      <w:r>
        <w:rPr/>
        <w:t>、</w:t>
      </w:r>
      <w:r>
        <w:rPr>
          <w:spacing w:val="-64"/>
        </w:rPr>
        <w:t> </w:t>
      </w:r>
      <w:r>
        <w:rPr/>
        <w:t>负</w:t>
      </w:r>
      <w:r>
        <w:rPr>
          <w:spacing w:val="-64"/>
        </w:rPr>
        <w:t> </w:t>
      </w:r>
      <w:r>
        <w:rPr/>
        <w:t>债</w:t>
      </w:r>
      <w:r>
        <w:rPr>
          <w:spacing w:val="-65"/>
        </w:rPr>
        <w:t> </w:t>
      </w:r>
      <w:r>
        <w:rPr/>
        <w:t>公</w:t>
      </w:r>
      <w:r>
        <w:rPr>
          <w:spacing w:val="-65"/>
        </w:rPr>
        <w:t> </w:t>
      </w:r>
      <w:r>
        <w:rPr/>
        <w:t>允</w:t>
      </w:r>
      <w:r>
        <w:rPr>
          <w:spacing w:val="-65"/>
        </w:rPr>
        <w:t> </w:t>
      </w:r>
      <w:r>
        <w:rPr/>
        <w:t>价</w:t>
      </w:r>
      <w:r>
        <w:rPr>
          <w:spacing w:val="-64"/>
        </w:rPr>
        <w:t> </w:t>
      </w:r>
      <w:r>
        <w:rPr/>
        <w:t>值</w:t>
      </w:r>
      <w:r>
        <w:rPr>
          <w:spacing w:val="-64"/>
        </w:rPr>
        <w:t> </w:t>
      </w:r>
      <w:r>
        <w:rPr/>
        <w:t>及</w:t>
      </w:r>
      <w:r>
        <w:rPr>
          <w:spacing w:val="-65"/>
        </w:rPr>
        <w:t> </w:t>
      </w:r>
      <w:r>
        <w:rPr/>
        <w:t>确</w:t>
      </w:r>
      <w:r>
        <w:rPr>
          <w:spacing w:val="-65"/>
        </w:rPr>
        <w:t> </w:t>
      </w:r>
      <w:r>
        <w:rPr/>
        <w:t>认</w:t>
      </w:r>
      <w:r>
        <w:rPr>
          <w:spacing w:val="-65"/>
        </w:rPr>
        <w:t> </w:t>
      </w:r>
      <w:r>
        <w:rPr/>
        <w:t>递</w:t>
      </w:r>
      <w:r>
        <w:rPr>
          <w:spacing w:val="-64"/>
        </w:rPr>
        <w:t> </w:t>
      </w:r>
      <w:r>
        <w:rPr/>
        <w:t>延</w:t>
      </w:r>
      <w:r>
        <w:rPr>
          <w:spacing w:val="-64"/>
        </w:rPr>
        <w:t> </w:t>
      </w:r>
      <w:r>
        <w:rPr/>
        <w:t>所</w:t>
      </w:r>
      <w:r>
        <w:rPr>
          <w:spacing w:val="-65"/>
        </w:rPr>
        <w:t> </w:t>
      </w:r>
      <w:r>
        <w:rPr/>
        <w:t>得</w:t>
      </w:r>
      <w:r>
        <w:rPr>
          <w:spacing w:val="-65"/>
        </w:rPr>
        <w:t> </w:t>
      </w:r>
      <w:r>
        <w:rPr/>
        <w:t>税</w:t>
      </w:r>
      <w:r>
        <w:rPr>
          <w:spacing w:val="-65"/>
        </w:rPr>
        <w:t> </w:t>
      </w:r>
      <w:r>
        <w:rPr/>
        <w:t>负</w:t>
      </w:r>
      <w:r>
        <w:rPr>
          <w:spacing w:val="-64"/>
        </w:rPr>
        <w:t> </w:t>
      </w:r>
      <w:r>
        <w:rPr/>
        <w:t>债</w:t>
      </w:r>
      <w:r>
        <w:rPr>
          <w:spacing w:val="-64"/>
        </w:rPr>
        <w:t> </w:t>
      </w:r>
      <w:r>
        <w:rPr/>
        <w:t>后</w:t>
      </w:r>
      <w:r>
        <w:rPr>
          <w:spacing w:val="-65"/>
        </w:rPr>
        <w:t> </w:t>
      </w:r>
      <w:r>
        <w:rPr/>
        <w:t>的</w:t>
      </w:r>
      <w:r>
        <w:rPr>
          <w:spacing w:val="-65"/>
        </w:rPr>
        <w:t> </w:t>
      </w:r>
      <w:r>
        <w:rPr/>
        <w:t>差</w:t>
      </w:r>
      <w:r>
        <w:rPr>
          <w:spacing w:val="-65"/>
        </w:rPr>
        <w:t> </w:t>
      </w:r>
      <w:r>
        <w:rPr/>
        <w:t>额</w:t>
      </w:r>
      <w:r>
        <w:rPr>
          <w:spacing w:val="-64"/>
        </w:rPr>
        <w:t> </w:t>
      </w:r>
      <w:r>
        <w:rPr/>
        <w:t>人</w:t>
      </w:r>
      <w:r>
        <w:rPr>
          <w:spacing w:val="-64"/>
        </w:rPr>
        <w:t> </w:t>
      </w:r>
      <w:r>
        <w:rPr/>
        <w:t>民</w:t>
      </w:r>
      <w:r>
        <w:rPr>
          <w:spacing w:val="-67"/>
        </w:rPr>
        <w:t> </w:t>
      </w:r>
      <w:r>
        <w:rPr/>
        <w:t>币</w:t>
      </w:r>
      <w:r>
        <w:rPr/>
        <w:t> </w:t>
      </w:r>
      <w:r>
        <w:rPr>
          <w:rFonts w:ascii="宋体" w:hAnsi="宋体" w:cs="宋体" w:eastAsia="宋体" w:hint="default"/>
        </w:rPr>
        <w:t>206,137,154.75</w:t>
      </w:r>
      <w:r>
        <w:rPr>
          <w:rFonts w:ascii="宋体" w:hAnsi="宋体" w:cs="宋体" w:eastAsia="宋体" w:hint="default"/>
          <w:spacing w:val="-46"/>
        </w:rPr>
        <w:t> </w:t>
      </w:r>
      <w:r>
        <w:rPr/>
        <w:t>元，确认为与宁波普天通信技术有限公司相关的商誉。</w:t>
      </w:r>
    </w:p>
    <w:p>
      <w:pPr>
        <w:pStyle w:val="BodyText"/>
        <w:spacing w:line="240" w:lineRule="auto" w:before="26"/>
        <w:ind w:left="1493" w:right="0"/>
        <w:jc w:val="left"/>
        <w:rPr>
          <w:rFonts w:ascii="宋体" w:hAnsi="宋体" w:cs="宋体" w:eastAsia="宋体" w:hint="default"/>
        </w:rPr>
      </w:pPr>
      <w:r>
        <w:rPr/>
        <w:t>（</w:t>
      </w:r>
      <w:r>
        <w:rPr>
          <w:rFonts w:ascii="宋体" w:hAnsi="宋体" w:cs="宋体" w:eastAsia="宋体" w:hint="default"/>
        </w:rPr>
        <w:t>3</w:t>
      </w:r>
      <w:r>
        <w:rPr/>
        <w:t>）本公司于</w:t>
      </w:r>
      <w:r>
        <w:rPr>
          <w:spacing w:val="-54"/>
        </w:rPr>
        <w:t> </w:t>
      </w:r>
      <w:r>
        <w:rPr>
          <w:rFonts w:ascii="宋体" w:hAnsi="宋体" w:cs="宋体" w:eastAsia="宋体" w:hint="default"/>
        </w:rPr>
        <w:t>2011</w:t>
      </w:r>
      <w:r>
        <w:rPr>
          <w:rFonts w:ascii="宋体" w:hAnsi="宋体" w:cs="宋体" w:eastAsia="宋体" w:hint="default"/>
          <w:spacing w:val="-54"/>
        </w:rPr>
        <w:t> </w:t>
      </w:r>
      <w:r>
        <w:rPr/>
        <w:t>年以人民币</w:t>
      </w:r>
      <w:r>
        <w:rPr>
          <w:spacing w:val="-54"/>
        </w:rPr>
        <w:t> </w:t>
      </w:r>
      <w:r>
        <w:rPr>
          <w:rFonts w:ascii="宋体" w:hAnsi="宋体" w:cs="宋体" w:eastAsia="宋体" w:hint="default"/>
        </w:rPr>
        <w:t>2,050</w:t>
      </w:r>
      <w:r>
        <w:rPr>
          <w:rFonts w:ascii="宋体" w:hAnsi="宋体" w:cs="宋体" w:eastAsia="宋体" w:hint="default"/>
          <w:spacing w:val="-54"/>
        </w:rPr>
        <w:t> </w:t>
      </w:r>
      <w:r>
        <w:rPr/>
        <w:t>万元作为合并成本购买并增资奇点新源国际技术开发（北京）有限公司取得</w:t>
      </w:r>
      <w:r>
        <w:rPr>
          <w:spacing w:val="-53"/>
        </w:rPr>
        <w:t> </w:t>
      </w:r>
      <w:r>
        <w:rPr>
          <w:rFonts w:ascii="宋体" w:hAnsi="宋体" w:cs="宋体" w:eastAsia="宋体" w:hint="default"/>
        </w:rPr>
        <w:t>80%</w:t>
      </w:r>
    </w:p>
    <w:p>
      <w:pPr>
        <w:spacing w:after="0" w:line="240" w:lineRule="auto"/>
        <w:jc w:val="left"/>
        <w:rPr>
          <w:rFonts w:ascii="宋体" w:hAnsi="宋体" w:cs="宋体" w:eastAsia="宋体" w:hint="default"/>
        </w:rPr>
        <w:sectPr>
          <w:pgSz w:w="11910" w:h="16840"/>
          <w:pgMar w:header="851" w:footer="979" w:top="1380" w:bottom="1160" w:left="0" w:right="0"/>
        </w:sectPr>
      </w:pPr>
    </w:p>
    <w:p>
      <w:pPr>
        <w:pStyle w:val="BodyText"/>
        <w:spacing w:line="355" w:lineRule="auto" w:before="22"/>
        <w:ind w:right="1118"/>
        <w:jc w:val="left"/>
      </w:pPr>
      <w:r>
        <w:rPr/>
        <w:pict>
          <v:group style="position:absolute;margin-left:55.200001pt;margin-top:2.251719pt;width:485pt;height:.1pt;mso-position-horizontal-relative:page;mso-position-vertical-relative:paragraph;z-index:-1282024" coordorigin="1104,45" coordsize="9700,2">
            <v:shape style="position:absolute;left:1104;top:45;width:9700;height:2" coordorigin="1104,45" coordsize="9700,0" path="m1104,45l10804,45e" filled="false" stroked="true" strokeweight=".72pt" strokecolor="#000000">
              <v:path arrowok="t"/>
            </v:shape>
            <w10:wrap type="none"/>
          </v:group>
        </w:pict>
      </w:r>
      <w:r>
        <w:rPr>
          <w:spacing w:val="8"/>
        </w:rPr>
        <w:t>股权。合并成本超过按比例获得的奇点新源国际技术开发（北京）有限公司可辨认资产、负债公允价值的差额人民币</w:t>
      </w:r>
      <w:r>
        <w:rPr>
          <w:spacing w:val="-65"/>
        </w:rPr>
        <w:t> </w:t>
      </w:r>
      <w:r>
        <w:rPr>
          <w:spacing w:val="-65"/>
        </w:rPr>
      </w:r>
      <w:r>
        <w:rPr>
          <w:rFonts w:ascii="宋体" w:hAnsi="宋体" w:cs="宋体" w:eastAsia="宋体" w:hint="default"/>
        </w:rPr>
        <w:t>13,156,878.95</w:t>
      </w:r>
      <w:r>
        <w:rPr>
          <w:rFonts w:ascii="宋体" w:hAnsi="宋体" w:cs="宋体" w:eastAsia="宋体" w:hint="default"/>
          <w:spacing w:val="-46"/>
        </w:rPr>
        <w:t> </w:t>
      </w:r>
      <w:r>
        <w:rPr/>
        <w:t>元，确认为与奇点新源国际技术开发（北京）有限公司相关的商誉。</w:t>
      </w:r>
    </w:p>
    <w:p>
      <w:pPr>
        <w:pStyle w:val="BodyText"/>
        <w:spacing w:line="240" w:lineRule="auto" w:before="28"/>
        <w:ind w:left="1493" w:right="0"/>
        <w:jc w:val="left"/>
      </w:pPr>
      <w:r>
        <w:rPr/>
        <w:t>（</w:t>
      </w:r>
      <w:r>
        <w:rPr>
          <w:rFonts w:ascii="宋体" w:hAnsi="宋体" w:cs="宋体" w:eastAsia="宋体" w:hint="default"/>
        </w:rPr>
        <w:t>4</w:t>
      </w:r>
      <w:r>
        <w:rPr/>
        <w:t>）本公司于</w:t>
      </w:r>
      <w:r>
        <w:rPr>
          <w:spacing w:val="-35"/>
        </w:rPr>
        <w:t> </w:t>
      </w:r>
      <w:r>
        <w:rPr>
          <w:rFonts w:ascii="宋体" w:hAnsi="宋体" w:cs="宋体" w:eastAsia="宋体" w:hint="default"/>
        </w:rPr>
        <w:t>2013</w:t>
      </w:r>
      <w:r>
        <w:rPr>
          <w:rFonts w:ascii="宋体" w:hAnsi="宋体" w:cs="宋体" w:eastAsia="宋体" w:hint="default"/>
          <w:spacing w:val="-35"/>
        </w:rPr>
        <w:t> </w:t>
      </w:r>
      <w:r>
        <w:rPr/>
        <w:t>年人民币</w:t>
      </w:r>
      <w:r>
        <w:rPr>
          <w:spacing w:val="-34"/>
        </w:rPr>
        <w:t> </w:t>
      </w:r>
      <w:r>
        <w:rPr>
          <w:rFonts w:ascii="宋体" w:hAnsi="宋体" w:cs="宋体" w:eastAsia="宋体" w:hint="default"/>
        </w:rPr>
        <w:t>5,500</w:t>
      </w:r>
      <w:r>
        <w:rPr>
          <w:rFonts w:ascii="宋体" w:hAnsi="宋体" w:cs="宋体" w:eastAsia="宋体" w:hint="default"/>
          <w:spacing w:val="-35"/>
        </w:rPr>
        <w:t> </w:t>
      </w:r>
      <w:r>
        <w:rPr/>
        <w:t>万元作为合并成本取得北京广通神州网络技术有限公司</w:t>
      </w:r>
      <w:r>
        <w:rPr>
          <w:spacing w:val="-34"/>
        </w:rPr>
        <w:t> </w:t>
      </w:r>
      <w:r>
        <w:rPr>
          <w:rFonts w:ascii="宋体" w:hAnsi="宋体" w:cs="宋体" w:eastAsia="宋体" w:hint="default"/>
        </w:rPr>
        <w:t>100%</w:t>
      </w:r>
      <w:r>
        <w:rPr/>
        <w:t>股权。合并成本超过</w:t>
      </w:r>
    </w:p>
    <w:p>
      <w:pPr>
        <w:pStyle w:val="BodyText"/>
        <w:spacing w:line="357" w:lineRule="auto" w:before="115"/>
        <w:ind w:right="1115"/>
        <w:jc w:val="left"/>
      </w:pPr>
      <w:r>
        <w:rPr/>
        <w:t>按比例获得的北京广通神州网络技术有限公司可辨认资产、负债公允价值的差额人民币差额人民币 </w:t>
      </w:r>
      <w:r>
        <w:rPr>
          <w:rFonts w:ascii="宋体" w:hAnsi="宋体" w:cs="宋体" w:eastAsia="宋体" w:hint="default"/>
        </w:rPr>
        <w:t>45,572,687.69</w:t>
      </w:r>
      <w:r>
        <w:rPr>
          <w:rFonts w:ascii="宋体" w:hAnsi="宋体" w:cs="宋体" w:eastAsia="宋体" w:hint="default"/>
          <w:spacing w:val="8"/>
        </w:rPr>
        <w:t> </w:t>
      </w:r>
      <w:r>
        <w:rPr/>
        <w:t>元确认 为商誉。</w:t>
      </w:r>
    </w:p>
    <w:p>
      <w:pPr>
        <w:pStyle w:val="BodyText"/>
        <w:spacing w:line="357" w:lineRule="auto" w:before="26"/>
        <w:ind w:left="1134" w:right="1131" w:firstLine="360"/>
        <w:jc w:val="both"/>
      </w:pPr>
      <w:r>
        <w:rPr/>
        <w:t>（</w:t>
      </w:r>
      <w:r>
        <w:rPr>
          <w:rFonts w:ascii="宋体" w:hAnsi="宋体" w:cs="宋体" w:eastAsia="宋体" w:hint="default"/>
        </w:rPr>
        <w:t>5</w:t>
      </w:r>
      <w:r>
        <w:rPr/>
        <w:t>）本公司于</w:t>
      </w:r>
      <w:r>
        <w:rPr>
          <w:spacing w:val="-46"/>
        </w:rPr>
        <w:t> </w:t>
      </w:r>
      <w:r>
        <w:rPr>
          <w:rFonts w:ascii="宋体" w:hAnsi="宋体" w:cs="宋体" w:eastAsia="宋体" w:hint="default"/>
        </w:rPr>
        <w:t>2013</w:t>
      </w:r>
      <w:r>
        <w:rPr>
          <w:rFonts w:ascii="宋体" w:hAnsi="宋体" w:cs="宋体" w:eastAsia="宋体" w:hint="default"/>
          <w:spacing w:val="-46"/>
        </w:rPr>
        <w:t> </w:t>
      </w:r>
      <w:r>
        <w:rPr/>
        <w:t>年以人民币</w:t>
      </w:r>
      <w:r>
        <w:rPr>
          <w:spacing w:val="-46"/>
        </w:rPr>
        <w:t> </w:t>
      </w:r>
      <w:r>
        <w:rPr>
          <w:rFonts w:ascii="宋体" w:hAnsi="宋体" w:cs="宋体" w:eastAsia="宋体" w:hint="default"/>
        </w:rPr>
        <w:t>49,329,906.91</w:t>
      </w:r>
      <w:r>
        <w:rPr>
          <w:rFonts w:ascii="宋体" w:hAnsi="宋体" w:cs="宋体" w:eastAsia="宋体" w:hint="default"/>
          <w:spacing w:val="-46"/>
        </w:rPr>
        <w:t> </w:t>
      </w:r>
      <w:r>
        <w:rPr/>
        <w:t>元作为合并成本取得</w:t>
      </w:r>
      <w:r>
        <w:rPr>
          <w:spacing w:val="-46"/>
        </w:rPr>
        <w:t> </w:t>
      </w:r>
      <w:r>
        <w:rPr>
          <w:rFonts w:ascii="宋体" w:hAnsi="宋体" w:cs="宋体" w:eastAsia="宋体" w:hint="default"/>
        </w:rPr>
        <w:t>Bridge</w:t>
      </w:r>
      <w:r>
        <w:rPr>
          <w:rFonts w:ascii="宋体" w:hAnsi="宋体" w:cs="宋体" w:eastAsia="宋体" w:hint="default"/>
          <w:spacing w:val="-8"/>
        </w:rPr>
        <w:t> </w:t>
      </w:r>
      <w:r>
        <w:rPr>
          <w:rFonts w:ascii="宋体" w:hAnsi="宋体" w:cs="宋体" w:eastAsia="宋体" w:hint="default"/>
        </w:rPr>
        <w:t>Minds</w:t>
      </w:r>
      <w:r>
        <w:rPr>
          <w:rFonts w:ascii="宋体" w:hAnsi="宋体" w:cs="宋体" w:eastAsia="宋体" w:hint="default"/>
          <w:spacing w:val="-8"/>
        </w:rPr>
        <w:t> </w:t>
      </w:r>
      <w:r>
        <w:rPr>
          <w:rFonts w:ascii="宋体" w:hAnsi="宋体" w:cs="宋体" w:eastAsia="宋体" w:hint="default"/>
        </w:rPr>
        <w:t>Consulting</w:t>
      </w:r>
      <w:r>
        <w:rPr>
          <w:rFonts w:ascii="宋体" w:hAnsi="宋体" w:cs="宋体" w:eastAsia="宋体" w:hint="default"/>
          <w:spacing w:val="-8"/>
        </w:rPr>
        <w:t> </w:t>
      </w:r>
      <w:r>
        <w:rPr>
          <w:rFonts w:ascii="宋体" w:hAnsi="宋体" w:cs="宋体" w:eastAsia="宋体" w:hint="default"/>
        </w:rPr>
        <w:t>Pte</w:t>
      </w:r>
      <w:r>
        <w:rPr>
          <w:rFonts w:ascii="宋体" w:hAnsi="宋体" w:cs="宋体" w:eastAsia="宋体" w:hint="default"/>
          <w:spacing w:val="-8"/>
        </w:rPr>
        <w:t> </w:t>
      </w:r>
      <w:r>
        <w:rPr>
          <w:rFonts w:ascii="宋体" w:hAnsi="宋体" w:cs="宋体" w:eastAsia="宋体" w:hint="default"/>
        </w:rPr>
        <w:t>Ltd</w:t>
      </w:r>
      <w:r>
        <w:rPr>
          <w:rFonts w:ascii="宋体" w:hAnsi="宋体" w:cs="宋体" w:eastAsia="宋体" w:hint="default"/>
          <w:spacing w:val="-8"/>
        </w:rPr>
        <w:t> </w:t>
      </w:r>
      <w:r>
        <w:rPr>
          <w:rFonts w:ascii="宋体" w:hAnsi="宋体" w:cs="宋体" w:eastAsia="宋体" w:hint="default"/>
        </w:rPr>
        <w:t>80%</w:t>
      </w:r>
      <w:r>
        <w:rPr/>
        <w:t>股权。合 并成本超过按比例获得的</w:t>
      </w:r>
      <w:r>
        <w:rPr>
          <w:spacing w:val="-46"/>
        </w:rPr>
        <w:t> </w:t>
      </w:r>
      <w:r>
        <w:rPr>
          <w:rFonts w:ascii="宋体" w:hAnsi="宋体" w:cs="宋体" w:eastAsia="宋体" w:hint="default"/>
        </w:rPr>
        <w:t>Bridge</w:t>
      </w:r>
      <w:r>
        <w:rPr>
          <w:rFonts w:ascii="宋体" w:hAnsi="宋体" w:cs="宋体" w:eastAsia="宋体" w:hint="default"/>
          <w:spacing w:val="-21"/>
        </w:rPr>
        <w:t> </w:t>
      </w:r>
      <w:r>
        <w:rPr>
          <w:rFonts w:ascii="宋体" w:hAnsi="宋体" w:cs="宋体" w:eastAsia="宋体" w:hint="default"/>
        </w:rPr>
        <w:t>Minds</w:t>
      </w:r>
      <w:r>
        <w:rPr>
          <w:rFonts w:ascii="宋体" w:hAnsi="宋体" w:cs="宋体" w:eastAsia="宋体" w:hint="default"/>
          <w:spacing w:val="-21"/>
        </w:rPr>
        <w:t> </w:t>
      </w:r>
      <w:r>
        <w:rPr>
          <w:rFonts w:ascii="宋体" w:hAnsi="宋体" w:cs="宋体" w:eastAsia="宋体" w:hint="default"/>
        </w:rPr>
        <w:t>Consulting</w:t>
      </w:r>
      <w:r>
        <w:rPr>
          <w:rFonts w:ascii="宋体" w:hAnsi="宋体" w:cs="宋体" w:eastAsia="宋体" w:hint="default"/>
          <w:spacing w:val="-21"/>
        </w:rPr>
        <w:t> </w:t>
      </w:r>
      <w:r>
        <w:rPr>
          <w:rFonts w:ascii="宋体" w:hAnsi="宋体" w:cs="宋体" w:eastAsia="宋体" w:hint="default"/>
        </w:rPr>
        <w:t>Pte</w:t>
      </w:r>
      <w:r>
        <w:rPr>
          <w:rFonts w:ascii="宋体" w:hAnsi="宋体" w:cs="宋体" w:eastAsia="宋体" w:hint="default"/>
          <w:spacing w:val="-21"/>
        </w:rPr>
        <w:t> </w:t>
      </w:r>
      <w:r>
        <w:rPr>
          <w:rFonts w:ascii="宋体" w:hAnsi="宋体" w:cs="宋体" w:eastAsia="宋体" w:hint="default"/>
        </w:rPr>
        <w:t>Ltd</w:t>
      </w:r>
      <w:r>
        <w:rPr>
          <w:rFonts w:ascii="宋体" w:hAnsi="宋体" w:cs="宋体" w:eastAsia="宋体" w:hint="default"/>
          <w:spacing w:val="-46"/>
        </w:rPr>
        <w:t> </w:t>
      </w:r>
      <w:r>
        <w:rPr/>
        <w:t>可辨认资产、负债公允价值的差额人民币</w:t>
      </w:r>
      <w:r>
        <w:rPr>
          <w:spacing w:val="-46"/>
        </w:rPr>
        <w:t> </w:t>
      </w:r>
      <w:r>
        <w:rPr>
          <w:rFonts w:ascii="宋体" w:hAnsi="宋体" w:cs="宋体" w:eastAsia="宋体" w:hint="default"/>
        </w:rPr>
        <w:t>46,913,784.54</w:t>
      </w:r>
      <w:r>
        <w:rPr>
          <w:rFonts w:ascii="宋体" w:hAnsi="宋体" w:cs="宋体" w:eastAsia="宋体" w:hint="default"/>
          <w:spacing w:val="-46"/>
        </w:rPr>
        <w:t> </w:t>
      </w:r>
      <w:r>
        <w:rPr/>
        <w:t>元确 认为商誉。</w:t>
      </w:r>
    </w:p>
    <w:p>
      <w:pPr>
        <w:pStyle w:val="BodyText"/>
        <w:spacing w:line="240" w:lineRule="auto" w:before="26"/>
        <w:ind w:left="1494" w:right="0"/>
        <w:jc w:val="left"/>
      </w:pPr>
      <w:r>
        <w:rPr>
          <w:spacing w:val="-6"/>
        </w:rPr>
        <w:t>（</w:t>
      </w:r>
      <w:r>
        <w:rPr>
          <w:rFonts w:ascii="宋体" w:hAnsi="宋体" w:cs="宋体" w:eastAsia="宋体" w:hint="default"/>
          <w:spacing w:val="-6"/>
        </w:rPr>
        <w:t>6</w:t>
      </w:r>
      <w:r>
        <w:rPr>
          <w:spacing w:val="-6"/>
        </w:rPr>
        <w:t>）本公司于</w:t>
      </w:r>
      <w:r>
        <w:rPr>
          <w:spacing w:val="-44"/>
        </w:rPr>
        <w:t> </w:t>
      </w:r>
      <w:r>
        <w:rPr>
          <w:rFonts w:ascii="宋体" w:hAnsi="宋体" w:cs="宋体" w:eastAsia="宋体" w:hint="default"/>
        </w:rPr>
        <w:t>2014</w:t>
      </w:r>
      <w:r>
        <w:rPr>
          <w:rFonts w:ascii="宋体" w:hAnsi="宋体" w:cs="宋体" w:eastAsia="宋体" w:hint="default"/>
          <w:spacing w:val="-45"/>
        </w:rPr>
        <w:t> </w:t>
      </w:r>
      <w:r>
        <w:rPr/>
        <w:t>年以人民币</w:t>
      </w:r>
      <w:r>
        <w:rPr>
          <w:spacing w:val="-45"/>
        </w:rPr>
        <w:t> </w:t>
      </w:r>
      <w:r>
        <w:rPr>
          <w:rFonts w:ascii="宋体" w:hAnsi="宋体" w:cs="宋体" w:eastAsia="宋体" w:hint="default"/>
        </w:rPr>
        <w:t>1,275</w:t>
      </w:r>
      <w:r>
        <w:rPr>
          <w:rFonts w:ascii="宋体" w:hAnsi="宋体" w:cs="宋体" w:eastAsia="宋体" w:hint="default"/>
          <w:spacing w:val="-45"/>
        </w:rPr>
        <w:t> </w:t>
      </w:r>
      <w:r>
        <w:rPr/>
        <w:t>万元作为合并成本购买北京神州泰岳智能数据技术有限公司</w:t>
      </w:r>
      <w:r>
        <w:rPr>
          <w:spacing w:val="-44"/>
        </w:rPr>
        <w:t> </w:t>
      </w:r>
      <w:r>
        <w:rPr>
          <w:rFonts w:ascii="宋体" w:hAnsi="宋体" w:cs="宋体" w:eastAsia="宋体" w:hint="default"/>
        </w:rPr>
        <w:t>85%</w:t>
      </w:r>
      <w:r>
        <w:rPr/>
        <w:t>的股权。合并成</w:t>
      </w:r>
    </w:p>
    <w:p>
      <w:pPr>
        <w:pStyle w:val="BodyText"/>
        <w:spacing w:line="357" w:lineRule="auto" w:before="115"/>
        <w:ind w:right="1115"/>
        <w:jc w:val="left"/>
      </w:pPr>
      <w:r>
        <w:rPr/>
        <w:t>本超过按比例获得的北京神州泰岳智能数据技术有限公司可辨认资产、负债公允价值的差额人民币 </w:t>
      </w:r>
      <w:r>
        <w:rPr>
          <w:rFonts w:ascii="宋体" w:hAnsi="宋体" w:cs="宋体" w:eastAsia="宋体" w:hint="default"/>
        </w:rPr>
        <w:t>33,027,608.12</w:t>
      </w:r>
      <w:r>
        <w:rPr>
          <w:rFonts w:ascii="宋体" w:hAnsi="宋体" w:cs="宋体" w:eastAsia="宋体" w:hint="default"/>
          <w:spacing w:val="8"/>
        </w:rPr>
        <w:t> </w:t>
      </w:r>
      <w:r>
        <w:rPr/>
        <w:t>元，确 认为与北京神州泰岳智能数据技术有限公司相关的商誉。</w:t>
      </w:r>
    </w:p>
    <w:p>
      <w:pPr>
        <w:pStyle w:val="BodyText"/>
        <w:spacing w:line="357" w:lineRule="auto" w:before="25"/>
        <w:ind w:right="1132" w:firstLine="360"/>
        <w:jc w:val="both"/>
      </w:pPr>
      <w:r>
        <w:rPr/>
        <w:t>（</w:t>
      </w:r>
      <w:r>
        <w:rPr>
          <w:rFonts w:ascii="宋体" w:hAnsi="宋体" w:cs="宋体" w:eastAsia="宋体" w:hint="default"/>
        </w:rPr>
        <w:t>7</w:t>
      </w:r>
      <w:r>
        <w:rPr/>
        <w:t>）本公司于</w:t>
      </w:r>
      <w:r>
        <w:rPr>
          <w:spacing w:val="-35"/>
        </w:rPr>
        <w:t> </w:t>
      </w:r>
      <w:r>
        <w:rPr>
          <w:rFonts w:ascii="宋体" w:hAnsi="宋体" w:cs="宋体" w:eastAsia="宋体" w:hint="default"/>
        </w:rPr>
        <w:t>2014</w:t>
      </w:r>
      <w:r>
        <w:rPr>
          <w:rFonts w:ascii="宋体" w:hAnsi="宋体" w:cs="宋体" w:eastAsia="宋体" w:hint="default"/>
          <w:spacing w:val="-35"/>
        </w:rPr>
        <w:t> </w:t>
      </w:r>
      <w:r>
        <w:rPr/>
        <w:t>年以人民币</w:t>
      </w:r>
      <w:r>
        <w:rPr>
          <w:spacing w:val="-35"/>
        </w:rPr>
        <w:t> </w:t>
      </w:r>
      <w:r>
        <w:rPr>
          <w:rFonts w:ascii="宋体" w:hAnsi="宋体" w:cs="宋体" w:eastAsia="宋体" w:hint="default"/>
        </w:rPr>
        <w:t>121,500</w:t>
      </w:r>
      <w:r>
        <w:rPr>
          <w:rFonts w:ascii="宋体" w:hAnsi="宋体" w:cs="宋体" w:eastAsia="宋体" w:hint="default"/>
          <w:spacing w:val="-35"/>
        </w:rPr>
        <w:t> </w:t>
      </w:r>
      <w:r>
        <w:rPr/>
        <w:t>万元作为合并成本购买天津壳木软件有限责任公司</w:t>
      </w:r>
      <w:r>
        <w:rPr>
          <w:spacing w:val="-34"/>
        </w:rPr>
        <w:t> </w:t>
      </w:r>
      <w:r>
        <w:rPr>
          <w:rFonts w:ascii="宋体" w:hAnsi="宋体" w:cs="宋体" w:eastAsia="宋体" w:hint="default"/>
        </w:rPr>
        <w:t>100%</w:t>
      </w:r>
      <w:r>
        <w:rPr/>
        <w:t>的股权。合并成本超 </w:t>
      </w:r>
      <w:r>
        <w:rPr>
          <w:spacing w:val="19"/>
        </w:rPr>
        <w:t>过按比例获得的天津壳木软件有限责任公司可辨认资产、</w:t>
      </w:r>
      <w:r>
        <w:rPr>
          <w:spacing w:val="-59"/>
        </w:rPr>
        <w:t> </w:t>
      </w:r>
      <w:r>
        <w:rPr>
          <w:spacing w:val="19"/>
        </w:rPr>
        <w:t>负债公允价值及确认递延所得税负债后的差额人民</w:t>
      </w:r>
      <w:r>
        <w:rPr>
          <w:spacing w:val="-58"/>
        </w:rPr>
        <w:t> </w:t>
      </w:r>
      <w:r>
        <w:rPr/>
        <w:t>币</w:t>
      </w:r>
      <w:r>
        <w:rPr>
          <w:spacing w:val="-75"/>
        </w:rPr>
        <w:t> </w:t>
      </w:r>
      <w:r>
        <w:rPr>
          <w:spacing w:val="-75"/>
        </w:rPr>
      </w:r>
      <w:r>
        <w:rPr>
          <w:rFonts w:ascii="宋体" w:hAnsi="宋体" w:cs="宋体" w:eastAsia="宋体" w:hint="default"/>
        </w:rPr>
        <w:t>1,085,618,741.77</w:t>
      </w:r>
      <w:r>
        <w:rPr>
          <w:rFonts w:ascii="宋体" w:hAnsi="宋体" w:cs="宋体" w:eastAsia="宋体" w:hint="default"/>
          <w:spacing w:val="-46"/>
        </w:rPr>
        <w:t> </w:t>
      </w:r>
      <w:r>
        <w:rPr/>
        <w:t>元，确认为与天津壳木软件有限责任公司相关的商誉。</w:t>
      </w:r>
    </w:p>
    <w:p>
      <w:pPr>
        <w:pStyle w:val="BodyText"/>
        <w:spacing w:line="240" w:lineRule="auto" w:before="26"/>
        <w:ind w:left="1494" w:right="0"/>
        <w:jc w:val="left"/>
      </w:pPr>
      <w:r>
        <w:rPr/>
        <w:t>（</w:t>
      </w:r>
      <w:r>
        <w:rPr>
          <w:rFonts w:ascii="宋体" w:hAnsi="宋体" w:cs="宋体" w:eastAsia="宋体" w:hint="default"/>
        </w:rPr>
        <w:t>8</w:t>
      </w:r>
      <w:r>
        <w:rPr/>
        <w:t>）本公司于</w:t>
      </w:r>
      <w:r>
        <w:rPr>
          <w:spacing w:val="-35"/>
        </w:rPr>
        <w:t> </w:t>
      </w:r>
      <w:r>
        <w:rPr>
          <w:rFonts w:ascii="宋体" w:hAnsi="宋体" w:cs="宋体" w:eastAsia="宋体" w:hint="default"/>
        </w:rPr>
        <w:t>2015</w:t>
      </w:r>
      <w:r>
        <w:rPr>
          <w:rFonts w:ascii="宋体" w:hAnsi="宋体" w:cs="宋体" w:eastAsia="宋体" w:hint="default"/>
          <w:spacing w:val="-35"/>
        </w:rPr>
        <w:t> </w:t>
      </w:r>
      <w:r>
        <w:rPr/>
        <w:t>年以人民币</w:t>
      </w:r>
      <w:r>
        <w:rPr>
          <w:spacing w:val="-35"/>
        </w:rPr>
        <w:t> </w:t>
      </w:r>
      <w:r>
        <w:rPr>
          <w:rFonts w:ascii="宋体" w:hAnsi="宋体" w:cs="宋体" w:eastAsia="宋体" w:hint="default"/>
        </w:rPr>
        <w:t>8,000</w:t>
      </w:r>
      <w:r>
        <w:rPr>
          <w:rFonts w:ascii="宋体" w:hAnsi="宋体" w:cs="宋体" w:eastAsia="宋体" w:hint="default"/>
          <w:spacing w:val="-35"/>
        </w:rPr>
        <w:t> </w:t>
      </w:r>
      <w:r>
        <w:rPr/>
        <w:t>万元作为合并成本购买天津安纳西科技有限公司</w:t>
      </w:r>
      <w:r>
        <w:rPr>
          <w:spacing w:val="-34"/>
        </w:rPr>
        <w:t> </w:t>
      </w:r>
      <w:r>
        <w:rPr>
          <w:rFonts w:ascii="宋体" w:hAnsi="宋体" w:cs="宋体" w:eastAsia="宋体" w:hint="default"/>
        </w:rPr>
        <w:t>100%</w:t>
      </w:r>
      <w:r>
        <w:rPr/>
        <w:t>的股权。合并成本超过按</w:t>
      </w:r>
    </w:p>
    <w:p>
      <w:pPr>
        <w:pStyle w:val="BodyText"/>
        <w:spacing w:line="355" w:lineRule="auto" w:before="115"/>
        <w:ind w:left="1134" w:right="1114"/>
        <w:jc w:val="left"/>
      </w:pPr>
      <w:r>
        <w:rPr/>
        <w:t>比例获得的天津安纳西科技有限公司可辨认资产、负债公允价值及确认递延所得负债后的差额人民币 </w:t>
      </w:r>
      <w:r>
        <w:rPr>
          <w:rFonts w:ascii="宋体" w:hAnsi="宋体" w:cs="宋体" w:eastAsia="宋体" w:hint="default"/>
        </w:rPr>
        <w:t>72,341,201.72</w:t>
      </w:r>
      <w:r>
        <w:rPr>
          <w:rFonts w:ascii="宋体" w:hAnsi="宋体" w:cs="宋体" w:eastAsia="宋体" w:hint="default"/>
          <w:spacing w:val="8"/>
        </w:rPr>
        <w:t> </w:t>
      </w:r>
      <w:r>
        <w:rPr/>
        <w:t>元， 确认为与天津安纳西科技有限公司相关的商誉。</w:t>
      </w:r>
    </w:p>
    <w:p>
      <w:pPr>
        <w:pStyle w:val="BodyText"/>
        <w:spacing w:line="240" w:lineRule="auto" w:before="28"/>
        <w:ind w:left="1494" w:right="0"/>
        <w:jc w:val="left"/>
      </w:pPr>
      <w:r>
        <w:rPr/>
        <w:t>（</w:t>
      </w:r>
      <w:r>
        <w:rPr>
          <w:rFonts w:ascii="宋体" w:hAnsi="宋体" w:cs="宋体" w:eastAsia="宋体" w:hint="default"/>
        </w:rPr>
        <w:t>9</w:t>
      </w:r>
      <w:r>
        <w:rPr/>
        <w:t>）本公司于</w:t>
      </w:r>
      <w:r>
        <w:rPr>
          <w:spacing w:val="-35"/>
        </w:rPr>
        <w:t> </w:t>
      </w:r>
      <w:r>
        <w:rPr>
          <w:rFonts w:ascii="宋体" w:hAnsi="宋体" w:cs="宋体" w:eastAsia="宋体" w:hint="default"/>
        </w:rPr>
        <w:t>2015</w:t>
      </w:r>
      <w:r>
        <w:rPr>
          <w:rFonts w:ascii="宋体" w:hAnsi="宋体" w:cs="宋体" w:eastAsia="宋体" w:hint="default"/>
          <w:spacing w:val="-35"/>
        </w:rPr>
        <w:t> </w:t>
      </w:r>
      <w:r>
        <w:rPr/>
        <w:t>年以人民币</w:t>
      </w:r>
      <w:r>
        <w:rPr>
          <w:spacing w:val="-35"/>
        </w:rPr>
        <w:t> </w:t>
      </w:r>
      <w:r>
        <w:rPr>
          <w:rFonts w:ascii="宋体" w:hAnsi="宋体" w:cs="宋体" w:eastAsia="宋体" w:hint="default"/>
        </w:rPr>
        <w:t>160</w:t>
      </w:r>
      <w:r>
        <w:rPr>
          <w:rFonts w:ascii="宋体" w:hAnsi="宋体" w:cs="宋体" w:eastAsia="宋体" w:hint="default"/>
          <w:spacing w:val="-35"/>
        </w:rPr>
        <w:t> </w:t>
      </w:r>
      <w:r>
        <w:rPr/>
        <w:t>万元作为合并成本购买宁波高新区捷远科技有限公司</w:t>
      </w:r>
      <w:r>
        <w:rPr>
          <w:spacing w:val="-34"/>
        </w:rPr>
        <w:t> </w:t>
      </w:r>
      <w:r>
        <w:rPr>
          <w:rFonts w:ascii="宋体" w:hAnsi="宋体" w:cs="宋体" w:eastAsia="宋体" w:hint="default"/>
        </w:rPr>
        <w:t>100%</w:t>
      </w:r>
      <w:r>
        <w:rPr/>
        <w:t>的股权。合并成本超过</w:t>
      </w:r>
    </w:p>
    <w:p>
      <w:pPr>
        <w:pStyle w:val="BodyText"/>
        <w:spacing w:line="357" w:lineRule="auto" w:before="115"/>
        <w:ind w:right="1115"/>
        <w:jc w:val="left"/>
      </w:pPr>
      <w:r>
        <w:rPr/>
        <w:t>按比例获得的宁波高新区捷远科技有限公司可辨认资产、负债公允价值的差额人民币</w:t>
      </w:r>
      <w:r>
        <w:rPr>
          <w:spacing w:val="-41"/>
        </w:rPr>
        <w:t> </w:t>
      </w:r>
      <w:r>
        <w:rPr>
          <w:rFonts w:ascii="宋体" w:hAnsi="宋体" w:cs="宋体" w:eastAsia="宋体" w:hint="default"/>
        </w:rPr>
        <w:t>2,154,884.91</w:t>
      </w:r>
      <w:r>
        <w:rPr>
          <w:rFonts w:ascii="宋体" w:hAnsi="宋体" w:cs="宋体" w:eastAsia="宋体" w:hint="default"/>
          <w:spacing w:val="-41"/>
        </w:rPr>
        <w:t> </w:t>
      </w:r>
      <w:r>
        <w:rPr/>
        <w:t>元，确认为与宁波高新 区捷远科技有限公司相关的商誉。</w:t>
      </w:r>
    </w:p>
    <w:p>
      <w:pPr>
        <w:spacing w:line="240" w:lineRule="auto" w:before="2"/>
        <w:rPr>
          <w:rFonts w:ascii="宋体" w:hAnsi="宋体" w:cs="宋体" w:eastAsia="宋体" w:hint="default"/>
          <w:sz w:val="26"/>
          <w:szCs w:val="26"/>
        </w:rPr>
      </w:pPr>
    </w:p>
    <w:p>
      <w:pPr>
        <w:pStyle w:val="Heading3"/>
        <w:spacing w:line="240" w:lineRule="auto"/>
        <w:ind w:left="1133" w:right="0"/>
        <w:jc w:val="left"/>
        <w:rPr>
          <w:b w:val="0"/>
          <w:bCs w:val="0"/>
        </w:rPr>
      </w:pPr>
      <w:bookmarkStart w:name="（2）商誉减值准备" w:id="276"/>
      <w:bookmarkEnd w:id="27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天津壳木软件有 限责任公司</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40,716,000.00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40,716,000.00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40,716,000.00</w:t>
            </w:r>
          </w:p>
        </w:tc>
      </w:tr>
    </w:tbl>
    <w:p>
      <w:pPr>
        <w:pStyle w:val="BodyText"/>
        <w:spacing w:line="436" w:lineRule="auto" w:before="51"/>
        <w:ind w:left="1494" w:right="1122" w:hanging="360"/>
        <w:jc w:val="left"/>
      </w:pPr>
      <w:r>
        <w:rPr/>
        <w:t>说明商誉减值测试过程、参数及商誉减值损失的确认方法： 本公司采用预计未来现金流现值的方法计算资产组的可收回金额。本公司根据管理层批准的财务预算预计未来</w:t>
      </w:r>
      <w:r>
        <w:rPr>
          <w:rFonts w:ascii="Times New Roman" w:hAnsi="Times New Roman" w:cs="Times New Roman" w:eastAsia="Times New Roman" w:hint="default"/>
        </w:rPr>
        <w:t>5</w:t>
      </w:r>
      <w:r>
        <w:rPr/>
        <w:t>年内现</w:t>
      </w:r>
    </w:p>
    <w:p>
      <w:pPr>
        <w:pStyle w:val="BodyText"/>
        <w:spacing w:line="463" w:lineRule="auto" w:before="55"/>
        <w:ind w:right="0"/>
        <w:jc w:val="left"/>
      </w:pPr>
      <w:r>
        <w:rPr/>
        <w:t>金流量，其后年度采用的现金流量增长率预计为</w:t>
      </w:r>
      <w:r>
        <w:rPr>
          <w:rFonts w:ascii="Times New Roman" w:hAnsi="Times New Roman" w:cs="Times New Roman" w:eastAsia="Times New Roman" w:hint="default"/>
        </w:rPr>
        <w:t>0</w:t>
      </w:r>
      <w:r>
        <w:rPr/>
        <w:t>，不会超过资产组经营业务的长期平均增长率。管理层根据过往表现及其</w:t>
      </w:r>
      <w:r>
        <w:rPr>
          <w:spacing w:val="-82"/>
        </w:rPr>
        <w:t> </w:t>
      </w:r>
      <w:r>
        <w:rPr>
          <w:spacing w:val="-82"/>
        </w:rPr>
      </w:r>
      <w:r>
        <w:rPr>
          <w:spacing w:val="-4"/>
        </w:rPr>
        <w:t>对市场发展的预期编制上述财务预算。计算未来现金流现值所采用的税前折现率时考虑了本公司的债务成本、长期国债利率、</w:t>
      </w:r>
      <w:r>
        <w:rPr>
          <w:spacing w:val="-44"/>
        </w:rPr>
        <w:t> </w:t>
      </w:r>
      <w:r>
        <w:rPr>
          <w:spacing w:val="-44"/>
        </w:rPr>
      </w:r>
      <w:r>
        <w:rPr/>
        <w:t>市场预期报酬率等因素，已反映了相对于有关分部的风险。</w:t>
      </w:r>
    </w:p>
    <w:p>
      <w:pPr>
        <w:pStyle w:val="BodyText"/>
        <w:spacing w:line="451" w:lineRule="auto" w:before="65"/>
        <w:ind w:left="1134" w:right="0" w:firstLine="360"/>
        <w:jc w:val="left"/>
      </w:pPr>
      <w:r>
        <w:rPr/>
        <w:t>天津壳木软件有限责任公司资产组组合的可收回金额是依据的五年预算和</w:t>
      </w:r>
      <w:r>
        <w:rPr>
          <w:rFonts w:ascii="Times New Roman" w:hAnsi="Times New Roman" w:cs="Times New Roman" w:eastAsia="Times New Roman" w:hint="default"/>
        </w:rPr>
        <w:t>13.10%</w:t>
      </w:r>
      <w:r>
        <w:rPr/>
        <w:t>的折现率预计未来现金流量的现值， 超过</w:t>
      </w:r>
      <w:r>
        <w:rPr>
          <w:rFonts w:ascii="Times New Roman" w:hAnsi="Times New Roman" w:cs="Times New Roman" w:eastAsia="Times New Roman" w:hint="default"/>
        </w:rPr>
        <w:t>5</w:t>
      </w:r>
      <w:r>
        <w:rPr/>
        <w:t>年财务预算之后年份的现金流量均保持稳定。</w:t>
      </w:r>
    </w:p>
    <w:p>
      <w:pPr>
        <w:spacing w:after="0" w:line="451"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77" w:lineRule="auto" w:before="83"/>
        <w:ind w:right="0" w:firstLine="360"/>
        <w:jc w:val="left"/>
      </w:pPr>
      <w:r>
        <w:rPr>
          <w:spacing w:val="-2"/>
        </w:rPr>
        <w:t>减值测试中的其他关键假设包括：各游戏收入、毛利率及其他相关费用，管理层根据历史经验及对市场发展的预测确定</w:t>
      </w:r>
      <w:r>
        <w:rPr/>
        <w:t> 相关关键假设。</w:t>
      </w:r>
    </w:p>
    <w:p>
      <w:pPr>
        <w:pStyle w:val="BodyText"/>
        <w:spacing w:line="451" w:lineRule="auto" w:before="54"/>
        <w:ind w:left="1134" w:right="0" w:firstLine="360"/>
        <w:jc w:val="left"/>
      </w:pPr>
      <w:r>
        <w:rPr>
          <w:spacing w:val="12"/>
        </w:rPr>
        <w:t>基于上述测试结果，本公司管理层于</w:t>
      </w:r>
      <w:r>
        <w:rPr>
          <w:spacing w:val="-61"/>
        </w:rPr>
        <w:t> </w:t>
      </w:r>
      <w:r>
        <w:rPr>
          <w:rFonts w:ascii="Times New Roman" w:hAnsi="Times New Roman" w:cs="Times New Roman" w:eastAsia="Times New Roman" w:hint="default"/>
          <w:spacing w:val="10"/>
        </w:rPr>
        <w:t>2015</w:t>
      </w:r>
      <w:r>
        <w:rPr>
          <w:spacing w:val="10"/>
        </w:rPr>
        <w:t>年</w:t>
      </w:r>
      <w:r>
        <w:rPr>
          <w:rFonts w:ascii="Times New Roman" w:hAnsi="Times New Roman" w:cs="Times New Roman" w:eastAsia="Times New Roman" w:hint="default"/>
          <w:spacing w:val="10"/>
        </w:rPr>
        <w:t>12</w:t>
      </w:r>
      <w:r>
        <w:rPr>
          <w:spacing w:val="10"/>
        </w:rPr>
        <w:t>月</w:t>
      </w:r>
      <w:r>
        <w:rPr>
          <w:rFonts w:ascii="Times New Roman" w:hAnsi="Times New Roman" w:cs="Times New Roman" w:eastAsia="Times New Roman" w:hint="default"/>
          <w:spacing w:val="10"/>
        </w:rPr>
        <w:t>31</w:t>
      </w:r>
      <w:r>
        <w:rPr>
          <w:spacing w:val="10"/>
        </w:rPr>
        <w:t>日对天津壳木软件有限责任公司资产组的商誉计提减值准备</w:t>
      </w:r>
      <w:r>
        <w:rPr/>
        <w:t> </w:t>
      </w:r>
      <w:r>
        <w:rPr>
          <w:rFonts w:ascii="Times New Roman" w:hAnsi="Times New Roman" w:cs="Times New Roman" w:eastAsia="Times New Roman" w:hint="default"/>
        </w:rPr>
        <w:t>40,716,000.00</w:t>
      </w:r>
      <w:r>
        <w:rPr/>
        <w:t>元。</w:t>
      </w:r>
    </w:p>
    <w:p>
      <w:pPr>
        <w:spacing w:line="240" w:lineRule="auto" w:before="6"/>
        <w:rPr>
          <w:rFonts w:ascii="宋体" w:hAnsi="宋体" w:cs="宋体" w:eastAsia="宋体" w:hint="default"/>
          <w:sz w:val="18"/>
          <w:szCs w:val="18"/>
        </w:rPr>
      </w:pPr>
    </w:p>
    <w:p>
      <w:pPr>
        <w:pStyle w:val="Heading3"/>
        <w:spacing w:line="240" w:lineRule="auto"/>
        <w:ind w:right="0"/>
        <w:jc w:val="left"/>
        <w:rPr>
          <w:b w:val="0"/>
          <w:bCs w:val="0"/>
        </w:rPr>
      </w:pPr>
      <w:bookmarkStart w:name="28、长期待摊费用" w:id="277"/>
      <w:bookmarkEnd w:id="277"/>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租入办公场所装修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550,068.71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3,648,997.59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1,046,234.45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624,488.28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2,528,343.57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1,294,999.58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18,403,229.00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5,232,424.68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-174,925.37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14,640,729.27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1,845,068.29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22,052,226.59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6,278,659.13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449,562.91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17,169,072.84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递延所得税资产/递延所得税负债" w:id="278"/>
      <w:bookmarkEnd w:id="278"/>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未经抵销的递延所得税资产" w:id="279"/>
      <w:bookmarkEnd w:id="27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7"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90,339,323.07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14,619,506.17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82,638,441.73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12,350,253.49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15,583,157.24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2,337,473.59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14,390,940.34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2,263,782.56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计提质保金形成的可抵 扣暂时性差异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17,175,322.69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2,559,439.81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15,973,463.77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2,459,003.45</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其他非流动负债（递延 收益）形成的可抵扣暂 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20,470,009.06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3,070,501.36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10,896,972.51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1,625,796.79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已计提未支付的奖金形 成的可抵扣暂时性差异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57,275,339.89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8,894,365.40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72,880,732.96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10,806,643.73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200,843,151.95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31,481,286.33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196,780,551.31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29,505,480.02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80"/>
      <w:bookmarkEnd w:id="28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37" w:right="0"/>
              <w:jc w:val="left"/>
              <w:rPr>
                <w:rFonts w:ascii="Times New Roman" w:hAnsi="Times New Roman" w:cs="Times New Roman" w:eastAsia="Times New Roman" w:hint="default"/>
                <w:sz w:val="18"/>
                <w:szCs w:val="18"/>
              </w:rPr>
            </w:pPr>
            <w:r>
              <w:rPr>
                <w:rFonts w:ascii="Times New Roman"/>
                <w:sz w:val="18"/>
              </w:rPr>
              <w:t>17,875,609.17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2,316,828.12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23,115,457.27</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2,977,318.59</w:t>
            </w:r>
          </w:p>
        </w:tc>
      </w:tr>
    </w:tbl>
    <w:p>
      <w:pPr>
        <w:spacing w:after="0" w:line="240" w:lineRule="auto"/>
        <w:jc w:val="lef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73" w:hRule="exact"/>
        </w:trPr>
        <w:tc>
          <w:tcPr>
            <w:tcW w:w="191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产评估增值</w:t>
            </w:r>
          </w:p>
        </w:tc>
        <w:tc>
          <w:tcPr>
            <w:tcW w:w="1917"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c>
          <w:tcPr>
            <w:tcW w:w="1914"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17,875,609.17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2,316,828.12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23,115,457.27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2,977,318.59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81"/>
      <w:bookmarkEnd w:id="28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31,481,286.33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29,505,480.02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2,316,828.12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2,977,318.59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其他非流动资产" w:id="282"/>
      <w:bookmarkEnd w:id="282"/>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人才公寓</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865,532.67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5,689,596.37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预付海外公司开办费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1,784,111.78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865,532.67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7,473,708.15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1、短期借款" w:id="283"/>
      <w:bookmarkEnd w:id="283"/>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84"/>
      <w:bookmarkEnd w:id="284"/>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109,913,814.00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66,072,061.00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109,913,814.00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66,072,061.00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以公允价值计量且其变动计入当期损益的金融负债" w:id="285"/>
      <w:bookmarkEnd w:id="28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33、衍生金融负债" w:id="286"/>
      <w:bookmarkEnd w:id="28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right="0"/>
        <w:jc w:val="left"/>
        <w:rPr>
          <w:b w:val="0"/>
          <w:bCs w:val="0"/>
        </w:rPr>
      </w:pPr>
      <w:bookmarkStart w:name="34、应付票据" w:id="287"/>
      <w:bookmarkEnd w:id="28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after="0" w:line="240" w:lineRule="auto"/>
        <w:jc w:val="right"/>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14" w:hRule="exact"/>
        </w:trPr>
        <w:tc>
          <w:tcPr>
            <w:tcW w:w="31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61,900,080.00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61,900,080.00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44"/>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bookmarkStart w:name="35、应付账款" w:id="288"/>
      <w:bookmarkEnd w:id="28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89"/>
      <w:bookmarkEnd w:id="28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144,685,628.21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97,124,710.14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144,685,628.21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97,124,710.14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预收款项" w:id="290"/>
      <w:bookmarkEnd w:id="290"/>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91"/>
      <w:bookmarkEnd w:id="29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110,825,561.31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45,533,775.01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110,825,561.31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45,533,775.01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应付职工薪酬" w:id="292"/>
      <w:bookmarkEnd w:id="29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3"/>
      <w:bookmarkEnd w:id="29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2672"/>
        <w:gridCol w:w="1854"/>
        <w:gridCol w:w="1702"/>
        <w:gridCol w:w="1701"/>
        <w:gridCol w:w="1632"/>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91,213,101.84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647,143,388.67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651,669,022.59</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86,687,467.92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2,083,849.95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29,149,168.95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29,174,319.14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2,058,699.76</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93,296,951.79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676,292,557.62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680,843,341.73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88,746,167.68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94"/>
      <w:bookmarkEnd w:id="29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836"/>
        <w:gridCol w:w="1842"/>
        <w:gridCol w:w="1702"/>
        <w:gridCol w:w="1701"/>
        <w:gridCol w:w="1479"/>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836"/>
        <w:gridCol w:w="1842"/>
        <w:gridCol w:w="1702"/>
        <w:gridCol w:w="1701"/>
        <w:gridCol w:w="1479"/>
      </w:tblGrid>
      <w:tr>
        <w:trPr>
          <w:trHeight w:val="409" w:hRule="exact"/>
        </w:trPr>
        <w:tc>
          <w:tcPr>
            <w:tcW w:w="283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4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86,703,023.76</w:t>
            </w:r>
          </w:p>
        </w:tc>
        <w:tc>
          <w:tcPr>
            <w:tcW w:w="170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574,821,332.79</w:t>
            </w:r>
          </w:p>
        </w:tc>
        <w:tc>
          <w:tcPr>
            <w:tcW w:w="1701"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578,516,526.93</w:t>
            </w:r>
          </w:p>
        </w:tc>
        <w:tc>
          <w:tcPr>
            <w:tcW w:w="1479"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83,007,829.62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338.00</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17,731,218.00</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17,322,875.77</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408,680.23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1,417,849.06</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19,928,788.75</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19,982,141.32</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1,364,496.49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1,272,847.46</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17,863,108.18</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17,915,510.65</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1,220,444.99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47,638.14</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770,015.72</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766,925.68</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50,728.18</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97,363.46</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1,295,664.85</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1,299,704.99</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93,323.32</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2,844,955.35</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33,232,706.38</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34,480,338.94</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1,597,322.79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246,935.67</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714,987.02</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764,024.25</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197,898.44</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、境外社保</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714,355.73</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603,115.38</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2"/>
                <w:sz w:val="18"/>
              </w:rPr>
              <w:t>111,240.35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91,213,101.84</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647,143,388.67</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651,669,022.59</w:t>
            </w:r>
          </w:p>
        </w:tc>
        <w:tc>
          <w:tcPr>
            <w:tcW w:w="14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86,687,467.92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5"/>
      <w:bookmarkEnd w:id="29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1,972,439.15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27,596,191.04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27,618,760.15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1,949,870.04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111,410.80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1,552,977.91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1,555,558.99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108,829.72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2,083,849.95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29,149,168.95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29,174,319.14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2,058,699.76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应交税费" w:id="296"/>
      <w:bookmarkEnd w:id="29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44,732,549.78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43,881,995.88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137,186.78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100,157.47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32,630,619.06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27,268,793.70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6,166,916.43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11,641,965.28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1,718,371.75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1,868,182.61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1,037,519.84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1,138,444.07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125,081.46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355,979.57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489,506.12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64,437.84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87,037,751.22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86,319,956.42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39、应付利息" w:id="297"/>
      <w:bookmarkEnd w:id="29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40、应付股利" w:id="298"/>
      <w:bookmarkEnd w:id="29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41、其他应付款" w:id="299"/>
      <w:bookmarkEnd w:id="29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00"/>
      <w:bookmarkEnd w:id="30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应付股权收购款项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222,291,666.67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136,037,169.40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其他非大额、非特殊往来款项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20,990,538.55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20,355,643.18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9,788,848.90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10,236,447.87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2,452,653.15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3,388,718.04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退个人所得税手续费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3,873,505.61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1,808,933.84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259,397,212.88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171,826,912.33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2、划分为持有待售的负债" w:id="301"/>
      <w:bookmarkEnd w:id="301"/>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493"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43、一年内到期的非流动负债" w:id="302"/>
      <w:bookmarkEnd w:id="30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3"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44、其他流动负债" w:id="303"/>
      <w:bookmarkEnd w:id="30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库存股（限制性股票）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15,905,926.84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26,448,852.20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15,905,926.84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26,448,852.20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692" w:right="9065"/>
        <w:jc w:val="center"/>
        <w:rPr>
          <w:b w:val="0"/>
          <w:bCs w:val="0"/>
        </w:rPr>
      </w:pPr>
      <w:bookmarkStart w:name="45、长期借款" w:id="304"/>
      <w:bookmarkEnd w:id="30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692" w:right="9065"/>
        <w:jc w:val="center"/>
        <w:rPr>
          <w:b w:val="0"/>
          <w:bCs w:val="0"/>
        </w:rPr>
      </w:pPr>
      <w:bookmarkStart w:name="46、应付债券" w:id="305"/>
      <w:bookmarkEnd w:id="30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47、长期应付款" w:id="306"/>
      <w:bookmarkEnd w:id="30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48、长期应付职工薪酬" w:id="307"/>
      <w:bookmarkEnd w:id="30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49、专项应付款" w:id="308"/>
      <w:bookmarkEnd w:id="30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692" w:right="9065"/>
        <w:jc w:val="center"/>
        <w:rPr>
          <w:b w:val="0"/>
          <w:bCs w:val="0"/>
        </w:rPr>
      </w:pPr>
      <w:bookmarkStart w:name="50、预计负债" w:id="309"/>
      <w:bookmarkEnd w:id="30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18,043,501.68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16,479,386.87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18,043,501.68</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16,479,386.87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1、递延收益" w:id="310"/>
      <w:bookmarkEnd w:id="31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606"/>
        <w:gridCol w:w="157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17,050,505.91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31,313,460.00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25,423,956.85</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22,940,009.06</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spacing w:line="240" w:lineRule="auto" w:before="7"/>
        <w:rPr>
          <w:rFonts w:ascii="宋体" w:hAnsi="宋体" w:cs="宋体" w:eastAsia="宋体" w:hint="default"/>
          <w:sz w:val="11"/>
          <w:szCs w:val="11"/>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553"/>
        <w:gridCol w:w="1134"/>
        <w:gridCol w:w="1134"/>
        <w:gridCol w:w="1417"/>
        <w:gridCol w:w="1134"/>
        <w:gridCol w:w="1134"/>
        <w:gridCol w:w="1066"/>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3" w:right="72"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7"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与收益相关的政府补 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2553"/>
        <w:gridCol w:w="1134"/>
        <w:gridCol w:w="1134"/>
        <w:gridCol w:w="1417"/>
        <w:gridCol w:w="1134"/>
        <w:gridCol w:w="1134"/>
        <w:gridCol w:w="1066"/>
      </w:tblGrid>
      <w:tr>
        <w:trPr>
          <w:trHeight w:val="726" w:hRule="exact"/>
        </w:trPr>
        <w:tc>
          <w:tcPr>
            <w:tcW w:w="2553"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基于服务引擎的复杂信息系统 一体化智能运维平台</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443,495.34</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5,556,504.66</w:t>
            </w: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智能运维技术北京市工程实验 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5,799,543.83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5,799,543.83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安全服务云中心存储平台研发 与应用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653,660.51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653,660.51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面向电信行业的大数据分析与 管理平台研发及产业化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3,022,504.43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3,022,504.43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6"/>
              <w:ind w:left="22" w:right="31"/>
              <w:jc w:val="left"/>
              <w:rPr>
                <w:rFonts w:ascii="宋体" w:hAnsi="宋体" w:cs="宋体" w:eastAsia="宋体" w:hint="default"/>
                <w:sz w:val="18"/>
                <w:szCs w:val="18"/>
              </w:rPr>
            </w:pPr>
            <w:r>
              <w:rPr>
                <w:rFonts w:ascii="宋体" w:hAnsi="宋体" w:cs="宋体" w:eastAsia="宋体" w:hint="default"/>
                <w:sz w:val="18"/>
                <w:szCs w:val="18"/>
              </w:rPr>
              <w:t>基于复杂信息系统的大数据智 能运维分析与管理平台</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战略性新兴产业发展专项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8,877,944.44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11,122,055.56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安全管控平台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2,630,000.00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268,914.90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2,361,085.10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中关村知识产权促进局专利费 用补贴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9"/>
              <w:jc w:val="left"/>
              <w:rPr>
                <w:rFonts w:ascii="宋体" w:hAnsi="宋体" w:cs="宋体" w:eastAsia="宋体" w:hint="default"/>
                <w:sz w:val="18"/>
                <w:szCs w:val="18"/>
              </w:rPr>
            </w:pPr>
            <w:r>
              <w:rPr>
                <w:rFonts w:ascii="宋体" w:hAnsi="宋体" w:cs="宋体" w:eastAsia="宋体" w:hint="default"/>
                <w:sz w:val="18"/>
                <w:szCs w:val="18"/>
              </w:rPr>
              <w:t>中关村企业信用促进会中介补 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中关村企业信用促进会信用补 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国家知识产权局专利局北京代 办处专利资助金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海淀区残疾人劳动就业管理服 务所岗位补贴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中华人民共和国财政部款项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8"/>
              <w:jc w:val="left"/>
              <w:rPr>
                <w:rFonts w:ascii="宋体" w:hAnsi="宋体" w:cs="宋体" w:eastAsia="宋体" w:hint="default"/>
                <w:sz w:val="18"/>
                <w:szCs w:val="18"/>
              </w:rPr>
            </w:pPr>
            <w:r>
              <w:rPr>
                <w:rFonts w:ascii="宋体" w:hAnsi="宋体" w:cs="宋体" w:eastAsia="宋体" w:hint="default"/>
                <w:sz w:val="18"/>
                <w:szCs w:val="18"/>
              </w:rPr>
              <w:t>中国移动通信集团设计院有限 公司基金项目尾款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8"/>
              <w:jc w:val="left"/>
              <w:rPr>
                <w:rFonts w:ascii="宋体" w:hAnsi="宋体" w:cs="宋体" w:eastAsia="宋体" w:hint="default"/>
                <w:sz w:val="18"/>
                <w:szCs w:val="18"/>
              </w:rPr>
            </w:pPr>
            <w:r>
              <w:rPr>
                <w:rFonts w:ascii="宋体" w:hAnsi="宋体" w:cs="宋体" w:eastAsia="宋体" w:hint="default"/>
                <w:sz w:val="18"/>
                <w:szCs w:val="18"/>
              </w:rPr>
              <w:t>首都知识产权服务业协会专利 资金补贴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8"/>
              <w:jc w:val="left"/>
              <w:rPr>
                <w:rFonts w:ascii="宋体" w:hAnsi="宋体" w:cs="宋体" w:eastAsia="宋体" w:hint="default"/>
                <w:sz w:val="18"/>
                <w:szCs w:val="18"/>
              </w:rPr>
            </w:pPr>
            <w:r>
              <w:rPr>
                <w:rFonts w:ascii="宋体" w:hAnsi="宋体" w:cs="宋体" w:eastAsia="宋体" w:hint="default"/>
                <w:sz w:val="18"/>
                <w:szCs w:val="18"/>
              </w:rPr>
              <w:t>北京中关村企业信用促进会补 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2" w:right="119"/>
              <w:jc w:val="left"/>
              <w:rPr>
                <w:rFonts w:ascii="宋体" w:hAnsi="宋体" w:cs="宋体" w:eastAsia="宋体" w:hint="default"/>
                <w:sz w:val="18"/>
                <w:szCs w:val="18"/>
              </w:rPr>
            </w:pPr>
            <w:r>
              <w:rPr>
                <w:rFonts w:ascii="宋体" w:hAnsi="宋体" w:cs="宋体" w:eastAsia="宋体" w:hint="default"/>
                <w:sz w:val="18"/>
                <w:szCs w:val="18"/>
              </w:rPr>
              <w:t>中关村企业信用促进会</w:t>
            </w:r>
            <w:r>
              <w:rPr>
                <w:rFonts w:ascii="Times New Roman" w:hAnsi="Times New Roman" w:cs="Times New Roman" w:eastAsia="Times New Roman" w:hint="default"/>
                <w:sz w:val="18"/>
                <w:szCs w:val="18"/>
              </w:rPr>
              <w:t>-</w:t>
            </w:r>
            <w:r>
              <w:rPr>
                <w:rFonts w:ascii="宋体" w:hAnsi="宋体" w:cs="宋体" w:eastAsia="宋体" w:hint="default"/>
                <w:sz w:val="18"/>
                <w:szCs w:val="18"/>
              </w:rPr>
              <w:t>信用评 级补贴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2" w:right="11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年安排残疾人应业岗位补 贴</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北京市海淀区残疾人劳动就 业管理服务所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2" w:right="119"/>
              <w:jc w:val="left"/>
              <w:rPr>
                <w:rFonts w:ascii="宋体" w:hAnsi="宋体" w:cs="宋体" w:eastAsia="宋体" w:hint="default"/>
                <w:sz w:val="18"/>
                <w:szCs w:val="18"/>
              </w:rPr>
            </w:pPr>
            <w:r>
              <w:rPr>
                <w:rFonts w:ascii="宋体" w:hAnsi="宋体" w:cs="宋体" w:eastAsia="宋体" w:hint="default"/>
                <w:sz w:val="18"/>
                <w:szCs w:val="18"/>
              </w:rPr>
              <w:t>中关村知识产权促进局</w:t>
            </w:r>
            <w:r>
              <w:rPr>
                <w:rFonts w:ascii="Times New Roman" w:hAnsi="Times New Roman" w:cs="Times New Roman" w:eastAsia="Times New Roman" w:hint="default"/>
                <w:sz w:val="18"/>
                <w:szCs w:val="18"/>
              </w:rPr>
              <w:t>-</w:t>
            </w:r>
            <w:r>
              <w:rPr>
                <w:rFonts w:ascii="宋体" w:hAnsi="宋体" w:cs="宋体" w:eastAsia="宋体" w:hint="default"/>
                <w:sz w:val="18"/>
                <w:szCs w:val="18"/>
              </w:rPr>
              <w:t>专利资 助金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8"/>
              <w:jc w:val="left"/>
              <w:rPr>
                <w:rFonts w:ascii="宋体" w:hAnsi="宋体" w:cs="宋体" w:eastAsia="宋体" w:hint="default"/>
                <w:sz w:val="18"/>
                <w:szCs w:val="18"/>
              </w:rPr>
            </w:pPr>
            <w:r>
              <w:rPr>
                <w:rFonts w:ascii="宋体" w:hAnsi="宋体" w:cs="宋体" w:eastAsia="宋体" w:hint="default"/>
                <w:sz w:val="18"/>
                <w:szCs w:val="18"/>
              </w:rPr>
              <w:t>国家知识产权局专利局北京代 办处</w:t>
            </w:r>
            <w:r>
              <w:rPr>
                <w:rFonts w:ascii="Times New Roman" w:hAnsi="Times New Roman" w:cs="Times New Roman" w:eastAsia="Times New Roman" w:hint="default"/>
                <w:sz w:val="18"/>
                <w:szCs w:val="18"/>
              </w:rPr>
              <w:t>-</w:t>
            </w:r>
            <w:r>
              <w:rPr>
                <w:rFonts w:ascii="宋体" w:hAnsi="宋体" w:cs="宋体" w:eastAsia="宋体" w:hint="default"/>
                <w:sz w:val="18"/>
                <w:szCs w:val="18"/>
              </w:rPr>
              <w:t>专利资助金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1" w:footer="979" w:top="142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2553"/>
        <w:gridCol w:w="1134"/>
        <w:gridCol w:w="1134"/>
        <w:gridCol w:w="1417"/>
        <w:gridCol w:w="1134"/>
        <w:gridCol w:w="1134"/>
        <w:gridCol w:w="1066"/>
      </w:tblGrid>
      <w:tr>
        <w:trPr>
          <w:trHeight w:val="1038" w:hRule="exact"/>
        </w:trPr>
        <w:tc>
          <w:tcPr>
            <w:tcW w:w="2553" w:type="dxa"/>
            <w:tcBorders>
              <w:top w:val="single" w:sz="10" w:space="0" w:color="000000"/>
              <w:left w:val="single" w:sz="4" w:space="0" w:color="000000"/>
              <w:bottom w:val="single" w:sz="4" w:space="0" w:color="000000"/>
              <w:right w:val="single" w:sz="4" w:space="0" w:color="000000"/>
            </w:tcBorders>
          </w:tcPr>
          <w:p>
            <w:pPr>
              <w:pStyle w:val="TableParagraph"/>
              <w:spacing w:line="309"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中关村科技园区管理委员会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十百千工程</w:t>
            </w:r>
            <w:r>
              <w:rPr>
                <w:rFonts w:ascii="Times New Roman" w:hAnsi="Times New Roman" w:cs="Times New Roman" w:eastAsia="Times New Roman" w:hint="default"/>
                <w:sz w:val="18"/>
                <w:szCs w:val="18"/>
              </w:rPr>
              <w:t>"</w:t>
            </w:r>
            <w:r>
              <w:rPr>
                <w:rFonts w:ascii="宋体" w:hAnsi="宋体" w:cs="宋体" w:eastAsia="宋体" w:hint="default"/>
                <w:sz w:val="18"/>
                <w:szCs w:val="18"/>
              </w:rPr>
              <w:t>培育企 业</w:t>
            </w:r>
            <w:r>
              <w:rPr>
                <w:rFonts w:ascii="Times New Roman" w:hAnsi="Times New Roman" w:cs="Times New Roman" w:eastAsia="Times New Roman" w:hint="default"/>
                <w:sz w:val="18"/>
                <w:szCs w:val="18"/>
              </w:rPr>
              <w:t>"</w:t>
            </w:r>
            <w:r>
              <w:rPr>
                <w:rFonts w:ascii="宋体" w:hAnsi="宋体" w:cs="宋体" w:eastAsia="宋体" w:hint="default"/>
                <w:sz w:val="18"/>
                <w:szCs w:val="18"/>
              </w:rPr>
              <w:t>加大研发投入</w:t>
            </w:r>
            <w:r>
              <w:rPr>
                <w:rFonts w:ascii="Times New Roman" w:hAnsi="Times New Roman" w:cs="Times New Roman" w:eastAsia="Times New Roman" w:hint="default"/>
                <w:sz w:val="18"/>
                <w:szCs w:val="18"/>
              </w:rPr>
              <w:t>"</w:t>
            </w:r>
            <w:r>
              <w:rPr>
                <w:rFonts w:ascii="宋体" w:hAnsi="宋体" w:cs="宋体" w:eastAsia="宋体" w:hint="default"/>
                <w:sz w:val="18"/>
                <w:szCs w:val="18"/>
              </w:rPr>
              <w:t>资金支持</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中关村技术创新能力建设专项 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both"/>
              <w:rPr>
                <w:rFonts w:ascii="宋体" w:hAnsi="宋体" w:cs="宋体" w:eastAsia="宋体" w:hint="default"/>
                <w:sz w:val="18"/>
                <w:szCs w:val="18"/>
              </w:rPr>
            </w:pPr>
            <w:r>
              <w:rPr>
                <w:rFonts w:ascii="宋体" w:hAnsi="宋体" w:cs="宋体" w:eastAsia="宋体" w:hint="default"/>
                <w:sz w:val="18"/>
                <w:szCs w:val="18"/>
              </w:rPr>
              <w:t>中关村科技园区海淀园管理委 员会协同创新服务平台购买研 发服务补贴专项资金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6"/>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年重大专项《面向移动互联</w:t>
            </w:r>
            <w:r>
              <w:rPr>
                <w:rFonts w:ascii="宋体" w:hAnsi="宋体" w:cs="宋体" w:eastAsia="宋体" w:hint="default"/>
                <w:sz w:val="18"/>
                <w:szCs w:val="18"/>
              </w:rPr>
              <w:t> 网的网络协同及融合体系与关 键技术研究》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1,071,300.00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-9,100.00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1,080,400.00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海淀区残疾人劳动就业管理服 务所</w:t>
            </w:r>
            <w:r>
              <w:rPr>
                <w:rFonts w:ascii="Times New Roman" w:hAnsi="Times New Roman" w:cs="Times New Roman" w:eastAsia="Times New Roman" w:hint="default"/>
                <w:sz w:val="18"/>
                <w:szCs w:val="18"/>
              </w:rPr>
              <w:t>-</w:t>
            </w:r>
            <w:r>
              <w:rPr>
                <w:rFonts w:ascii="宋体" w:hAnsi="宋体" w:cs="宋体" w:eastAsia="宋体" w:hint="default"/>
                <w:sz w:val="18"/>
                <w:szCs w:val="18"/>
              </w:rPr>
              <w:t>岗位补贴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科技型中小企业技术创新基金 无偿资助项目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204,166.67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204,166.67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海淀区残疾人劳动就业管理服 务所</w:t>
            </w:r>
            <w:r>
              <w:rPr>
                <w:rFonts w:ascii="Times New Roman" w:hAnsi="Times New Roman" w:cs="Times New Roman" w:eastAsia="Times New Roman" w:hint="default"/>
                <w:sz w:val="18"/>
                <w:szCs w:val="18"/>
              </w:rPr>
              <w:t>-</w:t>
            </w:r>
            <w:r>
              <w:rPr>
                <w:rFonts w:ascii="宋体" w:hAnsi="宋体" w:cs="宋体" w:eastAsia="宋体" w:hint="default"/>
                <w:sz w:val="18"/>
                <w:szCs w:val="18"/>
              </w:rPr>
              <w:t>岗位补贴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78"/>
              <w:jc w:val="left"/>
              <w:rPr>
                <w:rFonts w:ascii="宋体" w:hAnsi="宋体" w:cs="宋体" w:eastAsia="宋体" w:hint="default"/>
                <w:sz w:val="18"/>
                <w:szCs w:val="18"/>
              </w:rPr>
            </w:pPr>
            <w:r>
              <w:rPr>
                <w:rFonts w:ascii="宋体" w:hAnsi="宋体" w:cs="宋体" w:eastAsia="宋体" w:hint="default"/>
                <w:sz w:val="18"/>
                <w:szCs w:val="18"/>
              </w:rPr>
              <w:t>国家专利局北京代办处专利资 助金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高桥镇政府政策兑现补助款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25,500.00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25,500.00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高桥镇补助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605,252.00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605,252.00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6"/>
              <w:ind w:left="22"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年区级第一批新一代信息 技术专项资金补助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鄞州区工业企业上台阶奖励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失业保险稳岗补贴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88,191.00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88,191.00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人才市场就业培训补贴款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8"/>
              <w:jc w:val="left"/>
              <w:rPr>
                <w:rFonts w:ascii="宋体" w:hAnsi="宋体" w:cs="宋体" w:eastAsia="宋体" w:hint="default"/>
                <w:sz w:val="18"/>
                <w:szCs w:val="18"/>
              </w:rPr>
            </w:pPr>
            <w:r>
              <w:rPr>
                <w:rFonts w:ascii="宋体" w:hAnsi="宋体" w:cs="宋体" w:eastAsia="宋体" w:hint="default"/>
                <w:sz w:val="18"/>
                <w:szCs w:val="18"/>
              </w:rPr>
              <w:t>重庆农信涉及信息垂直搜索引 擎云平台升级改造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349,963.74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349,963.74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年度高校毕业生社保补贴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6,538.00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6,538.00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收到高桥镇补助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20,079.00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20,079.00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收到软件产品认证补贴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7"/>
              <w:ind w:left="22" w:right="119"/>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与资产相关的政府补 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7"/>
              <w:ind w:left="22" w:right="178"/>
              <w:jc w:val="left"/>
              <w:rPr>
                <w:rFonts w:ascii="宋体" w:hAnsi="宋体" w:cs="宋体" w:eastAsia="宋体" w:hint="default"/>
                <w:sz w:val="18"/>
                <w:szCs w:val="18"/>
              </w:rPr>
            </w:pPr>
            <w:r>
              <w:rPr>
                <w:rFonts w:ascii="宋体" w:hAnsi="宋体" w:cs="宋体" w:eastAsia="宋体" w:hint="default"/>
                <w:sz w:val="18"/>
                <w:szCs w:val="18"/>
              </w:rPr>
              <w:t>电动汽车智能交互系统研制及 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78"/>
              <w:jc w:val="left"/>
              <w:rPr>
                <w:rFonts w:ascii="宋体" w:hAnsi="宋体" w:cs="宋体" w:eastAsia="宋体" w:hint="default"/>
                <w:sz w:val="18"/>
                <w:szCs w:val="18"/>
              </w:rPr>
            </w:pPr>
            <w:r>
              <w:rPr>
                <w:rFonts w:ascii="宋体" w:hAnsi="宋体" w:cs="宋体" w:eastAsia="宋体" w:hint="default"/>
                <w:sz w:val="18"/>
                <w:szCs w:val="18"/>
              </w:rPr>
              <w:t>面向精确定位与移动通信的智 慧线设备研制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固定资产装修补贴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255,000.00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15,000.00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240,000.00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51" w:footer="979" w:top="142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553"/>
        <w:gridCol w:w="1134"/>
        <w:gridCol w:w="1134"/>
        <w:gridCol w:w="1417"/>
        <w:gridCol w:w="1134"/>
        <w:gridCol w:w="1134"/>
        <w:gridCol w:w="1066"/>
      </w:tblGrid>
      <w:tr>
        <w:trPr>
          <w:trHeight w:val="726" w:hRule="exact"/>
        </w:trPr>
        <w:tc>
          <w:tcPr>
            <w:tcW w:w="2553" w:type="dxa"/>
            <w:tcBorders>
              <w:top w:val="single" w:sz="10" w:space="0" w:color="000000"/>
              <w:left w:val="single" w:sz="4" w:space="0" w:color="000000"/>
              <w:bottom w:val="single" w:sz="4" w:space="0" w:color="000000"/>
              <w:right w:val="single" w:sz="4" w:space="0" w:color="000000"/>
            </w:tcBorders>
          </w:tcPr>
          <w:p>
            <w:pPr>
              <w:pStyle w:val="TableParagraph"/>
              <w:spacing w:line="300" w:lineRule="auto" w:before="56"/>
              <w:ind w:left="22" w:right="119"/>
              <w:jc w:val="left"/>
              <w:rPr>
                <w:rFonts w:ascii="宋体" w:hAnsi="宋体" w:cs="宋体" w:eastAsia="宋体" w:hint="default"/>
                <w:sz w:val="18"/>
                <w:szCs w:val="18"/>
              </w:rPr>
            </w:pPr>
            <w:r>
              <w:rPr>
                <w:rFonts w:ascii="宋体" w:hAnsi="宋体" w:cs="宋体" w:eastAsia="宋体" w:hint="default"/>
                <w:sz w:val="18"/>
                <w:szCs w:val="18"/>
              </w:rPr>
              <w:t>北京市商务委员会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纯电动物流 车项目</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3,048,366.73</w:t>
            </w:r>
          </w:p>
        </w:tc>
        <w:tc>
          <w:tcPr>
            <w:tcW w:w="1134" w:type="dxa"/>
            <w:tcBorders>
              <w:top w:val="single" w:sz="10" w:space="0" w:color="000000"/>
              <w:left w:val="single" w:sz="4" w:space="0" w:color="000000"/>
              <w:bottom w:val="single" w:sz="4" w:space="0" w:color="000000"/>
              <w:right w:val="single" w:sz="4" w:space="0" w:color="000000"/>
            </w:tcBorders>
          </w:tcPr>
          <w:p>
            <w:pPr/>
          </w:p>
        </w:tc>
        <w:tc>
          <w:tcPr>
            <w:tcW w:w="14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828,399.96</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-2,219,966.77</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17,050,505.91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31,313,460.00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23,203,990.08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-2,219,966.77</w:t>
            </w:r>
          </w:p>
        </w:tc>
        <w:tc>
          <w:tcPr>
            <w:tcW w:w="11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22,940,009.06</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2、其他非流动负债" w:id="311"/>
      <w:bookmarkEnd w:id="31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493"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53、股本" w:id="312"/>
      <w:bookmarkEnd w:id="312"/>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1,327,481,535.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8,369,220.00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663,920,641.00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-5,291,470.00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666,998,391.00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1,994,479,926.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51" w:lineRule="auto"/>
        <w:ind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年，公司股权激励计划第二期股票期权行权条件已满足。第二期行权期可行权期权在本报告期内因行权新增股 份</w:t>
      </w:r>
      <w:r>
        <w:rPr>
          <w:rFonts w:ascii="Times New Roman" w:hAnsi="Times New Roman" w:cs="Times New Roman" w:eastAsia="Times New Roman" w:hint="default"/>
        </w:rPr>
        <w:t>402,305</w:t>
      </w:r>
      <w:r>
        <w:rPr/>
        <w:t>股。</w:t>
      </w:r>
    </w:p>
    <w:p>
      <w:pPr>
        <w:pStyle w:val="BodyText"/>
        <w:spacing w:line="240" w:lineRule="auto" w:before="44"/>
        <w:ind w:left="1493" w:right="0"/>
        <w:jc w:val="left"/>
      </w:pPr>
      <w:r>
        <w:rPr/>
        <w:t>报告期内，公司股权激励计划第三期股票期权行权条件已满足，截止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日，因行权新增股份</w:t>
      </w:r>
      <w:r>
        <w:rPr>
          <w:rFonts w:ascii="Times New Roman" w:hAnsi="Times New Roman" w:cs="Times New Roman" w:eastAsia="Times New Roman" w:hint="default"/>
        </w:rPr>
        <w:t>7,966,915</w:t>
      </w:r>
      <w:r>
        <w:rPr/>
        <w:t>股。</w:t>
      </w:r>
    </w:p>
    <w:p>
      <w:pPr>
        <w:spacing w:line="240" w:lineRule="auto" w:before="9"/>
        <w:rPr>
          <w:rFonts w:ascii="宋体" w:hAnsi="宋体" w:cs="宋体" w:eastAsia="宋体" w:hint="default"/>
          <w:sz w:val="16"/>
          <w:szCs w:val="16"/>
        </w:rPr>
      </w:pPr>
    </w:p>
    <w:p>
      <w:pPr>
        <w:pStyle w:val="BodyText"/>
        <w:spacing w:line="240" w:lineRule="auto"/>
        <w:ind w:left="1493" w:right="0"/>
        <w:jc w:val="left"/>
      </w:pPr>
      <w:r>
        <w:rPr>
          <w:rFonts w:ascii="Times New Roman" w:hAnsi="Times New Roman" w:cs="Times New Roman" w:eastAsia="Times New Roman" w:hint="default"/>
        </w:rPr>
        <w:t>2</w:t>
      </w:r>
      <w:r>
        <w:rPr/>
        <w:t>、报告期内，公司实施资本公积金转增股本方案（每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5.020004</w:t>
      </w:r>
      <w:r>
        <w:rPr/>
        <w:t>股），合计转增</w:t>
      </w:r>
      <w:r>
        <w:rPr>
          <w:rFonts w:ascii="Times New Roman" w:hAnsi="Times New Roman" w:cs="Times New Roman" w:eastAsia="Times New Roman" w:hint="default"/>
        </w:rPr>
        <w:t>663,920,641</w:t>
      </w:r>
      <w:r>
        <w:rPr/>
        <w:t>股。</w:t>
      </w:r>
    </w:p>
    <w:p>
      <w:pPr>
        <w:spacing w:line="240" w:lineRule="auto" w:before="9"/>
        <w:rPr>
          <w:rFonts w:ascii="宋体" w:hAnsi="宋体" w:cs="宋体" w:eastAsia="宋体" w:hint="default"/>
          <w:sz w:val="16"/>
          <w:szCs w:val="16"/>
        </w:rPr>
      </w:pPr>
    </w:p>
    <w:p>
      <w:pPr>
        <w:pStyle w:val="BodyText"/>
        <w:spacing w:line="451" w:lineRule="auto"/>
        <w:ind w:right="1130"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日，经公司</w:t>
      </w:r>
      <w:r>
        <w:rPr>
          <w:rFonts w:ascii="Times New Roman" w:hAnsi="Times New Roman" w:cs="Times New Roman" w:eastAsia="Times New Roman" w:hint="default"/>
          <w:spacing w:val="-2"/>
        </w:rPr>
        <w:t>2014</w:t>
      </w:r>
      <w:r>
        <w:rPr>
          <w:spacing w:val="-2"/>
        </w:rPr>
        <w:t>年度股东大会审议通过了关于发行股份及支付现金购买资产业绩承诺补偿方案暨定向回</w:t>
      </w:r>
      <w:r>
        <w:rPr/>
        <w:t> 购李毅、李章晶及天津骆壳应补偿公司股份的方案。公司因承诺人补偿的相关股份注销手续办理完毕，股本减少</w:t>
      </w:r>
      <w:r>
        <w:rPr>
          <w:rFonts w:ascii="Times New Roman" w:hAnsi="Times New Roman" w:cs="Times New Roman" w:eastAsia="Times New Roman" w:hint="default"/>
        </w:rPr>
        <w:t>5,291,470</w:t>
      </w:r>
      <w:r>
        <w:rPr>
          <w:rFonts w:ascii="Times New Roman" w:hAnsi="Times New Roman" w:cs="Times New Roman" w:eastAsia="Times New Roman" w:hint="default"/>
          <w:spacing w:val="2"/>
        </w:rPr>
        <w:t> </w:t>
      </w:r>
      <w:r>
        <w:rPr/>
        <w:t>股。</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bookmarkStart w:name="54、其他权益工具" w:id="313"/>
      <w:bookmarkEnd w:id="31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bookmarkStart w:name="55、资本公积" w:id="314"/>
      <w:bookmarkEnd w:id="31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1,427,474,346.68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29,698,299.67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985,133,407.59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472,039,238.76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44,714,611.12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22,566,086.46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14,631,473.31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52,649,224.27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1,472,188,957.80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52,264,386.13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999,764,880.90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524,688,463.03</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其他说明，包括本期增减变动情况、变动原因说明：</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6"/>
        <w:spacing w:line="240" w:lineRule="auto" w:before="83"/>
        <w:ind w:left="1495" w:right="0"/>
        <w:jc w:val="left"/>
        <w:rPr>
          <w:b w:val="0"/>
          <w:bCs w:val="0"/>
        </w:rPr>
      </w:pPr>
      <w:r>
        <w:rPr>
          <w:rFonts w:ascii="Times New Roman" w:hAnsi="Times New Roman" w:cs="Times New Roman" w:eastAsia="Times New Roman" w:hint="default"/>
        </w:rPr>
        <w:t>1.</w:t>
      </w:r>
      <w:r>
        <w:rPr/>
        <w:t>股本溢价本期变动为：</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32"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日，公司</w:t>
      </w:r>
      <w:r>
        <w:rPr>
          <w:rFonts w:ascii="Times New Roman" w:hAnsi="Times New Roman" w:cs="Times New Roman" w:eastAsia="Times New Roman" w:hint="default"/>
        </w:rPr>
        <w:t>2012</w:t>
      </w:r>
      <w:r>
        <w:rPr/>
        <w:t>年第一次临时股东大会决议通过《北京神州泰岳软件股份有限公司股票期权与限制性股 </w:t>
      </w:r>
      <w:r>
        <w:rPr>
          <w:spacing w:val="-2"/>
        </w:rPr>
        <w:t>票激励计划》，向</w:t>
      </w:r>
      <w:r>
        <w:rPr>
          <w:rFonts w:ascii="Times New Roman" w:hAnsi="Times New Roman" w:cs="Times New Roman" w:eastAsia="Times New Roman" w:hint="default"/>
          <w:spacing w:val="-2"/>
        </w:rPr>
        <w:t>360</w:t>
      </w:r>
      <w:r>
        <w:rPr>
          <w:spacing w:val="-2"/>
        </w:rPr>
        <w:t>名自然人发行股票期权</w:t>
      </w:r>
      <w:r>
        <w:rPr>
          <w:rFonts w:ascii="Times New Roman" w:hAnsi="Times New Roman" w:cs="Times New Roman" w:eastAsia="Times New Roman" w:hint="default"/>
          <w:spacing w:val="-2"/>
        </w:rPr>
        <w:t>8,500,000</w:t>
      </w:r>
      <w:r>
        <w:rPr>
          <w:spacing w:val="-2"/>
        </w:rPr>
        <w:t>股，发行价格为</w:t>
      </w:r>
      <w:r>
        <w:rPr>
          <w:rFonts w:ascii="Times New Roman" w:hAnsi="Times New Roman" w:cs="Times New Roman" w:eastAsia="Times New Roman" w:hint="default"/>
          <w:spacing w:val="-2"/>
        </w:rPr>
        <w:t>11.19</w:t>
      </w:r>
      <w:r>
        <w:rPr>
          <w:spacing w:val="-2"/>
        </w:rPr>
        <w:t>元</w:t>
      </w:r>
      <w:r>
        <w:rPr>
          <w:rFonts w:ascii="Times New Roman" w:hAnsi="Times New Roman" w:cs="Times New Roman" w:eastAsia="Times New Roman" w:hint="default"/>
          <w:spacing w:val="-2"/>
        </w:rPr>
        <w:t>/</w:t>
      </w:r>
      <w:r>
        <w:rPr>
          <w:spacing w:val="-2"/>
        </w:rPr>
        <w:t>股，本期为第三个行权期，自然人行权的股数</w:t>
      </w:r>
      <w:r>
        <w:rPr>
          <w:spacing w:val="-52"/>
        </w:rPr>
        <w:t> </w:t>
      </w:r>
      <w:r>
        <w:rPr>
          <w:spacing w:val="-52"/>
        </w:rPr>
      </w:r>
      <w:r>
        <w:rPr/>
        <w:t>为</w:t>
      </w:r>
      <w:r>
        <w:rPr>
          <w:rFonts w:ascii="Times New Roman" w:hAnsi="Times New Roman" w:cs="Times New Roman" w:eastAsia="Times New Roman" w:hint="default"/>
        </w:rPr>
        <w:t>8,369,220.00</w:t>
      </w:r>
      <w:r>
        <w:rPr/>
        <w:t>股，其中溢价部分</w:t>
      </w:r>
      <w:r>
        <w:rPr>
          <w:rFonts w:ascii="Times New Roman" w:hAnsi="Times New Roman" w:cs="Times New Roman" w:eastAsia="Times New Roman" w:hint="default"/>
        </w:rPr>
        <w:t>22,112,724.89</w:t>
      </w:r>
      <w:r>
        <w:rPr/>
        <w:t>元记入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w:t>
      </w:r>
      <w:r>
        <w:rPr/>
        <w:t>。</w:t>
      </w:r>
    </w:p>
    <w:p>
      <w:pPr>
        <w:pStyle w:val="BodyText"/>
        <w:spacing w:line="451" w:lineRule="auto" w:before="43"/>
        <w:ind w:right="1130" w:firstLine="360"/>
        <w:jc w:val="both"/>
      </w:pPr>
      <w:r>
        <w:rPr>
          <w:spacing w:val="-1"/>
        </w:rPr>
        <w:t>（</w:t>
      </w:r>
      <w:r>
        <w:rPr>
          <w:rFonts w:ascii="Times New Roman" w:hAnsi="Times New Roman" w:cs="Times New Roman" w:eastAsia="Times New Roman" w:hint="default"/>
          <w:spacing w:val="-1"/>
        </w:rPr>
        <w:t>2</w:t>
      </w:r>
      <w:r>
        <w:rPr>
          <w:spacing w:val="-1"/>
        </w:rPr>
        <w:t>）本年已解锁的限制性股票和已行权的股票期权对应的原记入</w:t>
      </w:r>
      <w:r>
        <w:rPr>
          <w:rFonts w:ascii="Times New Roman" w:hAnsi="Times New Roman" w:cs="Times New Roman" w:eastAsia="Times New Roman" w:hint="default"/>
          <w:spacing w:val="-1"/>
        </w:rPr>
        <w:t>“</w:t>
      </w:r>
      <w:r>
        <w:rPr>
          <w:spacing w:val="-1"/>
        </w:rPr>
        <w:t>资本公积</w:t>
      </w:r>
      <w:r>
        <w:rPr>
          <w:rFonts w:ascii="Times New Roman" w:hAnsi="Times New Roman" w:cs="Times New Roman" w:eastAsia="Times New Roman" w:hint="default"/>
          <w:spacing w:val="-1"/>
        </w:rPr>
        <w:t>—</w:t>
      </w:r>
      <w:r>
        <w:rPr>
          <w:spacing w:val="-1"/>
        </w:rPr>
        <w:t>其他资本公积</w:t>
      </w:r>
      <w:r>
        <w:rPr>
          <w:rFonts w:ascii="Times New Roman" w:hAnsi="Times New Roman" w:cs="Times New Roman" w:eastAsia="Times New Roman" w:hint="default"/>
          <w:spacing w:val="-1"/>
        </w:rPr>
        <w:t>”</w:t>
      </w:r>
      <w:r>
        <w:rPr>
          <w:spacing w:val="-1"/>
        </w:rPr>
        <w:t>的股权激励费</w:t>
      </w:r>
      <w:r>
        <w:rPr>
          <w:rFonts w:ascii="Times New Roman" w:hAnsi="Times New Roman" w:cs="Times New Roman" w:eastAsia="Times New Roman" w:hint="default"/>
          <w:spacing w:val="-1"/>
        </w:rPr>
        <w:t>7,269,045.08</w:t>
      </w:r>
      <w:r>
        <w:rPr>
          <w:rFonts w:ascii="Times New Roman" w:hAnsi="Times New Roman" w:cs="Times New Roman" w:eastAsia="Times New Roman" w:hint="default"/>
        </w:rPr>
        <w:t> </w:t>
      </w:r>
      <w:r>
        <w:rPr/>
        <w:t>元转至</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451" w:lineRule="auto" w:before="43"/>
        <w:ind w:right="1188" w:firstLine="360"/>
        <w:jc w:val="both"/>
      </w:pPr>
      <w:r>
        <w:rPr/>
        <w:t>（</w:t>
      </w:r>
      <w:r>
        <w:rPr>
          <w:rFonts w:ascii="Times New Roman" w:hAnsi="Times New Roman" w:cs="Times New Roman" w:eastAsia="Times New Roman" w:hint="default"/>
        </w:rPr>
        <w:t>3</w:t>
      </w:r>
      <w:r>
        <w:rPr/>
        <w:t>）本报告期子公司北京神州泰岳通信技术有限公司注销， 原溢价收购股权的损失实现，转回</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rPr>
        <w:t>316,529.70</w:t>
      </w:r>
      <w:r>
        <w:rPr/>
        <w:t>元。</w:t>
      </w:r>
    </w:p>
    <w:p>
      <w:pPr>
        <w:pStyle w:val="BodyText"/>
        <w:spacing w:line="451" w:lineRule="auto" w:before="43"/>
        <w:ind w:right="1131" w:firstLine="360"/>
        <w:jc w:val="both"/>
      </w:pPr>
      <w:r>
        <w:rPr>
          <w:spacing w:val="-1"/>
        </w:rPr>
        <w:t>（</w:t>
      </w:r>
      <w:r>
        <w:rPr>
          <w:rFonts w:ascii="Times New Roman" w:hAnsi="Times New Roman" w:cs="Times New Roman" w:eastAsia="Times New Roman" w:hint="default"/>
          <w:spacing w:val="-1"/>
        </w:rPr>
        <w:t>4</w:t>
      </w:r>
      <w:r>
        <w:rPr>
          <w:spacing w:val="-1"/>
        </w:rPr>
        <w:t>）本年公司收购同受实际控制人控制的北京神州祥升软件有限公司</w:t>
      </w:r>
      <w:r>
        <w:rPr>
          <w:rFonts w:ascii="Times New Roman" w:hAnsi="Times New Roman" w:cs="Times New Roman" w:eastAsia="Times New Roman" w:hint="default"/>
          <w:spacing w:val="-1"/>
        </w:rPr>
        <w:t>100%</w:t>
      </w:r>
      <w:r>
        <w:rPr>
          <w:spacing w:val="-1"/>
        </w:rPr>
        <w:t>股权，构成同一控制下的企业合并，合并日</w:t>
      </w:r>
      <w:r>
        <w:rPr/>
        <w:t> 支付价款高于净资产</w:t>
      </w:r>
      <w:r>
        <w:rPr>
          <w:rFonts w:ascii="Times New Roman" w:hAnsi="Times New Roman" w:cs="Times New Roman" w:eastAsia="Times New Roman" w:hint="default"/>
        </w:rPr>
        <w:t>267,546,975.07</w:t>
      </w:r>
      <w:r>
        <w:rPr/>
        <w:t>元，冲减</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240" w:lineRule="auto" w:before="42"/>
        <w:ind w:left="1493" w:right="0"/>
        <w:jc w:val="left"/>
      </w:pPr>
      <w:r>
        <w:rPr/>
        <w:t>合并日恢复被合并方的留存收益，减少</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9,708,687.98</w:t>
      </w:r>
      <w:r>
        <w:rPr/>
        <w:t>元。</w:t>
      </w:r>
    </w:p>
    <w:p>
      <w:pPr>
        <w:spacing w:line="240" w:lineRule="auto" w:before="9"/>
        <w:rPr>
          <w:rFonts w:ascii="宋体" w:hAnsi="宋体" w:cs="宋体" w:eastAsia="宋体" w:hint="default"/>
          <w:sz w:val="16"/>
          <w:szCs w:val="16"/>
        </w:rPr>
      </w:pPr>
    </w:p>
    <w:p>
      <w:pPr>
        <w:pStyle w:val="BodyText"/>
        <w:spacing w:line="451" w:lineRule="auto"/>
        <w:ind w:right="1132" w:firstLine="360"/>
        <w:jc w:val="both"/>
      </w:pPr>
      <w:r>
        <w:rPr>
          <w:spacing w:val="-3"/>
        </w:rPr>
        <w:t>（</w:t>
      </w:r>
      <w:r>
        <w:rPr>
          <w:rFonts w:ascii="Times New Roman" w:hAnsi="Times New Roman" w:cs="Times New Roman" w:eastAsia="Times New Roman" w:hint="default"/>
          <w:spacing w:val="-3"/>
        </w:rPr>
        <w:t>5</w:t>
      </w:r>
      <w:r>
        <w:rPr>
          <w:spacing w:val="-3"/>
        </w:rPr>
        <w:t>）根据公司</w:t>
      </w:r>
      <w:r>
        <w:rPr>
          <w:rFonts w:ascii="Times New Roman" w:hAnsi="Times New Roman" w:cs="Times New Roman" w:eastAsia="Times New Roman" w:hint="default"/>
          <w:spacing w:val="-3"/>
        </w:rPr>
        <w:t>2014</w:t>
      </w:r>
      <w:r>
        <w:rPr>
          <w:spacing w:val="-3"/>
        </w:rPr>
        <w:t>年度股东大会决议和</w:t>
      </w:r>
      <w:r>
        <w:rPr>
          <w:rFonts w:ascii="Times New Roman" w:hAnsi="Times New Roman" w:cs="Times New Roman" w:eastAsia="Times New Roman" w:hint="default"/>
          <w:spacing w:val="-3"/>
        </w:rPr>
        <w:t>2014</w:t>
      </w:r>
      <w:r>
        <w:rPr>
          <w:spacing w:val="-3"/>
        </w:rPr>
        <w:t>年度股东大会通过章程修正案的规定，公司申请增加股本人民币</w:t>
      </w:r>
      <w:r>
        <w:rPr>
          <w:rFonts w:ascii="Times New Roman" w:hAnsi="Times New Roman" w:cs="Times New Roman" w:eastAsia="Times New Roman" w:hint="default"/>
          <w:spacing w:val="-3"/>
        </w:rPr>
        <w:t>663,920,641</w:t>
      </w:r>
      <w:r>
        <w:rPr>
          <w:rFonts w:ascii="Times New Roman" w:hAnsi="Times New Roman" w:cs="Times New Roman" w:eastAsia="Times New Roman" w:hint="default"/>
        </w:rPr>
        <w:t> </w:t>
      </w:r>
      <w:r>
        <w:rPr/>
        <w:t>元，由资本公积转增股本，转增基准日期为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减少</w:t>
      </w:r>
      <w:r>
        <w:rPr>
          <w:rFonts w:ascii="Times New Roman" w:hAnsi="Times New Roman" w:cs="Times New Roman" w:eastAsia="Times New Roman" w:hint="default"/>
        </w:rPr>
        <w:t>663,920,641.00</w:t>
      </w:r>
      <w:r>
        <w:rPr/>
        <w:t>元。</w:t>
      </w:r>
    </w:p>
    <w:p>
      <w:pPr>
        <w:pStyle w:val="BodyText"/>
        <w:spacing w:line="451" w:lineRule="auto" w:before="43"/>
        <w:ind w:right="1131" w:firstLine="360"/>
        <w:jc w:val="both"/>
      </w:pP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日，经公司</w:t>
      </w:r>
      <w:r>
        <w:rPr>
          <w:rFonts w:ascii="Times New Roman" w:hAnsi="Times New Roman" w:cs="Times New Roman" w:eastAsia="Times New Roman" w:hint="default"/>
          <w:spacing w:val="-2"/>
        </w:rPr>
        <w:t>2014</w:t>
      </w:r>
      <w:r>
        <w:rPr>
          <w:spacing w:val="-2"/>
        </w:rPr>
        <w:t>年度股东大会审议通过了关于发行股份及支付现金购买资产业绩承诺补偿方案暨定向</w:t>
      </w:r>
      <w:r>
        <w:rPr/>
        <w:t> </w:t>
      </w:r>
      <w:r>
        <w:rPr>
          <w:spacing w:val="-2"/>
        </w:rPr>
        <w:t>回购李毅、李章晶及天津骆壳应补偿公司股份的方案。公司因承诺人补偿的相关股份注销手续办理完毕，股本减少</w:t>
      </w:r>
      <w:r>
        <w:rPr>
          <w:rFonts w:ascii="Times New Roman" w:hAnsi="Times New Roman" w:cs="Times New Roman" w:eastAsia="Times New Roman" w:hint="default"/>
          <w:spacing w:val="-2"/>
        </w:rPr>
        <w:t>5,291,470</w:t>
      </w:r>
      <w:r>
        <w:rPr>
          <w:rFonts w:ascii="Times New Roman" w:hAnsi="Times New Roman" w:cs="Times New Roman" w:eastAsia="Times New Roman" w:hint="default"/>
          <w:spacing w:val="-10"/>
        </w:rPr>
        <w:t> </w:t>
      </w:r>
      <w:r>
        <w:rPr/>
        <w:t>股。相应减少 </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rFonts w:ascii="Times New Roman" w:hAnsi="Times New Roman" w:cs="Times New Roman" w:eastAsia="Times New Roman" w:hint="default"/>
        </w:rPr>
        <w:t>39,633,103.54</w:t>
      </w:r>
      <w:r>
        <w:rPr/>
        <w:t>元。</w:t>
      </w:r>
    </w:p>
    <w:p>
      <w:pPr>
        <w:pStyle w:val="Heading6"/>
        <w:spacing w:line="240" w:lineRule="auto" w:before="43"/>
        <w:ind w:left="1495" w:right="0"/>
        <w:jc w:val="left"/>
        <w:rPr>
          <w:b w:val="0"/>
          <w:bCs w:val="0"/>
        </w:rPr>
      </w:pPr>
      <w:r>
        <w:rPr>
          <w:rFonts w:ascii="Times New Roman" w:hAnsi="Times New Roman" w:cs="Times New Roman" w:eastAsia="Times New Roman" w:hint="default"/>
        </w:rPr>
        <w:t>2.</w:t>
      </w:r>
      <w:r>
        <w:rPr/>
        <w:t>其他资本公积本期变动为：</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30" w:firstLine="360"/>
        <w:jc w:val="both"/>
      </w:pPr>
      <w:r>
        <w:rPr>
          <w:spacing w:val="-1"/>
        </w:rPr>
        <w:t>（</w:t>
      </w:r>
      <w:r>
        <w:rPr>
          <w:rFonts w:ascii="Times New Roman" w:hAnsi="Times New Roman" w:cs="Times New Roman" w:eastAsia="Times New Roman" w:hint="default"/>
          <w:spacing w:val="-1"/>
        </w:rPr>
        <w:t>1</w:t>
      </w:r>
      <w:r>
        <w:rPr>
          <w:spacing w:val="-1"/>
        </w:rPr>
        <w:t>）联营企业所有者权益项下除净损益及记入</w:t>
      </w:r>
      <w:r>
        <w:rPr>
          <w:rFonts w:ascii="Times New Roman" w:hAnsi="Times New Roman" w:cs="Times New Roman" w:eastAsia="Times New Roman" w:hint="default"/>
          <w:spacing w:val="-1"/>
        </w:rPr>
        <w:t>“</w:t>
      </w:r>
      <w:r>
        <w:rPr>
          <w:spacing w:val="-1"/>
        </w:rPr>
        <w:t>其他综合收益</w:t>
      </w:r>
      <w:r>
        <w:rPr>
          <w:rFonts w:ascii="Times New Roman" w:hAnsi="Times New Roman" w:cs="Times New Roman" w:eastAsia="Times New Roman" w:hint="default"/>
          <w:spacing w:val="-1"/>
        </w:rPr>
        <w:t>”</w:t>
      </w:r>
      <w:r>
        <w:rPr>
          <w:spacing w:val="-1"/>
        </w:rPr>
        <w:t>以外的所有者权益变动数，公司按持股比例确认</w:t>
      </w:r>
      <w:r>
        <w:rPr>
          <w:rFonts w:ascii="Times New Roman" w:hAnsi="Times New Roman" w:cs="Times New Roman" w:eastAsia="Times New Roman" w:hint="default"/>
          <w:spacing w:val="-1"/>
        </w:rPr>
        <w:t>“</w:t>
      </w:r>
      <w:r>
        <w:rPr>
          <w:spacing w:val="-1"/>
        </w:rPr>
        <w:t>资本公</w:t>
      </w:r>
      <w:r>
        <w:rPr/>
        <w:t> 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-137,828.04</w:t>
      </w:r>
      <w:r>
        <w:rPr/>
        <w:t>元。</w:t>
      </w:r>
    </w:p>
    <w:p>
      <w:pPr>
        <w:pStyle w:val="BodyText"/>
        <w:spacing w:line="240" w:lineRule="auto" w:before="43"/>
        <w:ind w:left="1494" w:right="0"/>
        <w:jc w:val="left"/>
      </w:pPr>
      <w:r>
        <w:rPr/>
        <w:t>（</w:t>
      </w:r>
      <w:r>
        <w:rPr>
          <w:rFonts w:ascii="Times New Roman" w:hAnsi="Times New Roman" w:cs="Times New Roman" w:eastAsia="Times New Roman" w:hint="default"/>
        </w:rPr>
        <w:t>2</w:t>
      </w:r>
      <w:r>
        <w:rPr/>
        <w:t>）本期公司确认股份支付的权益成本</w:t>
      </w:r>
      <w:r>
        <w:rPr>
          <w:rFonts w:ascii="Times New Roman" w:hAnsi="Times New Roman" w:cs="Times New Roman" w:eastAsia="Times New Roman" w:hint="default"/>
        </w:rPr>
        <w:t>3,302,402.10</w:t>
      </w:r>
      <w:r>
        <w:rPr/>
        <w:t>元。</w:t>
      </w:r>
    </w:p>
    <w:p>
      <w:pPr>
        <w:spacing w:line="240" w:lineRule="auto" w:before="9"/>
        <w:rPr>
          <w:rFonts w:ascii="宋体" w:hAnsi="宋体" w:cs="宋体" w:eastAsia="宋体" w:hint="default"/>
          <w:sz w:val="16"/>
          <w:szCs w:val="16"/>
        </w:rPr>
      </w:pPr>
    </w:p>
    <w:p>
      <w:pPr>
        <w:pStyle w:val="BodyText"/>
        <w:spacing w:line="451" w:lineRule="auto"/>
        <w:ind w:left="1134" w:right="1131" w:firstLine="360"/>
        <w:jc w:val="both"/>
      </w:pPr>
      <w:r>
        <w:rPr/>
        <w:t>（</w:t>
      </w:r>
      <w:r>
        <w:rPr>
          <w:rFonts w:ascii="Times New Roman" w:hAnsi="Times New Roman" w:cs="Times New Roman" w:eastAsia="Times New Roman" w:hint="default"/>
        </w:rPr>
        <w:t>3</w:t>
      </w:r>
      <w:r>
        <w:rPr/>
        <w:t>）根据会计准则的相关规定，预计未来期间股权激励可抵扣的金额超过等待期内确认的成本费用，超出部分形成的 递延所得税资产应直接计入所有者权益，公司确认</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19,401,512.40</w:t>
      </w:r>
      <w:r>
        <w:rPr/>
        <w:t>元。</w:t>
      </w:r>
    </w:p>
    <w:p>
      <w:pPr>
        <w:pStyle w:val="BodyText"/>
        <w:spacing w:line="240" w:lineRule="auto" w:before="43"/>
        <w:ind w:left="1493" w:right="0"/>
        <w:jc w:val="left"/>
      </w:pPr>
      <w:r>
        <w:rPr/>
        <w:t>（</w:t>
      </w:r>
      <w:r>
        <w:rPr>
          <w:spacing w:val="-58"/>
        </w:rPr>
        <w:t> </w:t>
      </w:r>
      <w:r>
        <w:rPr>
          <w:rFonts w:ascii="Times New Roman" w:hAnsi="Times New Roman" w:cs="Times New Roman" w:eastAsia="Times New Roman" w:hint="default"/>
          <w:spacing w:val="14"/>
        </w:rPr>
        <w:t>4</w:t>
      </w:r>
      <w:r>
        <w:rPr>
          <w:spacing w:val="14"/>
        </w:rPr>
        <w:t>）本年已解锁的限制性股票和已行权的股票期权对应的原记入</w:t>
      </w:r>
      <w:r>
        <w:rPr>
          <w:rFonts w:ascii="Times New Roman" w:hAnsi="Times New Roman" w:cs="Times New Roman" w:eastAsia="Times New Roman" w:hint="default"/>
          <w:spacing w:val="14"/>
        </w:rPr>
        <w:t>“</w:t>
      </w:r>
      <w:r>
        <w:rPr>
          <w:spacing w:val="14"/>
        </w:rPr>
        <w:t>资本公积</w:t>
      </w:r>
      <w:r>
        <w:rPr>
          <w:rFonts w:ascii="Times New Roman" w:hAnsi="Times New Roman" w:cs="Times New Roman" w:eastAsia="Times New Roman" w:hint="default"/>
          <w:spacing w:val="14"/>
        </w:rPr>
        <w:t>—</w:t>
      </w:r>
      <w:r>
        <w:rPr>
          <w:rFonts w:ascii="Times New Roman" w:hAnsi="Times New Roman" w:cs="Times New Roman" w:eastAsia="Times New Roman" w:hint="default"/>
          <w:spacing w:val="-13"/>
        </w:rPr>
        <w:t> </w:t>
      </w:r>
      <w:r>
        <w:rPr>
          <w:spacing w:val="14"/>
        </w:rPr>
        <w:t>其他资本公积</w:t>
      </w:r>
      <w:r>
        <w:rPr>
          <w:rFonts w:ascii="Times New Roman" w:hAnsi="Times New Roman" w:cs="Times New Roman" w:eastAsia="Times New Roman" w:hint="default"/>
          <w:spacing w:val="14"/>
        </w:rPr>
        <w:t>”</w:t>
      </w:r>
      <w:r>
        <w:rPr>
          <w:spacing w:val="14"/>
        </w:rPr>
        <w:t>的股权激励费用</w:t>
      </w:r>
      <w:r>
        <w:rPr/>
      </w:r>
    </w:p>
    <w:p>
      <w:pPr>
        <w:spacing w:line="240" w:lineRule="auto" w:before="9"/>
        <w:rPr>
          <w:rFonts w:ascii="宋体" w:hAnsi="宋体" w:cs="宋体" w:eastAsia="宋体" w:hint="default"/>
          <w:sz w:val="16"/>
          <w:szCs w:val="16"/>
        </w:rPr>
      </w:pPr>
    </w:p>
    <w:p>
      <w:pPr>
        <w:pStyle w:val="BodyText"/>
        <w:spacing w:line="240" w:lineRule="auto"/>
        <w:ind w:left="1134" w:right="0"/>
        <w:jc w:val="left"/>
      </w:pPr>
      <w:r>
        <w:rPr>
          <w:rFonts w:ascii="Times New Roman" w:hAnsi="Times New Roman" w:cs="Times New Roman" w:eastAsia="Times New Roman" w:hint="default"/>
        </w:rPr>
        <w:t>7,269,045.08</w:t>
      </w:r>
      <w:r>
        <w:rPr/>
        <w:t>元转至</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451" w:lineRule="auto"/>
        <w:ind w:right="1130" w:firstLine="360"/>
        <w:jc w:val="both"/>
      </w:pPr>
      <w:r>
        <w:rPr>
          <w:spacing w:val="-2"/>
        </w:rPr>
        <w:t>（</w:t>
      </w:r>
      <w:r>
        <w:rPr>
          <w:rFonts w:ascii="Times New Roman" w:hAnsi="Times New Roman" w:cs="Times New Roman" w:eastAsia="Times New Roman" w:hint="default"/>
          <w:spacing w:val="-2"/>
        </w:rPr>
        <w:t>5</w:t>
      </w:r>
      <w:r>
        <w:rPr>
          <w:spacing w:val="-2"/>
        </w:rPr>
        <w:t>）由于不能达到股权激励方案中的第四期的业绩指标，冲减已确认的第四期相关费用，相应减少</w:t>
      </w:r>
      <w:r>
        <w:rPr>
          <w:rFonts w:ascii="Times New Roman" w:hAnsi="Times New Roman" w:cs="Times New Roman" w:eastAsia="Times New Roman" w:hint="default"/>
          <w:spacing w:val="-2"/>
        </w:rPr>
        <w:t>“</w:t>
      </w:r>
      <w:r>
        <w:rPr>
          <w:spacing w:val="-2"/>
        </w:rPr>
        <w:t>资本公积</w:t>
      </w:r>
      <w:r>
        <w:rPr>
          <w:rFonts w:ascii="Times New Roman" w:hAnsi="Times New Roman" w:cs="Times New Roman" w:eastAsia="Times New Roman" w:hint="default"/>
          <w:spacing w:val="-2"/>
        </w:rPr>
        <w:t>—</w:t>
      </w:r>
      <w:r>
        <w:rPr>
          <w:spacing w:val="-2"/>
        </w:rPr>
        <w:t>其他资</w:t>
      </w:r>
      <w:r>
        <w:rPr/>
        <w:t> 本公积</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7,362,428.23</w:t>
      </w:r>
      <w:r>
        <w:rPr/>
        <w:t>元。</w:t>
      </w:r>
    </w:p>
    <w:p>
      <w:pPr>
        <w:spacing w:line="240" w:lineRule="auto" w:before="6"/>
        <w:rPr>
          <w:rFonts w:ascii="宋体" w:hAnsi="宋体" w:cs="宋体" w:eastAsia="宋体" w:hint="default"/>
          <w:sz w:val="18"/>
          <w:szCs w:val="18"/>
        </w:rPr>
      </w:pPr>
    </w:p>
    <w:p>
      <w:pPr>
        <w:pStyle w:val="Heading3"/>
        <w:spacing w:line="240" w:lineRule="auto"/>
        <w:ind w:left="1133" w:right="0"/>
        <w:jc w:val="left"/>
        <w:rPr>
          <w:b w:val="0"/>
          <w:bCs w:val="0"/>
        </w:rPr>
      </w:pPr>
      <w:bookmarkStart w:name="56、库存股" w:id="315"/>
      <w:bookmarkEnd w:id="31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after="0" w:line="240" w:lineRule="auto"/>
        <w:jc w:val="right"/>
        <w:sectPr>
          <w:pgSz w:w="11910" w:h="16840"/>
          <w:pgMar w:header="851" w:footer="979" w:top="1380" w:bottom="1160" w:left="0" w:right="0"/>
        </w:sectPr>
      </w:pPr>
    </w:p>
    <w:p>
      <w:pPr>
        <w:spacing w:line="240" w:lineRule="auto" w:before="12"/>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9" w:hRule="exact"/>
        </w:trPr>
        <w:tc>
          <w:tcPr>
            <w:tcW w:w="191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26,448,852.20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10,542,925.36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15,905,926.84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26,448,852.20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10,542,925.36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15,905,926.84</w:t>
            </w:r>
          </w:p>
        </w:tc>
      </w:tr>
    </w:tbl>
    <w:p>
      <w:pPr>
        <w:pStyle w:val="BodyText"/>
        <w:spacing w:line="206" w:lineRule="exact"/>
        <w:ind w:left="1224" w:right="0"/>
        <w:jc w:val="left"/>
      </w:pPr>
      <w:bookmarkStart w:name="说明：本期减少系报告期内限制性股票解锁导致。" w:id="316"/>
      <w:bookmarkEnd w:id="316"/>
      <w:r>
        <w:rPr/>
      </w:r>
      <w:r>
        <w:rPr/>
        <w:t>说明：本期减少系报告期内限制性股票解锁导致。</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0"/>
        <w:jc w:val="left"/>
        <w:rPr>
          <w:b w:val="0"/>
          <w:bCs w:val="0"/>
        </w:rPr>
      </w:pPr>
      <w:bookmarkStart w:name="57、其他综合收益" w:id="317"/>
      <w:bookmarkEnd w:id="31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-6,804,935.64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168,116,17</w:t>
            </w:r>
          </w:p>
          <w:p>
            <w:pPr>
              <w:pStyle w:val="TableParagraph"/>
              <w:spacing w:line="240" w:lineRule="auto" w:before="106"/>
              <w:ind w:left="586" w:right="0"/>
              <w:jc w:val="left"/>
              <w:rPr>
                <w:rFonts w:ascii="Times New Roman" w:hAnsi="Times New Roman" w:cs="Times New Roman" w:eastAsia="Times New Roman" w:hint="default"/>
                <w:sz w:val="18"/>
                <w:szCs w:val="18"/>
              </w:rPr>
            </w:pPr>
            <w:r>
              <w:rPr>
                <w:rFonts w:ascii="Times New Roman"/>
                <w:sz w:val="18"/>
              </w:rPr>
              <w:t>3.84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168,130,48</w:t>
            </w:r>
          </w:p>
          <w:p>
            <w:pPr>
              <w:pStyle w:val="TableParagraph"/>
              <w:spacing w:line="240" w:lineRule="auto" w:before="106"/>
              <w:ind w:left="588" w:right="0"/>
              <w:jc w:val="left"/>
              <w:rPr>
                <w:rFonts w:ascii="Times New Roman" w:hAnsi="Times New Roman" w:cs="Times New Roman" w:eastAsia="Times New Roman" w:hint="default"/>
                <w:sz w:val="18"/>
                <w:szCs w:val="18"/>
              </w:rPr>
            </w:pPr>
            <w:r>
              <w:rPr>
                <w:rFonts w:ascii="Times New Roman"/>
                <w:sz w:val="18"/>
              </w:rPr>
              <w:t>2.23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-14,308.39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161,325,5</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46.59</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-1,099,449.71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-1,939,968.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-1,939,968.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-3,039,41</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7.74</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166,886,61</w:t>
            </w:r>
          </w:p>
          <w:p>
            <w:pPr>
              <w:pStyle w:val="TableParagraph"/>
              <w:spacing w:line="240" w:lineRule="auto" w:before="106"/>
              <w:ind w:left="586" w:right="0"/>
              <w:jc w:val="left"/>
              <w:rPr>
                <w:rFonts w:ascii="Times New Roman" w:hAnsi="Times New Roman" w:cs="Times New Roman" w:eastAsia="Times New Roman" w:hint="default"/>
                <w:sz w:val="18"/>
                <w:szCs w:val="18"/>
              </w:rPr>
            </w:pPr>
            <w:r>
              <w:rPr>
                <w:rFonts w:ascii="Times New Roman"/>
                <w:sz w:val="18"/>
              </w:rPr>
              <w:t>6.94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166,886,61</w:t>
            </w:r>
          </w:p>
          <w:p>
            <w:pPr>
              <w:pStyle w:val="TableParagraph"/>
              <w:spacing w:line="240" w:lineRule="auto" w:before="106"/>
              <w:ind w:left="588" w:right="0"/>
              <w:jc w:val="left"/>
              <w:rPr>
                <w:rFonts w:ascii="Times New Roman" w:hAnsi="Times New Roman" w:cs="Times New Roman" w:eastAsia="Times New Roman" w:hint="default"/>
                <w:sz w:val="18"/>
                <w:szCs w:val="18"/>
              </w:rPr>
            </w:pPr>
            <w:r>
              <w:rPr>
                <w:rFonts w:ascii="Times New Roman"/>
                <w:sz w:val="18"/>
              </w:rPr>
              <w:t>6.94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166,886,6</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16.94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-5,705,485.93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3,169,524.9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3,183,833.3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-14,308.39</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-2,521,65</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2.61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-6,804,935.64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168,116,17</w:t>
            </w:r>
          </w:p>
          <w:p>
            <w:pPr>
              <w:pStyle w:val="TableParagraph"/>
              <w:spacing w:line="240" w:lineRule="auto" w:before="106"/>
              <w:ind w:left="586" w:right="0"/>
              <w:jc w:val="left"/>
              <w:rPr>
                <w:rFonts w:ascii="Times New Roman" w:hAnsi="Times New Roman" w:cs="Times New Roman" w:eastAsia="Times New Roman" w:hint="default"/>
                <w:sz w:val="18"/>
                <w:szCs w:val="18"/>
              </w:rPr>
            </w:pPr>
            <w:r>
              <w:rPr>
                <w:rFonts w:ascii="Times New Roman"/>
                <w:sz w:val="18"/>
              </w:rPr>
              <w:t>3.84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168,130,48</w:t>
            </w:r>
          </w:p>
          <w:p>
            <w:pPr>
              <w:pStyle w:val="TableParagraph"/>
              <w:spacing w:line="240" w:lineRule="auto" w:before="106"/>
              <w:ind w:left="588" w:right="0"/>
              <w:jc w:val="left"/>
              <w:rPr>
                <w:rFonts w:ascii="Times New Roman" w:hAnsi="Times New Roman" w:cs="Times New Roman" w:eastAsia="Times New Roman" w:hint="default"/>
                <w:sz w:val="18"/>
                <w:szCs w:val="18"/>
              </w:rPr>
            </w:pPr>
            <w:r>
              <w:rPr>
                <w:rFonts w:ascii="Times New Roman"/>
                <w:sz w:val="18"/>
              </w:rPr>
              <w:t>2.23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-14,308.39</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161,325,5</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46.59</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692" w:right="9065"/>
        <w:jc w:val="center"/>
        <w:rPr>
          <w:b w:val="0"/>
          <w:bCs w:val="0"/>
        </w:rPr>
      </w:pPr>
      <w:bookmarkStart w:name="58、专项储备" w:id="318"/>
      <w:bookmarkEnd w:id="31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692" w:right="9065"/>
        <w:jc w:val="center"/>
        <w:rPr>
          <w:b w:val="0"/>
          <w:bCs w:val="0"/>
        </w:rPr>
      </w:pPr>
      <w:bookmarkStart w:name="59、盈余公积" w:id="319"/>
      <w:bookmarkEnd w:id="31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176,810,095.85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20,566,813.16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197,376,909.01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176,810,095.85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20,566,813.16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197,376,909.01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0、未分配利润" w:id="320"/>
      <w:bookmarkEnd w:id="32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after="0" w:line="240" w:lineRule="auto"/>
        <w:jc w:val="right"/>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14" w:hRule="exact"/>
        </w:trPr>
        <w:tc>
          <w:tcPr>
            <w:tcW w:w="37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1,912,583,102.55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1,469,333,950.91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775,740.66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1,912,583,102.55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1,470,109,691.57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351,341,166.79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633,118,638.76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20,566,813.16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34,482,441.10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159,312,333.05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153,736,832.00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加：其他转入</w:t>
            </w:r>
          </w:p>
        </w:tc>
        <w:tc>
          <w:tcPr>
            <w:tcW w:w="2936"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-2,425,954.68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2,084,045,123.13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1,912,583,102.55</w:t>
            </w:r>
          </w:p>
        </w:tc>
      </w:tr>
    </w:tbl>
    <w:p>
      <w:pPr>
        <w:pStyle w:val="BodyText"/>
        <w:spacing w:line="240" w:lineRule="auto" w:before="51"/>
        <w:ind w:left="1134" w:right="0"/>
        <w:jc w:val="left"/>
      </w:pPr>
      <w:r>
        <w:rPr/>
        <w:t>由于同一控制导致的合并范围变更，影响期初未分配利润</w:t>
      </w:r>
      <w:r>
        <w:rPr>
          <w:spacing w:val="-46"/>
        </w:rPr>
        <w:t> </w:t>
      </w:r>
      <w:r>
        <w:rPr>
          <w:rFonts w:ascii="Times New Roman" w:hAnsi="Times New Roman" w:cs="Times New Roman" w:eastAsia="Times New Roman" w:hint="default"/>
        </w:rPr>
        <w:t>7,062,827.47</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133" w:right="0"/>
        <w:jc w:val="left"/>
        <w:rPr>
          <w:b w:val="0"/>
          <w:bCs w:val="0"/>
        </w:rPr>
      </w:pPr>
      <w:bookmarkStart w:name="61、营业收入和营业成本" w:id="321"/>
      <w:bookmarkEnd w:id="32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2,740,712,479.34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1,750,703,825.70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2,587,739,018.56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1,362,866,251.18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32,774,829.51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4,081,462.20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17,557,543.94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4,081,462.20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2,773,487,308.85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1,754,785,287.90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2,605,296,562.50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1,366,947,713.38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营业税金及附加" w:id="322"/>
      <w:bookmarkEnd w:id="322"/>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1,772,747.02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1,388,091.48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3,809,349.33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3,774,755.98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2,635,890.05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2,694,749.51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1,538,734.16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1,538,734.16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10,670.33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10,670.33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20,032.77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9,787,423.66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9,407,001.46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3、销售费用" w:id="323"/>
      <w:bookmarkEnd w:id="32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14" w:hRule="exact"/>
        </w:trPr>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48,825,319.69</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44,510,252.49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1,225,914.73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1,113,765.99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10,100,678.41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7,154,772.48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4,656,277.96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4,061,801.33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运输费、汽车车辆使用费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4,492,856.73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3,783,832.64</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广告费、展览费、宣传费、样品、样件 拍摄费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76,589,364.06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11,558,671.42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2,222,867.85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2,747,290.86</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办公费、电信费、水电费、通讯费、会 务费、董事会费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9,283,446.53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8,154,738.60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预计质保费用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1,678,602.76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3,496,846.79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佣金、配额费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252,308.97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4,066,059.16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1,980,747.70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商检费、测试费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43,860.37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163,190,854.25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88,819,223.27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管理费用" w:id="324"/>
      <w:bookmarkEnd w:id="32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387,421,564.61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355,097,998.95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22,164,893.35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21,937,743.85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26,273,844.15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16,008,685.40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办公费、电信费、水电费、通讯费、会 务费、董事会费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24,376,750.95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24,844,238.28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18,627,066.84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21,001,101.93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运输费、汽车车辆使用费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5,112,600.15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4,754,020.20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3,217,603.97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8,889,471.15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13,566.13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14,213.00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19,878,058.41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17,091,396.56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1,302,680.53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282,586.01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10,959,465.32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12,137,442.26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修理费、维修费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271,433.31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207,746.00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179,572.63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47,651.21</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14" w:hRule="exact"/>
        </w:trPr>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102,580.09</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59,082.46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22,859,813.29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24,521,082.00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2,049,513.71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3,156,680.72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5,291,321.38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4,986,542.62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-4,060,026.13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6,938,765.06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39,150,496.17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52,519,851.09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134,445.63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212,128.20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3,660,410.95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3,938,069.35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588,987,655.44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578,646,496.30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14"/>
          <w:szCs w:val="14"/>
        </w:rPr>
      </w:pPr>
    </w:p>
    <w:p>
      <w:pPr>
        <w:pStyle w:val="BodyText"/>
        <w:spacing w:line="451" w:lineRule="auto"/>
        <w:ind w:left="1134" w:right="1114" w:firstLine="360"/>
        <w:jc w:val="left"/>
      </w:pPr>
      <w:r>
        <w:rPr/>
        <w:t>本期公司确认股份支付的权益成本</w:t>
      </w:r>
      <w:r>
        <w:rPr>
          <w:rFonts w:ascii="Times New Roman" w:hAnsi="Times New Roman" w:cs="Times New Roman" w:eastAsia="Times New Roman" w:hint="default"/>
        </w:rPr>
        <w:t>3,302,402.10</w:t>
      </w:r>
      <w:r>
        <w:rPr/>
        <w:t>元，</w:t>
      </w:r>
      <w:r>
        <w:rPr>
          <w:spacing w:val="-37"/>
        </w:rPr>
        <w:t> </w:t>
      </w:r>
      <w:r>
        <w:rPr/>
        <w:t>另由于没有达到股权激励方案中的第四期业绩指标，冲减已确认的</w:t>
      </w:r>
      <w:r>
        <w:rPr/>
        <w:t> 第四期相关费用</w:t>
      </w:r>
      <w:r>
        <w:rPr>
          <w:rFonts w:ascii="Times New Roman" w:hAnsi="Times New Roman" w:cs="Times New Roman" w:eastAsia="Times New Roman" w:hint="default"/>
        </w:rPr>
        <w:t>7,362,428.23</w:t>
      </w:r>
      <w:r>
        <w:rPr/>
        <w:t>元。</w:t>
      </w:r>
    </w:p>
    <w:p>
      <w:pPr>
        <w:spacing w:line="240" w:lineRule="auto" w:before="6"/>
        <w:rPr>
          <w:rFonts w:ascii="宋体" w:hAnsi="宋体" w:cs="宋体" w:eastAsia="宋体" w:hint="default"/>
          <w:sz w:val="18"/>
          <w:szCs w:val="18"/>
        </w:rPr>
      </w:pPr>
    </w:p>
    <w:p>
      <w:pPr>
        <w:pStyle w:val="Heading3"/>
        <w:spacing w:line="240" w:lineRule="auto"/>
        <w:ind w:left="1133" w:right="0"/>
        <w:jc w:val="left"/>
        <w:rPr>
          <w:b w:val="0"/>
          <w:bCs w:val="0"/>
        </w:rPr>
      </w:pPr>
      <w:bookmarkStart w:name="65、财务费用" w:id="325"/>
      <w:bookmarkEnd w:id="32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2,316,929.16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2,865,362.74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13,978,973.38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13,277,436.69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-955,087.61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-8,008,379.38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-424,094.64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351,007.32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437,029.10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-12,690,219.15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-17,983,424.23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6、资产减值损失" w:id="326"/>
      <w:bookmarkEnd w:id="32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15,066,773.48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16,919,148.28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409,155.55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970,970.97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40,716,000.00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57,162,900.00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16,919,148.28</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67、公允价值变动收益" w:id="327"/>
      <w:bookmarkEnd w:id="32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68、投资收益" w:id="328"/>
      <w:bookmarkEnd w:id="32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11,555,622.47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77,051,714.31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-3,898,741.16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3,072,692.00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3,453,235.79</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24,536,585.80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股份注销确认权益工具形成收益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44,924,572.54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80,190,731.65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80,504,950.10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9、营业外收入" w:id="329"/>
      <w:bookmarkEnd w:id="329"/>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608,283.13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363,635.35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608,283.13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102,448.28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363,635.35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505,834.85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43,190,500.02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34,180,748.59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23,203,990.08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无需支付的股权转让款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4,921,017.73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4,921,017.73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638,201.09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1,874,493.58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638,201.09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49,358,001.97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36,418,877.52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29,371,492.03</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4" w:lineRule="auto" w:before="74"/>
              <w:ind w:left="225" w:right="77" w:hanging="150"/>
              <w:jc w:val="left"/>
              <w:rPr>
                <w:rFonts w:ascii="宋体" w:hAnsi="宋体" w:cs="宋体" w:eastAsia="宋体" w:hint="default"/>
                <w:sz w:val="15"/>
                <w:szCs w:val="15"/>
              </w:rPr>
            </w:pPr>
            <w:r>
              <w:rPr>
                <w:rFonts w:ascii="宋体" w:hAnsi="宋体" w:cs="宋体" w:eastAsia="宋体" w:hint="default"/>
                <w:sz w:val="15"/>
                <w:szCs w:val="15"/>
              </w:rPr>
              <w:t>补贴是否影响 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是否特殊补贴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6"/>
              <w:jc w:val="right"/>
              <w:rPr>
                <w:rFonts w:ascii="宋体" w:hAnsi="宋体" w:cs="宋体" w:eastAsia="宋体" w:hint="default"/>
                <w:sz w:val="15"/>
                <w:szCs w:val="15"/>
              </w:rPr>
            </w:pPr>
            <w:r>
              <w:rPr>
                <w:rFonts w:ascii="宋体" w:hAnsi="宋体" w:cs="宋体" w:eastAsia="宋体" w:hint="default"/>
                <w:sz w:val="15"/>
                <w:szCs w:val="15"/>
              </w:rPr>
              <w:t>本期发生金额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2" w:lineRule="auto" w:before="74"/>
              <w:ind w:left="226" w:right="53" w:hanging="171"/>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4"/>
              <w:ind w:left="22" w:right="80"/>
              <w:jc w:val="left"/>
              <w:rPr>
                <w:rFonts w:ascii="宋体" w:hAnsi="宋体" w:cs="宋体" w:eastAsia="宋体" w:hint="default"/>
                <w:sz w:val="15"/>
                <w:szCs w:val="15"/>
              </w:rPr>
            </w:pPr>
            <w:r>
              <w:rPr>
                <w:rFonts w:ascii="宋体" w:hAnsi="宋体" w:cs="宋体" w:eastAsia="宋体" w:hint="default"/>
                <w:sz w:val="15"/>
                <w:szCs w:val="15"/>
              </w:rPr>
              <w:t>递延收益</w:t>
            </w:r>
            <w:r>
              <w:rPr>
                <w:rFonts w:ascii="Times New Roman" w:hAnsi="Times New Roman" w:cs="Times New Roman" w:eastAsia="Times New Roman" w:hint="default"/>
                <w:sz w:val="15"/>
                <w:szCs w:val="15"/>
              </w:rPr>
              <w:t>-</w:t>
            </w:r>
            <w:r>
              <w:rPr>
                <w:rFonts w:ascii="宋体" w:hAnsi="宋体" w:cs="宋体" w:eastAsia="宋体" w:hint="default"/>
                <w:sz w:val="15"/>
                <w:szCs w:val="15"/>
              </w:rPr>
              <w:t>与收 益相关的政府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基于服务引擎 的复杂信息系 统一体化智能</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中华人民共和 国国家发展和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443,495.34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spacing w:after="0" w:line="240" w:lineRule="auto"/>
        <w:jc w:val="left"/>
        <w:rPr>
          <w:rFonts w:ascii="宋体" w:hAnsi="宋体" w:cs="宋体" w:eastAsia="宋体" w:hint="default"/>
          <w:sz w:val="15"/>
          <w:szCs w:val="15"/>
        </w:rPr>
        <w:sectPr>
          <w:pgSz w:w="11910" w:h="16840"/>
          <w:pgMar w:header="851" w:footer="979" w:top="138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6.459999pt;margin-top:71.699982pt;width:479.25pt;height:697.35pt;mso-position-horizontal-relative:page;mso-position-vertical-relative:page;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21" w:hRule="exact"/>
                    </w:trPr>
                    <w:tc>
                      <w:tcPr>
                        <w:tcW w:w="10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补助项目</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发放主体</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发放原因</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性质类型</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5" w:right="77" w:hanging="150"/>
                          <w:jc w:val="left"/>
                          <w:rPr>
                            <w:rFonts w:ascii="宋体" w:hAnsi="宋体" w:cs="宋体" w:eastAsia="宋体" w:hint="default"/>
                            <w:sz w:val="15"/>
                            <w:szCs w:val="15"/>
                          </w:rPr>
                        </w:pPr>
                        <w:r>
                          <w:rPr>
                            <w:rFonts w:ascii="宋体" w:hAnsi="宋体" w:cs="宋体" w:eastAsia="宋体" w:hint="default"/>
                            <w:sz w:val="15"/>
                            <w:szCs w:val="15"/>
                          </w:rPr>
                          <w:t>补贴是否影响 当年盈亏</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是否特殊补贴</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76"/>
                          <w:jc w:val="right"/>
                          <w:rPr>
                            <w:rFonts w:ascii="宋体" w:hAnsi="宋体" w:cs="宋体" w:eastAsia="宋体" w:hint="default"/>
                            <w:sz w:val="15"/>
                            <w:szCs w:val="15"/>
                          </w:rPr>
                        </w:pPr>
                        <w:r>
                          <w:rPr>
                            <w:rFonts w:ascii="宋体" w:hAnsi="宋体" w:cs="宋体" w:eastAsia="宋体" w:hint="default"/>
                            <w:sz w:val="15"/>
                            <w:szCs w:val="15"/>
                          </w:rPr>
                          <w:t>本期发生金额</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上期发生金额</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6" w:right="53" w:hanging="171"/>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3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运维平台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改革委员会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6"/>
                          <w:jc w:val="center"/>
                          <w:rPr>
                            <w:rFonts w:ascii="宋体" w:hAnsi="宋体" w:cs="宋体" w:eastAsia="宋体" w:hint="default"/>
                            <w:sz w:val="15"/>
                            <w:szCs w:val="15"/>
                          </w:rPr>
                        </w:pPr>
                        <w:r>
                          <w:rPr>
                            <w:rFonts w:ascii="宋体" w:hAnsi="宋体" w:cs="宋体" w:eastAsia="宋体" w:hint="default"/>
                            <w:sz w:val="15"/>
                            <w:szCs w:val="15"/>
                          </w:rPr>
                          <w:t>等获得的补助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智能运维技术 北京市工程实 验室</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北京市发展和 改革委员会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22"/>
                          <w:jc w:val="right"/>
                          <w:rPr>
                            <w:rFonts w:ascii="Times New Roman" w:hAnsi="Times New Roman" w:cs="Times New Roman" w:eastAsia="Times New Roman" w:hint="default"/>
                            <w:sz w:val="15"/>
                            <w:szCs w:val="15"/>
                          </w:rPr>
                        </w:pPr>
                        <w:r>
                          <w:rPr>
                            <w:rFonts w:ascii="Times New Roman"/>
                            <w:spacing w:val="-1"/>
                            <w:sz w:val="15"/>
                          </w:rPr>
                          <w:t>5,799,543.83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20"/>
                          <w:jc w:val="right"/>
                          <w:rPr>
                            <w:rFonts w:ascii="Times New Roman" w:hAnsi="Times New Roman" w:cs="Times New Roman" w:eastAsia="Times New Roman" w:hint="default"/>
                            <w:sz w:val="15"/>
                            <w:szCs w:val="15"/>
                          </w:rPr>
                        </w:pPr>
                        <w:r>
                          <w:rPr>
                            <w:rFonts w:ascii="Times New Roman"/>
                            <w:spacing w:val="-1"/>
                            <w:sz w:val="15"/>
                          </w:rPr>
                          <w:t>2,450,456.17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安全服务云中 心存储平台研 发与应用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27"/>
                          <w:jc w:val="both"/>
                          <w:rPr>
                            <w:rFonts w:ascii="宋体" w:hAnsi="宋体" w:cs="宋体" w:eastAsia="宋体" w:hint="default"/>
                            <w:sz w:val="15"/>
                            <w:szCs w:val="15"/>
                          </w:rPr>
                        </w:pPr>
                        <w:r>
                          <w:rPr>
                            <w:rFonts w:ascii="宋体" w:hAnsi="宋体" w:cs="宋体" w:eastAsia="宋体" w:hint="default"/>
                            <w:sz w:val="15"/>
                            <w:szCs w:val="15"/>
                          </w:rPr>
                          <w:t>中关村科技园 区海淀园管理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2"/>
                          <w:jc w:val="right"/>
                          <w:rPr>
                            <w:rFonts w:ascii="Times New Roman" w:hAnsi="Times New Roman" w:cs="Times New Roman" w:eastAsia="Times New Roman" w:hint="default"/>
                            <w:sz w:val="15"/>
                            <w:szCs w:val="15"/>
                          </w:rPr>
                        </w:pPr>
                        <w:r>
                          <w:rPr>
                            <w:rFonts w:ascii="Times New Roman"/>
                            <w:spacing w:val="-1"/>
                            <w:sz w:val="15"/>
                          </w:rPr>
                          <w:t>653,660.51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0"/>
                          <w:jc w:val="right"/>
                          <w:rPr>
                            <w:rFonts w:ascii="Times New Roman" w:hAnsi="Times New Roman" w:cs="Times New Roman" w:eastAsia="Times New Roman" w:hint="default"/>
                            <w:sz w:val="15"/>
                            <w:szCs w:val="15"/>
                          </w:rPr>
                        </w:pPr>
                        <w:r>
                          <w:rPr>
                            <w:rFonts w:ascii="Times New Roman"/>
                            <w:spacing w:val="-1"/>
                            <w:sz w:val="15"/>
                          </w:rPr>
                          <w:t>46,339.49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面向电信行业 的大数据分析 与管理平台研 发及产业化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中华人民共和 国工业和信息 化部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22"/>
                          <w:jc w:val="right"/>
                          <w:rPr>
                            <w:rFonts w:ascii="Times New Roman" w:hAnsi="Times New Roman" w:cs="Times New Roman" w:eastAsia="Times New Roman" w:hint="default"/>
                            <w:sz w:val="15"/>
                            <w:szCs w:val="15"/>
                          </w:rPr>
                        </w:pPr>
                        <w:r>
                          <w:rPr>
                            <w:rFonts w:ascii="Times New Roman"/>
                            <w:spacing w:val="-1"/>
                            <w:sz w:val="15"/>
                          </w:rPr>
                          <w:t>3,022,504.43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20"/>
                          <w:jc w:val="right"/>
                          <w:rPr>
                            <w:rFonts w:ascii="Times New Roman" w:hAnsi="Times New Roman" w:cs="Times New Roman" w:eastAsia="Times New Roman" w:hint="default"/>
                            <w:sz w:val="15"/>
                            <w:szCs w:val="15"/>
                          </w:rPr>
                        </w:pPr>
                        <w:r>
                          <w:rPr>
                            <w:rFonts w:ascii="Times New Roman"/>
                            <w:spacing w:val="-1"/>
                            <w:sz w:val="15"/>
                          </w:rPr>
                          <w:t>977,495.57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基于复杂信息 系统的大数据 智能运维分析 与管理平台</w:t>
                        </w:r>
                      </w:p>
                      <w:p>
                        <w:pPr>
                          <w:pStyle w:val="TableParagraph"/>
                          <w:spacing w:line="372" w:lineRule="auto" w:before="27"/>
                          <w:ind w:left="22" w:right="21"/>
                          <w:jc w:val="left"/>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年战略性 新兴产业发展 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北京市发展和 改革委员会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8,877,944.44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安全管控平台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北京市经济和 信息化委员会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6"/>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22"/>
                          <w:jc w:val="right"/>
                          <w:rPr>
                            <w:rFonts w:ascii="Times New Roman" w:hAnsi="Times New Roman" w:cs="Times New Roman" w:eastAsia="Times New Roman" w:hint="default"/>
                            <w:sz w:val="15"/>
                            <w:szCs w:val="15"/>
                          </w:rPr>
                        </w:pPr>
                        <w:r>
                          <w:rPr>
                            <w:rFonts w:ascii="Times New Roman"/>
                            <w:spacing w:val="-1"/>
                            <w:sz w:val="15"/>
                          </w:rPr>
                          <w:t>268,914.90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中关村知识产 权促进局专利 费用补贴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中关村企业信 用促进会中介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73,500.00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中关村企业信 用促进会中介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中关村企业信 用促进会中介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43,500.00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中关村企业信 用促进会信用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中关村企业信 用促进会中介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国家知识产权 局专利局北京 代办处专利资 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中关村企业信 用促进会中介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22"/>
                          <w:jc w:val="right"/>
                          <w:rPr>
                            <w:rFonts w:ascii="Times New Roman" w:hAnsi="Times New Roman" w:cs="Times New Roman" w:eastAsia="Times New Roman" w:hint="default"/>
                            <w:sz w:val="15"/>
                            <w:szCs w:val="15"/>
                          </w:rPr>
                        </w:pPr>
                        <w:r>
                          <w:rPr>
                            <w:rFonts w:ascii="Times New Roman"/>
                            <w:spacing w:val="-1"/>
                            <w:sz w:val="15"/>
                          </w:rPr>
                          <w:t>35,000.00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海淀区残疾人 劳动就业管理 服务所岗位补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中关村企业信 用促进会中介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22"/>
                          <w:jc w:val="right"/>
                          <w:rPr>
                            <w:rFonts w:ascii="Times New Roman" w:hAnsi="Times New Roman" w:cs="Times New Roman" w:eastAsia="Times New Roman" w:hint="default"/>
                            <w:sz w:val="15"/>
                            <w:szCs w:val="15"/>
                          </w:rPr>
                        </w:pPr>
                        <w:r>
                          <w:rPr>
                            <w:rFonts w:ascii="Times New Roman"/>
                            <w:spacing w:val="-1"/>
                            <w:sz w:val="15"/>
                          </w:rPr>
                          <w:t>77,000.00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中华人民共和</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中华人民共和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pacing w:val="-7"/>
                            <w:sz w:val="15"/>
                            <w:szCs w:val="15"/>
                          </w:rPr>
                          <w:t>因研究开发、技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6.459999pt;margin-top:71.699982pt;width:479.25pt;height:690.85pt;mso-position-horizontal-relative:page;mso-position-vertical-relative:page;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21" w:hRule="exact"/>
                    </w:trPr>
                    <w:tc>
                      <w:tcPr>
                        <w:tcW w:w="10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补助项目</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发放主体</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发放原因</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性质类型</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5" w:right="77" w:hanging="150"/>
                          <w:jc w:val="left"/>
                          <w:rPr>
                            <w:rFonts w:ascii="宋体" w:hAnsi="宋体" w:cs="宋体" w:eastAsia="宋体" w:hint="default"/>
                            <w:sz w:val="15"/>
                            <w:szCs w:val="15"/>
                          </w:rPr>
                        </w:pPr>
                        <w:r>
                          <w:rPr>
                            <w:rFonts w:ascii="宋体" w:hAnsi="宋体" w:cs="宋体" w:eastAsia="宋体" w:hint="default"/>
                            <w:sz w:val="15"/>
                            <w:szCs w:val="15"/>
                          </w:rPr>
                          <w:t>补贴是否影响 当年盈亏</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是否特殊补贴</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76"/>
                          <w:jc w:val="right"/>
                          <w:rPr>
                            <w:rFonts w:ascii="宋体" w:hAnsi="宋体" w:cs="宋体" w:eastAsia="宋体" w:hint="default"/>
                            <w:sz w:val="15"/>
                            <w:szCs w:val="15"/>
                          </w:rPr>
                        </w:pPr>
                        <w:r>
                          <w:rPr>
                            <w:rFonts w:ascii="宋体" w:hAnsi="宋体" w:cs="宋体" w:eastAsia="宋体" w:hint="default"/>
                            <w:sz w:val="15"/>
                            <w:szCs w:val="15"/>
                          </w:rPr>
                          <w:t>本期发生金额</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上期发生金额</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6" w:right="53" w:hanging="171"/>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8"/>
                          <w:jc w:val="center"/>
                          <w:rPr>
                            <w:rFonts w:ascii="宋体" w:hAnsi="宋体" w:cs="宋体" w:eastAsia="宋体" w:hint="default"/>
                            <w:sz w:val="15"/>
                            <w:szCs w:val="15"/>
                          </w:rPr>
                        </w:pPr>
                        <w:r>
                          <w:rPr>
                            <w:rFonts w:ascii="宋体" w:hAnsi="宋体" w:cs="宋体" w:eastAsia="宋体" w:hint="default"/>
                            <w:sz w:val="15"/>
                            <w:szCs w:val="15"/>
                          </w:rPr>
                          <w:t>国财政部款项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国财政部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33"/>
                          <w:ind w:left="22" w:right="129"/>
                          <w:jc w:val="left"/>
                          <w:rPr>
                            <w:rFonts w:ascii="宋体" w:hAnsi="宋体" w:cs="宋体" w:eastAsia="宋体" w:hint="default"/>
                            <w:sz w:val="15"/>
                            <w:szCs w:val="15"/>
                          </w:rPr>
                        </w:pP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中国移动通信 集团设计院有 限公司基金项 目尾款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中国移动通信 集团设计院有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22"/>
                          <w:jc w:val="right"/>
                          <w:rPr>
                            <w:rFonts w:ascii="Times New Roman" w:hAnsi="Times New Roman" w:cs="Times New Roman" w:eastAsia="Times New Roman" w:hint="default"/>
                            <w:sz w:val="15"/>
                            <w:szCs w:val="15"/>
                          </w:rPr>
                        </w:pPr>
                        <w:r>
                          <w:rPr>
                            <w:rFonts w:ascii="Times New Roman"/>
                            <w:spacing w:val="-1"/>
                            <w:sz w:val="15"/>
                          </w:rPr>
                          <w:t>700,000.00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首都知识产权 服务业协会专 利资金补贴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首都知识产权 服务业协会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2"/>
                          <w:jc w:val="right"/>
                          <w:rPr>
                            <w:rFonts w:ascii="Times New Roman" w:hAnsi="Times New Roman" w:cs="Times New Roman" w:eastAsia="Times New Roman" w:hint="default"/>
                            <w:sz w:val="15"/>
                            <w:szCs w:val="15"/>
                          </w:rPr>
                        </w:pPr>
                        <w:r>
                          <w:rPr>
                            <w:rFonts w:ascii="Times New Roman"/>
                            <w:spacing w:val="-1"/>
                            <w:sz w:val="15"/>
                          </w:rPr>
                          <w:t>49,000.00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北京中关村企 业信用促进会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北京中关村企 业信用促进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1"/>
                          <w:jc w:val="right"/>
                          <w:rPr>
                            <w:rFonts w:ascii="Times New Roman" w:hAnsi="Times New Roman" w:cs="Times New Roman" w:eastAsia="Times New Roman" w:hint="default"/>
                            <w:sz w:val="15"/>
                            <w:szCs w:val="15"/>
                          </w:rPr>
                        </w:pPr>
                        <w:r>
                          <w:rPr>
                            <w:rFonts w:ascii="Times New Roman"/>
                            <w:spacing w:val="-1"/>
                            <w:sz w:val="15"/>
                          </w:rPr>
                          <w:t>9,200.00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5"/>
                          <w:ind w:left="22" w:right="80"/>
                          <w:jc w:val="both"/>
                          <w:rPr>
                            <w:rFonts w:ascii="宋体" w:hAnsi="宋体" w:cs="宋体" w:eastAsia="宋体" w:hint="default"/>
                            <w:sz w:val="15"/>
                            <w:szCs w:val="15"/>
                          </w:rPr>
                        </w:pPr>
                        <w:r>
                          <w:rPr>
                            <w:rFonts w:ascii="宋体" w:hAnsi="宋体" w:cs="宋体" w:eastAsia="宋体" w:hint="default"/>
                            <w:sz w:val="15"/>
                            <w:szCs w:val="15"/>
                          </w:rPr>
                          <w:t>中关村企业信 用促进会</w:t>
                        </w:r>
                        <w:r>
                          <w:rPr>
                            <w:rFonts w:ascii="Times New Roman" w:hAnsi="Times New Roman" w:cs="Times New Roman" w:eastAsia="Times New Roman" w:hint="default"/>
                            <w:sz w:val="15"/>
                            <w:szCs w:val="15"/>
                          </w:rPr>
                          <w:t>-</w:t>
                        </w:r>
                        <w:r>
                          <w:rPr>
                            <w:rFonts w:ascii="宋体" w:hAnsi="宋体" w:cs="宋体" w:eastAsia="宋体" w:hint="default"/>
                            <w:sz w:val="15"/>
                            <w:szCs w:val="15"/>
                          </w:rPr>
                          <w:t>信用 评级补贴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中关村企业信 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2"/>
                          <w:jc w:val="right"/>
                          <w:rPr>
                            <w:rFonts w:ascii="Times New Roman" w:hAnsi="Times New Roman" w:cs="Times New Roman" w:eastAsia="Times New Roman" w:hint="default"/>
                            <w:sz w:val="15"/>
                            <w:szCs w:val="15"/>
                          </w:rPr>
                        </w:pPr>
                        <w:r>
                          <w:rPr>
                            <w:rFonts w:ascii="Times New Roman"/>
                            <w:spacing w:val="-1"/>
                            <w:sz w:val="15"/>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75"/>
                          <w:ind w:left="22" w:right="81"/>
                          <w:jc w:val="left"/>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年安排残 疾人应业岗位 补贴</w:t>
                        </w:r>
                        <w:r>
                          <w:rPr>
                            <w:rFonts w:ascii="Times New Roman" w:hAnsi="Times New Roman" w:cs="Times New Roman" w:eastAsia="Times New Roman" w:hint="default"/>
                            <w:sz w:val="15"/>
                            <w:szCs w:val="15"/>
                          </w:rPr>
                          <w:t>-</w:t>
                        </w:r>
                        <w:r>
                          <w:rPr>
                            <w:rFonts w:ascii="宋体" w:hAnsi="宋体" w:cs="宋体" w:eastAsia="宋体" w:hint="default"/>
                            <w:sz w:val="15"/>
                            <w:szCs w:val="15"/>
                          </w:rPr>
                          <w:t>北京市海 淀区残疾人劳 动就业管理服 务所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北京市海淀区 残疾人劳动就 业管理服务所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2"/>
                          <w:jc w:val="right"/>
                          <w:rPr>
                            <w:rFonts w:ascii="Times New Roman" w:hAnsi="Times New Roman" w:cs="Times New Roman" w:eastAsia="Times New Roman" w:hint="default"/>
                            <w:sz w:val="15"/>
                            <w:szCs w:val="15"/>
                          </w:rPr>
                        </w:pPr>
                        <w:r>
                          <w:rPr>
                            <w:rFonts w:ascii="Times New Roman"/>
                            <w:spacing w:val="-1"/>
                            <w:sz w:val="15"/>
                          </w:rPr>
                          <w:t>160,000.00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4"/>
                          <w:ind w:left="22" w:right="80"/>
                          <w:jc w:val="both"/>
                          <w:rPr>
                            <w:rFonts w:ascii="宋体" w:hAnsi="宋体" w:cs="宋体" w:eastAsia="宋体" w:hint="default"/>
                            <w:sz w:val="15"/>
                            <w:szCs w:val="15"/>
                          </w:rPr>
                        </w:pPr>
                        <w:r>
                          <w:rPr>
                            <w:rFonts w:ascii="宋体" w:hAnsi="宋体" w:cs="宋体" w:eastAsia="宋体" w:hint="default"/>
                            <w:sz w:val="15"/>
                            <w:szCs w:val="15"/>
                          </w:rPr>
                          <w:t>中关村知识产 权促进局</w:t>
                        </w:r>
                        <w:r>
                          <w:rPr>
                            <w:rFonts w:ascii="Times New Roman" w:hAnsi="Times New Roman" w:cs="Times New Roman" w:eastAsia="Times New Roman" w:hint="default"/>
                            <w:sz w:val="15"/>
                            <w:szCs w:val="15"/>
                          </w:rPr>
                          <w:t>-</w:t>
                        </w:r>
                        <w:r>
                          <w:rPr>
                            <w:rFonts w:ascii="宋体" w:hAnsi="宋体" w:cs="宋体" w:eastAsia="宋体" w:hint="default"/>
                            <w:sz w:val="15"/>
                            <w:szCs w:val="15"/>
                          </w:rPr>
                          <w:t>专利 资助金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中关村知识产 权促进局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149,500.00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74"/>
                          <w:ind w:left="22" w:right="80"/>
                          <w:jc w:val="both"/>
                          <w:rPr>
                            <w:rFonts w:ascii="宋体" w:hAnsi="宋体" w:cs="宋体" w:eastAsia="宋体" w:hint="default"/>
                            <w:sz w:val="15"/>
                            <w:szCs w:val="15"/>
                          </w:rPr>
                        </w:pPr>
                        <w:r>
                          <w:rPr>
                            <w:rFonts w:ascii="宋体" w:hAnsi="宋体" w:cs="宋体" w:eastAsia="宋体" w:hint="default"/>
                            <w:sz w:val="15"/>
                            <w:szCs w:val="15"/>
                          </w:rPr>
                          <w:t>国家知识产权 局专利局北京 代办处</w:t>
                        </w:r>
                        <w:r>
                          <w:rPr>
                            <w:rFonts w:ascii="Times New Roman" w:hAnsi="Times New Roman" w:cs="Times New Roman" w:eastAsia="Times New Roman" w:hint="default"/>
                            <w:sz w:val="15"/>
                            <w:szCs w:val="15"/>
                          </w:rPr>
                          <w:t>-</w:t>
                        </w:r>
                        <w:r>
                          <w:rPr>
                            <w:rFonts w:ascii="宋体" w:hAnsi="宋体" w:cs="宋体" w:eastAsia="宋体" w:hint="default"/>
                            <w:sz w:val="15"/>
                            <w:szCs w:val="15"/>
                          </w:rPr>
                          <w:t>专利资 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国家知识产权 局专利局北京 代办处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22"/>
                          <w:jc w:val="right"/>
                          <w:rPr>
                            <w:rFonts w:ascii="Times New Roman" w:hAnsi="Times New Roman" w:cs="Times New Roman" w:eastAsia="Times New Roman" w:hint="default"/>
                            <w:sz w:val="15"/>
                            <w:szCs w:val="15"/>
                          </w:rPr>
                        </w:pPr>
                        <w:r>
                          <w:rPr>
                            <w:rFonts w:ascii="Times New Roman"/>
                            <w:spacing w:val="-1"/>
                            <w:sz w:val="15"/>
                          </w:rPr>
                          <w:t>95,000.00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74"/>
                          <w:ind w:left="22" w:right="31"/>
                          <w:jc w:val="left"/>
                          <w:rPr>
                            <w:rFonts w:ascii="宋体" w:hAnsi="宋体" w:cs="宋体" w:eastAsia="宋体" w:hint="default"/>
                            <w:sz w:val="15"/>
                            <w:szCs w:val="15"/>
                          </w:rPr>
                        </w:pPr>
                        <w:r>
                          <w:rPr>
                            <w:rFonts w:ascii="宋体" w:hAnsi="宋体" w:cs="宋体" w:eastAsia="宋体" w:hint="default"/>
                            <w:sz w:val="15"/>
                            <w:szCs w:val="15"/>
                          </w:rPr>
                          <w:t>中关村科技园 区管理委员会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w:t>
                        </w:r>
                        <w:r>
                          <w:rPr>
                            <w:rFonts w:ascii="Times New Roman" w:hAnsi="Times New Roman" w:cs="Times New Roman" w:eastAsia="Times New Roman" w:hint="default"/>
                            <w:sz w:val="15"/>
                            <w:szCs w:val="15"/>
                          </w:rPr>
                          <w:t>"</w:t>
                        </w:r>
                        <w:r>
                          <w:rPr>
                            <w:rFonts w:ascii="宋体" w:hAnsi="宋体" w:cs="宋体" w:eastAsia="宋体" w:hint="default"/>
                            <w:sz w:val="15"/>
                            <w:szCs w:val="15"/>
                          </w:rPr>
                          <w:t>十百 千工程</w:t>
                        </w:r>
                        <w:r>
                          <w:rPr>
                            <w:rFonts w:ascii="Times New Roman" w:hAnsi="Times New Roman" w:cs="Times New Roman" w:eastAsia="Times New Roman" w:hint="default"/>
                            <w:sz w:val="15"/>
                            <w:szCs w:val="15"/>
                          </w:rPr>
                          <w:t>"</w:t>
                        </w:r>
                        <w:r>
                          <w:rPr>
                            <w:rFonts w:ascii="宋体" w:hAnsi="宋体" w:cs="宋体" w:eastAsia="宋体" w:hint="default"/>
                            <w:sz w:val="15"/>
                            <w:szCs w:val="15"/>
                          </w:rPr>
                          <w:t>培育企 业</w:t>
                        </w:r>
                        <w:r>
                          <w:rPr>
                            <w:rFonts w:ascii="Times New Roman" w:hAnsi="Times New Roman" w:cs="Times New Roman" w:eastAsia="Times New Roman" w:hint="default"/>
                            <w:sz w:val="15"/>
                            <w:szCs w:val="15"/>
                          </w:rPr>
                          <w:t>"</w:t>
                        </w:r>
                        <w:r>
                          <w:rPr>
                            <w:rFonts w:ascii="宋体" w:hAnsi="宋体" w:cs="宋体" w:eastAsia="宋体" w:hint="default"/>
                            <w:sz w:val="15"/>
                            <w:szCs w:val="15"/>
                          </w:rPr>
                          <w:t>加大研发投 入</w:t>
                        </w:r>
                        <w:r>
                          <w:rPr>
                            <w:rFonts w:ascii="Times New Roman" w:hAnsi="Times New Roman" w:cs="Times New Roman" w:eastAsia="Times New Roman" w:hint="default"/>
                            <w:sz w:val="15"/>
                            <w:szCs w:val="15"/>
                          </w:rPr>
                          <w:t>"</w:t>
                        </w:r>
                        <w:r>
                          <w:rPr>
                            <w:rFonts w:ascii="宋体" w:hAnsi="宋体" w:cs="宋体" w:eastAsia="宋体" w:hint="default"/>
                            <w:sz w:val="15"/>
                            <w:szCs w:val="15"/>
                          </w:rPr>
                          <w:t>资金支持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中关村科技园 区管理委员会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2"/>
                          <w:jc w:val="right"/>
                          <w:rPr>
                            <w:rFonts w:ascii="Times New Roman" w:hAnsi="Times New Roman" w:cs="Times New Roman" w:eastAsia="Times New Roman" w:hint="default"/>
                            <w:sz w:val="15"/>
                            <w:szCs w:val="15"/>
                          </w:rPr>
                        </w:pPr>
                        <w:r>
                          <w:rPr>
                            <w:rFonts w:ascii="Times New Roman"/>
                            <w:spacing w:val="-1"/>
                            <w:sz w:val="15"/>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中关村技术创 新能力建设专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7"/>
                          <w:jc w:val="both"/>
                          <w:rPr>
                            <w:rFonts w:ascii="宋体" w:hAnsi="宋体" w:cs="宋体" w:eastAsia="宋体" w:hint="default"/>
                            <w:sz w:val="15"/>
                            <w:szCs w:val="15"/>
                          </w:rPr>
                        </w:pPr>
                        <w:r>
                          <w:rPr>
                            <w:rFonts w:ascii="宋体" w:hAnsi="宋体" w:cs="宋体" w:eastAsia="宋体" w:hint="default"/>
                            <w:sz w:val="15"/>
                            <w:szCs w:val="15"/>
                          </w:rPr>
                          <w:t>中关村科技园 区海淀园管理 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2"/>
                          <w:jc w:val="right"/>
                          <w:rPr>
                            <w:rFonts w:ascii="Times New Roman" w:hAnsi="Times New Roman" w:cs="Times New Roman" w:eastAsia="Times New Roman" w:hint="default"/>
                            <w:sz w:val="15"/>
                            <w:szCs w:val="15"/>
                          </w:rPr>
                        </w:pPr>
                        <w:r>
                          <w:rPr>
                            <w:rFonts w:ascii="Times New Roman"/>
                            <w:spacing w:val="-1"/>
                            <w:sz w:val="15"/>
                          </w:rPr>
                          <w:t>133,000.00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left"/>
                          <w:rPr>
                            <w:rFonts w:ascii="宋体" w:hAnsi="宋体" w:cs="宋体" w:eastAsia="宋体" w:hint="default"/>
                            <w:sz w:val="15"/>
                            <w:szCs w:val="15"/>
                          </w:rPr>
                        </w:pPr>
                        <w:r>
                          <w:rPr>
                            <w:rFonts w:ascii="宋体" w:hAnsi="宋体" w:cs="宋体" w:eastAsia="宋体" w:hint="default"/>
                            <w:sz w:val="15"/>
                            <w:szCs w:val="15"/>
                          </w:rPr>
                          <w:t>中关村科技园 区海淀园管理</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7"/>
                          <w:jc w:val="left"/>
                          <w:rPr>
                            <w:rFonts w:ascii="宋体" w:hAnsi="宋体" w:cs="宋体" w:eastAsia="宋体" w:hint="default"/>
                            <w:sz w:val="15"/>
                            <w:szCs w:val="15"/>
                          </w:rPr>
                        </w:pPr>
                        <w:r>
                          <w:rPr>
                            <w:rFonts w:ascii="宋体" w:hAnsi="宋体" w:cs="宋体" w:eastAsia="宋体" w:hint="default"/>
                            <w:sz w:val="15"/>
                            <w:szCs w:val="15"/>
                          </w:rPr>
                          <w:t>中关村科技园 区海淀园管理</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2"/>
                          <w:jc w:val="right"/>
                          <w:rPr>
                            <w:rFonts w:ascii="Times New Roman" w:hAnsi="Times New Roman" w:cs="Times New Roman" w:eastAsia="Times New Roman" w:hint="default"/>
                            <w:sz w:val="15"/>
                            <w:szCs w:val="15"/>
                          </w:rPr>
                        </w:pPr>
                        <w:r>
                          <w:rPr>
                            <w:rFonts w:ascii="Times New Roman"/>
                            <w:spacing w:val="-1"/>
                            <w:sz w:val="15"/>
                          </w:rPr>
                          <w:t>47,200.00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6.459999pt;margin-top:71.699982pt;width:479.25pt;height:683.85pt;mso-position-horizontal-relative:page;mso-position-vertical-relative:page;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21" w:hRule="exact"/>
                    </w:trPr>
                    <w:tc>
                      <w:tcPr>
                        <w:tcW w:w="10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补助项目</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发放主体</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发放原因</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性质类型</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5" w:right="77" w:hanging="150"/>
                          <w:jc w:val="left"/>
                          <w:rPr>
                            <w:rFonts w:ascii="宋体" w:hAnsi="宋体" w:cs="宋体" w:eastAsia="宋体" w:hint="default"/>
                            <w:sz w:val="15"/>
                            <w:szCs w:val="15"/>
                          </w:rPr>
                        </w:pPr>
                        <w:r>
                          <w:rPr>
                            <w:rFonts w:ascii="宋体" w:hAnsi="宋体" w:cs="宋体" w:eastAsia="宋体" w:hint="default"/>
                            <w:sz w:val="15"/>
                            <w:szCs w:val="15"/>
                          </w:rPr>
                          <w:t>补贴是否影响 当年盈亏</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是否特殊补贴</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76"/>
                          <w:jc w:val="right"/>
                          <w:rPr>
                            <w:rFonts w:ascii="宋体" w:hAnsi="宋体" w:cs="宋体" w:eastAsia="宋体" w:hint="default"/>
                            <w:sz w:val="15"/>
                            <w:szCs w:val="15"/>
                          </w:rPr>
                        </w:pPr>
                        <w:r>
                          <w:rPr>
                            <w:rFonts w:ascii="宋体" w:hAnsi="宋体" w:cs="宋体" w:eastAsia="宋体" w:hint="default"/>
                            <w:sz w:val="15"/>
                            <w:szCs w:val="15"/>
                          </w:rPr>
                          <w:t>本期发生金额</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上期发生金额</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6" w:right="53" w:hanging="171"/>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2" w:right="131"/>
                          <w:jc w:val="both"/>
                          <w:rPr>
                            <w:rFonts w:ascii="宋体" w:hAnsi="宋体" w:cs="宋体" w:eastAsia="宋体" w:hint="default"/>
                            <w:sz w:val="15"/>
                            <w:szCs w:val="15"/>
                          </w:rPr>
                        </w:pPr>
                        <w:r>
                          <w:rPr>
                            <w:rFonts w:ascii="宋体" w:hAnsi="宋体" w:cs="宋体" w:eastAsia="宋体" w:hint="default"/>
                            <w:sz w:val="15"/>
                            <w:szCs w:val="15"/>
                          </w:rPr>
                          <w:t>委员会协同创 新服务平台购 买研发服务补 贴专项资金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6"/>
                          <w:jc w:val="center"/>
                          <w:rPr>
                            <w:rFonts w:ascii="宋体" w:hAnsi="宋体" w:cs="宋体" w:eastAsia="宋体" w:hint="default"/>
                            <w:sz w:val="15"/>
                            <w:szCs w:val="15"/>
                          </w:rPr>
                        </w:pPr>
                        <w:r>
                          <w:rPr>
                            <w:rFonts w:ascii="宋体" w:hAnsi="宋体" w:cs="宋体" w:eastAsia="宋体" w:hint="default"/>
                            <w:sz w:val="15"/>
                            <w:szCs w:val="15"/>
                          </w:rPr>
                          <w:t>等获得的补助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75"/>
                          <w:ind w:left="22" w:right="22"/>
                          <w:jc w:val="left"/>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年重大专 </w:t>
                        </w:r>
                        <w:r>
                          <w:rPr>
                            <w:rFonts w:ascii="宋体" w:hAnsi="宋体" w:cs="宋体" w:eastAsia="宋体" w:hint="default"/>
                            <w:spacing w:val="-6"/>
                            <w:sz w:val="15"/>
                            <w:szCs w:val="15"/>
                          </w:rPr>
                          <w:t>项《面向移动互</w:t>
                        </w:r>
                        <w:r>
                          <w:rPr>
                            <w:rFonts w:ascii="宋体" w:hAnsi="宋体" w:cs="宋体" w:eastAsia="宋体" w:hint="default"/>
                            <w:sz w:val="15"/>
                            <w:szCs w:val="15"/>
                          </w:rPr>
                          <w:t> 联网的网络协 同及融合体系 与关键技术研 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海淀区残疾人 劳动就业管理 服务所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2"/>
                          <w:jc w:val="right"/>
                          <w:rPr>
                            <w:rFonts w:ascii="Times New Roman" w:hAnsi="Times New Roman" w:cs="Times New Roman" w:eastAsia="Times New Roman" w:hint="default"/>
                            <w:sz w:val="15"/>
                            <w:szCs w:val="15"/>
                          </w:rPr>
                        </w:pPr>
                        <w:r>
                          <w:rPr>
                            <w:rFonts w:ascii="Times New Roman"/>
                            <w:spacing w:val="-1"/>
                            <w:sz w:val="15"/>
                          </w:rPr>
                          <w:t>-9,100.00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74" w:lineRule="auto"/>
                          <w:ind w:left="22" w:right="80"/>
                          <w:jc w:val="both"/>
                          <w:rPr>
                            <w:rFonts w:ascii="宋体" w:hAnsi="宋体" w:cs="宋体" w:eastAsia="宋体" w:hint="default"/>
                            <w:sz w:val="15"/>
                            <w:szCs w:val="15"/>
                          </w:rPr>
                        </w:pPr>
                        <w:r>
                          <w:rPr>
                            <w:rFonts w:ascii="宋体" w:hAnsi="宋体" w:cs="宋体" w:eastAsia="宋体" w:hint="default"/>
                            <w:sz w:val="15"/>
                            <w:szCs w:val="15"/>
                          </w:rPr>
                          <w:t>海淀区残疾人 劳动就业管理 服务所</w:t>
                        </w:r>
                        <w:r>
                          <w:rPr>
                            <w:rFonts w:ascii="Times New Roman" w:hAnsi="Times New Roman" w:cs="Times New Roman" w:eastAsia="Times New Roman" w:hint="default"/>
                            <w:sz w:val="15"/>
                            <w:szCs w:val="15"/>
                          </w:rPr>
                          <w:t>-</w:t>
                        </w:r>
                        <w:r>
                          <w:rPr>
                            <w:rFonts w:ascii="宋体" w:hAnsi="宋体" w:cs="宋体" w:eastAsia="宋体" w:hint="default"/>
                            <w:sz w:val="15"/>
                            <w:szCs w:val="15"/>
                          </w:rPr>
                          <w:t>岗位补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海淀区残疾人 劳动就业管理 服务所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29"/>
                          <w:jc w:val="both"/>
                          <w:rPr>
                            <w:rFonts w:ascii="宋体" w:hAnsi="宋体" w:cs="宋体" w:eastAsia="宋体" w:hint="default"/>
                            <w:sz w:val="15"/>
                            <w:szCs w:val="15"/>
                          </w:rPr>
                        </w:pPr>
                        <w:r>
                          <w:rPr>
                            <w:rFonts w:ascii="宋体" w:hAnsi="宋体" w:cs="宋体" w:eastAsia="宋体" w:hint="default"/>
                            <w:sz w:val="15"/>
                            <w:szCs w:val="15"/>
                          </w:rPr>
                          <w:t>因承担国家为 保障某种公用 事业或社会必 要产品供应或 价格控制职能 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2"/>
                          <w:jc w:val="right"/>
                          <w:rPr>
                            <w:rFonts w:ascii="Times New Roman" w:hAnsi="Times New Roman" w:cs="Times New Roman" w:eastAsia="Times New Roman" w:hint="default"/>
                            <w:sz w:val="15"/>
                            <w:szCs w:val="15"/>
                          </w:rPr>
                        </w:pPr>
                        <w:r>
                          <w:rPr>
                            <w:rFonts w:ascii="Times New Roman"/>
                            <w:spacing w:val="-1"/>
                            <w:sz w:val="15"/>
                          </w:rPr>
                          <w:t>14,000.00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81" w:lineRule="auto"/>
                          <w:ind w:left="22" w:right="131"/>
                          <w:jc w:val="both"/>
                          <w:rPr>
                            <w:rFonts w:ascii="宋体" w:hAnsi="宋体" w:cs="宋体" w:eastAsia="宋体" w:hint="default"/>
                            <w:sz w:val="15"/>
                            <w:szCs w:val="15"/>
                          </w:rPr>
                        </w:pPr>
                        <w:r>
                          <w:rPr>
                            <w:rFonts w:ascii="宋体" w:hAnsi="宋体" w:cs="宋体" w:eastAsia="宋体" w:hint="default"/>
                            <w:sz w:val="15"/>
                            <w:szCs w:val="15"/>
                          </w:rPr>
                          <w:t>科技型中小企 业技术创新基 金无偿资助项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海淀区残疾人 劳动就业管理 服务所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29"/>
                          <w:jc w:val="both"/>
                          <w:rPr>
                            <w:rFonts w:ascii="宋体" w:hAnsi="宋体" w:cs="宋体" w:eastAsia="宋体" w:hint="default"/>
                            <w:sz w:val="15"/>
                            <w:szCs w:val="15"/>
                          </w:rPr>
                        </w:pPr>
                        <w:r>
                          <w:rPr>
                            <w:rFonts w:ascii="宋体" w:hAnsi="宋体" w:cs="宋体" w:eastAsia="宋体" w:hint="default"/>
                            <w:sz w:val="15"/>
                            <w:szCs w:val="15"/>
                          </w:rPr>
                          <w:t>因承担国家为 保障某种公用 事业或社会必 要产品供应或 价格控制职能 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right="22"/>
                          <w:jc w:val="right"/>
                          <w:rPr>
                            <w:rFonts w:ascii="Times New Roman" w:hAnsi="Times New Roman" w:cs="Times New Roman" w:eastAsia="Times New Roman" w:hint="default"/>
                            <w:sz w:val="15"/>
                            <w:szCs w:val="15"/>
                          </w:rPr>
                        </w:pPr>
                        <w:r>
                          <w:rPr>
                            <w:rFonts w:ascii="Times New Roman"/>
                            <w:spacing w:val="-1"/>
                            <w:sz w:val="15"/>
                          </w:rPr>
                          <w:t>204,166.67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74" w:lineRule="auto"/>
                          <w:ind w:left="22" w:right="80"/>
                          <w:jc w:val="both"/>
                          <w:rPr>
                            <w:rFonts w:ascii="宋体" w:hAnsi="宋体" w:cs="宋体" w:eastAsia="宋体" w:hint="default"/>
                            <w:sz w:val="15"/>
                            <w:szCs w:val="15"/>
                          </w:rPr>
                        </w:pPr>
                        <w:r>
                          <w:rPr>
                            <w:rFonts w:ascii="宋体" w:hAnsi="宋体" w:cs="宋体" w:eastAsia="宋体" w:hint="default"/>
                            <w:sz w:val="15"/>
                            <w:szCs w:val="15"/>
                          </w:rPr>
                          <w:t>海淀区残疾人 劳动就业管理 服务所</w:t>
                        </w:r>
                        <w:r>
                          <w:rPr>
                            <w:rFonts w:ascii="Times New Roman" w:hAnsi="Times New Roman" w:cs="Times New Roman" w:eastAsia="Times New Roman" w:hint="default"/>
                            <w:sz w:val="15"/>
                            <w:szCs w:val="15"/>
                          </w:rPr>
                          <w:t>-</w:t>
                        </w:r>
                        <w:r>
                          <w:rPr>
                            <w:rFonts w:ascii="宋体" w:hAnsi="宋体" w:cs="宋体" w:eastAsia="宋体" w:hint="default"/>
                            <w:sz w:val="15"/>
                            <w:szCs w:val="15"/>
                          </w:rPr>
                          <w:t>岗位补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国家专利局北 京代办处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both"/>
                          <w:rPr>
                            <w:rFonts w:ascii="宋体" w:hAnsi="宋体" w:cs="宋体" w:eastAsia="宋体" w:hint="default"/>
                            <w:sz w:val="15"/>
                            <w:szCs w:val="15"/>
                          </w:rPr>
                        </w:pPr>
                        <w:r>
                          <w:rPr>
                            <w:rFonts w:ascii="宋体" w:hAnsi="宋体" w:cs="宋体" w:eastAsia="宋体" w:hint="default"/>
                            <w:sz w:val="15"/>
                            <w:szCs w:val="15"/>
                          </w:rPr>
                          <w:t>因承担国家为 保障某种公用 事业或社会必 要产品供应或 价格控制职能 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1"/>
                          <w:jc w:val="right"/>
                          <w:rPr>
                            <w:rFonts w:ascii="Times New Roman" w:hAnsi="Times New Roman" w:cs="Times New Roman" w:eastAsia="Times New Roman" w:hint="default"/>
                            <w:sz w:val="15"/>
                            <w:szCs w:val="15"/>
                          </w:rPr>
                        </w:pPr>
                        <w:r>
                          <w:rPr>
                            <w:rFonts w:ascii="Times New Roman"/>
                            <w:spacing w:val="-1"/>
                            <w:sz w:val="15"/>
                          </w:rPr>
                          <w:t>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国家专利局北 京代办处专利 资助金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国家专利局北 京代办处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131"/>
                          <w:jc w:val="left"/>
                          <w:rPr>
                            <w:rFonts w:ascii="宋体" w:hAnsi="宋体" w:cs="宋体" w:eastAsia="宋体" w:hint="default"/>
                            <w:sz w:val="15"/>
                            <w:szCs w:val="15"/>
                          </w:rPr>
                        </w:pPr>
                        <w:r>
                          <w:rPr>
                            <w:rFonts w:ascii="宋体" w:hAnsi="宋体" w:cs="宋体" w:eastAsia="宋体" w:hint="default"/>
                            <w:sz w:val="15"/>
                            <w:szCs w:val="15"/>
                          </w:rPr>
                          <w:t>高桥镇政府政 策兑现补助款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高桥镇政府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奖励上市而给 予的政府补助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25,500.00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高桥镇补助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高桥镇政府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奖励上市而给 予的政府补助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605,252.00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75"/>
                          <w:ind w:left="22" w:right="93"/>
                          <w:jc w:val="both"/>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年区级第 一批新一代信 息技术专项资 金补助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海淀区政府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22"/>
                          <w:jc w:val="right"/>
                          <w:rPr>
                            <w:rFonts w:ascii="Times New Roman" w:hAnsi="Times New Roman" w:cs="Times New Roman" w:eastAsia="Times New Roman" w:hint="default"/>
                            <w:sz w:val="15"/>
                            <w:szCs w:val="15"/>
                          </w:rPr>
                        </w:pPr>
                        <w:r>
                          <w:rPr>
                            <w:rFonts w:ascii="Times New Roman"/>
                            <w:spacing w:val="-1"/>
                            <w:sz w:val="15"/>
                          </w:rPr>
                          <w:t>101,000.00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6.459999pt;margin-top:71.699982pt;width:479.25pt;height:690.4pt;mso-position-horizontal-relative:page;mso-position-vertical-relative:page;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21" w:hRule="exact"/>
                    </w:trPr>
                    <w:tc>
                      <w:tcPr>
                        <w:tcW w:w="10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补助项目</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24"/>
                          <w:jc w:val="right"/>
                          <w:rPr>
                            <w:rFonts w:ascii="宋体" w:hAnsi="宋体" w:cs="宋体" w:eastAsia="宋体" w:hint="default"/>
                            <w:sz w:val="15"/>
                            <w:szCs w:val="15"/>
                          </w:rPr>
                        </w:pPr>
                        <w:r>
                          <w:rPr>
                            <w:rFonts w:ascii="宋体" w:hAnsi="宋体" w:cs="宋体" w:eastAsia="宋体" w:hint="default"/>
                            <w:sz w:val="15"/>
                            <w:szCs w:val="15"/>
                          </w:rPr>
                          <w:t>发放主体</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发放原因</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性质类型</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5" w:right="77" w:hanging="150"/>
                          <w:jc w:val="left"/>
                          <w:rPr>
                            <w:rFonts w:ascii="宋体" w:hAnsi="宋体" w:cs="宋体" w:eastAsia="宋体" w:hint="default"/>
                            <w:sz w:val="15"/>
                            <w:szCs w:val="15"/>
                          </w:rPr>
                        </w:pPr>
                        <w:r>
                          <w:rPr>
                            <w:rFonts w:ascii="宋体" w:hAnsi="宋体" w:cs="宋体" w:eastAsia="宋体" w:hint="default"/>
                            <w:sz w:val="15"/>
                            <w:szCs w:val="15"/>
                          </w:rPr>
                          <w:t>补贴是否影响 当年盈亏</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是否特殊补贴</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76"/>
                          <w:jc w:val="right"/>
                          <w:rPr>
                            <w:rFonts w:ascii="宋体" w:hAnsi="宋体" w:cs="宋体" w:eastAsia="宋体" w:hint="default"/>
                            <w:sz w:val="15"/>
                            <w:szCs w:val="15"/>
                          </w:rPr>
                        </w:pPr>
                        <w:r>
                          <w:rPr>
                            <w:rFonts w:ascii="宋体" w:hAnsi="宋体" w:cs="宋体" w:eastAsia="宋体" w:hint="default"/>
                            <w:sz w:val="15"/>
                            <w:szCs w:val="15"/>
                          </w:rPr>
                          <w:t>本期发生金额</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上期发生金额</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6" w:right="53" w:hanging="171"/>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left"/>
                          <w:rPr>
                            <w:rFonts w:ascii="宋体" w:hAnsi="宋体" w:cs="宋体" w:eastAsia="宋体" w:hint="default"/>
                            <w:sz w:val="15"/>
                            <w:szCs w:val="15"/>
                          </w:rPr>
                        </w:pPr>
                        <w:r>
                          <w:rPr>
                            <w:rFonts w:ascii="宋体" w:hAnsi="宋体" w:cs="宋体" w:eastAsia="宋体" w:hint="default"/>
                            <w:sz w:val="15"/>
                            <w:szCs w:val="15"/>
                          </w:rPr>
                          <w:t>鄞州区工业企 业上台阶奖励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77"/>
                          <w:jc w:val="right"/>
                          <w:rPr>
                            <w:rFonts w:ascii="宋体" w:hAnsi="宋体" w:cs="宋体" w:eastAsia="宋体" w:hint="default"/>
                            <w:sz w:val="15"/>
                            <w:szCs w:val="15"/>
                          </w:rPr>
                        </w:pPr>
                        <w:r>
                          <w:rPr>
                            <w:rFonts w:ascii="宋体" w:hAnsi="宋体" w:cs="宋体" w:eastAsia="宋体" w:hint="default"/>
                            <w:sz w:val="15"/>
                            <w:szCs w:val="15"/>
                          </w:rPr>
                          <w:t>鄞州区政府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奖励上市而给 予的政府补助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1" w:lineRule="auto"/>
                          <w:ind w:left="22" w:right="131"/>
                          <w:jc w:val="left"/>
                          <w:rPr>
                            <w:rFonts w:ascii="宋体" w:hAnsi="宋体" w:cs="宋体" w:eastAsia="宋体" w:hint="default"/>
                            <w:sz w:val="15"/>
                            <w:szCs w:val="15"/>
                          </w:rPr>
                        </w:pPr>
                        <w:r>
                          <w:rPr>
                            <w:rFonts w:ascii="宋体" w:hAnsi="宋体" w:cs="宋体" w:eastAsia="宋体" w:hint="default"/>
                            <w:sz w:val="15"/>
                            <w:szCs w:val="15"/>
                          </w:rPr>
                          <w:t>失业保险稳岗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海淀区社会保 障局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both"/>
                          <w:rPr>
                            <w:rFonts w:ascii="宋体" w:hAnsi="宋体" w:cs="宋体" w:eastAsia="宋体" w:hint="default"/>
                            <w:sz w:val="15"/>
                            <w:szCs w:val="15"/>
                          </w:rPr>
                        </w:pPr>
                        <w:r>
                          <w:rPr>
                            <w:rFonts w:ascii="宋体" w:hAnsi="宋体" w:cs="宋体" w:eastAsia="宋体" w:hint="default"/>
                            <w:sz w:val="15"/>
                            <w:szCs w:val="15"/>
                          </w:rPr>
                          <w:t>因承担国家为 保障某种公用 事业或社会必 要产品供应或 价格控制职能 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2"/>
                          <w:jc w:val="right"/>
                          <w:rPr>
                            <w:rFonts w:ascii="Times New Roman" w:hAnsi="Times New Roman" w:cs="Times New Roman" w:eastAsia="Times New Roman" w:hint="default"/>
                            <w:sz w:val="15"/>
                            <w:szCs w:val="15"/>
                          </w:rPr>
                        </w:pPr>
                        <w:r>
                          <w:rPr>
                            <w:rFonts w:ascii="Times New Roman"/>
                            <w:spacing w:val="-1"/>
                            <w:sz w:val="15"/>
                          </w:rPr>
                          <w:t>88,191.00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1" w:lineRule="auto"/>
                          <w:ind w:left="22" w:right="131"/>
                          <w:jc w:val="left"/>
                          <w:rPr>
                            <w:rFonts w:ascii="宋体" w:hAnsi="宋体" w:cs="宋体" w:eastAsia="宋体" w:hint="default"/>
                            <w:sz w:val="15"/>
                            <w:szCs w:val="15"/>
                          </w:rPr>
                        </w:pPr>
                        <w:r>
                          <w:rPr>
                            <w:rFonts w:ascii="宋体" w:hAnsi="宋体" w:cs="宋体" w:eastAsia="宋体" w:hint="default"/>
                            <w:sz w:val="15"/>
                            <w:szCs w:val="15"/>
                          </w:rPr>
                          <w:t>人才市场就业 培训补贴款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海淀区人才市 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both"/>
                          <w:rPr>
                            <w:rFonts w:ascii="宋体" w:hAnsi="宋体" w:cs="宋体" w:eastAsia="宋体" w:hint="default"/>
                            <w:sz w:val="15"/>
                            <w:szCs w:val="15"/>
                          </w:rPr>
                        </w:pPr>
                        <w:r>
                          <w:rPr>
                            <w:rFonts w:ascii="宋体" w:hAnsi="宋体" w:cs="宋体" w:eastAsia="宋体" w:hint="default"/>
                            <w:sz w:val="15"/>
                            <w:szCs w:val="15"/>
                          </w:rPr>
                          <w:t>因承担国家为 保障某种公用 事业或社会必 要产品供应或 价格控制职能 而获得的补助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1"/>
                          <w:jc w:val="right"/>
                          <w:rPr>
                            <w:rFonts w:ascii="Times New Roman" w:hAnsi="Times New Roman" w:cs="Times New Roman" w:eastAsia="Times New Roman" w:hint="default"/>
                            <w:sz w:val="15"/>
                            <w:szCs w:val="15"/>
                          </w:rPr>
                        </w:pPr>
                        <w:r>
                          <w:rPr>
                            <w:rFonts w:ascii="Times New Roman"/>
                            <w:spacing w:val="-1"/>
                            <w:sz w:val="15"/>
                          </w:rPr>
                          <w:t>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重庆农信涉及 信息垂直搜索 引擎云平台升 级改造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重庆市发展和 改革委员会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4"/>
                          <w:ind w:left="22" w:right="93"/>
                          <w:jc w:val="both"/>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年度高校 毕业生社保补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北京市教育委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381" w:lineRule="auto"/>
                          <w:ind w:left="22" w:right="129"/>
                          <w:jc w:val="left"/>
                          <w:rPr>
                            <w:rFonts w:ascii="宋体" w:hAnsi="宋体" w:cs="宋体" w:eastAsia="宋体" w:hint="default"/>
                            <w:sz w:val="15"/>
                            <w:szCs w:val="15"/>
                          </w:rPr>
                        </w:pPr>
                        <w:r>
                          <w:rPr>
                            <w:rFonts w:ascii="宋体" w:hAnsi="宋体" w:cs="宋体" w:eastAsia="宋体" w:hint="default"/>
                            <w:sz w:val="15"/>
                            <w:szCs w:val="15"/>
                          </w:rPr>
                          <w:t>奖励上市而给 予的政府补助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1"/>
                          <w:jc w:val="right"/>
                          <w:rPr>
                            <w:rFonts w:ascii="Times New Roman" w:hAnsi="Times New Roman" w:cs="Times New Roman" w:eastAsia="Times New Roman" w:hint="default"/>
                            <w:sz w:val="15"/>
                            <w:szCs w:val="15"/>
                          </w:rPr>
                        </w:pPr>
                        <w:r>
                          <w:rPr>
                            <w:rFonts w:ascii="Times New Roman"/>
                            <w:spacing w:val="-1"/>
                            <w:sz w:val="15"/>
                          </w:rPr>
                          <w:t>6,538.00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left"/>
                          <w:rPr>
                            <w:rFonts w:ascii="宋体" w:hAnsi="宋体" w:cs="宋体" w:eastAsia="宋体" w:hint="default"/>
                            <w:sz w:val="15"/>
                            <w:szCs w:val="15"/>
                          </w:rPr>
                        </w:pPr>
                        <w:r>
                          <w:rPr>
                            <w:rFonts w:ascii="宋体" w:hAnsi="宋体" w:cs="宋体" w:eastAsia="宋体" w:hint="default"/>
                            <w:sz w:val="15"/>
                            <w:szCs w:val="15"/>
                          </w:rPr>
                          <w:t>收到高桥镇补 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77"/>
                          <w:jc w:val="right"/>
                          <w:rPr>
                            <w:rFonts w:ascii="宋体" w:hAnsi="宋体" w:cs="宋体" w:eastAsia="宋体" w:hint="default"/>
                            <w:sz w:val="15"/>
                            <w:szCs w:val="15"/>
                          </w:rPr>
                        </w:pPr>
                        <w:r>
                          <w:rPr>
                            <w:rFonts w:ascii="宋体" w:hAnsi="宋体" w:cs="宋体" w:eastAsia="宋体" w:hint="default"/>
                            <w:sz w:val="15"/>
                            <w:szCs w:val="15"/>
                          </w:rPr>
                          <w:t>高桥镇政府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29"/>
                          <w:jc w:val="left"/>
                          <w:rPr>
                            <w:rFonts w:ascii="宋体" w:hAnsi="宋体" w:cs="宋体" w:eastAsia="宋体" w:hint="default"/>
                            <w:sz w:val="15"/>
                            <w:szCs w:val="15"/>
                          </w:rPr>
                        </w:pPr>
                        <w:r>
                          <w:rPr>
                            <w:rFonts w:ascii="宋体" w:hAnsi="宋体" w:cs="宋体" w:eastAsia="宋体" w:hint="default"/>
                            <w:sz w:val="15"/>
                            <w:szCs w:val="15"/>
                          </w:rPr>
                          <w:t>奖励上市而给 予的政府补助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4"/>
                          <w:ind w:right="22"/>
                          <w:jc w:val="right"/>
                          <w:rPr>
                            <w:rFonts w:ascii="Times New Roman" w:hAnsi="Times New Roman" w:cs="Times New Roman" w:eastAsia="Times New Roman" w:hint="default"/>
                            <w:sz w:val="15"/>
                            <w:szCs w:val="15"/>
                          </w:rPr>
                        </w:pPr>
                        <w:r>
                          <w:rPr>
                            <w:rFonts w:ascii="Times New Roman"/>
                            <w:spacing w:val="-1"/>
                            <w:sz w:val="15"/>
                          </w:rPr>
                          <w:t>20,079.00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31"/>
                          <w:jc w:val="left"/>
                          <w:rPr>
                            <w:rFonts w:ascii="宋体" w:hAnsi="宋体" w:cs="宋体" w:eastAsia="宋体" w:hint="default"/>
                            <w:sz w:val="15"/>
                            <w:szCs w:val="15"/>
                          </w:rPr>
                        </w:pPr>
                        <w:r>
                          <w:rPr>
                            <w:rFonts w:ascii="宋体" w:hAnsi="宋体" w:cs="宋体" w:eastAsia="宋体" w:hint="default"/>
                            <w:sz w:val="15"/>
                            <w:szCs w:val="15"/>
                          </w:rPr>
                          <w:t>收到软件产品 认证补贴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首都知识产权 服务业协会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2"/>
                          <w:jc w:val="right"/>
                          <w:rPr>
                            <w:rFonts w:ascii="Times New Roman" w:hAnsi="Times New Roman" w:cs="Times New Roman" w:eastAsia="Times New Roman" w:hint="default"/>
                            <w:sz w:val="15"/>
                            <w:szCs w:val="15"/>
                          </w:rPr>
                        </w:pPr>
                        <w:r>
                          <w:rPr>
                            <w:rFonts w:ascii="Times New Roman"/>
                            <w:spacing w:val="-1"/>
                            <w:sz w:val="15"/>
                          </w:rPr>
                          <w:t>15,000.00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三峡地区（重 </w:t>
                        </w:r>
                        <w:r>
                          <w:rPr>
                            <w:rFonts w:ascii="宋体" w:hAnsi="宋体" w:cs="宋体" w:eastAsia="宋体" w:hint="default"/>
                            <w:spacing w:val="-6"/>
                            <w:sz w:val="15"/>
                            <w:szCs w:val="15"/>
                          </w:rPr>
                          <w:t>庆）名特水产业</w:t>
                        </w:r>
                        <w:r>
                          <w:rPr>
                            <w:rFonts w:ascii="宋体" w:hAnsi="宋体" w:cs="宋体" w:eastAsia="宋体" w:hint="default"/>
                            <w:sz w:val="15"/>
                            <w:szCs w:val="15"/>
                          </w:rPr>
                          <w:t> 关键技术集成 及产业化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重庆市科学技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4"/>
                          <w:ind w:right="20"/>
                          <w:jc w:val="right"/>
                          <w:rPr>
                            <w:rFonts w:ascii="Times New Roman" w:hAnsi="Times New Roman" w:cs="Times New Roman" w:eastAsia="Times New Roman" w:hint="default"/>
                            <w:sz w:val="15"/>
                            <w:szCs w:val="15"/>
                          </w:rPr>
                        </w:pPr>
                        <w:r>
                          <w:rPr>
                            <w:rFonts w:ascii="Times New Roman"/>
                            <w:spacing w:val="-1"/>
                            <w:sz w:val="15"/>
                          </w:rPr>
                          <w:t>251,075.00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81" w:lineRule="auto"/>
                          <w:ind w:left="22" w:right="131"/>
                          <w:jc w:val="left"/>
                          <w:rPr>
                            <w:rFonts w:ascii="宋体" w:hAnsi="宋体" w:cs="宋体" w:eastAsia="宋体" w:hint="default"/>
                            <w:sz w:val="15"/>
                            <w:szCs w:val="15"/>
                          </w:rPr>
                        </w:pPr>
                        <w:r>
                          <w:rPr>
                            <w:rFonts w:ascii="宋体" w:hAnsi="宋体" w:cs="宋体" w:eastAsia="宋体" w:hint="default"/>
                            <w:sz w:val="15"/>
                            <w:szCs w:val="15"/>
                          </w:rPr>
                          <w:t>重庆知识产权 局专利资助费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重庆市知识产 权专利局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13,240.00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下一代精确定 位与无线通信 系统</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中关村管理管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0"/>
                          <w:jc w:val="right"/>
                          <w:rPr>
                            <w:rFonts w:ascii="Times New Roman" w:hAnsi="Times New Roman" w:cs="Times New Roman" w:eastAsia="Times New Roman" w:hint="default"/>
                            <w:sz w:val="15"/>
                            <w:szCs w:val="15"/>
                          </w:rPr>
                        </w:pPr>
                        <w:r>
                          <w:rPr>
                            <w:rFonts w:ascii="Times New Roman"/>
                            <w:spacing w:val="-1"/>
                            <w:sz w:val="15"/>
                          </w:rPr>
                          <w:t>4,740,000.00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6.459999pt;margin-top:71.699982pt;width:479.25pt;height:697pt;mso-position-horizontal-relative:page;mso-position-vertical-relative:page;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21" w:hRule="exact"/>
                    </w:trPr>
                    <w:tc>
                      <w:tcPr>
                        <w:tcW w:w="10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补助项目</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发放主体</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发放原因</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性质类型</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5" w:right="77" w:hanging="150"/>
                          <w:jc w:val="left"/>
                          <w:rPr>
                            <w:rFonts w:ascii="宋体" w:hAnsi="宋体" w:cs="宋体" w:eastAsia="宋体" w:hint="default"/>
                            <w:sz w:val="15"/>
                            <w:szCs w:val="15"/>
                          </w:rPr>
                        </w:pPr>
                        <w:r>
                          <w:rPr>
                            <w:rFonts w:ascii="宋体" w:hAnsi="宋体" w:cs="宋体" w:eastAsia="宋体" w:hint="default"/>
                            <w:sz w:val="15"/>
                            <w:szCs w:val="15"/>
                          </w:rPr>
                          <w:t>补贴是否影响 当年盈亏</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是否特殊补贴</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本期发生金额</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上期发生金额</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6" w:right="53" w:hanging="171"/>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81" w:lineRule="auto"/>
                          <w:ind w:left="22" w:right="131"/>
                          <w:jc w:val="both"/>
                          <w:rPr>
                            <w:rFonts w:ascii="宋体" w:hAnsi="宋体" w:cs="宋体" w:eastAsia="宋体" w:hint="default"/>
                            <w:sz w:val="15"/>
                            <w:szCs w:val="15"/>
                          </w:rPr>
                        </w:pPr>
                        <w:r>
                          <w:rPr>
                            <w:rFonts w:ascii="宋体" w:hAnsi="宋体" w:cs="宋体" w:eastAsia="宋体" w:hint="default"/>
                            <w:sz w:val="15"/>
                            <w:szCs w:val="15"/>
                          </w:rPr>
                          <w:t>北京中关村海 外科技园公司 展位补贴费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中关村管委会 国际处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126,000.00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81" w:lineRule="auto"/>
                          <w:ind w:left="22" w:right="131"/>
                          <w:jc w:val="both"/>
                          <w:rPr>
                            <w:rFonts w:ascii="宋体" w:hAnsi="宋体" w:cs="宋体" w:eastAsia="宋体" w:hint="default"/>
                            <w:sz w:val="15"/>
                            <w:szCs w:val="15"/>
                          </w:rPr>
                        </w:pPr>
                        <w:r>
                          <w:rPr>
                            <w:rFonts w:ascii="宋体" w:hAnsi="宋体" w:cs="宋体" w:eastAsia="宋体" w:hint="default"/>
                            <w:sz w:val="15"/>
                            <w:szCs w:val="15"/>
                          </w:rPr>
                          <w:t>北京中关村企 业信用促进会 中介款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中关村管理管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0"/>
                          <w:jc w:val="right"/>
                          <w:rPr>
                            <w:rFonts w:ascii="Times New Roman" w:hAnsi="Times New Roman" w:cs="Times New Roman" w:eastAsia="Times New Roman" w:hint="default"/>
                            <w:sz w:val="15"/>
                            <w:szCs w:val="15"/>
                          </w:rPr>
                        </w:pPr>
                        <w:r>
                          <w:rPr>
                            <w:rFonts w:ascii="Times New Roman"/>
                            <w:spacing w:val="-1"/>
                            <w:sz w:val="15"/>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81" w:lineRule="auto"/>
                          <w:ind w:left="22" w:right="131"/>
                          <w:jc w:val="both"/>
                          <w:rPr>
                            <w:rFonts w:ascii="宋体" w:hAnsi="宋体" w:cs="宋体" w:eastAsia="宋体" w:hint="default"/>
                            <w:sz w:val="15"/>
                            <w:szCs w:val="15"/>
                          </w:rPr>
                        </w:pPr>
                        <w:r>
                          <w:rPr>
                            <w:rFonts w:ascii="宋体" w:hAnsi="宋体" w:cs="宋体" w:eastAsia="宋体" w:hint="default"/>
                            <w:sz w:val="15"/>
                            <w:szCs w:val="15"/>
                          </w:rPr>
                          <w:t>国家知识产权 局专利局专利 资助金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北京市知识产 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0"/>
                          <w:jc w:val="right"/>
                          <w:rPr>
                            <w:rFonts w:ascii="Times New Roman" w:hAnsi="Times New Roman" w:cs="Times New Roman" w:eastAsia="Times New Roman" w:hint="default"/>
                            <w:sz w:val="15"/>
                            <w:szCs w:val="15"/>
                          </w:rPr>
                        </w:pPr>
                        <w:r>
                          <w:rPr>
                            <w:rFonts w:ascii="Times New Roman"/>
                            <w:spacing w:val="-1"/>
                            <w:sz w:val="15"/>
                          </w:rPr>
                          <w:t>19,440.00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81" w:lineRule="auto"/>
                          <w:ind w:left="22" w:right="131"/>
                          <w:jc w:val="both"/>
                          <w:rPr>
                            <w:rFonts w:ascii="宋体" w:hAnsi="宋体" w:cs="宋体" w:eastAsia="宋体" w:hint="default"/>
                            <w:sz w:val="15"/>
                            <w:szCs w:val="15"/>
                          </w:rPr>
                        </w:pPr>
                        <w:r>
                          <w:rPr>
                            <w:rFonts w:ascii="宋体" w:hAnsi="宋体" w:cs="宋体" w:eastAsia="宋体" w:hint="default"/>
                            <w:sz w:val="15"/>
                            <w:szCs w:val="15"/>
                          </w:rPr>
                          <w:t>国家知识产权 局北京代办处 专利资助金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北京市知识产 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15,400.00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81" w:lineRule="auto"/>
                          <w:ind w:left="22" w:right="131"/>
                          <w:jc w:val="left"/>
                          <w:rPr>
                            <w:rFonts w:ascii="宋体" w:hAnsi="宋体" w:cs="宋体" w:eastAsia="宋体" w:hint="default"/>
                            <w:sz w:val="15"/>
                            <w:szCs w:val="15"/>
                          </w:rPr>
                        </w:pPr>
                        <w:r>
                          <w:rPr>
                            <w:rFonts w:ascii="宋体" w:hAnsi="宋体" w:cs="宋体" w:eastAsia="宋体" w:hint="default"/>
                            <w:sz w:val="15"/>
                            <w:szCs w:val="15"/>
                          </w:rPr>
                          <w:t>中关村企业信 用促进会款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中关村管理管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81" w:lineRule="auto"/>
                          <w:ind w:left="22" w:right="131"/>
                          <w:jc w:val="both"/>
                          <w:rPr>
                            <w:rFonts w:ascii="宋体" w:hAnsi="宋体" w:cs="宋体" w:eastAsia="宋体" w:hint="default"/>
                            <w:sz w:val="15"/>
                            <w:szCs w:val="15"/>
                          </w:rPr>
                        </w:pPr>
                        <w:r>
                          <w:rPr>
                            <w:rFonts w:ascii="宋体" w:hAnsi="宋体" w:cs="宋体" w:eastAsia="宋体" w:hint="default"/>
                            <w:sz w:val="15"/>
                            <w:szCs w:val="15"/>
                          </w:rPr>
                          <w:t>国家知识产权 局专利局北京 代办处专利资 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国家知识产权 局专利局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320.00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31"/>
                          <w:jc w:val="left"/>
                          <w:rPr>
                            <w:rFonts w:ascii="宋体" w:hAnsi="宋体" w:cs="宋体" w:eastAsia="宋体" w:hint="default"/>
                            <w:sz w:val="15"/>
                            <w:szCs w:val="15"/>
                          </w:rPr>
                        </w:pPr>
                        <w:r>
                          <w:rPr>
                            <w:rFonts w:ascii="宋体" w:hAnsi="宋体" w:cs="宋体" w:eastAsia="宋体" w:hint="default"/>
                            <w:sz w:val="15"/>
                            <w:szCs w:val="15"/>
                          </w:rPr>
                          <w:t>科学技术部条 财司付款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6"/>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20"/>
                          <w:jc w:val="right"/>
                          <w:rPr>
                            <w:rFonts w:ascii="Times New Roman" w:hAnsi="Times New Roman" w:cs="Times New Roman" w:eastAsia="Times New Roman" w:hint="default"/>
                            <w:sz w:val="15"/>
                            <w:szCs w:val="15"/>
                          </w:rPr>
                        </w:pPr>
                        <w:r>
                          <w:rPr>
                            <w:rFonts w:ascii="Times New Roman"/>
                            <w:spacing w:val="-1"/>
                            <w:sz w:val="15"/>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8"/>
                          <w:jc w:val="center"/>
                          <w:rPr>
                            <w:rFonts w:ascii="宋体" w:hAnsi="宋体" w:cs="宋体" w:eastAsia="宋体" w:hint="default"/>
                            <w:sz w:val="15"/>
                            <w:szCs w:val="15"/>
                          </w:rPr>
                        </w:pPr>
                        <w:r>
                          <w:rPr>
                            <w:rFonts w:ascii="宋体" w:hAnsi="宋体" w:cs="宋体" w:eastAsia="宋体" w:hint="default"/>
                            <w:sz w:val="15"/>
                            <w:szCs w:val="15"/>
                          </w:rPr>
                          <w:t>中关村科技园</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中关村科技园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pacing w:val="-7"/>
                            <w:sz w:val="15"/>
                            <w:szCs w:val="15"/>
                          </w:rPr>
                          <w:t>因研究开发、技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460,000.00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6.459999pt;margin-top:71.699982pt;width:479.25pt;height:694.95pt;mso-position-horizontal-relative:page;mso-position-vertical-relative:page;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21" w:hRule="exact"/>
                    </w:trPr>
                    <w:tc>
                      <w:tcPr>
                        <w:tcW w:w="10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补助项目</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发放主体</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发放原因</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性质类型</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5" w:right="77" w:hanging="150"/>
                          <w:jc w:val="left"/>
                          <w:rPr>
                            <w:rFonts w:ascii="宋体" w:hAnsi="宋体" w:cs="宋体" w:eastAsia="宋体" w:hint="default"/>
                            <w:sz w:val="15"/>
                            <w:szCs w:val="15"/>
                          </w:rPr>
                        </w:pPr>
                        <w:r>
                          <w:rPr>
                            <w:rFonts w:ascii="宋体" w:hAnsi="宋体" w:cs="宋体" w:eastAsia="宋体" w:hint="default"/>
                            <w:sz w:val="15"/>
                            <w:szCs w:val="15"/>
                          </w:rPr>
                          <w:t>补贴是否影响 当年盈亏</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是否特殊补贴</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本期发生金额</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上期发生金额</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6" w:right="53" w:hanging="171"/>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16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33"/>
                          <w:ind w:left="22" w:right="55"/>
                          <w:jc w:val="left"/>
                          <w:rPr>
                            <w:rFonts w:ascii="宋体" w:hAnsi="宋体" w:cs="宋体" w:eastAsia="宋体" w:hint="default"/>
                            <w:sz w:val="15"/>
                            <w:szCs w:val="15"/>
                          </w:rPr>
                        </w:pPr>
                        <w:r>
                          <w:rPr>
                            <w:rFonts w:ascii="宋体" w:hAnsi="宋体" w:cs="宋体" w:eastAsia="宋体" w:hint="default"/>
                            <w:sz w:val="15"/>
                            <w:szCs w:val="15"/>
                          </w:rPr>
                          <w:t>区海淀园管理 委员会</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 海淀区重点培 育企业专项奖 励款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33"/>
                          <w:ind w:left="22" w:right="127"/>
                          <w:jc w:val="left"/>
                          <w:rPr>
                            <w:rFonts w:ascii="宋体" w:hAnsi="宋体" w:cs="宋体" w:eastAsia="宋体" w:hint="default"/>
                            <w:sz w:val="15"/>
                            <w:szCs w:val="15"/>
                          </w:rPr>
                        </w:pPr>
                        <w:r>
                          <w:rPr>
                            <w:rFonts w:ascii="宋体" w:hAnsi="宋体" w:cs="宋体" w:eastAsia="宋体" w:hint="default"/>
                            <w:sz w:val="15"/>
                            <w:szCs w:val="15"/>
                          </w:rPr>
                          <w:t>区海淀园管理 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33"/>
                          <w:ind w:left="22" w:right="129"/>
                          <w:jc w:val="left"/>
                          <w:rPr>
                            <w:rFonts w:ascii="宋体" w:hAnsi="宋体" w:cs="宋体" w:eastAsia="宋体" w:hint="default"/>
                            <w:sz w:val="15"/>
                            <w:szCs w:val="15"/>
                          </w:rPr>
                        </w:pP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81" w:lineRule="auto"/>
                          <w:ind w:left="22" w:right="131"/>
                          <w:jc w:val="both"/>
                          <w:rPr>
                            <w:rFonts w:ascii="宋体" w:hAnsi="宋体" w:cs="宋体" w:eastAsia="宋体" w:hint="default"/>
                            <w:sz w:val="15"/>
                            <w:szCs w:val="15"/>
                          </w:rPr>
                        </w:pPr>
                        <w:r>
                          <w:rPr>
                            <w:rFonts w:ascii="宋体" w:hAnsi="宋体" w:cs="宋体" w:eastAsia="宋体" w:hint="default"/>
                            <w:sz w:val="15"/>
                            <w:szCs w:val="15"/>
                          </w:rPr>
                          <w:t>海淀区残疾人 劳务就业管理 服务所岗位补 贴费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中关村科技园 区海淀园管理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63,000.00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6" w:lineRule="auto" w:before="75"/>
                          <w:ind w:left="22" w:right="93"/>
                          <w:jc w:val="both"/>
                          <w:rPr>
                            <w:rFonts w:ascii="宋体" w:hAnsi="宋体" w:cs="宋体" w:eastAsia="宋体" w:hint="default"/>
                            <w:sz w:val="15"/>
                            <w:szCs w:val="15"/>
                          </w:rPr>
                        </w:pPr>
                        <w:r>
                          <w:rPr>
                            <w:rFonts w:ascii="宋体" w:hAnsi="宋体" w:cs="宋体" w:eastAsia="宋体" w:hint="default"/>
                            <w:sz w:val="15"/>
                            <w:szCs w:val="15"/>
                          </w:rPr>
                          <w:t>北京中关村海 外科技园有限 责任公司</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2014 </w:t>
                        </w:r>
                        <w:r>
                          <w:rPr>
                            <w:rFonts w:ascii="宋体" w:hAnsi="宋体" w:cs="宋体" w:eastAsia="宋体" w:hint="default"/>
                            <w:sz w:val="15"/>
                            <w:szCs w:val="15"/>
                          </w:rPr>
                          <w:t>年中关村国际 化发展专项资 金补贴款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中关村管理管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基于云计算的 综合通信服务 平台转化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北京市科委技 术委员会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0"/>
                          <w:jc w:val="right"/>
                          <w:rPr>
                            <w:rFonts w:ascii="Times New Roman" w:hAnsi="Times New Roman" w:cs="Times New Roman" w:eastAsia="Times New Roman" w:hint="default"/>
                            <w:sz w:val="15"/>
                            <w:szCs w:val="15"/>
                          </w:rPr>
                        </w:pPr>
                        <w:r>
                          <w:rPr>
                            <w:rFonts w:ascii="Times New Roman"/>
                            <w:spacing w:val="-1"/>
                            <w:sz w:val="15"/>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72" w:lineRule="auto"/>
                          <w:ind w:left="22" w:right="93"/>
                          <w:jc w:val="both"/>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年科技服 务业促进后补 贴专项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北京市科委技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0"/>
                          <w:jc w:val="right"/>
                          <w:rPr>
                            <w:rFonts w:ascii="Times New Roman" w:hAnsi="Times New Roman" w:cs="Times New Roman" w:eastAsia="Times New Roman" w:hint="default"/>
                            <w:sz w:val="15"/>
                            <w:szCs w:val="15"/>
                          </w:rPr>
                        </w:pPr>
                        <w:r>
                          <w:rPr>
                            <w:rFonts w:ascii="Times New Roman"/>
                            <w:spacing w:val="-1"/>
                            <w:sz w:val="15"/>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4" w:lineRule="auto"/>
                          <w:ind w:left="22" w:right="131"/>
                          <w:jc w:val="left"/>
                          <w:rPr>
                            <w:rFonts w:ascii="宋体" w:hAnsi="宋体" w:cs="宋体" w:eastAsia="宋体" w:hint="default"/>
                            <w:sz w:val="15"/>
                            <w:szCs w:val="15"/>
                          </w:rPr>
                        </w:pPr>
                        <w:r>
                          <w:rPr>
                            <w:rFonts w:ascii="宋体" w:hAnsi="宋体" w:cs="宋体" w:eastAsia="宋体" w:hint="default"/>
                            <w:sz w:val="15"/>
                            <w:szCs w:val="15"/>
                          </w:rPr>
                          <w:t>补贴资金补贴 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北京市科委技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0"/>
                          <w:jc w:val="right"/>
                          <w:rPr>
                            <w:rFonts w:ascii="Times New Roman" w:hAnsi="Times New Roman" w:cs="Times New Roman" w:eastAsia="Times New Roman" w:hint="default"/>
                            <w:sz w:val="15"/>
                            <w:szCs w:val="15"/>
                          </w:rPr>
                        </w:pPr>
                        <w:r>
                          <w:rPr>
                            <w:rFonts w:ascii="Times New Roman"/>
                            <w:spacing w:val="-1"/>
                            <w:sz w:val="15"/>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2" w:right="131"/>
                          <w:jc w:val="both"/>
                          <w:rPr>
                            <w:rFonts w:ascii="宋体" w:hAnsi="宋体" w:cs="宋体" w:eastAsia="宋体" w:hint="default"/>
                            <w:sz w:val="15"/>
                            <w:szCs w:val="15"/>
                          </w:rPr>
                        </w:pPr>
                        <w:r>
                          <w:rPr>
                            <w:rFonts w:ascii="宋体" w:hAnsi="宋体" w:cs="宋体" w:eastAsia="宋体" w:hint="default"/>
                            <w:sz w:val="15"/>
                            <w:szCs w:val="15"/>
                          </w:rPr>
                          <w:t>北京市海淀区 残疾人劳动就 业管理服务所</w:t>
                        </w:r>
                      </w:p>
                      <w:p>
                        <w:pPr>
                          <w:pStyle w:val="TableParagraph"/>
                          <w:spacing w:line="362" w:lineRule="auto" w:before="27"/>
                          <w:ind w:left="22" w:right="42"/>
                          <w:jc w:val="both"/>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年残疾人</w:t>
                        </w:r>
                        <w:r>
                          <w:rPr>
                            <w:rFonts w:ascii="宋体" w:hAnsi="宋体" w:cs="宋体" w:eastAsia="宋体" w:hint="default"/>
                            <w:w w:val="99"/>
                            <w:sz w:val="15"/>
                            <w:szCs w:val="15"/>
                          </w:rPr>
                          <w:t> </w:t>
                        </w:r>
                        <w:r>
                          <w:rPr>
                            <w:rFonts w:ascii="宋体" w:hAnsi="宋体" w:cs="宋体" w:eastAsia="宋体" w:hint="default"/>
                            <w:sz w:val="15"/>
                            <w:szCs w:val="15"/>
                          </w:rPr>
                          <w:t>岗位补贴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海淀区管理管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0"/>
                          <w:jc w:val="right"/>
                          <w:rPr>
                            <w:rFonts w:ascii="Times New Roman" w:hAnsi="Times New Roman" w:cs="Times New Roman" w:eastAsia="Times New Roman" w:hint="default"/>
                            <w:sz w:val="15"/>
                            <w:szCs w:val="15"/>
                          </w:rPr>
                        </w:pPr>
                        <w:r>
                          <w:rPr>
                            <w:rFonts w:ascii="Times New Roman"/>
                            <w:spacing w:val="-1"/>
                            <w:sz w:val="15"/>
                          </w:rPr>
                          <w:t>225,000.00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5"/>
                          <w:ind w:left="22" w:right="93"/>
                          <w:jc w:val="left"/>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国家重点 新产品的后补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127"/>
                          <w:jc w:val="left"/>
                          <w:rPr>
                            <w:rFonts w:ascii="宋体" w:hAnsi="宋体" w:cs="宋体" w:eastAsia="宋体" w:hint="default"/>
                            <w:sz w:val="15"/>
                            <w:szCs w:val="15"/>
                          </w:rPr>
                        </w:pPr>
                        <w:r>
                          <w:rPr>
                            <w:rFonts w:ascii="宋体" w:hAnsi="宋体" w:cs="宋体" w:eastAsia="宋体" w:hint="default"/>
                            <w:sz w:val="15"/>
                            <w:szCs w:val="15"/>
                          </w:rPr>
                          <w:t>中华人民共和 国科技部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95"/>
                          <w:ind w:left="22" w:right="129"/>
                          <w:jc w:val="left"/>
                          <w:rPr>
                            <w:rFonts w:ascii="宋体" w:hAnsi="宋体" w:cs="宋体" w:eastAsia="宋体" w:hint="default"/>
                            <w:sz w:val="15"/>
                            <w:szCs w:val="15"/>
                          </w:rPr>
                        </w:pPr>
                        <w:r>
                          <w:rPr>
                            <w:rFonts w:ascii="宋体" w:hAnsi="宋体" w:cs="宋体" w:eastAsia="宋体" w:hint="default"/>
                            <w:sz w:val="15"/>
                            <w:szCs w:val="15"/>
                          </w:rPr>
                          <w:t>因从事国家鼓 励和扶持特定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20"/>
                          <w:jc w:val="right"/>
                          <w:rPr>
                            <w:rFonts w:ascii="Times New Roman" w:hAnsi="Times New Roman" w:cs="Times New Roman" w:eastAsia="Times New Roman" w:hint="default"/>
                            <w:sz w:val="15"/>
                            <w:szCs w:val="15"/>
                          </w:rPr>
                        </w:pPr>
                        <w:r>
                          <w:rPr>
                            <w:rFonts w:ascii="Times New Roman"/>
                            <w:spacing w:val="-1"/>
                            <w:sz w:val="15"/>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6.459999pt;margin-top:71.699982pt;width:479.25pt;height:686.35pt;mso-position-horizontal-relative:page;mso-position-vertical-relative:page;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21" w:hRule="exact"/>
                    </w:trPr>
                    <w:tc>
                      <w:tcPr>
                        <w:tcW w:w="10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补助项目</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发放主体</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发放原因</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性质类型</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5" w:right="77" w:hanging="150"/>
                          <w:jc w:val="left"/>
                          <w:rPr>
                            <w:rFonts w:ascii="宋体" w:hAnsi="宋体" w:cs="宋体" w:eastAsia="宋体" w:hint="default"/>
                            <w:sz w:val="15"/>
                            <w:szCs w:val="15"/>
                          </w:rPr>
                        </w:pPr>
                        <w:r>
                          <w:rPr>
                            <w:rFonts w:ascii="宋体" w:hAnsi="宋体" w:cs="宋体" w:eastAsia="宋体" w:hint="default"/>
                            <w:sz w:val="15"/>
                            <w:szCs w:val="15"/>
                          </w:rPr>
                          <w:t>补贴是否影响 当年盈亏</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是否特殊补贴</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本期发生金额</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上期发生金额</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6" w:right="53" w:hanging="171"/>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2" w:right="22"/>
                          <w:jc w:val="left"/>
                          <w:rPr>
                            <w:rFonts w:ascii="宋体" w:hAnsi="宋体" w:cs="宋体" w:eastAsia="宋体" w:hint="default"/>
                            <w:sz w:val="15"/>
                            <w:szCs w:val="15"/>
                          </w:rPr>
                        </w:pP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76" w:lineRule="auto"/>
                          <w:ind w:left="22" w:right="80"/>
                          <w:jc w:val="left"/>
                          <w:rPr>
                            <w:rFonts w:ascii="宋体" w:hAnsi="宋体" w:cs="宋体" w:eastAsia="宋体" w:hint="default"/>
                            <w:sz w:val="15"/>
                            <w:szCs w:val="15"/>
                          </w:rPr>
                        </w:pPr>
                        <w:r>
                          <w:rPr>
                            <w:rFonts w:ascii="宋体" w:hAnsi="宋体" w:cs="宋体" w:eastAsia="宋体" w:hint="default"/>
                            <w:sz w:val="15"/>
                            <w:szCs w:val="15"/>
                          </w:rPr>
                          <w:t>中关村科技园 区海淀园管理 委员会</w:t>
                        </w:r>
                        <w:r>
                          <w:rPr>
                            <w:rFonts w:ascii="Times New Roman" w:hAnsi="Times New Roman" w:cs="Times New Roman" w:eastAsia="Times New Roman" w:hint="default"/>
                            <w:sz w:val="15"/>
                            <w:szCs w:val="15"/>
                          </w:rPr>
                          <w:t>-</w:t>
                        </w:r>
                        <w:r>
                          <w:rPr>
                            <w:rFonts w:ascii="宋体" w:hAnsi="宋体" w:cs="宋体" w:eastAsia="宋体" w:hint="default"/>
                            <w:sz w:val="15"/>
                            <w:szCs w:val="15"/>
                          </w:rPr>
                          <w:t>知识产 权处专利商用 化专项资金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中关村科技园 区海淀园管理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专利官费返还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北京市知识产 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67,630.00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专利扶持资金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中关村管委会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0"/>
                          <w:jc w:val="right"/>
                          <w:rPr>
                            <w:rFonts w:ascii="Times New Roman" w:hAnsi="Times New Roman" w:cs="Times New Roman" w:eastAsia="Times New Roman" w:hint="default"/>
                            <w:sz w:val="15"/>
                            <w:szCs w:val="15"/>
                          </w:rPr>
                        </w:pPr>
                        <w:r>
                          <w:rPr>
                            <w:rFonts w:ascii="Times New Roman"/>
                            <w:spacing w:val="-1"/>
                            <w:sz w:val="15"/>
                          </w:rPr>
                          <w:t>4,600.00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仓储物流改造 </w:t>
                        </w:r>
                        <w:r>
                          <w:rPr>
                            <w:rFonts w:ascii="宋体" w:hAnsi="宋体" w:cs="宋体" w:eastAsia="宋体" w:hint="default"/>
                            <w:spacing w:val="-6"/>
                            <w:sz w:val="15"/>
                            <w:szCs w:val="15"/>
                          </w:rPr>
                          <w:t>补助（海淀区商</w:t>
                        </w:r>
                        <w:r>
                          <w:rPr>
                            <w:rFonts w:ascii="宋体" w:hAnsi="宋体" w:cs="宋体" w:eastAsia="宋体" w:hint="default"/>
                            <w:sz w:val="15"/>
                            <w:szCs w:val="15"/>
                          </w:rPr>
                          <w:t> 务委员会）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海淀区商务委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9"/>
                          <w:ind w:right="20"/>
                          <w:jc w:val="right"/>
                          <w:rPr>
                            <w:rFonts w:ascii="Times New Roman" w:hAnsi="Times New Roman" w:cs="Times New Roman" w:eastAsia="Times New Roman" w:hint="default"/>
                            <w:sz w:val="15"/>
                            <w:szCs w:val="15"/>
                          </w:rPr>
                        </w:pPr>
                        <w:r>
                          <w:rPr>
                            <w:rFonts w:ascii="Times New Roman"/>
                            <w:spacing w:val="-1"/>
                            <w:sz w:val="15"/>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科技型中小企 业技术创新基 金无偿资助项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84" w:lineRule="auto"/>
                          <w:ind w:left="22" w:right="20"/>
                          <w:jc w:val="left"/>
                          <w:rPr>
                            <w:rFonts w:ascii="宋体" w:hAnsi="宋体" w:cs="宋体" w:eastAsia="宋体" w:hint="default"/>
                            <w:sz w:val="15"/>
                            <w:szCs w:val="15"/>
                          </w:rPr>
                        </w:pPr>
                        <w:r>
                          <w:rPr>
                            <w:rFonts w:ascii="宋体" w:hAnsi="宋体" w:cs="宋体" w:eastAsia="宋体" w:hint="default"/>
                            <w:spacing w:val="-7"/>
                            <w:sz w:val="15"/>
                            <w:szCs w:val="15"/>
                          </w:rPr>
                          <w:t>科技部、北京市</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20"/>
                          <w:jc w:val="right"/>
                          <w:rPr>
                            <w:rFonts w:ascii="Times New Roman" w:hAnsi="Times New Roman" w:cs="Times New Roman" w:eastAsia="Times New Roman" w:hint="default"/>
                            <w:sz w:val="15"/>
                            <w:szCs w:val="15"/>
                          </w:rPr>
                        </w:pPr>
                        <w:r>
                          <w:rPr>
                            <w:rFonts w:ascii="Times New Roman"/>
                            <w:spacing w:val="-1"/>
                            <w:sz w:val="15"/>
                          </w:rPr>
                          <w:t>285,833.33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4" w:lineRule="auto"/>
                          <w:ind w:left="22" w:right="131"/>
                          <w:jc w:val="left"/>
                          <w:rPr>
                            <w:rFonts w:ascii="宋体" w:hAnsi="宋体" w:cs="宋体" w:eastAsia="宋体" w:hint="default"/>
                            <w:sz w:val="15"/>
                            <w:szCs w:val="15"/>
                          </w:rPr>
                        </w:pPr>
                        <w:r>
                          <w:rPr>
                            <w:rFonts w:ascii="宋体" w:hAnsi="宋体" w:cs="宋体" w:eastAsia="宋体" w:hint="default"/>
                            <w:sz w:val="15"/>
                            <w:szCs w:val="15"/>
                          </w:rPr>
                          <w:t>太仓市科教新 企业扶持资金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太仓市科学技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3"/>
                          <w:ind w:right="20"/>
                          <w:jc w:val="right"/>
                          <w:rPr>
                            <w:rFonts w:ascii="Times New Roman" w:hAnsi="Times New Roman" w:cs="Times New Roman" w:eastAsia="Times New Roman" w:hint="default"/>
                            <w:sz w:val="15"/>
                            <w:szCs w:val="15"/>
                          </w:rPr>
                        </w:pPr>
                        <w:r>
                          <w:rPr>
                            <w:rFonts w:ascii="Times New Roman"/>
                            <w:spacing w:val="-1"/>
                            <w:sz w:val="15"/>
                          </w:rPr>
                          <w:t>56,004.93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4"/>
                          <w:ind w:left="22" w:right="23"/>
                          <w:jc w:val="left"/>
                          <w:rPr>
                            <w:rFonts w:ascii="宋体" w:hAnsi="宋体" w:cs="宋体" w:eastAsia="宋体" w:hint="default"/>
                            <w:sz w:val="15"/>
                            <w:szCs w:val="15"/>
                          </w:rPr>
                        </w:pPr>
                        <w:r>
                          <w:rPr>
                            <w:rFonts w:ascii="Times New Roman" w:hAnsi="Times New Roman" w:cs="Times New Roman" w:eastAsia="Times New Roman" w:hint="default"/>
                            <w:w w:val="99"/>
                            <w:sz w:val="15"/>
                            <w:szCs w:val="15"/>
                          </w:rPr>
                          <w:t>PIC </w:t>
                        </w:r>
                        <w:r>
                          <w:rPr>
                            <w:rFonts w:ascii="Times New Roman" w:hAnsi="Times New Roman" w:cs="Times New Roman" w:eastAsia="Times New Roman" w:hint="default"/>
                            <w:spacing w:val="-26"/>
                            <w:w w:val="99"/>
                            <w:sz w:val="15"/>
                            <w:szCs w:val="15"/>
                          </w:rPr>
                          <w:t>Gran</w:t>
                        </w:r>
                        <w:r>
                          <w:rPr>
                            <w:rFonts w:ascii="宋体" w:hAnsi="宋体" w:cs="宋体" w:eastAsia="宋体" w:hint="default"/>
                            <w:spacing w:val="-26"/>
                            <w:w w:val="99"/>
                            <w:sz w:val="15"/>
                            <w:szCs w:val="15"/>
                          </w:rPr>
                          <w:t>（</w:t>
                        </w:r>
                        <w:r>
                          <w:rPr>
                            <w:rFonts w:ascii="Times New Roman" w:hAnsi="Times New Roman" w:cs="Times New Roman" w:eastAsia="Times New Roman" w:hint="default"/>
                            <w:spacing w:val="-26"/>
                            <w:w w:val="99"/>
                            <w:sz w:val="15"/>
                            <w:szCs w:val="15"/>
                          </w:rPr>
                          <w:t>t</w:t>
                        </w:r>
                        <w:r>
                          <w:rPr>
                            <w:rFonts w:ascii="Times New Roman" w:hAnsi="Times New Roman" w:cs="Times New Roman" w:eastAsia="Times New Roman" w:hint="default"/>
                            <w:spacing w:val="26"/>
                            <w:w w:val="99"/>
                            <w:sz w:val="15"/>
                            <w:szCs w:val="15"/>
                          </w:rPr>
                          <w:t> </w:t>
                        </w:r>
                        <w:r>
                          <w:rPr>
                            <w:rFonts w:ascii="宋体" w:hAnsi="宋体" w:cs="宋体" w:eastAsia="宋体" w:hint="default"/>
                            <w:w w:val="99"/>
                            <w:sz w:val="15"/>
                            <w:szCs w:val="15"/>
                          </w:rPr>
                          <w:t>政府 </w:t>
                        </w:r>
                        <w:r>
                          <w:rPr>
                            <w:rFonts w:ascii="宋体" w:hAnsi="宋体" w:cs="宋体" w:eastAsia="宋体" w:hint="default"/>
                            <w:sz w:val="15"/>
                            <w:szCs w:val="15"/>
                          </w:rPr>
                          <w:t>对小企业的补</w:t>
                        </w:r>
                        <w:r>
                          <w:rPr>
                            <w:rFonts w:ascii="宋体" w:hAnsi="宋体" w:cs="宋体" w:eastAsia="宋体" w:hint="default"/>
                            <w:w w:val="99"/>
                            <w:sz w:val="15"/>
                            <w:szCs w:val="15"/>
                          </w:rPr>
                          <w:t> </w:t>
                        </w:r>
                        <w:r>
                          <w:rPr>
                            <w:rFonts w:ascii="宋体" w:hAnsi="宋体" w:cs="宋体" w:eastAsia="宋体" w:hint="default"/>
                            <w:sz w:val="15"/>
                            <w:szCs w:val="15"/>
                          </w:rPr>
                          <w:t>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中关村管理管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8"/>
                          <w:ind w:right="20"/>
                          <w:jc w:val="right"/>
                          <w:rPr>
                            <w:rFonts w:ascii="Times New Roman" w:hAnsi="Times New Roman" w:cs="Times New Roman" w:eastAsia="Times New Roman" w:hint="default"/>
                            <w:sz w:val="15"/>
                            <w:szCs w:val="15"/>
                          </w:rPr>
                        </w:pPr>
                        <w:r>
                          <w:rPr>
                            <w:rFonts w:ascii="Times New Roman"/>
                            <w:spacing w:val="-1"/>
                            <w:sz w:val="15"/>
                          </w:rPr>
                          <w:t>147,226.74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74"/>
                          <w:ind w:left="22" w:right="93"/>
                          <w:jc w:val="both"/>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年度宁波 市软件产业发 展专项资金第 二批补助资金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宁波市经信委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20"/>
                          <w:jc w:val="right"/>
                          <w:rPr>
                            <w:rFonts w:ascii="Times New Roman" w:hAnsi="Times New Roman" w:cs="Times New Roman" w:eastAsia="Times New Roman" w:hint="default"/>
                            <w:sz w:val="15"/>
                            <w:szCs w:val="15"/>
                          </w:rPr>
                        </w:pPr>
                        <w:r>
                          <w:rPr>
                            <w:rFonts w:ascii="Times New Roman"/>
                            <w:spacing w:val="-1"/>
                            <w:sz w:val="15"/>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收科技补助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国家专利局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因从事国家鼓 励和扶持特定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4"/>
                          <w:ind w:right="20"/>
                          <w:jc w:val="right"/>
                          <w:rPr>
                            <w:rFonts w:ascii="Times New Roman" w:hAnsi="Times New Roman" w:cs="Times New Roman" w:eastAsia="Times New Roman" w:hint="default"/>
                            <w:sz w:val="15"/>
                            <w:szCs w:val="15"/>
                          </w:rPr>
                        </w:pPr>
                        <w:r>
                          <w:rPr>
                            <w:rFonts w:ascii="Times New Roman"/>
                            <w:spacing w:val="-1"/>
                            <w:sz w:val="15"/>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Heading3"/>
        <w:spacing w:line="240" w:lineRule="auto" w:before="35"/>
        <w:ind w:right="0"/>
        <w:jc w:val="left"/>
        <w:rPr>
          <w:b w:val="0"/>
          <w:bCs w:val="0"/>
        </w:rPr>
      </w:pPr>
      <w:r>
        <w:rPr/>
        <w:pict>
          <v:shape style="position:absolute;margin-left:56.459999pt;margin-top:-587.166321pt;width:479.25pt;height:574.6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21" w:hRule="exact"/>
                    </w:trPr>
                    <w:tc>
                      <w:tcPr>
                        <w:tcW w:w="10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补助项目</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发放主体</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6" w:right="0"/>
                          <w:jc w:val="left"/>
                          <w:rPr>
                            <w:rFonts w:ascii="宋体" w:hAnsi="宋体" w:cs="宋体" w:eastAsia="宋体" w:hint="default"/>
                            <w:sz w:val="15"/>
                            <w:szCs w:val="15"/>
                          </w:rPr>
                        </w:pPr>
                        <w:r>
                          <w:rPr>
                            <w:rFonts w:ascii="宋体" w:hAnsi="宋体" w:cs="宋体" w:eastAsia="宋体" w:hint="default"/>
                            <w:sz w:val="15"/>
                            <w:szCs w:val="15"/>
                          </w:rPr>
                          <w:t>发放原因</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性质类型</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225" w:right="77" w:hanging="150"/>
                          <w:jc w:val="left"/>
                          <w:rPr>
                            <w:rFonts w:ascii="宋体" w:hAnsi="宋体" w:cs="宋体" w:eastAsia="宋体" w:hint="default"/>
                            <w:sz w:val="15"/>
                            <w:szCs w:val="15"/>
                          </w:rPr>
                        </w:pPr>
                        <w:r>
                          <w:rPr>
                            <w:rFonts w:ascii="宋体" w:hAnsi="宋体" w:cs="宋体" w:eastAsia="宋体" w:hint="default"/>
                            <w:sz w:val="15"/>
                            <w:szCs w:val="15"/>
                          </w:rPr>
                          <w:t>补贴是否影响 当年盈亏</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是否特殊补贴</w:t>
                        </w:r>
                      </w:p>
                    </w:tc>
                    <w:tc>
                      <w:tcPr>
                        <w:tcW w:w="106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76"/>
                          <w:jc w:val="right"/>
                          <w:rPr>
                            <w:rFonts w:ascii="宋体" w:hAnsi="宋体" w:cs="宋体" w:eastAsia="宋体" w:hint="default"/>
                            <w:sz w:val="15"/>
                            <w:szCs w:val="15"/>
                          </w:rPr>
                        </w:pPr>
                        <w:r>
                          <w:rPr>
                            <w:rFonts w:ascii="宋体" w:hAnsi="宋体" w:cs="宋体" w:eastAsia="宋体" w:hint="default"/>
                            <w:sz w:val="15"/>
                            <w:szCs w:val="15"/>
                          </w:rPr>
                          <w:t>本期发生金额</w:t>
                        </w:r>
                      </w:p>
                    </w:tc>
                    <w:tc>
                      <w:tcPr>
                        <w:tcW w:w="106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上期发生金额</w:t>
                        </w:r>
                      </w:p>
                    </w:tc>
                    <w:tc>
                      <w:tcPr>
                        <w:tcW w:w="106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74"/>
                          <w:ind w:left="226" w:right="53" w:hanging="171"/>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2" w:right="22"/>
                          <w:jc w:val="left"/>
                          <w:rPr>
                            <w:rFonts w:ascii="宋体" w:hAnsi="宋体" w:cs="宋体" w:eastAsia="宋体" w:hint="default"/>
                            <w:sz w:val="15"/>
                            <w:szCs w:val="15"/>
                          </w:rPr>
                        </w:pP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81" w:lineRule="auto"/>
                          <w:ind w:left="22" w:right="131"/>
                          <w:jc w:val="both"/>
                          <w:rPr>
                            <w:rFonts w:ascii="宋体" w:hAnsi="宋体" w:cs="宋体" w:eastAsia="宋体" w:hint="default"/>
                            <w:sz w:val="15"/>
                            <w:szCs w:val="15"/>
                          </w:rPr>
                        </w:pPr>
                        <w:r>
                          <w:rPr>
                            <w:rFonts w:ascii="宋体" w:hAnsi="宋体" w:cs="宋体" w:eastAsia="宋体" w:hint="default"/>
                            <w:sz w:val="15"/>
                            <w:szCs w:val="15"/>
                          </w:rPr>
                          <w:t>中关村企业信 用促进会中介 资金补贴款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中关村管理管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74" w:lineRule="auto"/>
                          <w:ind w:left="22" w:right="80"/>
                          <w:jc w:val="both"/>
                          <w:rPr>
                            <w:rFonts w:ascii="宋体" w:hAnsi="宋体" w:cs="宋体" w:eastAsia="宋体" w:hint="default"/>
                            <w:sz w:val="15"/>
                            <w:szCs w:val="15"/>
                          </w:rPr>
                        </w:pPr>
                        <w:r>
                          <w:rPr>
                            <w:rFonts w:ascii="宋体" w:hAnsi="宋体" w:cs="宋体" w:eastAsia="宋体" w:hint="default"/>
                            <w:sz w:val="15"/>
                            <w:szCs w:val="15"/>
                          </w:rPr>
                          <w:t>海淀区残疾人 劳动就业管理 服务所</w:t>
                        </w:r>
                        <w:r>
                          <w:rPr>
                            <w:rFonts w:ascii="Times New Roman" w:hAnsi="Times New Roman" w:cs="Times New Roman" w:eastAsia="Times New Roman" w:hint="default"/>
                            <w:sz w:val="15"/>
                            <w:szCs w:val="15"/>
                          </w:rPr>
                          <w:t>-</w:t>
                        </w:r>
                        <w:r>
                          <w:rPr>
                            <w:rFonts w:ascii="宋体" w:hAnsi="宋体" w:cs="宋体" w:eastAsia="宋体" w:hint="default"/>
                            <w:sz w:val="15"/>
                            <w:szCs w:val="15"/>
                          </w:rPr>
                          <w:t>岗位补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81" w:lineRule="auto"/>
                          <w:ind w:left="22" w:right="127"/>
                          <w:jc w:val="both"/>
                          <w:rPr>
                            <w:rFonts w:ascii="宋体" w:hAnsi="宋体" w:cs="宋体" w:eastAsia="宋体" w:hint="default"/>
                            <w:sz w:val="15"/>
                            <w:szCs w:val="15"/>
                          </w:rPr>
                        </w:pPr>
                        <w:r>
                          <w:rPr>
                            <w:rFonts w:ascii="宋体" w:hAnsi="宋体" w:cs="宋体" w:eastAsia="宋体" w:hint="default"/>
                            <w:sz w:val="15"/>
                            <w:szCs w:val="15"/>
                          </w:rPr>
                          <w:t>海淀区残疾人 劳动就业管理 服务所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z w:val="15"/>
                            <w:szCs w:val="15"/>
                          </w:rPr>
                          <w:t>因从事国家鼓 励和扶持特定 </w:t>
                        </w:r>
                        <w:r>
                          <w:rPr>
                            <w:rFonts w:ascii="宋体" w:hAnsi="宋体" w:cs="宋体" w:eastAsia="宋体" w:hint="default"/>
                            <w:spacing w:val="-7"/>
                            <w:sz w:val="15"/>
                            <w:szCs w:val="15"/>
                          </w:rPr>
                          <w:t>行业、产业而获</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7"/>
                            <w:sz w:val="15"/>
                            <w:szCs w:val="15"/>
                          </w:rPr>
                          <w:t>得的补助（按国</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家级政策规定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3" w:right="0"/>
                          <w:jc w:val="left"/>
                          <w:rPr>
                            <w:rFonts w:ascii="宋体" w:hAnsi="宋体" w:cs="宋体" w:eastAsia="宋体" w:hint="default"/>
                            <w:sz w:val="15"/>
                            <w:szCs w:val="15"/>
                          </w:rPr>
                        </w:pPr>
                        <w:r>
                          <w:rPr>
                            <w:rFonts w:ascii="宋体" w:hAnsi="宋体" w:cs="宋体" w:eastAsia="宋体" w:hint="default"/>
                            <w:sz w:val="15"/>
                            <w:szCs w:val="15"/>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5"/>
                          <w:ind w:left="22" w:right="80"/>
                          <w:jc w:val="left"/>
                          <w:rPr>
                            <w:rFonts w:ascii="宋体" w:hAnsi="宋体" w:cs="宋体" w:eastAsia="宋体" w:hint="default"/>
                            <w:sz w:val="15"/>
                            <w:szCs w:val="15"/>
                          </w:rPr>
                        </w:pPr>
                        <w:r>
                          <w:rPr>
                            <w:rFonts w:ascii="宋体" w:hAnsi="宋体" w:cs="宋体" w:eastAsia="宋体" w:hint="default"/>
                            <w:sz w:val="15"/>
                            <w:szCs w:val="15"/>
                          </w:rPr>
                          <w:t>递延收益</w:t>
                        </w:r>
                        <w:r>
                          <w:rPr>
                            <w:rFonts w:ascii="Times New Roman" w:hAnsi="Times New Roman" w:cs="Times New Roman" w:eastAsia="Times New Roman" w:hint="default"/>
                            <w:sz w:val="15"/>
                            <w:szCs w:val="15"/>
                          </w:rPr>
                          <w:t>-</w:t>
                        </w:r>
                        <w:r>
                          <w:rPr>
                            <w:rFonts w:ascii="宋体" w:hAnsi="宋体" w:cs="宋体" w:eastAsia="宋体" w:hint="default"/>
                            <w:sz w:val="15"/>
                            <w:szCs w:val="15"/>
                          </w:rPr>
                          <w:t>与资 产相关的政府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31"/>
                          <w:jc w:val="both"/>
                          <w:rPr>
                            <w:rFonts w:ascii="宋体" w:hAnsi="宋体" w:cs="宋体" w:eastAsia="宋体" w:hint="default"/>
                            <w:sz w:val="15"/>
                            <w:szCs w:val="15"/>
                          </w:rPr>
                        </w:pPr>
                        <w:r>
                          <w:rPr>
                            <w:rFonts w:ascii="宋体" w:hAnsi="宋体" w:cs="宋体" w:eastAsia="宋体" w:hint="default"/>
                            <w:sz w:val="15"/>
                            <w:szCs w:val="15"/>
                          </w:rPr>
                          <w:t>电动汽车智能 交互系统研制 及产业化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216,000.00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131"/>
                          <w:jc w:val="both"/>
                          <w:rPr>
                            <w:rFonts w:ascii="宋体" w:hAnsi="宋体" w:cs="宋体" w:eastAsia="宋体" w:hint="default"/>
                            <w:sz w:val="15"/>
                            <w:szCs w:val="15"/>
                          </w:rPr>
                        </w:pPr>
                        <w:r>
                          <w:rPr>
                            <w:rFonts w:ascii="宋体" w:hAnsi="宋体" w:cs="宋体" w:eastAsia="宋体" w:hint="default"/>
                            <w:sz w:val="15"/>
                            <w:szCs w:val="15"/>
                          </w:rPr>
                          <w:t>面向精确定位 与移动通信的 智慧线设备研 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131"/>
                          <w:jc w:val="left"/>
                          <w:rPr>
                            <w:rFonts w:ascii="宋体" w:hAnsi="宋体" w:cs="宋体" w:eastAsia="宋体" w:hint="default"/>
                            <w:sz w:val="15"/>
                            <w:szCs w:val="15"/>
                          </w:rPr>
                        </w:pPr>
                        <w:r>
                          <w:rPr>
                            <w:rFonts w:ascii="宋体" w:hAnsi="宋体" w:cs="宋体" w:eastAsia="宋体" w:hint="default"/>
                            <w:sz w:val="15"/>
                            <w:szCs w:val="15"/>
                          </w:rPr>
                          <w:t>固定资产装修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127"/>
                          <w:jc w:val="left"/>
                          <w:rPr>
                            <w:rFonts w:ascii="宋体" w:hAnsi="宋体" w:cs="宋体" w:eastAsia="宋体" w:hint="default"/>
                            <w:sz w:val="15"/>
                            <w:szCs w:val="15"/>
                          </w:rPr>
                        </w:pPr>
                        <w:r>
                          <w:rPr>
                            <w:rFonts w:ascii="宋体" w:hAnsi="宋体" w:cs="宋体" w:eastAsia="宋体" w:hint="default"/>
                            <w:sz w:val="15"/>
                            <w:szCs w:val="15"/>
                          </w:rPr>
                          <w:t>北京市科学技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74"/>
                          <w:ind w:left="22" w:right="129"/>
                          <w:jc w:val="left"/>
                          <w:rPr>
                            <w:rFonts w:ascii="宋体" w:hAnsi="宋体" w:cs="宋体" w:eastAsia="宋体" w:hint="default"/>
                            <w:sz w:val="15"/>
                            <w:szCs w:val="15"/>
                          </w:rPr>
                        </w:pPr>
                        <w:r>
                          <w:rPr>
                            <w:rFonts w:ascii="宋体" w:hAnsi="宋体" w:cs="宋体" w:eastAsia="宋体" w:hint="default"/>
                            <w:sz w:val="15"/>
                            <w:szCs w:val="15"/>
                          </w:rPr>
                          <w:t>奖励上市而给 予的政府补助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74"/>
                          <w:ind w:left="22" w:right="81"/>
                          <w:jc w:val="both"/>
                          <w:rPr>
                            <w:rFonts w:ascii="宋体" w:hAnsi="宋体" w:cs="宋体" w:eastAsia="宋体" w:hint="default"/>
                            <w:sz w:val="15"/>
                            <w:szCs w:val="15"/>
                          </w:rPr>
                        </w:pPr>
                        <w:r>
                          <w:rPr>
                            <w:rFonts w:ascii="宋体" w:hAnsi="宋体" w:cs="宋体" w:eastAsia="宋体" w:hint="default"/>
                            <w:sz w:val="15"/>
                            <w:szCs w:val="15"/>
                          </w:rPr>
                          <w:t>北京市商务委 员会</w:t>
                        </w:r>
                        <w:r>
                          <w:rPr>
                            <w:rFonts w:ascii="Times New Roman" w:hAnsi="Times New Roman" w:cs="Times New Roman" w:eastAsia="Times New Roman" w:hint="default"/>
                            <w:sz w:val="15"/>
                            <w:szCs w:val="15"/>
                          </w:rPr>
                          <w:t>-</w:t>
                        </w:r>
                        <w:r>
                          <w:rPr>
                            <w:rFonts w:ascii="宋体" w:hAnsi="宋体" w:cs="宋体" w:eastAsia="宋体" w:hint="default"/>
                            <w:sz w:val="15"/>
                            <w:szCs w:val="15"/>
                          </w:rPr>
                          <w:t>纯电动物 流车项目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22" w:right="127"/>
                          <w:jc w:val="left"/>
                          <w:rPr>
                            <w:rFonts w:ascii="宋体" w:hAnsi="宋体" w:cs="宋体" w:eastAsia="宋体" w:hint="default"/>
                            <w:sz w:val="15"/>
                            <w:szCs w:val="15"/>
                          </w:rPr>
                        </w:pPr>
                        <w:r>
                          <w:rPr>
                            <w:rFonts w:ascii="宋体" w:hAnsi="宋体" w:cs="宋体" w:eastAsia="宋体" w:hint="default"/>
                            <w:sz w:val="15"/>
                            <w:szCs w:val="15"/>
                          </w:rPr>
                          <w:t>北京市商务委 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2" w:right="22"/>
                          <w:jc w:val="left"/>
                          <w:rPr>
                            <w:rFonts w:ascii="宋体" w:hAnsi="宋体" w:cs="宋体" w:eastAsia="宋体" w:hint="default"/>
                            <w:sz w:val="15"/>
                            <w:szCs w:val="15"/>
                          </w:rPr>
                        </w:pPr>
                        <w:r>
                          <w:rPr>
                            <w:rFonts w:ascii="宋体" w:hAnsi="宋体" w:cs="宋体" w:eastAsia="宋体" w:hint="default"/>
                            <w:spacing w:val="-7"/>
                            <w:sz w:val="15"/>
                            <w:szCs w:val="15"/>
                          </w:rPr>
                          <w:t>因研究开发、技</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术更新及改造 等获得的补助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828,399.96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828,399.96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2" w:right="0"/>
                          <w:jc w:val="center"/>
                          <w:rPr>
                            <w:rFonts w:ascii="Times New Roman" w:hAnsi="Times New Roman" w:cs="Times New Roman" w:eastAsia="Times New Roman" w:hint="default"/>
                            <w:sz w:val="15"/>
                            <w:szCs w:val="15"/>
                          </w:rPr>
                        </w:pPr>
                        <w:r>
                          <w:rPr>
                            <w:rFonts w:ascii="Times New Roman"/>
                            <w:sz w:val="15"/>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4"/>
                          <w:jc w:val="right"/>
                          <w:rPr>
                            <w:rFonts w:ascii="Times New Roman" w:hAnsi="Times New Roman" w:cs="Times New Roman" w:eastAsia="Times New Roman" w:hint="default"/>
                            <w:sz w:val="15"/>
                            <w:szCs w:val="15"/>
                          </w:rPr>
                        </w:pPr>
                        <w:r>
                          <w:rPr>
                            <w:rFonts w:ascii="Times New Roman"/>
                            <w:spacing w:val="-1"/>
                            <w:sz w:val="15"/>
                          </w:rPr>
                          <w:t>23,203,990.08</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8"/>
                          <w:ind w:right="9"/>
                          <w:jc w:val="right"/>
                          <w:rPr>
                            <w:rFonts w:ascii="Times New Roman" w:hAnsi="Times New Roman" w:cs="Times New Roman" w:eastAsia="Times New Roman" w:hint="default"/>
                            <w:sz w:val="15"/>
                            <w:szCs w:val="15"/>
                          </w:rPr>
                        </w:pPr>
                        <w:r>
                          <w:rPr>
                            <w:rFonts w:ascii="Times New Roman"/>
                            <w:spacing w:val="-1"/>
                            <w:sz w:val="15"/>
                          </w:rPr>
                          <w:t>17,320,461.19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2" w:right="0"/>
                          <w:jc w:val="center"/>
                          <w:rPr>
                            <w:rFonts w:ascii="Times New Roman" w:hAnsi="Times New Roman" w:cs="Times New Roman" w:eastAsia="Times New Roman" w:hint="default"/>
                            <w:sz w:val="15"/>
                            <w:szCs w:val="15"/>
                          </w:rPr>
                        </w:pPr>
                        <w:r>
                          <w:rPr>
                            <w:rFonts w:ascii="Times New Roman"/>
                            <w:sz w:val="15"/>
                          </w:rPr>
                          <w:t>--</w:t>
                        </w:r>
                      </w:p>
                    </w:tc>
                  </w:tr>
                </w:tbl>
                <w:p>
                  <w:pPr/>
                </w:p>
              </w:txbxContent>
            </v:textbox>
            <w10:wrap type="none"/>
          </v:shape>
        </w:pict>
      </w:r>
      <w:bookmarkStart w:name="70、营业外支出" w:id="330"/>
      <w:bookmarkEnd w:id="330"/>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9" w:lineRule="auto"/>
        <w:jc w:val="left"/>
        <w:rPr>
          <w:rFonts w:ascii="宋体" w:hAnsi="宋体" w:cs="宋体" w:eastAsia="宋体" w:hint="default"/>
          <w:sz w:val="18"/>
          <w:szCs w:val="18"/>
        </w:rPr>
        <w:sectPr>
          <w:pgSz w:w="11910" w:h="16840"/>
          <w:pgMar w:header="851" w:footer="979" w:top="144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14" w:hRule="exact"/>
        </w:trPr>
        <w:tc>
          <w:tcPr>
            <w:tcW w:w="23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160,576.81</w:t>
            </w:r>
          </w:p>
        </w:tc>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448,265.14</w:t>
            </w:r>
          </w:p>
        </w:tc>
        <w:tc>
          <w:tcPr>
            <w:tcW w:w="2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160,576.81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160,576.81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448,265.14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242,258.08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468,769.22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242,258.08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402,834.89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1,527,034.36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402,834.89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所得税费用" w:id="331"/>
      <w:bookmarkEnd w:id="331"/>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32"/>
      <w:bookmarkEnd w:id="33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50,244,299.22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65,156,367.90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-2,611,454.61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-11,490,951.69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47,632,844.61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53,665,416.21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33"/>
      <w:bookmarkEnd w:id="33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341,409,305.48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128,048,648.93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-61,954,511.83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-16,385,178.56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-10,739,172.94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7,367,164.66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1,295,894.35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47,632,844.61</w:t>
            </w:r>
          </w:p>
        </w:tc>
      </w:tr>
    </w:tbl>
    <w:p>
      <w:pPr>
        <w:spacing w:line="240" w:lineRule="auto" w:before="2"/>
        <w:rPr>
          <w:rFonts w:ascii="宋体" w:hAnsi="宋体" w:cs="宋体" w:eastAsia="宋体" w:hint="default"/>
          <w:sz w:val="19"/>
          <w:szCs w:val="19"/>
        </w:rPr>
      </w:pPr>
    </w:p>
    <w:p>
      <w:pPr>
        <w:pStyle w:val="Heading3"/>
        <w:spacing w:line="240" w:lineRule="auto" w:before="35"/>
        <w:ind w:left="1114" w:right="9065"/>
        <w:jc w:val="center"/>
        <w:rPr>
          <w:b w:val="0"/>
          <w:bCs w:val="0"/>
        </w:rPr>
      </w:pPr>
      <w:bookmarkStart w:name="72、其他综合收益" w:id="334"/>
      <w:bookmarkEnd w:id="334"/>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114" w:right="8905"/>
        <w:jc w:val="center"/>
      </w:pPr>
      <w:r>
        <w:rPr/>
        <w:t>详见附注</w:t>
      </w:r>
      <w:r>
        <w:rPr>
          <w:spacing w:val="-46"/>
        </w:rPr>
        <w:t> </w:t>
      </w:r>
      <w:r>
        <w:rPr>
          <w:rFonts w:ascii="Times New Roman" w:hAnsi="Times New Roman" w:cs="Times New Roman" w:eastAsia="Times New Roman" w:hint="default"/>
        </w:rPr>
        <w:t>57</w:t>
      </w:r>
      <w:r>
        <w:rPr/>
        <w:t>。</w:t>
      </w:r>
    </w:p>
    <w:p>
      <w:pPr>
        <w:spacing w:after="0" w:line="240" w:lineRule="auto"/>
        <w:jc w:val="cente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73、现金流量表项目" w:id="335"/>
      <w:bookmarkEnd w:id="335"/>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3" w:right="0"/>
        <w:jc w:val="left"/>
        <w:rPr>
          <w:b w:val="0"/>
          <w:bCs w:val="0"/>
        </w:rPr>
      </w:pPr>
      <w:bookmarkStart w:name="（1）收到的其他与经营活动有关的现金" w:id="336"/>
      <w:bookmarkEnd w:id="33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收到各项政府补助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31,313,460.00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26,811,161.67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13,978,973.38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13,087,190.11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7,187,503.60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3,940,696.23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收到个人备用金归还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15,734,565.12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9,067,811.60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收到往来款及零星现金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71,564,125.91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53,918,676.53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139,778,628.01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106,825,536.14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37"/>
      <w:bookmarkEnd w:id="33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支付办公、差旅、房租、招待等费用及 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335,347,994.84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224,677,142.68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8,438,566.99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12,689,948.09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343,786,561.83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237,977,090.77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38"/>
      <w:bookmarkEnd w:id="33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收回理财产品【注】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收回北京启天同信科技有限公司借款</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收回神州泰岳顶策科技（北京）有限公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2,825,041.10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2,825,041.10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44,300,000.00</w:t>
            </w:r>
          </w:p>
        </w:tc>
      </w:tr>
    </w:tbl>
    <w:p>
      <w:pPr>
        <w:pStyle w:val="BodyText"/>
        <w:spacing w:line="436" w:lineRule="auto" w:before="51"/>
        <w:ind w:left="1494" w:right="1122" w:hanging="360"/>
        <w:jc w:val="left"/>
      </w:pPr>
      <w:r>
        <w:rPr/>
        <w:t>收到的其他与投资活动有关的现金说明： 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月北京神州祥升软件有限公司发生同一控制下合并正式纳入公司合并范围，根据企业会计准则要求，追溯</w:t>
      </w:r>
    </w:p>
    <w:p>
      <w:pPr>
        <w:pStyle w:val="BodyText"/>
        <w:spacing w:line="240" w:lineRule="auto" w:before="55"/>
        <w:ind w:left="1134" w:right="0"/>
        <w:jc w:val="left"/>
      </w:pPr>
      <w:r>
        <w:rPr/>
        <w:t>调整比较期间的现金流量表。</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3"/>
        <w:ind w:left="0" w:right="1133"/>
        <w:jc w:val="right"/>
      </w:pPr>
      <w:r>
        <w:rPr>
          <w:rFonts w:ascii="Times New Roman" w:hAnsi="Times New Roman" w:cs="Times New Roman" w:eastAsia="Times New Roman" w:hint="default"/>
          <w:spacing w:val="8"/>
        </w:rPr>
        <w:t>2014</w:t>
      </w:r>
      <w:r>
        <w:rPr>
          <w:spacing w:val="8"/>
        </w:rPr>
        <w:t>年度北京神州祥升软件有限公司收回理财产品</w:t>
      </w:r>
      <w:r>
        <w:rPr>
          <w:rFonts w:ascii="Times New Roman" w:hAnsi="Times New Roman" w:cs="Times New Roman" w:eastAsia="Times New Roman" w:hint="default"/>
          <w:spacing w:val="8"/>
        </w:rPr>
        <w:t>29,000,000.00</w:t>
      </w:r>
      <w:r>
        <w:rPr>
          <w:spacing w:val="8"/>
        </w:rPr>
        <w:t>元，收回关联方北京启天同信科技有限公司借款</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15,300,000.00</w:t>
      </w:r>
      <w:r>
        <w:rPr/>
        <w:t>元。以上事项均发生在纳入合并范围之前。</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133" w:right="0"/>
        <w:jc w:val="left"/>
        <w:rPr>
          <w:b w:val="0"/>
          <w:bCs w:val="0"/>
        </w:rPr>
      </w:pPr>
      <w:bookmarkStart w:name="（4）支付的其他与投资活动有关的现金" w:id="339"/>
      <w:bookmarkEnd w:id="33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支付发行股份及支付现金购买资产费用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8,459,833.33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筹建海外公司款项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1,811,990.93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子公司清算支付少数股东款项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1,680,674.89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支付北京启天同信科技有限公司借款</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44,952,499.15</w:t>
            </w:r>
          </w:p>
        </w:tc>
      </w:tr>
    </w:tbl>
    <w:p>
      <w:pPr>
        <w:pStyle w:val="BodyText"/>
        <w:spacing w:line="477" w:lineRule="auto" w:before="88"/>
        <w:ind w:left="1494" w:right="1122" w:hanging="360"/>
        <w:jc w:val="left"/>
      </w:pPr>
      <w:r>
        <w:rPr/>
        <w:t>支付的其他与投资活动有关的现金说明： 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月北京神州祥升软件有限公司发生同一控制下合并正式纳入公司合并范围，根据企业会计准则要求，追溯</w:t>
      </w:r>
    </w:p>
    <w:p>
      <w:pPr>
        <w:pStyle w:val="BodyText"/>
        <w:spacing w:line="240" w:lineRule="auto" w:before="21"/>
        <w:ind w:left="1134" w:right="0"/>
        <w:jc w:val="left"/>
      </w:pPr>
      <w:r>
        <w:rPr/>
        <w:t>调整比较期间的现金流量表。</w:t>
      </w:r>
    </w:p>
    <w:p>
      <w:pPr>
        <w:spacing w:line="240" w:lineRule="auto" w:before="10"/>
        <w:rPr>
          <w:rFonts w:ascii="宋体" w:hAnsi="宋体" w:cs="宋体" w:eastAsia="宋体" w:hint="default"/>
          <w:sz w:val="17"/>
          <w:szCs w:val="17"/>
        </w:rPr>
      </w:pPr>
    </w:p>
    <w:p>
      <w:pPr>
        <w:pStyle w:val="BodyText"/>
        <w:spacing w:line="451" w:lineRule="auto"/>
        <w:ind w:right="0" w:firstLine="360"/>
        <w:jc w:val="left"/>
      </w:pPr>
      <w:r>
        <w:rPr>
          <w:rFonts w:ascii="Times New Roman" w:hAnsi="Times New Roman" w:cs="Times New Roman" w:eastAsia="Times New Roman" w:hint="default"/>
          <w:spacing w:val="-1"/>
        </w:rPr>
        <w:t>2014</w:t>
      </w:r>
      <w:r>
        <w:rPr>
          <w:spacing w:val="-1"/>
        </w:rPr>
        <w:t>年度北京神州祥升软件有限公司购买理财产品</w:t>
      </w:r>
      <w:r>
        <w:rPr>
          <w:rFonts w:ascii="Times New Roman" w:hAnsi="Times New Roman" w:cs="Times New Roman" w:eastAsia="Times New Roman" w:hint="default"/>
          <w:spacing w:val="-1"/>
        </w:rPr>
        <w:t>29,000,000.00</w:t>
      </w:r>
      <w:r>
        <w:rPr>
          <w:spacing w:val="-1"/>
        </w:rPr>
        <w:t>元，</w:t>
      </w:r>
      <w:r>
        <w:rPr>
          <w:rFonts w:ascii="Times New Roman" w:hAnsi="Times New Roman" w:cs="Times New Roman" w:eastAsia="Times New Roman" w:hint="default"/>
          <w:spacing w:val="-1"/>
        </w:rPr>
        <w:t>2014</w:t>
      </w:r>
      <w:r>
        <w:rPr>
          <w:spacing w:val="-1"/>
        </w:rPr>
        <w:t>年度收回。</w:t>
      </w:r>
      <w:r>
        <w:rPr>
          <w:rFonts w:ascii="Times New Roman" w:hAnsi="Times New Roman" w:cs="Times New Roman" w:eastAsia="Times New Roman" w:hint="default"/>
          <w:spacing w:val="-1"/>
        </w:rPr>
        <w:t>2014</w:t>
      </w:r>
      <w:r>
        <w:rPr>
          <w:spacing w:val="-1"/>
        </w:rPr>
        <w:t>年度支付关联方北京启天同信</w:t>
      </w:r>
      <w:r>
        <w:rPr/>
        <w:t> 科技有限公司借款</w:t>
      </w:r>
      <w:r>
        <w:rPr>
          <w:rFonts w:ascii="Times New Roman" w:hAnsi="Times New Roman" w:cs="Times New Roman" w:eastAsia="Times New Roman" w:hint="default"/>
        </w:rPr>
        <w:t>4,000,000.00</w:t>
      </w:r>
      <w:r>
        <w:rPr/>
        <w:t>元</w:t>
      </w:r>
      <w:r>
        <w:rPr>
          <w:rFonts w:ascii="Times New Roman" w:hAnsi="Times New Roman" w:cs="Times New Roman" w:eastAsia="Times New Roman" w:hint="default"/>
        </w:rPr>
        <w:t>,2014</w:t>
      </w:r>
      <w:r>
        <w:rPr/>
        <w:t>年度收回。以上事项均发生在纳入合并范围之前。</w:t>
      </w:r>
    </w:p>
    <w:p>
      <w:pPr>
        <w:spacing w:line="240" w:lineRule="auto" w:before="6"/>
        <w:rPr>
          <w:rFonts w:ascii="宋体" w:hAnsi="宋体" w:cs="宋体" w:eastAsia="宋体" w:hint="default"/>
          <w:sz w:val="18"/>
          <w:szCs w:val="18"/>
        </w:rPr>
      </w:pPr>
    </w:p>
    <w:p>
      <w:pPr>
        <w:pStyle w:val="Heading3"/>
        <w:spacing w:line="240" w:lineRule="auto"/>
        <w:ind w:left="1133" w:right="0"/>
        <w:jc w:val="left"/>
        <w:rPr>
          <w:b w:val="0"/>
          <w:bCs w:val="0"/>
        </w:rPr>
      </w:pPr>
      <w:bookmarkStart w:name="（5）收到的其他与筹资活动有关的现金" w:id="340"/>
      <w:bookmarkEnd w:id="34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1,300,048.61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代收股票期权个税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13,871,913.60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14,653,790.72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15,171,962.21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14,953,790.72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支付的其他与筹资活动有关的现金" w:id="341"/>
      <w:bookmarkEnd w:id="34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8,054,487.23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2,692,530.10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限制性股票退款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783,760.94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代付股票期权个税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26,586,613.96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11,887,342.87</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r>
        <w:rPr/>
        <w:pict>
          <v:group style="position:absolute;margin-left:223.339996pt;margin-top:578.709961pt;width:151.25pt;height:40.8pt;mso-position-horizontal-relative:page;mso-position-vertical-relative:page;z-index:-1281640" coordorigin="4467,11574" coordsize="3025,816">
            <v:group style="position:absolute;left:4478;top:11586;width:2;height:392" coordorigin="4478,11586" coordsize="2,392">
              <v:shape style="position:absolute;left:4478;top:11586;width:2;height:392" coordorigin="4478,11586" coordsize="0,392" path="m4478,11586l4478,11977e" filled="false" stroked="true" strokeweight="1.140pt" strokecolor="#ffffff">
                <v:path arrowok="t"/>
              </v:shape>
            </v:group>
            <v:group style="position:absolute;left:4490;top:11586;width:3002;height:392" coordorigin="4490,11586" coordsize="3002,392">
              <v:shape style="position:absolute;left:4490;top:11586;width:3002;height:392" coordorigin="4490,11586" coordsize="3002,392" path="m4490,11977l7491,11977,7491,11586,4490,11586,4490,11977xe" filled="true" fillcolor="#ffffff" stroked="false">
                <v:path arrowok="t"/>
                <v:fill type="solid"/>
              </v:shape>
            </v:group>
            <v:group style="position:absolute;left:4478;top:11988;width:2;height:392" coordorigin="4478,11988" coordsize="2,392">
              <v:shape style="position:absolute;left:4478;top:11988;width:2;height:392" coordorigin="4478,11988" coordsize="0,392" path="m4478,11988l4478,12379e" filled="false" stroked="true" strokeweight="1.140pt" strokecolor="#ffffff">
                <v:path arrowok="t"/>
              </v:shape>
            </v:group>
            <v:group style="position:absolute;left:4490;top:11988;width:3002;height:392" coordorigin="4490,11988" coordsize="3002,392">
              <v:shape style="position:absolute;left:4490;top:11988;width:3002;height:392" coordorigin="4490,11988" coordsize="3002,392" path="m4490,12379l7491,12379,7491,11988,4490,11988,4490,12379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726" w:hRule="exact"/>
        </w:trPr>
        <w:tc>
          <w:tcPr>
            <w:tcW w:w="3188"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2" w:right="93"/>
              <w:jc w:val="left"/>
              <w:rPr>
                <w:rFonts w:ascii="宋体" w:hAnsi="宋体" w:cs="宋体" w:eastAsia="宋体" w:hint="default"/>
                <w:sz w:val="18"/>
                <w:szCs w:val="18"/>
              </w:rPr>
            </w:pPr>
            <w:r>
              <w:rPr>
                <w:rFonts w:ascii="宋体" w:hAnsi="宋体" w:cs="宋体" w:eastAsia="宋体" w:hint="default"/>
                <w:sz w:val="18"/>
                <w:szCs w:val="18"/>
              </w:rPr>
              <w:t>付以前年度已纳入合并范围的子公司原 股东股权收购款</w:t>
            </w:r>
          </w:p>
        </w:tc>
        <w:tc>
          <w:tcPr>
            <w:tcW w:w="31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68,824,485.00</w:t>
            </w:r>
          </w:p>
        </w:tc>
        <w:tc>
          <w:tcPr>
            <w:tcW w:w="31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29,712,830.60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归还北京中关乐影文化传媒有限公司借 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12,381,047.67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子公司退出合并范围现金减少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157,880,485.80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同一控制下购买子公司支付股权转让款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453,727,119.66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60,576,464.51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4、现金流量表补充资料" w:id="342"/>
      <w:bookmarkEnd w:id="342"/>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现金流量表补充资料" w:id="343"/>
      <w:bookmarkEnd w:id="34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293,776,460.87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624,271,781.09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57,162,900.00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16,919,148.29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27,817,499.84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27,416,049.97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26,273,844.15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16,008,685.40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6,283,103.60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2,089,295.47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-447,706.32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84,629.79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-3,594,769.21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-4,177,171.55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-80,190,731.65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-80,504,950.10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019"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-1,913,065.26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-10,765,507.80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154" w:val="left" w:leader="none"/>
              </w:tabs>
              <w:spacing w:line="240" w:lineRule="auto" w:before="52"/>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-910,277.97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-725,443.89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-132,264,239.59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-98,985,372.69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-249,834,402.85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-161,056,866.13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106,739,360.92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26,837,433.89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15,341,486.27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13,807,830.55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64,239,462.80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371,219,542.29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168" w:hRule="exact"/>
        </w:trPr>
        <w:tc>
          <w:tcPr>
            <w:tcW w:w="3305" w:type="dxa"/>
            <w:vMerge w:val="restart"/>
            <w:tcBorders>
              <w:top w:val="single" w:sz="10"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10"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10"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681,871,871.18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1,257,447,948.14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1,257,447,948.14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1,491,522,407.23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-575,576,076.96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-234,074,459.09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44"/>
      <w:bookmarkEnd w:id="34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宁波高新区捷远科技有限公司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天津安纳西科技有限公司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2,370,483.94</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宁波高新区捷远科技有限公司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254,645.28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72" w:right="0"/>
              <w:jc w:val="left"/>
              <w:rPr>
                <w:rFonts w:ascii="宋体" w:hAnsi="宋体" w:cs="宋体" w:eastAsia="宋体" w:hint="default"/>
                <w:sz w:val="18"/>
                <w:szCs w:val="18"/>
              </w:rPr>
            </w:pPr>
            <w:r>
              <w:rPr>
                <w:rFonts w:ascii="宋体" w:hAnsi="宋体" w:cs="宋体" w:eastAsia="宋体" w:hint="default"/>
                <w:sz w:val="18"/>
                <w:szCs w:val="18"/>
              </w:rPr>
              <w:t>天津安纳西科技有限公司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2,115,838.66</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39,229,516.06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345"/>
      <w:bookmarkEnd w:id="345"/>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681,871,871.18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1,257,447,948.14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208,529.79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294,321.83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675,880,413.07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1,255,009,420.22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5,782,928.32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2,144,206.09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681,871,871.18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1,257,447,948.14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5、所有者权益变动表项目注释" w:id="346"/>
      <w:bookmarkEnd w:id="346"/>
      <w:r>
        <w:rPr>
          <w:b w:val="0"/>
          <w:bCs w:val="0"/>
        </w:rPr>
      </w:r>
      <w:r>
        <w:rPr>
          <w:rFonts w:ascii="Times New Roman" w:hAnsi="Times New Roman" w:cs="Times New Roman" w:eastAsia="Times New Roman" w:hint="default"/>
        </w:rPr>
        <w:t>75</w:t>
      </w:r>
      <w:r>
        <w:rPr/>
        <w:t>、所有者权益变动表项目注释</w:t>
      </w:r>
      <w:r>
        <w:rPr>
          <w:b w:val="0"/>
          <w:bCs w:val="0"/>
        </w:rPr>
      </w:r>
    </w:p>
    <w:p>
      <w:pPr>
        <w:spacing w:line="240" w:lineRule="auto" w:before="8"/>
        <w:rPr>
          <w:rFonts w:ascii="宋体" w:hAnsi="宋体" w:cs="宋体" w:eastAsia="宋体" w:hint="default"/>
          <w:b/>
          <w:bCs/>
          <w:sz w:val="32"/>
          <w:szCs w:val="32"/>
        </w:rPr>
      </w:pPr>
    </w:p>
    <w:p>
      <w:pPr>
        <w:pStyle w:val="BodyText"/>
        <w:spacing w:line="489" w:lineRule="auto"/>
        <w:ind w:left="1494" w:right="0" w:hanging="360"/>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w:t>
      </w:r>
      <w:r>
        <w:rPr>
          <w:spacing w:val="5"/>
        </w:rPr>
        <w:t>本报告期同一控制下合并北京神州祥升软件有限公司原因，影响</w:t>
      </w:r>
      <w:r>
        <w:rPr>
          <w:rFonts w:ascii="Times New Roman" w:hAnsi="Times New Roman" w:cs="Times New Roman" w:eastAsia="Times New Roman" w:hint="default"/>
          <w:spacing w:val="5"/>
        </w:rPr>
        <w:t>2014</w:t>
      </w:r>
      <w:r>
        <w:rPr>
          <w:spacing w:val="5"/>
        </w:rPr>
        <w:t>年期初数</w:t>
      </w:r>
      <w:r>
        <w:rPr>
          <w:rFonts w:ascii="Times New Roman" w:hAnsi="Times New Roman" w:cs="Times New Roman" w:eastAsia="Times New Roman" w:hint="default"/>
          <w:spacing w:val="5"/>
        </w:rPr>
        <w:t>“</w:t>
      </w:r>
      <w:r>
        <w:rPr>
          <w:spacing w:val="5"/>
        </w:rPr>
        <w:t>资本公积</w:t>
      </w:r>
      <w:r>
        <w:rPr>
          <w:rFonts w:ascii="Times New Roman" w:hAnsi="Times New Roman" w:cs="Times New Roman" w:eastAsia="Times New Roman" w:hint="default"/>
          <w:spacing w:val="5"/>
        </w:rPr>
        <w:t>”8,691,240.00</w:t>
      </w:r>
      <w:r>
        <w:rPr>
          <w:spacing w:val="5"/>
        </w:rPr>
        <w:t>元、</w:t>
      </w:r>
      <w:r>
        <w:rPr>
          <w:rFonts w:ascii="Times New Roman" w:hAnsi="Times New Roman" w:cs="Times New Roman" w:eastAsia="Times New Roman" w:hint="default"/>
          <w:spacing w:val="5"/>
        </w:rPr>
        <w:t>“</w:t>
      </w:r>
      <w:r>
        <w:rPr>
          <w:spacing w:val="5"/>
        </w:rPr>
        <w:t>盈余公</w:t>
      </w:r>
    </w:p>
    <w:p>
      <w:pPr>
        <w:spacing w:after="0" w:line="489"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1" w:lineRule="auto" w:before="83"/>
        <w:ind w:right="0"/>
        <w:jc w:val="left"/>
      </w:pPr>
      <w:r>
        <w:rPr/>
        <w:t>积</w:t>
      </w:r>
      <w:r>
        <w:rPr>
          <w:rFonts w:ascii="Times New Roman" w:hAnsi="Times New Roman" w:cs="Times New Roman" w:eastAsia="Times New Roman" w:hint="default"/>
        </w:rPr>
        <w:t>”165,702.60</w:t>
      </w:r>
      <w:r>
        <w:rPr/>
        <w:t>元、</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”775,740.66</w:t>
      </w:r>
      <w:r>
        <w:rPr/>
        <w:t>元、</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”12,644,567.58</w:t>
      </w:r>
      <w:r>
        <w:rPr/>
        <w:t>元；影响</w:t>
      </w:r>
      <w:r>
        <w:rPr>
          <w:rFonts w:ascii="Times New Roman" w:hAnsi="Times New Roman" w:cs="Times New Roman" w:eastAsia="Times New Roman" w:hint="default"/>
        </w:rPr>
        <w:t>2015</w:t>
      </w:r>
      <w:r>
        <w:rPr/>
        <w:t>年期初数</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”4,324,000.00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元、</w:t>
      </w:r>
      <w:r>
        <w:rPr>
          <w:rFonts w:ascii="Times New Roman" w:hAnsi="Times New Roman" w:cs="Times New Roman" w:eastAsia="Times New Roman" w:hint="default"/>
        </w:rPr>
        <w:t>“</w:t>
      </w:r>
      <w:r>
        <w:rPr/>
        <w:t>盈余公积</w:t>
      </w:r>
      <w:r>
        <w:rPr>
          <w:rFonts w:ascii="Times New Roman" w:hAnsi="Times New Roman" w:cs="Times New Roman" w:eastAsia="Times New Roman" w:hint="default"/>
        </w:rPr>
        <w:t>”905,297.28</w:t>
      </w:r>
      <w:r>
        <w:rPr/>
        <w:t>元、</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”7,06</w:t>
      </w:r>
      <w:r>
        <w:rPr>
          <w:rFonts w:ascii="Times New Roman" w:hAnsi="Times New Roman" w:cs="Times New Roman" w:eastAsia="Times New Roman" w:hint="default"/>
        </w:rPr>
        <w:t>2,827.47</w:t>
      </w:r>
      <w:r>
        <w:rPr/>
        <w:t>元、</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”16,135,545.81</w:t>
      </w:r>
      <w:r>
        <w:rPr/>
        <w:t>元。</w:t>
      </w:r>
    </w:p>
    <w:p>
      <w:pPr>
        <w:spacing w:line="240" w:lineRule="auto" w:before="6"/>
        <w:rPr>
          <w:rFonts w:ascii="宋体" w:hAnsi="宋体" w:cs="宋体" w:eastAsia="宋体" w:hint="default"/>
          <w:sz w:val="18"/>
          <w:szCs w:val="18"/>
        </w:rPr>
      </w:pPr>
    </w:p>
    <w:p>
      <w:pPr>
        <w:pStyle w:val="Heading3"/>
        <w:spacing w:line="240" w:lineRule="auto"/>
        <w:ind w:left="1133" w:right="0"/>
        <w:jc w:val="left"/>
        <w:rPr>
          <w:b w:val="0"/>
          <w:bCs w:val="0"/>
        </w:rPr>
      </w:pPr>
      <w:bookmarkStart w:name="76、所有权或使用权受到限制的资产" w:id="347"/>
      <w:bookmarkEnd w:id="347"/>
      <w:r>
        <w:rPr>
          <w:b w:val="0"/>
          <w:bCs w:val="0"/>
        </w:rPr>
      </w:r>
      <w:r>
        <w:rPr>
          <w:rFonts w:ascii="Times New Roman" w:hAnsi="Times New Roman" w:cs="Times New Roman" w:eastAsia="Times New Roman" w:hint="default"/>
        </w:rPr>
        <w:t>76</w:t>
      </w:r>
      <w:r>
        <w:rPr/>
        <w:t>、所有权或使用权受到限制的资产</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26,993,372.59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保函保证金及银票保证金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26,993,372.59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7、外币货币性项目" w:id="348"/>
      <w:bookmarkEnd w:id="348"/>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外币货币性项目" w:id="349"/>
      <w:bookmarkEnd w:id="34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152,158,669.05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20,733,498.03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134,635,042.81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7,781,999.96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6,519,759.57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1,019,114.76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4,675,188.96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353,299,855.00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105,989.96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2,838,961.61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511,013.09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829,586,795.00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4,645,686.05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5,413,727.00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1,065,962.85</w:t>
            </w:r>
          </w:p>
        </w:tc>
      </w:tr>
      <w:tr>
        <w:trPr>
          <w:trHeight w:val="402" w:hRule="exact"/>
        </w:trPr>
        <w:tc>
          <w:tcPr>
            <w:tcW w:w="2484"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9" w:space="0" w:color="D9D9D9"/>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21,263,987.11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1,484,807.79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9,641,747.87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4,417,308.13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3,700,820.75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329,545.32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1,511,789.16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1,359,346,858.00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407,804.06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423,360.20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76,204.84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491,965,617.00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2,755,007.46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16,102,656.00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3,170,612.97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2,282,450.46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 ：港币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20,107.20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14" w:hRule="exact"/>
        </w:trPr>
        <w:tc>
          <w:tcPr>
            <w:tcW w:w="248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65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10" w:space="0" w:color="000000"/>
              <w:left w:val="single" w:sz="9" w:space="0" w:color="D9D9D9"/>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334,642.69</w:t>
            </w:r>
          </w:p>
        </w:tc>
        <w:tc>
          <w:tcPr>
            <w:tcW w:w="23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1,535,173.34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441,725.00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184,920.88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33,285.76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45,021,390.00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252,119.78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09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129"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12,579,345.00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19,571.95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127,092.41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2,448,252.71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2,051,146.12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1,351,762.56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6,201,210.74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384,763,735.53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2,154,676.92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10,387,094.00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2,045,218.81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09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1129" w:right="0"/>
              <w:jc w:val="lef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1,715,674.21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730.79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17,204.60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14,414.01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新加坡币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349,500.18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1,603,332.08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68,738,793.00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20,621.64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韩币</w:t>
            </w:r>
          </w:p>
        </w:tc>
        <w:tc>
          <w:tcPr>
            <w:tcW w:w="2305"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13,674,231.00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76,575.69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8、套期" w:id="350"/>
      <w:bookmarkEnd w:id="350"/>
      <w:r>
        <w:rPr>
          <w:b w:val="0"/>
          <w:bCs w:val="0"/>
        </w:rPr>
      </w:r>
      <w:r>
        <w:rPr>
          <w:rFonts w:ascii="Times New Roman" w:hAnsi="Times New Roman" w:cs="Times New Roman" w:eastAsia="Times New Roman" w:hint="default"/>
        </w:rPr>
        <w:t>78</w:t>
      </w:r>
      <w:r>
        <w:rPr/>
        <w:t>、套期</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79、其他" w:id="351"/>
      <w:bookmarkEnd w:id="351"/>
      <w:r>
        <w:rPr>
          <w:b w:val="0"/>
          <w:bCs w:val="0"/>
        </w:rPr>
      </w:r>
      <w:r>
        <w:rPr>
          <w:rFonts w:ascii="Times New Roman" w:hAnsi="Times New Roman" w:cs="Times New Roman" w:eastAsia="Times New Roman" w:hint="default"/>
        </w:rPr>
        <w:t>79</w:t>
      </w:r>
      <w:r>
        <w:rPr/>
        <w:t>、其他</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left="1133" w:right="0"/>
        <w:jc w:val="left"/>
        <w:rPr>
          <w:b w:val="0"/>
          <w:bCs w:val="0"/>
        </w:rPr>
      </w:pPr>
      <w:bookmarkStart w:name="八、合并范围的变更" w:id="352"/>
      <w:bookmarkEnd w:id="35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非同一控制下企业合并" w:id="353"/>
      <w:bookmarkEnd w:id="35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期发生的非同一控制下企业合并" w:id="354"/>
      <w:bookmarkEnd w:id="35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被购买方名称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股权取得时点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5"/>
                <w:szCs w:val="15"/>
              </w:rPr>
            </w:pPr>
            <w:r>
              <w:rPr>
                <w:rFonts w:ascii="宋体" w:hAnsi="宋体" w:cs="宋体" w:eastAsia="宋体" w:hint="default"/>
                <w:sz w:val="15"/>
                <w:szCs w:val="15"/>
              </w:rPr>
              <w:t>股权取得成本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5"/>
                <w:szCs w:val="15"/>
              </w:rPr>
            </w:pPr>
            <w:r>
              <w:rPr>
                <w:rFonts w:ascii="宋体" w:hAnsi="宋体" w:cs="宋体" w:eastAsia="宋体" w:hint="default"/>
                <w:sz w:val="15"/>
                <w:szCs w:val="15"/>
              </w:rPr>
              <w:t>股权取得比例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5"/>
                <w:szCs w:val="15"/>
              </w:rPr>
            </w:pPr>
            <w:r>
              <w:rPr>
                <w:rFonts w:ascii="宋体" w:hAnsi="宋体" w:cs="宋体" w:eastAsia="宋体" w:hint="default"/>
                <w:sz w:val="15"/>
                <w:szCs w:val="15"/>
              </w:rPr>
              <w:t>股权取得方式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375" w:right="75" w:hanging="300"/>
              <w:jc w:val="left"/>
              <w:rPr>
                <w:rFonts w:ascii="宋体" w:hAnsi="宋体" w:cs="宋体" w:eastAsia="宋体" w:hint="default"/>
                <w:sz w:val="15"/>
                <w:szCs w:val="15"/>
              </w:rPr>
            </w:pPr>
            <w:r>
              <w:rPr>
                <w:rFonts w:ascii="宋体" w:hAnsi="宋体" w:cs="宋体" w:eastAsia="宋体" w:hint="default"/>
                <w:sz w:val="15"/>
                <w:szCs w:val="15"/>
              </w:rPr>
              <w:t>购买日的确定 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75" w:right="74"/>
              <w:jc w:val="center"/>
              <w:rPr>
                <w:rFonts w:ascii="宋体" w:hAnsi="宋体" w:cs="宋体" w:eastAsia="宋体" w:hint="default"/>
                <w:sz w:val="15"/>
                <w:szCs w:val="15"/>
              </w:rPr>
            </w:pPr>
            <w:r>
              <w:rPr>
                <w:rFonts w:ascii="宋体" w:hAnsi="宋体" w:cs="宋体" w:eastAsia="宋体" w:hint="default"/>
                <w:sz w:val="15"/>
                <w:szCs w:val="15"/>
              </w:rPr>
              <w:t>购买日至期末 被购买方的收 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75" w:right="63"/>
              <w:jc w:val="center"/>
              <w:rPr>
                <w:rFonts w:ascii="宋体" w:hAnsi="宋体" w:cs="宋体" w:eastAsia="宋体" w:hint="default"/>
                <w:sz w:val="15"/>
                <w:szCs w:val="15"/>
              </w:rPr>
            </w:pPr>
            <w:r>
              <w:rPr>
                <w:rFonts w:ascii="宋体" w:hAnsi="宋体" w:cs="宋体" w:eastAsia="宋体" w:hint="default"/>
                <w:sz w:val="15"/>
                <w:szCs w:val="15"/>
              </w:rPr>
              <w:t>购买日至期末 被购买方的净 利润</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6"/>
              <w:jc w:val="center"/>
              <w:rPr>
                <w:rFonts w:ascii="宋体" w:hAnsi="宋体" w:cs="宋体" w:eastAsia="宋体" w:hint="default"/>
                <w:sz w:val="15"/>
                <w:szCs w:val="15"/>
              </w:rPr>
            </w:pPr>
            <w:r>
              <w:rPr>
                <w:rFonts w:ascii="宋体" w:hAnsi="宋体" w:cs="宋体" w:eastAsia="宋体" w:hint="default"/>
                <w:sz w:val="15"/>
                <w:szCs w:val="15"/>
              </w:rPr>
              <w:t>天津安纳西科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年</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80,000,000.00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93" w:right="0"/>
              <w:jc w:val="left"/>
              <w:rPr>
                <w:rFonts w:ascii="Times New Roman" w:hAnsi="Times New Roman" w:cs="Times New Roman" w:eastAsia="Times New Roman" w:hint="default"/>
                <w:sz w:val="15"/>
                <w:szCs w:val="15"/>
              </w:rPr>
            </w:pPr>
            <w:r>
              <w:rPr>
                <w:rFonts w:ascii="Times New Roman"/>
                <w:sz w:val="15"/>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年</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30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宋体" w:hAnsi="宋体" w:cs="宋体" w:eastAsia="宋体" w:hint="default"/>
                <w:sz w:val="15"/>
                <w:szCs w:val="15"/>
              </w:rPr>
            </w:pPr>
            <w:r>
              <w:rPr>
                <w:rFonts w:ascii="宋体" w:hAnsi="宋体" w:cs="宋体" w:eastAsia="宋体" w:hint="default"/>
                <w:sz w:val="15"/>
                <w:szCs w:val="15"/>
              </w:rPr>
              <w:t>价款已支付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5" w:right="0"/>
              <w:jc w:val="left"/>
              <w:rPr>
                <w:rFonts w:ascii="Times New Roman" w:hAnsi="Times New Roman" w:cs="Times New Roman" w:eastAsia="Times New Roman" w:hint="default"/>
                <w:sz w:val="15"/>
                <w:szCs w:val="15"/>
              </w:rPr>
            </w:pPr>
            <w:r>
              <w:rPr>
                <w:rFonts w:ascii="Times New Roman"/>
                <w:sz w:val="15"/>
              </w:rPr>
              <w:t>19,399,804.64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5" w:right="0"/>
              <w:jc w:val="left"/>
              <w:rPr>
                <w:rFonts w:ascii="Times New Roman" w:hAnsi="Times New Roman" w:cs="Times New Roman" w:eastAsia="Times New Roman" w:hint="default"/>
                <w:sz w:val="15"/>
                <w:szCs w:val="15"/>
              </w:rPr>
            </w:pPr>
            <w:r>
              <w:rPr>
                <w:rFonts w:ascii="Times New Roman"/>
                <w:sz w:val="15"/>
              </w:rPr>
              <w:t>18,720,614.66</w:t>
            </w:r>
          </w:p>
        </w:tc>
      </w:tr>
    </w:tbl>
    <w:p>
      <w:pPr>
        <w:spacing w:after="0" w:line="240" w:lineRule="auto"/>
        <w:jc w:val="left"/>
        <w:rPr>
          <w:rFonts w:ascii="Times New Roman" w:hAnsi="Times New Roman" w:cs="Times New Roman" w:eastAsia="Times New Roman" w:hint="default"/>
          <w:sz w:val="15"/>
          <w:szCs w:val="15"/>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09" w:hRule="exact"/>
        </w:trPr>
        <w:tc>
          <w:tcPr>
            <w:tcW w:w="10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06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1063" w:type="dxa"/>
            <w:tcBorders>
              <w:top w:val="single" w:sz="10" w:space="0" w:color="000000"/>
              <w:left w:val="single" w:sz="4" w:space="0" w:color="000000"/>
              <w:bottom w:val="single" w:sz="4" w:space="0" w:color="000000"/>
              <w:right w:val="single" w:sz="4" w:space="0" w:color="000000"/>
            </w:tcBorders>
          </w:tcPr>
          <w:p>
            <w:pPr/>
          </w:p>
        </w:tc>
        <w:tc>
          <w:tcPr>
            <w:tcW w:w="1065" w:type="dxa"/>
            <w:tcBorders>
              <w:top w:val="single" w:sz="10" w:space="0" w:color="000000"/>
              <w:left w:val="single" w:sz="4" w:space="0" w:color="000000"/>
              <w:bottom w:val="single" w:sz="4" w:space="0" w:color="000000"/>
              <w:right w:val="single" w:sz="4" w:space="0" w:color="000000"/>
            </w:tcBorders>
          </w:tcPr>
          <w:p>
            <w:pPr/>
          </w:p>
        </w:tc>
        <w:tc>
          <w:tcPr>
            <w:tcW w:w="1064"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1062" w:type="dxa"/>
            <w:tcBorders>
              <w:top w:val="single" w:sz="10" w:space="0" w:color="000000"/>
              <w:left w:val="single" w:sz="4" w:space="0" w:color="000000"/>
              <w:bottom w:val="single" w:sz="4" w:space="0" w:color="000000"/>
              <w:right w:val="single" w:sz="4" w:space="0" w:color="000000"/>
            </w:tcBorders>
          </w:tcPr>
          <w:p>
            <w:pPr>
              <w:pStyle w:val="TableParagraph"/>
              <w:spacing w:line="374" w:lineRule="auto" w:before="38"/>
              <w:ind w:left="22" w:right="2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50%</w:t>
            </w:r>
            <w:r>
              <w:rPr>
                <w:rFonts w:ascii="宋体" w:hAnsi="宋体" w:cs="宋体" w:eastAsia="宋体" w:hint="default"/>
                <w:spacing w:val="-3"/>
                <w:sz w:val="15"/>
                <w:szCs w:val="15"/>
              </w:rPr>
              <w:t>，工商变更</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7"/>
                <w:sz w:val="15"/>
                <w:szCs w:val="15"/>
              </w:rPr>
              <w:t>已完成，双方实</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质交接程序完</w:t>
            </w:r>
            <w:r>
              <w:rPr>
                <w:rFonts w:ascii="宋体" w:hAnsi="宋体" w:cs="宋体" w:eastAsia="宋体" w:hint="default"/>
                <w:w w:val="99"/>
                <w:sz w:val="15"/>
                <w:szCs w:val="15"/>
              </w:rPr>
              <w:t> </w:t>
            </w:r>
            <w:r>
              <w:rPr>
                <w:rFonts w:ascii="宋体" w:hAnsi="宋体" w:cs="宋体" w:eastAsia="宋体" w:hint="default"/>
                <w:sz w:val="15"/>
                <w:szCs w:val="15"/>
              </w:rPr>
              <w:t>成。</w:t>
            </w:r>
          </w:p>
        </w:tc>
        <w:tc>
          <w:tcPr>
            <w:tcW w:w="1062" w:type="dxa"/>
            <w:tcBorders>
              <w:top w:val="single" w:sz="10" w:space="0" w:color="000000"/>
              <w:left w:val="single" w:sz="4" w:space="0" w:color="000000"/>
              <w:bottom w:val="single" w:sz="4" w:space="0" w:color="000000"/>
              <w:right w:val="single" w:sz="4" w:space="0" w:color="000000"/>
            </w:tcBorders>
          </w:tcPr>
          <w:p>
            <w:pPr/>
          </w:p>
        </w:tc>
        <w:tc>
          <w:tcPr>
            <w:tcW w:w="1062" w:type="dxa"/>
            <w:tcBorders>
              <w:top w:val="single" w:sz="10" w:space="0" w:color="000000"/>
              <w:left w:val="single" w:sz="4" w:space="0" w:color="000000"/>
              <w:bottom w:val="single" w:sz="4" w:space="0" w:color="000000"/>
              <w:right w:val="single" w:sz="4" w:space="0" w:color="000000"/>
            </w:tcBorders>
          </w:tcPr>
          <w:p>
            <w:pP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81" w:lineRule="auto"/>
              <w:ind w:left="22" w:right="129"/>
              <w:jc w:val="both"/>
              <w:rPr>
                <w:rFonts w:ascii="宋体" w:hAnsi="宋体" w:cs="宋体" w:eastAsia="宋体" w:hint="default"/>
                <w:sz w:val="15"/>
                <w:szCs w:val="15"/>
              </w:rPr>
            </w:pPr>
            <w:r>
              <w:rPr>
                <w:rFonts w:ascii="宋体" w:hAnsi="宋体" w:cs="宋体" w:eastAsia="宋体" w:hint="default"/>
                <w:sz w:val="15"/>
                <w:szCs w:val="15"/>
              </w:rPr>
              <w:t>宁波高新区捷 远科技有限公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年</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31</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t>1,600,000.00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3" w:right="0"/>
              <w:jc w:val="left"/>
              <w:rPr>
                <w:rFonts w:ascii="Times New Roman" w:hAnsi="Times New Roman" w:cs="Times New Roman" w:eastAsia="Times New Roman" w:hint="default"/>
                <w:sz w:val="15"/>
                <w:szCs w:val="15"/>
              </w:rPr>
            </w:pPr>
            <w:r>
              <w:rPr>
                <w:rFonts w:ascii="Times New Roman"/>
                <w:sz w:val="15"/>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年</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31</w:t>
            </w:r>
          </w:p>
          <w:p>
            <w:pPr>
              <w:pStyle w:val="TableParagraph"/>
              <w:spacing w:line="240" w:lineRule="auto" w:before="104"/>
              <w:ind w:left="22" w:right="0"/>
              <w:jc w:val="left"/>
              <w:rPr>
                <w:rFonts w:ascii="宋体" w:hAnsi="宋体" w:cs="宋体" w:eastAsia="宋体" w:hint="default"/>
                <w:sz w:val="15"/>
                <w:szCs w:val="15"/>
              </w:rPr>
            </w:pPr>
            <w:r>
              <w:rPr>
                <w:rFonts w:ascii="宋体" w:hAnsi="宋体" w:cs="宋体" w:eastAsia="宋体" w:hint="default"/>
                <w:sz w:val="15"/>
                <w:szCs w:val="15"/>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6"/>
              <w:ind w:left="22" w:right="-21"/>
              <w:jc w:val="left"/>
              <w:rPr>
                <w:rFonts w:ascii="宋体" w:hAnsi="宋体" w:cs="宋体" w:eastAsia="宋体" w:hint="default"/>
                <w:sz w:val="15"/>
                <w:szCs w:val="15"/>
              </w:rPr>
            </w:pPr>
            <w:r>
              <w:rPr>
                <w:rFonts w:ascii="宋体" w:hAnsi="宋体" w:cs="宋体" w:eastAsia="宋体" w:hint="default"/>
                <w:sz w:val="15"/>
                <w:szCs w:val="15"/>
              </w:rPr>
              <w:t>股权转让款项 全部支付完毕， 工商变更已完 </w:t>
            </w:r>
            <w:r>
              <w:rPr>
                <w:rFonts w:ascii="宋体" w:hAnsi="宋体" w:cs="宋体" w:eastAsia="宋体" w:hint="default"/>
                <w:spacing w:val="-7"/>
                <w:sz w:val="15"/>
                <w:szCs w:val="15"/>
              </w:rPr>
              <w:t>成，双方实质交</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接程序完成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355"/>
      <w:bookmarkEnd w:id="35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天津安纳西科技有限公司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宁波高新区捷远科技有限公司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7,658,798.28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-554,884.91</w:t>
            </w:r>
            <w:r>
              <w:rPr>
                <w:rFonts w:ascii="Times New Roman"/>
                <w:sz w:val="18"/>
              </w:rPr>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72,341,201.72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2,154,884.91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被购买方于购买日可辨认资产、负债" w:id="356"/>
      <w:bookmarkEnd w:id="35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97" w:hRule="exact"/>
        </w:trPr>
        <w:tc>
          <w:tcPr>
            <w:tcW w:w="1914"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天津安纳西科技有限公司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宁波高新区捷远科技有限公司</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13,874,401.72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11,936,656.27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911,286.80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911,286.80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2,115,838.66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2,115,838.66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254,645.28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254,645.28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9,668,639.90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9,668,639.90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68,001.00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208,720.36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208,720.36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89,436.66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89,436.66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378,320.11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378,320.11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1,937,745.45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62,741.05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62,741.05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5,965,815.94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5,965,815.94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1,466,171.75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1,466,171.75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5,965,815.94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5,965,815.94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1,466,171.75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1,466,171.75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7,908,585.78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5,970,840.33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-554,884.91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-554,884.91</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14" w:hRule="exact"/>
        </w:trPr>
        <w:tc>
          <w:tcPr>
            <w:tcW w:w="191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935" w:right="0"/>
              <w:jc w:val="left"/>
              <w:rPr>
                <w:rFonts w:ascii="Times New Roman" w:hAnsi="Times New Roman" w:cs="Times New Roman" w:eastAsia="Times New Roman" w:hint="default"/>
                <w:sz w:val="18"/>
                <w:szCs w:val="18"/>
              </w:rPr>
            </w:pPr>
            <w:r>
              <w:rPr>
                <w:rFonts w:ascii="Times New Roman"/>
                <w:sz w:val="18"/>
              </w:rPr>
              <w:t>7,908,585.78</w:t>
            </w:r>
          </w:p>
        </w:tc>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5,970,840.33</w:t>
            </w:r>
          </w:p>
        </w:tc>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1010" w:right="0"/>
              <w:jc w:val="left"/>
              <w:rPr>
                <w:rFonts w:ascii="Times New Roman" w:hAnsi="Times New Roman" w:cs="Times New Roman" w:eastAsia="Times New Roman" w:hint="default"/>
                <w:sz w:val="18"/>
                <w:szCs w:val="18"/>
              </w:rPr>
            </w:pPr>
            <w:r>
              <w:rPr>
                <w:rFonts w:ascii="Times New Roman"/>
                <w:sz w:val="18"/>
              </w:rPr>
              <w:t>-554,884.91</w:t>
            </w:r>
          </w:p>
        </w:tc>
        <w:tc>
          <w:tcPr>
            <w:tcW w:w="19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1010" w:right="0"/>
              <w:jc w:val="left"/>
              <w:rPr>
                <w:rFonts w:ascii="Times New Roman" w:hAnsi="Times New Roman" w:cs="Times New Roman" w:eastAsia="Times New Roman" w:hint="default"/>
                <w:sz w:val="18"/>
                <w:szCs w:val="18"/>
              </w:rPr>
            </w:pPr>
            <w:r>
              <w:rPr>
                <w:rFonts w:ascii="Times New Roman"/>
                <w:sz w:val="18"/>
              </w:rPr>
              <w:t>-554,884.91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购买日之前持有的股权按照公允价值重新计量产生的利得或损失" w:id="357"/>
      <w:bookmarkEnd w:id="35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134" w:right="0"/>
        <w:jc w:val="left"/>
      </w:pPr>
      <w:r>
        <w:rPr/>
        <w:t>是否存在通过多次交易分步实现企业合并且在报告期内取得控制权的交易</w:t>
      </w:r>
    </w:p>
    <w:p>
      <w:pPr>
        <w:spacing w:line="240" w:lineRule="auto" w:before="10"/>
        <w:rPr>
          <w:rFonts w:ascii="宋体" w:hAnsi="宋体" w:cs="宋体" w:eastAsia="宋体" w:hint="default"/>
          <w:sz w:val="20"/>
          <w:szCs w:val="20"/>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3"/>
          <w:szCs w:val="13"/>
        </w:rPr>
      </w:pPr>
    </w:p>
    <w:p>
      <w:pPr>
        <w:pStyle w:val="Heading3"/>
        <w:spacing w:line="240" w:lineRule="auto"/>
        <w:ind w:left="1133" w:right="0"/>
        <w:jc w:val="left"/>
        <w:rPr>
          <w:b w:val="0"/>
          <w:bCs w:val="0"/>
        </w:rPr>
      </w:pPr>
      <w:bookmarkStart w:name="2、同一控制下企业合并" w:id="358"/>
      <w:bookmarkEnd w:id="35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期发生的同一控制下企业合并" w:id="359"/>
      <w:bookmarkEnd w:id="35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19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6"/>
              <w:jc w:val="both"/>
              <w:rPr>
                <w:rFonts w:ascii="宋体" w:hAnsi="宋体" w:cs="宋体" w:eastAsia="宋体" w:hint="default"/>
                <w:sz w:val="18"/>
                <w:szCs w:val="18"/>
              </w:rPr>
            </w:pPr>
            <w:r>
              <w:rPr>
                <w:rFonts w:ascii="宋体" w:hAnsi="宋体" w:cs="宋体" w:eastAsia="宋体" w:hint="default"/>
                <w:sz w:val="18"/>
                <w:szCs w:val="18"/>
              </w:rPr>
              <w:t>北京祥神州 祥升软件有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同受同一实 际控制人控 制</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按双方协议 支付了首付 </w:t>
            </w:r>
            <w:r>
              <w:rPr>
                <w:rFonts w:ascii="宋体" w:hAnsi="宋体" w:cs="宋体" w:eastAsia="宋体" w:hint="default"/>
                <w:spacing w:val="-12"/>
                <w:sz w:val="18"/>
                <w:szCs w:val="18"/>
              </w:rPr>
              <w:t>款，工商变更</w:t>
            </w:r>
            <w:r>
              <w:rPr>
                <w:rFonts w:ascii="宋体" w:hAnsi="宋体" w:cs="宋体" w:eastAsia="宋体" w:hint="default"/>
                <w:sz w:val="18"/>
                <w:szCs w:val="18"/>
              </w:rPr>
              <w:t> </w:t>
            </w:r>
            <w:r>
              <w:rPr>
                <w:rFonts w:ascii="宋体" w:hAnsi="宋体" w:cs="宋体" w:eastAsia="宋体" w:hint="default"/>
                <w:spacing w:val="-12"/>
                <w:sz w:val="18"/>
                <w:szCs w:val="18"/>
              </w:rPr>
              <w:t>已完成，双方</w:t>
            </w:r>
            <w:r>
              <w:rPr>
                <w:rFonts w:ascii="宋体" w:hAnsi="宋体" w:cs="宋体" w:eastAsia="宋体" w:hint="default"/>
                <w:sz w:val="18"/>
                <w:szCs w:val="18"/>
              </w:rPr>
              <w:t> 实质交接程 序完成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9,581,765.58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4,025,354.37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56,452,170.0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20,150,419.7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 w:id="360"/>
      <w:bookmarkEnd w:id="36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217" w:right="0"/>
              <w:jc w:val="left"/>
              <w:rPr>
                <w:rFonts w:ascii="宋体" w:hAnsi="宋体" w:cs="宋体" w:eastAsia="宋体" w:hint="default"/>
                <w:sz w:val="18"/>
                <w:szCs w:val="18"/>
              </w:rPr>
            </w:pPr>
            <w:r>
              <w:rPr>
                <w:rFonts w:ascii="宋体" w:hAnsi="宋体" w:cs="宋体" w:eastAsia="宋体" w:hint="default"/>
                <w:sz w:val="18"/>
                <w:szCs w:val="18"/>
              </w:rPr>
              <w:t>北京祥神州祥升软件有限公司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合并日被合并方资产、负债的账面价值" w:id="361"/>
      <w:bookmarkEnd w:id="36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2016" w:right="0"/>
              <w:jc w:val="left"/>
              <w:rPr>
                <w:rFonts w:ascii="宋体" w:hAnsi="宋体" w:cs="宋体" w:eastAsia="宋体" w:hint="default"/>
                <w:sz w:val="18"/>
                <w:szCs w:val="18"/>
              </w:rPr>
            </w:pPr>
            <w:r>
              <w:rPr>
                <w:rFonts w:ascii="宋体" w:hAnsi="宋体" w:cs="宋体" w:eastAsia="宋体" w:hint="default"/>
                <w:sz w:val="18"/>
                <w:szCs w:val="18"/>
              </w:rPr>
              <w:t>北京祥神州祥升软件有限公司</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43,923,816.41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46,354,156.40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24,594,786.52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30,668,112.18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5,273,844.68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10,946,834.94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6,385,553.48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3,940,441.22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14" w:hRule="exact"/>
        </w:trPr>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99,118.97</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157,053.22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61,302.80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30,827.76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5,567,114.81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1,364,749.67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577,345.48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610,887.08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11,470,791.48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17,926,485.84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10,698,357.27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17,193,905.98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772,434.21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732,579.86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32,453,024.93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28,427,670.56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32,453,024.93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28,427,670.56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反向购买" w:id="362"/>
      <w:bookmarkEnd w:id="36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09" w:right="9065"/>
        <w:jc w:val="center"/>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4、处置子公司" w:id="363"/>
      <w:bookmarkEnd w:id="363"/>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134" w:right="0"/>
        <w:jc w:val="left"/>
      </w:pPr>
      <w:r>
        <w:rPr/>
        <w:t>是否存在单次处置对子公司投资即丧失控制权的情形</w:t>
      </w:r>
    </w:p>
    <w:p>
      <w:pPr>
        <w:spacing w:line="240" w:lineRule="auto" w:before="11"/>
        <w:rPr>
          <w:rFonts w:ascii="宋体" w:hAnsi="宋体" w:cs="宋体" w:eastAsia="宋体" w:hint="default"/>
          <w:sz w:val="20"/>
          <w:szCs w:val="20"/>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6"/>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223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北京神 州泰岳 良品电 子商务 有限公 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46.09%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新股东 增资导 致丧失 控制权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新股东 增资完 成</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41.91%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50,848,1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77.27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75,384,7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63.07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24,536,5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本报告 期末增 资完成 </w:t>
            </w:r>
            <w:r>
              <w:rPr>
                <w:rFonts w:ascii="宋体" w:hAnsi="宋体" w:cs="宋体" w:eastAsia="宋体" w:hint="default"/>
                <w:spacing w:val="-10"/>
                <w:sz w:val="18"/>
                <w:szCs w:val="18"/>
              </w:rPr>
              <w:t>后，被稀</w:t>
            </w:r>
            <w:r>
              <w:rPr>
                <w:rFonts w:ascii="宋体" w:hAnsi="宋体" w:cs="宋体" w:eastAsia="宋体" w:hint="default"/>
                <w:sz w:val="18"/>
                <w:szCs w:val="18"/>
              </w:rPr>
              <w:t> 释后比 例占公 司净资</w:t>
            </w: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686" w:hRule="exact"/>
        </w:trPr>
        <w:tc>
          <w:tcPr>
            <w:tcW w:w="736" w:type="dxa"/>
            <w:tcBorders>
              <w:top w:val="single" w:sz="10" w:space="0" w:color="000000"/>
              <w:left w:val="single" w:sz="4" w:space="0" w:color="000000"/>
              <w:bottom w:val="single" w:sz="4" w:space="0" w:color="000000"/>
              <w:right w:val="single" w:sz="4" w:space="0" w:color="000000"/>
            </w:tcBorders>
          </w:tcPr>
          <w:p>
            <w:pPr/>
          </w:p>
        </w:tc>
        <w:tc>
          <w:tcPr>
            <w:tcW w:w="737" w:type="dxa"/>
            <w:tcBorders>
              <w:top w:val="single" w:sz="10" w:space="0" w:color="000000"/>
              <w:left w:val="single" w:sz="4" w:space="0" w:color="000000"/>
              <w:bottom w:val="single" w:sz="4" w:space="0" w:color="000000"/>
              <w:right w:val="single" w:sz="4" w:space="0" w:color="000000"/>
            </w:tcBorders>
          </w:tcPr>
          <w:p>
            <w:pPr/>
          </w:p>
        </w:tc>
        <w:tc>
          <w:tcPr>
            <w:tcW w:w="736" w:type="dxa"/>
            <w:tcBorders>
              <w:top w:val="single" w:sz="10" w:space="0" w:color="000000"/>
              <w:left w:val="single" w:sz="4" w:space="0" w:color="000000"/>
              <w:bottom w:val="single" w:sz="4" w:space="0" w:color="000000"/>
              <w:right w:val="single" w:sz="4" w:space="0" w:color="000000"/>
            </w:tcBorders>
          </w:tcPr>
          <w:p>
            <w:pPr/>
          </w:p>
        </w:tc>
        <w:tc>
          <w:tcPr>
            <w:tcW w:w="736" w:type="dxa"/>
            <w:tcBorders>
              <w:top w:val="single" w:sz="10" w:space="0" w:color="000000"/>
              <w:left w:val="single" w:sz="4" w:space="0" w:color="000000"/>
              <w:bottom w:val="single" w:sz="4" w:space="0" w:color="000000"/>
              <w:right w:val="single" w:sz="4" w:space="0" w:color="000000"/>
            </w:tcBorders>
          </w:tcPr>
          <w:p>
            <w:pPr/>
          </w:p>
        </w:tc>
        <w:tc>
          <w:tcPr>
            <w:tcW w:w="734" w:type="dxa"/>
            <w:tcBorders>
              <w:top w:val="single" w:sz="10" w:space="0" w:color="000000"/>
              <w:left w:val="single" w:sz="4" w:space="0" w:color="000000"/>
              <w:bottom w:val="single" w:sz="4" w:space="0" w:color="000000"/>
              <w:right w:val="single" w:sz="4" w:space="0" w:color="000000"/>
            </w:tcBorders>
          </w:tcPr>
          <w:p>
            <w:pPr/>
          </w:p>
        </w:tc>
        <w:tc>
          <w:tcPr>
            <w:tcW w:w="736" w:type="dxa"/>
            <w:tcBorders>
              <w:top w:val="single" w:sz="10" w:space="0" w:color="000000"/>
              <w:left w:val="single" w:sz="4" w:space="0" w:color="000000"/>
              <w:bottom w:val="single" w:sz="4" w:space="0" w:color="000000"/>
              <w:right w:val="single" w:sz="4" w:space="0" w:color="000000"/>
            </w:tcBorders>
          </w:tcPr>
          <w:p>
            <w:pPr/>
          </w:p>
        </w:tc>
        <w:tc>
          <w:tcPr>
            <w:tcW w:w="734" w:type="dxa"/>
            <w:tcBorders>
              <w:top w:val="single" w:sz="10" w:space="0" w:color="000000"/>
              <w:left w:val="single" w:sz="4" w:space="0" w:color="000000"/>
              <w:bottom w:val="single" w:sz="4" w:space="0" w:color="000000"/>
              <w:right w:val="single" w:sz="4" w:space="0" w:color="000000"/>
            </w:tcBorders>
          </w:tcPr>
          <w:p>
            <w:pPr/>
          </w:p>
        </w:tc>
        <w:tc>
          <w:tcPr>
            <w:tcW w:w="736" w:type="dxa"/>
            <w:tcBorders>
              <w:top w:val="single" w:sz="10" w:space="0" w:color="000000"/>
              <w:left w:val="single" w:sz="4" w:space="0" w:color="000000"/>
              <w:bottom w:val="single" w:sz="4" w:space="0" w:color="000000"/>
              <w:right w:val="single" w:sz="4" w:space="0" w:color="000000"/>
            </w:tcBorders>
          </w:tcPr>
          <w:p>
            <w:pPr/>
          </w:p>
        </w:tc>
        <w:tc>
          <w:tcPr>
            <w:tcW w:w="737" w:type="dxa"/>
            <w:tcBorders>
              <w:top w:val="single" w:sz="10" w:space="0" w:color="000000"/>
              <w:left w:val="single" w:sz="4" w:space="0" w:color="000000"/>
              <w:bottom w:val="single" w:sz="4" w:space="0" w:color="000000"/>
              <w:right w:val="single" w:sz="4" w:space="0" w:color="000000"/>
            </w:tcBorders>
          </w:tcPr>
          <w:p>
            <w:pPr/>
          </w:p>
        </w:tc>
        <w:tc>
          <w:tcPr>
            <w:tcW w:w="736" w:type="dxa"/>
            <w:tcBorders>
              <w:top w:val="single" w:sz="10" w:space="0" w:color="000000"/>
              <w:left w:val="single" w:sz="4" w:space="0" w:color="000000"/>
              <w:bottom w:val="single" w:sz="4" w:space="0" w:color="000000"/>
              <w:right w:val="single" w:sz="4" w:space="0" w:color="000000"/>
            </w:tcBorders>
          </w:tcPr>
          <w:p>
            <w:pPr/>
          </w:p>
        </w:tc>
        <w:tc>
          <w:tcPr>
            <w:tcW w:w="736" w:type="dxa"/>
            <w:tcBorders>
              <w:top w:val="single" w:sz="10" w:space="0" w:color="000000"/>
              <w:left w:val="single" w:sz="4" w:space="0" w:color="000000"/>
              <w:bottom w:val="single" w:sz="4" w:space="0" w:color="000000"/>
              <w:right w:val="single" w:sz="4" w:space="0" w:color="000000"/>
            </w:tcBorders>
          </w:tcPr>
          <w:p>
            <w:pPr/>
          </w:p>
        </w:tc>
        <w:tc>
          <w:tcPr>
            <w:tcW w:w="737"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5"/>
              <w:ind w:left="23" w:right="161"/>
              <w:jc w:val="left"/>
              <w:rPr>
                <w:rFonts w:ascii="宋体" w:hAnsi="宋体" w:cs="宋体" w:eastAsia="宋体" w:hint="default"/>
                <w:sz w:val="18"/>
                <w:szCs w:val="18"/>
              </w:rPr>
            </w:pPr>
            <w:r>
              <w:rPr>
                <w:rFonts w:ascii="宋体" w:hAnsi="宋体" w:cs="宋体" w:eastAsia="宋体" w:hint="default"/>
                <w:sz w:val="18"/>
                <w:szCs w:val="18"/>
              </w:rPr>
              <w:t>产的金 额</w:t>
            </w:r>
          </w:p>
        </w:tc>
        <w:tc>
          <w:tcPr>
            <w:tcW w:w="736" w:type="dxa"/>
            <w:tcBorders>
              <w:top w:val="single" w:sz="10"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518" w:lineRule="auto" w:before="44"/>
        <w:ind w:right="4993"/>
        <w:jc w:val="left"/>
      </w:pPr>
      <w:r>
        <w:rPr/>
        <w:t>其他说明： 是否存在通过多次交易分步处置对子公司投资且在本期丧失控制权的情形</w:t>
      </w:r>
    </w:p>
    <w:p>
      <w:pPr>
        <w:spacing w:before="6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left="1133" w:right="0"/>
        <w:jc w:val="left"/>
        <w:rPr>
          <w:b w:val="0"/>
          <w:bCs w:val="0"/>
        </w:rPr>
      </w:pPr>
      <w:bookmarkStart w:name="5、其他原因的合并范围变动" w:id="364"/>
      <w:bookmarkEnd w:id="364"/>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right="0"/>
        <w:jc w:val="left"/>
      </w:pPr>
      <w:r>
        <w:rPr/>
        <w:t>说明其他原因导致的合并范围变动（如，新设子公司、清算子公司等）及其相关情况：</w:t>
      </w:r>
    </w:p>
    <w:p>
      <w:pPr>
        <w:spacing w:line="240" w:lineRule="auto" w:before="9"/>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w:t>
      </w:r>
      <w:r>
        <w:rPr/>
        <w:t>、</w:t>
      </w:r>
      <w:r>
        <w:rPr>
          <w:spacing w:val="54"/>
        </w:rPr>
        <w:t> </w:t>
      </w:r>
      <w:r>
        <w:rPr/>
        <w:t>本期因新设纳入合并范围明细如下：</w:t>
      </w:r>
      <w:r>
        <w:rPr>
          <w:b w:val="0"/>
          <w:bCs w:val="0"/>
        </w:rPr>
      </w:r>
    </w:p>
    <w:p>
      <w:pPr>
        <w:spacing w:line="240" w:lineRule="auto" w:before="2"/>
        <w:rPr>
          <w:rFonts w:ascii="宋体" w:hAnsi="宋体" w:cs="宋体" w:eastAsia="宋体" w:hint="default"/>
          <w:b/>
          <w:bCs/>
          <w:sz w:val="11"/>
          <w:szCs w:val="11"/>
        </w:rPr>
      </w:pPr>
    </w:p>
    <w:tbl>
      <w:tblPr>
        <w:tblW w:w="0" w:type="auto"/>
        <w:jc w:val="left"/>
        <w:tblInd w:w="1119" w:type="dxa"/>
        <w:tblLayout w:type="fixed"/>
        <w:tblCellMar>
          <w:top w:w="0" w:type="dxa"/>
          <w:left w:w="0" w:type="dxa"/>
          <w:bottom w:w="0" w:type="dxa"/>
          <w:right w:w="0" w:type="dxa"/>
        </w:tblCellMar>
        <w:tblLook w:val="01E0"/>
      </w:tblPr>
      <w:tblGrid>
        <w:gridCol w:w="3838"/>
        <w:gridCol w:w="1841"/>
        <w:gridCol w:w="2129"/>
        <w:gridCol w:w="1850"/>
      </w:tblGrid>
      <w:tr>
        <w:trPr>
          <w:trHeight w:val="326" w:hRule="exact"/>
        </w:trPr>
        <w:tc>
          <w:tcPr>
            <w:tcW w:w="38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新设子公司名称</w:t>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北京神州泰岳教育科技有限公司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北京融聚世界网络科技有限公司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宁波神州泰岳锐智信息科技有限公司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泰岳小漫（香港）有限公司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ultrapower software MEA</w:t>
            </w:r>
            <w:r>
              <w:rPr>
                <w:rFonts w:ascii="Times New Roman"/>
                <w:spacing w:val="-2"/>
                <w:sz w:val="18"/>
              </w:rPr>
              <w:t> </w:t>
            </w:r>
            <w:r>
              <w:rPr>
                <w:rFonts w:ascii="Times New Roman"/>
                <w:sz w:val="18"/>
              </w:rPr>
              <w:t>FZ-LLC</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Uqsoft (Thailand) Co.,</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UQSOFT (RUSSIA)</w:t>
            </w:r>
            <w:r>
              <w:rPr>
                <w:rFonts w:ascii="Times New Roman"/>
                <w:spacing w:val="-2"/>
                <w:sz w:val="18"/>
              </w:rPr>
              <w:t> </w:t>
            </w:r>
            <w:r>
              <w:rPr>
                <w:rFonts w:ascii="Times New Roman"/>
                <w:sz w:val="18"/>
              </w:rPr>
              <w:t>CO.</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北京安纳西互娱科技有限公司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六级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霍尔果斯于艺网络科技有限公司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六级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霍尔果斯小小橙软件开发有限责任公司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神州泰奇软件（新加坡）有限公司【注】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Uqsoft (Hong Kong)</w:t>
            </w:r>
            <w:r>
              <w:rPr>
                <w:rFonts w:ascii="Times New Roman"/>
                <w:spacing w:val="-3"/>
                <w:sz w:val="18"/>
              </w:rPr>
              <w:t> </w:t>
            </w:r>
            <w:r>
              <w:rPr>
                <w:rFonts w:ascii="Times New Roman"/>
                <w:sz w:val="18"/>
              </w:rPr>
              <w:t>Limited</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北京裂变科技有限公司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w:t>
            </w:r>
          </w:p>
        </w:tc>
      </w:tr>
      <w:tr>
        <w:trPr>
          <w:trHeight w:val="342"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北京左岸风暴科技有限公司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五级</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w:t>
            </w:r>
          </w:p>
        </w:tc>
      </w:tr>
    </w:tbl>
    <w:p>
      <w:pPr>
        <w:pStyle w:val="BodyText"/>
        <w:spacing w:line="240" w:lineRule="auto" w:before="88"/>
        <w:ind w:left="1134" w:right="0"/>
        <w:jc w:val="left"/>
      </w:pPr>
      <w:r>
        <w:rPr/>
        <w:t>注：</w:t>
      </w:r>
      <w:r>
        <w:rPr>
          <w:rFonts w:ascii="Times New Roman" w:hAnsi="Times New Roman" w:cs="Times New Roman" w:eastAsia="Times New Roman" w:hint="default"/>
        </w:rPr>
        <w:t>Uqsoft (Thailand) Co.,</w:t>
      </w:r>
      <w:r>
        <w:rPr>
          <w:rFonts w:ascii="Times New Roman" w:hAnsi="Times New Roman" w:cs="Times New Roman" w:eastAsia="Times New Roman" w:hint="default"/>
          <w:spacing w:val="-7"/>
        </w:rPr>
        <w:t> </w:t>
      </w:r>
      <w:r>
        <w:rPr>
          <w:rFonts w:ascii="Times New Roman" w:hAnsi="Times New Roman" w:cs="Times New Roman" w:eastAsia="Times New Roman" w:hint="default"/>
        </w:rPr>
        <w:t>Ltd</w:t>
      </w:r>
      <w:r>
        <w:rPr/>
        <w:t>、神州泰奇软件（新加坡）有限公司属于本公司协议控制的公司。</w:t>
      </w:r>
    </w:p>
    <w:p>
      <w:pPr>
        <w:spacing w:line="240" w:lineRule="auto" w:before="9"/>
        <w:rPr>
          <w:rFonts w:ascii="宋体" w:hAnsi="宋体" w:cs="宋体" w:eastAsia="宋体" w:hint="default"/>
          <w:sz w:val="16"/>
          <w:szCs w:val="16"/>
        </w:rPr>
      </w:pPr>
    </w:p>
    <w:p>
      <w:pPr>
        <w:pStyle w:val="Heading6"/>
        <w:spacing w:line="451" w:lineRule="auto"/>
        <w:ind w:right="1118"/>
        <w:jc w:val="left"/>
        <w:rPr>
          <w:b w:val="0"/>
          <w:bCs w:val="0"/>
        </w:rPr>
      </w:pPr>
      <w:r>
        <w:rPr>
          <w:rFonts w:ascii="Times New Roman" w:hAnsi="Times New Roman" w:cs="Times New Roman" w:eastAsia="Times New Roman" w:hint="default"/>
        </w:rPr>
        <w:t>2</w:t>
      </w:r>
      <w:r>
        <w:rPr/>
        <w:t>、 </w:t>
      </w:r>
      <w:r>
        <w:rPr>
          <w:spacing w:val="7"/>
        </w:rPr>
        <w:t>公司本年因清算减少二级子公司北京神州泰岳通信技术有限公司、四级子公司</w:t>
      </w:r>
      <w:r>
        <w:rPr>
          <w:rFonts w:ascii="Times New Roman" w:hAnsi="Times New Roman" w:cs="Times New Roman" w:eastAsia="Times New Roman" w:hint="default"/>
          <w:spacing w:val="7"/>
        </w:rPr>
        <w:t>ULTRAPOWER</w:t>
      </w:r>
      <w:r>
        <w:rPr>
          <w:rFonts w:ascii="Times New Roman" w:hAnsi="Times New Roman" w:cs="Times New Roman" w:eastAsia="Times New Roman" w:hint="default"/>
          <w:spacing w:val="35"/>
        </w:rPr>
        <w:t> </w:t>
      </w:r>
      <w:r>
        <w:rPr>
          <w:rFonts w:ascii="Times New Roman" w:hAnsi="Times New Roman" w:cs="Times New Roman" w:eastAsia="Times New Roman" w:hint="default"/>
        </w:rPr>
        <w:t>NETHERLANDS</w:t>
      </w:r>
      <w:r>
        <w:rPr>
          <w:rFonts w:ascii="Times New Roman" w:hAnsi="Times New Roman" w:cs="Times New Roman" w:eastAsia="Times New Roman" w:hint="default"/>
          <w:w w:val="99"/>
        </w:rPr>
        <w:t> </w:t>
      </w:r>
      <w:r>
        <w:rPr>
          <w:rFonts w:ascii="Times New Roman" w:hAnsi="Times New Roman" w:cs="Times New Roman" w:eastAsia="Times New Roman" w:hint="default"/>
        </w:rPr>
        <w:t>B.V.</w:t>
      </w:r>
      <w:r>
        <w:rPr/>
        <w:t>。</w:t>
      </w:r>
      <w:r>
        <w:rPr>
          <w:b w:val="0"/>
          <w:bCs w:val="0"/>
        </w:rPr>
      </w:r>
    </w:p>
    <w:p>
      <w:pPr>
        <w:spacing w:line="240" w:lineRule="auto" w:before="6"/>
        <w:rPr>
          <w:rFonts w:ascii="宋体" w:hAnsi="宋体" w:cs="宋体" w:eastAsia="宋体" w:hint="default"/>
          <w:b/>
          <w:bCs/>
          <w:sz w:val="18"/>
          <w:szCs w:val="18"/>
        </w:rPr>
      </w:pPr>
    </w:p>
    <w:p>
      <w:pPr>
        <w:spacing w:line="487" w:lineRule="auto" w:before="0"/>
        <w:ind w:left="1133" w:right="7692" w:firstLine="0"/>
        <w:jc w:val="left"/>
        <w:rPr>
          <w:rFonts w:ascii="宋体" w:hAnsi="宋体" w:cs="宋体" w:eastAsia="宋体" w:hint="default"/>
          <w:sz w:val="21"/>
          <w:szCs w:val="21"/>
        </w:rPr>
      </w:pPr>
      <w:bookmarkStart w:name="6、其他" w:id="365"/>
      <w:bookmarkEnd w:id="36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66"/>
      <w:bookmarkEnd w:id="366"/>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67"/>
      <w:bookmarkEnd w:id="36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133" w:right="0"/>
        <w:jc w:val="left"/>
        <w:rPr>
          <w:b w:val="0"/>
          <w:bCs w:val="0"/>
        </w:rPr>
      </w:pPr>
      <w:bookmarkStart w:name="（1）企业集团的构成" w:id="368"/>
      <w:bookmarkEnd w:id="36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94"/>
        <w:gridCol w:w="1134"/>
        <w:gridCol w:w="992"/>
        <w:gridCol w:w="1559"/>
        <w:gridCol w:w="1559"/>
        <w:gridCol w:w="1633"/>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6.459999pt;margin-top:71.699982pt;width:479.35pt;height:693.4pt;mso-position-horizontal-relative:page;mso-position-vertical-relative:page;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1134"/>
                    <w:gridCol w:w="992"/>
                    <w:gridCol w:w="1559"/>
                    <w:gridCol w:w="851"/>
                    <w:gridCol w:w="708"/>
                    <w:gridCol w:w="1633"/>
                  </w:tblGrid>
                  <w:tr>
                    <w:trPr>
                      <w:trHeight w:val="409" w:hRule="exact"/>
                    </w:trPr>
                    <w:tc>
                      <w:tcPr>
                        <w:tcW w:w="269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633"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北京新媒传信科技有限公司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北京互联时代通讯科技有限公司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重庆新媒农信科技有限公司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重庆新媒亿网科技有限公司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重庆新迈峰科技有限公司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北京神州泰岳信息安全技术有限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北京神州泰岳系统集成有限公司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北京神州泰岳教育科技有限公司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北京融聚世界网络科技有限公司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宁波普天通信技术有限公司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宁波移畅通信设备有限公司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宁波金信通信技术有限公司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宁波普天通信技术（香港）有限公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宁波普金通信设备有限公司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宁波神州泰岳锐智信息科技有限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宁波高新区捷远科技有限公司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奇点新源国际技术开发（北京）有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71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北京神州泰岳智能数据技术有限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神州泰岳（香港）有限公司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Bridge Minds Consulting Pte</w:t>
                        </w:r>
                        <w:r>
                          <w:rPr>
                            <w:rFonts w:ascii="Times New Roman"/>
                            <w:spacing w:val="-5"/>
                            <w:sz w:val="18"/>
                          </w:rPr>
                          <w:t> </w:t>
                        </w:r>
                        <w:r>
                          <w:rPr>
                            <w:rFonts w:ascii="Times New Roman"/>
                            <w:sz w:val="18"/>
                          </w:rPr>
                          <w:t>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80.00%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71"/>
                          <w:jc w:val="left"/>
                          <w:rPr>
                            <w:rFonts w:ascii="Times New Roman" w:hAnsi="Times New Roman" w:cs="Times New Roman" w:eastAsia="Times New Roman" w:hint="default"/>
                            <w:sz w:val="18"/>
                            <w:szCs w:val="18"/>
                          </w:rPr>
                        </w:pPr>
                        <w:r>
                          <w:rPr>
                            <w:rFonts w:ascii="Times New Roman"/>
                            <w:sz w:val="18"/>
                          </w:rPr>
                          <w:t>RED TRUST </w:t>
                        </w:r>
                        <w:r>
                          <w:rPr>
                            <w:rFonts w:ascii="Times New Roman"/>
                            <w:spacing w:val="-3"/>
                            <w:sz w:val="18"/>
                          </w:rPr>
                          <w:t>SOFTWARE</w:t>
                        </w:r>
                        <w:r>
                          <w:rPr>
                            <w:rFonts w:ascii="Times New Roman"/>
                            <w:spacing w:val="-16"/>
                            <w:sz w:val="18"/>
                          </w:rPr>
                          <w:t> </w:t>
                        </w:r>
                        <w:r>
                          <w:rPr>
                            <w:rFonts w:ascii="Times New Roman"/>
                            <w:sz w:val="18"/>
                          </w:rPr>
                          <w:t>AND</w:t>
                        </w:r>
                        <w:r>
                          <w:rPr>
                            <w:rFonts w:ascii="Times New Roman"/>
                            <w:w w:val="99"/>
                            <w:sz w:val="18"/>
                          </w:rPr>
                          <w:t> </w:t>
                        </w:r>
                        <w:r>
                          <w:rPr>
                            <w:rFonts w:ascii="Times New Roman"/>
                            <w:spacing w:val="-3"/>
                            <w:sz w:val="18"/>
                          </w:rPr>
                          <w:t>SERVICE </w:t>
                        </w:r>
                        <w:r>
                          <w:rPr>
                            <w:rFonts w:ascii="Times New Roman"/>
                            <w:sz w:val="18"/>
                          </w:rPr>
                          <w:t>TECHNOLOGY</w:t>
                        </w:r>
                        <w:r>
                          <w:rPr>
                            <w:rFonts w:ascii="Times New Roman"/>
                            <w:spacing w:val="-43"/>
                            <w:sz w:val="18"/>
                          </w:rPr>
                          <w:t> </w:t>
                        </w:r>
                        <w:r>
                          <w:rPr>
                            <w:rFonts w:ascii="Times New Roman"/>
                            <w:spacing w:val="-43"/>
                            <w:sz w:val="18"/>
                          </w:rPr>
                        </w:r>
                        <w:r>
                          <w:rPr>
                            <w:rFonts w:ascii="Times New Roman"/>
                            <w:spacing w:val="-3"/>
                            <w:sz w:val="18"/>
                          </w:rPr>
                          <w:t>COMPANY</w:t>
                        </w:r>
                        <w:r>
                          <w:rPr>
                            <w:rFonts w:ascii="Times New Roman"/>
                            <w:spacing w:val="-5"/>
                            <w:sz w:val="18"/>
                          </w:rPr>
                          <w:t> </w:t>
                        </w:r>
                        <w:r>
                          <w:rPr>
                            <w:rFonts w:ascii="Times New Roman"/>
                            <w:sz w:val="18"/>
                          </w:rPr>
                          <w:t>LIMITED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越南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越南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80.00%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ultrapower software MEA</w:t>
                        </w:r>
                        <w:r>
                          <w:rPr>
                            <w:rFonts w:ascii="Times New Roman"/>
                            <w:spacing w:val="-14"/>
                            <w:sz w:val="18"/>
                          </w:rPr>
                          <w:t> </w:t>
                        </w:r>
                        <w:r>
                          <w:rPr>
                            <w:rFonts w:ascii="Times New Roman"/>
                            <w:sz w:val="18"/>
                          </w:rPr>
                          <w:t>FZ-LLC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Ultrapower 360 PTE</w:t>
                        </w:r>
                        <w:r>
                          <w:rPr>
                            <w:rFonts w:ascii="Times New Roman"/>
                            <w:spacing w:val="-2"/>
                            <w:sz w:val="18"/>
                          </w:rPr>
                          <w:t> </w:t>
                        </w:r>
                        <w:r>
                          <w:rPr>
                            <w:rFonts w:ascii="Times New Roman"/>
                            <w:spacing w:val="-6"/>
                            <w:sz w:val="18"/>
                          </w:rPr>
                          <w:t>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55.00%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Uqsoft (Thailand) Co.</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曼谷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曼谷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UQSOFT (RUSSIA)</w:t>
                        </w:r>
                        <w:r>
                          <w:rPr>
                            <w:rFonts w:ascii="Times New Roman"/>
                            <w:spacing w:val="-5"/>
                            <w:sz w:val="18"/>
                          </w:rPr>
                          <w:t> </w:t>
                        </w:r>
                        <w:r>
                          <w:rPr>
                            <w:rFonts w:ascii="Times New Roman"/>
                            <w:sz w:val="18"/>
                          </w:rPr>
                          <w:t>CO.</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神州泰奇软件（新加坡）有限公司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55.00%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Uqsoft (Hong Kong)</w:t>
                        </w:r>
                        <w:r>
                          <w:rPr>
                            <w:rFonts w:ascii="Times New Roman"/>
                            <w:spacing w:val="-3"/>
                            <w:sz w:val="18"/>
                          </w:rPr>
                          <w:t> </w:t>
                        </w:r>
                        <w:r>
                          <w:rPr>
                            <w:rFonts w:ascii="Times New Roman"/>
                            <w:sz w:val="18"/>
                          </w:rPr>
                          <w:t>Limited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55.00%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北京泰岳智桥信息技术有限公司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 w:right="0"/>
                          <w:jc w:val="center"/>
                          <w:rPr>
                            <w:rFonts w:ascii="Times New Roman" w:hAnsi="Times New Roman" w:cs="Times New Roman" w:eastAsia="Times New Roman" w:hint="default"/>
                            <w:sz w:val="18"/>
                            <w:szCs w:val="18"/>
                          </w:rPr>
                        </w:pPr>
                        <w:r>
                          <w:rPr>
                            <w:rFonts w:ascii="Times New Roman"/>
                            <w:sz w:val="18"/>
                          </w:rPr>
                          <w:t>80.00%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2694"/>
        <w:gridCol w:w="1134"/>
        <w:gridCol w:w="992"/>
        <w:gridCol w:w="1559"/>
        <w:gridCol w:w="851"/>
        <w:gridCol w:w="708"/>
        <w:gridCol w:w="1633"/>
      </w:tblGrid>
      <w:tr>
        <w:trPr>
          <w:trHeight w:val="414" w:hRule="exact"/>
        </w:trPr>
        <w:tc>
          <w:tcPr>
            <w:tcW w:w="26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北京裂变科技有限公司</w:t>
            </w:r>
          </w:p>
        </w:tc>
        <w:tc>
          <w:tcPr>
            <w:tcW w:w="11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65.00%</w:t>
            </w:r>
          </w:p>
        </w:tc>
        <w:tc>
          <w:tcPr>
            <w:tcW w:w="16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北京左岸风暴科技有限公司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6" w:right="0"/>
              <w:jc w:val="center"/>
              <w:rPr>
                <w:rFonts w:ascii="Times New Roman" w:hAnsi="Times New Roman" w:cs="Times New Roman" w:eastAsia="Times New Roman" w:hint="default"/>
                <w:sz w:val="18"/>
                <w:szCs w:val="18"/>
              </w:rPr>
            </w:pPr>
            <w:r>
              <w:rPr>
                <w:rFonts w:ascii="Times New Roman"/>
                <w:sz w:val="18"/>
              </w:rPr>
              <w:t>75.00%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北京神州泰奇互动科技有限公司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6" w:right="0"/>
              <w:jc w:val="center"/>
              <w:rPr>
                <w:rFonts w:ascii="Times New Roman" w:hAnsi="Times New Roman" w:cs="Times New Roman" w:eastAsia="Times New Roman" w:hint="default"/>
                <w:sz w:val="18"/>
                <w:szCs w:val="18"/>
              </w:rPr>
            </w:pPr>
            <w:r>
              <w:rPr>
                <w:rFonts w:ascii="Times New Roman"/>
                <w:sz w:val="18"/>
              </w:rPr>
              <w:t>55.00%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8"/>
                <w:szCs w:val="18"/>
              </w:rPr>
            </w:pPr>
            <w:r>
              <w:rPr>
                <w:rFonts w:ascii="Times New Roman"/>
                <w:sz w:val="18"/>
              </w:rPr>
              <w:t>UQSOFT YUHAN</w:t>
            </w:r>
            <w:r>
              <w:rPr>
                <w:rFonts w:ascii="Times New Roman"/>
                <w:spacing w:val="-13"/>
                <w:sz w:val="18"/>
              </w:rPr>
              <w:t> </w:t>
            </w:r>
            <w:r>
              <w:rPr>
                <w:rFonts w:ascii="Times New Roman"/>
                <w:sz w:val="18"/>
              </w:rPr>
              <w:t>HOESA</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6" w:right="0"/>
              <w:jc w:val="center"/>
              <w:rPr>
                <w:rFonts w:ascii="Times New Roman" w:hAnsi="Times New Roman" w:cs="Times New Roman" w:eastAsia="Times New Roman" w:hint="default"/>
                <w:sz w:val="18"/>
                <w:szCs w:val="18"/>
              </w:rPr>
            </w:pPr>
            <w:r>
              <w:rPr>
                <w:rFonts w:ascii="Times New Roman"/>
                <w:sz w:val="18"/>
              </w:rPr>
              <w:t>55.00%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天津壳木软件有限责任公司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北京壳木软件有限责任公司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8"/>
                <w:sz w:val="18"/>
              </w:rPr>
              <w:t> </w:t>
            </w:r>
            <w:r>
              <w:rPr>
                <w:rFonts w:ascii="Times New Roman"/>
                <w:sz w:val="18"/>
              </w:rPr>
              <w:t>LIMITED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北京骆骆软件科技有限责任公司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2" w:right="141"/>
              <w:jc w:val="left"/>
              <w:rPr>
                <w:rFonts w:ascii="宋体" w:hAnsi="宋体" w:cs="宋体" w:eastAsia="宋体" w:hint="default"/>
                <w:sz w:val="18"/>
                <w:szCs w:val="18"/>
              </w:rPr>
            </w:pPr>
            <w:r>
              <w:rPr>
                <w:rFonts w:ascii="宋体" w:hAnsi="宋体" w:cs="宋体" w:eastAsia="宋体" w:hint="default"/>
                <w:sz w:val="18"/>
                <w:szCs w:val="18"/>
              </w:rPr>
              <w:t>霍尔果斯小小橙软件开发有限责 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8"/>
                <w:sz w:val="18"/>
              </w:rPr>
              <w:t> </w:t>
            </w:r>
            <w:r>
              <w:rPr>
                <w:rFonts w:ascii="Times New Roman"/>
                <w:sz w:val="18"/>
              </w:rPr>
              <w:t>INC.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8"/>
                <w:szCs w:val="18"/>
              </w:rPr>
            </w:pPr>
            <w:r>
              <w:rPr>
                <w:rFonts w:ascii="Times New Roman"/>
                <w:sz w:val="18"/>
              </w:rPr>
              <w:t>CAMEL GAMES</w:t>
            </w:r>
            <w:r>
              <w:rPr>
                <w:rFonts w:ascii="Times New Roman"/>
                <w:spacing w:val="-5"/>
                <w:sz w:val="18"/>
              </w:rPr>
              <w:t> LTD.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开曼群岛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天津安纳西科技有限公司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北京安纳西科技有限公司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北京安纳西互娱科技有限公司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霍尔果斯于艺网络科技有限公司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天津泰岳小漫科技有限公司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51.00%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泰岳小漫（香港）有限公司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北京广通神州网络技术有限公司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广州短讯神州网络技术有限公司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center"/>
              <w:rPr>
                <w:rFonts w:ascii="Times New Roman" w:hAnsi="Times New Roman" w:cs="Times New Roman" w:eastAsia="Times New Roman" w:hint="default"/>
                <w:sz w:val="18"/>
                <w:szCs w:val="18"/>
              </w:rPr>
            </w:pPr>
            <w:r>
              <w:rPr>
                <w:rFonts w:ascii="Times New Roman"/>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苏州短讯神州网络技术有限公司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6" w:right="0"/>
              <w:jc w:val="center"/>
              <w:rPr>
                <w:rFonts w:ascii="Times New Roman" w:hAnsi="Times New Roman" w:cs="Times New Roman" w:eastAsia="Times New Roman" w:hint="default"/>
                <w:sz w:val="18"/>
                <w:szCs w:val="18"/>
              </w:rPr>
            </w:pPr>
            <w:r>
              <w:rPr>
                <w:rFonts w:ascii="Times New Roman"/>
                <w:sz w:val="18"/>
              </w:rPr>
              <w:t>90.00%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北京神州祥升软件有限公司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北京浩宇纵横科技有限公司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北京觉莲软件有限公司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1"/>
              <w:jc w:val="center"/>
              <w:rPr>
                <w:rFonts w:ascii="宋体" w:hAnsi="宋体" w:cs="宋体" w:eastAsia="宋体" w:hint="default"/>
                <w:sz w:val="18"/>
                <w:szCs w:val="18"/>
              </w:rPr>
            </w:pPr>
            <w:r>
              <w:rPr>
                <w:rFonts w:ascii="宋体" w:hAnsi="宋体" w:cs="宋体" w:eastAsia="宋体" w:hint="default"/>
                <w:sz w:val="18"/>
                <w:szCs w:val="18"/>
              </w:rPr>
              <w:t>计算机应用服务业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bl>
    <w:p>
      <w:pPr>
        <w:spacing w:line="240" w:lineRule="auto" w:before="5"/>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在合营安排或联营企业中的权益" w:id="369"/>
      <w:bookmarkEnd w:id="369"/>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70"/>
      <w:bookmarkEnd w:id="37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大连华信计算机 技术股份有限公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6"/>
        <w:rPr>
          <w:rFonts w:ascii="宋体" w:hAnsi="宋体" w:cs="宋体" w:eastAsia="宋体" w:hint="default"/>
          <w:b/>
          <w:bCs/>
          <w:sz w:val="6"/>
          <w:szCs w:val="6"/>
        </w:rPr>
      </w:pPr>
    </w:p>
    <w:p>
      <w:pPr>
        <w:pStyle w:val="BodyText"/>
        <w:spacing w:line="240" w:lineRule="auto" w:before="44"/>
        <w:ind w:left="1134" w:right="0"/>
        <w:jc w:val="left"/>
      </w:pPr>
      <w:r>
        <w:rPr/>
        <w:t>在合营企业或联营企业的持股比例不同于表决权比例的说明：</w:t>
      </w:r>
    </w:p>
    <w:p>
      <w:pPr>
        <w:spacing w:after="0" w:line="240" w:lineRule="auto"/>
        <w:jc w:val="left"/>
        <w:sectPr>
          <w:pgSz w:w="11910" w:h="16840"/>
          <w:pgMar w:header="851" w:footer="979" w:top="142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4"/>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19"/>
          <w:szCs w:val="19"/>
        </w:rPr>
      </w:pPr>
    </w:p>
    <w:p>
      <w:pPr>
        <w:pStyle w:val="BodyText"/>
        <w:spacing w:line="451" w:lineRule="auto"/>
        <w:ind w:right="1025" w:firstLine="360"/>
        <w:jc w:val="left"/>
      </w:pPr>
      <w:r>
        <w:rPr>
          <w:spacing w:val="-13"/>
        </w:rPr>
        <w:t>注：持有</w:t>
      </w:r>
      <w:r>
        <w:rPr>
          <w:spacing w:val="-61"/>
        </w:rPr>
        <w:t> </w:t>
      </w:r>
      <w:r>
        <w:rPr>
          <w:rFonts w:ascii="Times New Roman" w:hAnsi="Times New Roman" w:cs="Times New Roman" w:eastAsia="Times New Roman" w:hint="default"/>
        </w:rPr>
        <w:t>20%</w:t>
      </w:r>
      <w:r>
        <w:rPr/>
        <w:t>以下表决权但具有重大影响</w:t>
      </w:r>
      <w:r>
        <w:rPr>
          <w:spacing w:val="-29"/>
        </w:rPr>
        <w:t> </w:t>
      </w:r>
      <w:r>
        <w:rPr/>
        <w:t>：本公司系大连华信计算机技术股份有限公司单一第二大股东并派驻了董事，</w:t>
      </w:r>
      <w:r>
        <w:rPr/>
        <w:t> 对其具有重大影响。</w:t>
      </w:r>
    </w:p>
    <w:p>
      <w:pPr>
        <w:pStyle w:val="BodyText"/>
        <w:spacing w:line="451" w:lineRule="auto" w:before="113"/>
        <w:ind w:left="1134" w:right="1168" w:firstLine="360"/>
        <w:jc w:val="left"/>
      </w:pPr>
      <w:r>
        <w:rPr/>
        <w:t>北京神州泰岳良品电子商务有限公司于本报告期末退出合并范围，</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年开始成为北京神州泰岳软件股份有限公司重 要的联营公司。</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bookmarkStart w:name="（2）重要联营企业的主要财务信息" w:id="371"/>
      <w:bookmarkEnd w:id="371"/>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1,128,898,600.00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1,039,557,700.00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1,128,180,500.00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1,123,803,100.00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2,257,079,100.00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2,163,360,800.00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850,057,500.00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503,517,400.00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392,311,800.00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584,405,400.00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1,242,369,500.00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1,087,922,800.00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53,772,600.00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40,428,900.00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960,937,000.00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1,035,009,100.00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85,607,100.00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92,205,700.00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27,157,900.00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27,157,900.00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119,363,600.00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1,449,817,700.00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1,249,822,700.00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147,390,600.00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99,332,700.00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-3,991,600.00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149,738,200.00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98,455,300.00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不重要的合营企业和联营企业的汇总财务信息" w:id="372"/>
      <w:bookmarkEnd w:id="372"/>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690,400.00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14" w:hRule="exact"/>
        </w:trPr>
        <w:tc>
          <w:tcPr>
            <w:tcW w:w="330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-619,100.00</w:t>
            </w:r>
            <w:r>
              <w:rPr>
                <w:rFonts w:ascii="Times New Roman"/>
                <w:sz w:val="18"/>
              </w:rPr>
            </w:r>
          </w:p>
        </w:tc>
        <w:tc>
          <w:tcPr>
            <w:tcW w:w="31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-619,100.00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11,629,000.00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21,016,500.00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-2,744,400.00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-2,744,400.00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合营企业或联营企业发生的超额亏损" w:id="373"/>
      <w:bookmarkEnd w:id="373"/>
      <w:r>
        <w:rPr>
          <w:b w:val="0"/>
          <w:bCs w:val="0"/>
        </w:rPr>
      </w: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bookmarkStart w:name="单位：万元" w:id="374"/>
      <w:bookmarkEnd w:id="374"/>
      <w:r>
        <w:rPr/>
      </w:r>
      <w:r>
        <w:rPr/>
        <w:t>单位：万元</w:t>
      </w:r>
    </w:p>
    <w:p>
      <w:pPr>
        <w:spacing w:line="240" w:lineRule="auto" w:before="13"/>
        <w:rPr>
          <w:rFonts w:ascii="宋体" w:hAnsi="宋体" w:cs="宋体" w:eastAsia="宋体"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3348"/>
        <w:gridCol w:w="2169"/>
        <w:gridCol w:w="2168"/>
        <w:gridCol w:w="2171"/>
      </w:tblGrid>
      <w:tr>
        <w:trPr>
          <w:trHeight w:val="557" w:hRule="exact"/>
        </w:trPr>
        <w:tc>
          <w:tcPr>
            <w:tcW w:w="3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8"/>
              <w:ind w:left="67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1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899" w:right="178" w:hanging="721"/>
              <w:jc w:val="left"/>
              <w:rPr>
                <w:rFonts w:ascii="宋体" w:hAnsi="宋体" w:cs="宋体" w:eastAsia="宋体" w:hint="default"/>
                <w:sz w:val="18"/>
                <w:szCs w:val="18"/>
              </w:rPr>
            </w:pPr>
            <w:r>
              <w:rPr>
                <w:rFonts w:ascii="宋体" w:hAnsi="宋体" w:cs="宋体" w:eastAsia="宋体" w:hint="default"/>
                <w:sz w:val="18"/>
                <w:szCs w:val="18"/>
              </w:rPr>
              <w:t>累积未确认的前期累计 损失</w:t>
            </w:r>
          </w:p>
        </w:tc>
        <w:tc>
          <w:tcPr>
            <w:tcW w:w="2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358" w:right="100" w:hanging="256"/>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期分享的净利润）</w:t>
            </w:r>
          </w:p>
        </w:tc>
        <w:tc>
          <w:tcPr>
            <w:tcW w:w="21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989" w:right="179" w:hanging="810"/>
              <w:jc w:val="left"/>
              <w:rPr>
                <w:rFonts w:ascii="宋体" w:hAnsi="宋体" w:cs="宋体" w:eastAsia="宋体" w:hint="default"/>
                <w:sz w:val="18"/>
                <w:szCs w:val="18"/>
              </w:rPr>
            </w:pPr>
            <w:r>
              <w:rPr>
                <w:rFonts w:ascii="宋体" w:hAnsi="宋体" w:cs="宋体" w:eastAsia="宋体" w:hint="default"/>
                <w:sz w:val="18"/>
                <w:szCs w:val="18"/>
              </w:rPr>
              <w:t>本期末累积未确认的损 失</w:t>
            </w:r>
          </w:p>
        </w:tc>
      </w:tr>
      <w:tr>
        <w:trPr>
          <w:trHeight w:val="32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2169"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z w:val="18"/>
              </w:rPr>
              <w:t>-597.31</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8"/>
                <w:szCs w:val="18"/>
              </w:rPr>
            </w:pPr>
            <w:r>
              <w:rPr>
                <w:rFonts w:ascii="Times New Roman"/>
                <w:spacing w:val="-1"/>
                <w:sz w:val="18"/>
              </w:rPr>
              <w:t>-597.31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right="0"/>
        <w:jc w:val="left"/>
        <w:rPr>
          <w:b w:val="0"/>
          <w:bCs w:val="0"/>
        </w:rPr>
      </w:pPr>
      <w:bookmarkStart w:name="十、与金融工具相关的风险" w:id="375"/>
      <w:bookmarkEnd w:id="375"/>
      <w:r>
        <w:rPr>
          <w:b w:val="0"/>
          <w:bCs w:val="0"/>
        </w:rPr>
      </w:r>
      <w:r>
        <w:rPr/>
        <w:t>十、与金融工具相关的风险</w:t>
      </w:r>
      <w:r>
        <w:rPr>
          <w:b w:val="0"/>
          <w:bCs w:val="0"/>
        </w:rPr>
      </w:r>
    </w:p>
    <w:p>
      <w:pPr>
        <w:spacing w:line="240" w:lineRule="auto" w:before="7"/>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5"/>
        <w:ind w:left="1133" w:right="0"/>
        <w:jc w:val="left"/>
        <w:rPr>
          <w:b w:val="0"/>
          <w:bCs w:val="0"/>
        </w:rPr>
      </w:pPr>
      <w:bookmarkStart w:name="十一、公允价值的披露" w:id="376"/>
      <w:bookmarkEnd w:id="376"/>
      <w:r>
        <w:rPr>
          <w:b w:val="0"/>
          <w:bCs w:val="0"/>
        </w:rPr>
      </w:r>
      <w:r>
        <w:rPr/>
        <w:t>十一、公允价值的披露</w:t>
      </w:r>
      <w:r>
        <w:rPr>
          <w:b w:val="0"/>
          <w:bCs w:val="0"/>
        </w:rPr>
      </w:r>
    </w:p>
    <w:p>
      <w:pPr>
        <w:spacing w:line="240" w:lineRule="auto" w:before="8"/>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2"/>
        <w:spacing w:line="240" w:lineRule="auto" w:before="155"/>
        <w:ind w:left="1133" w:right="0"/>
        <w:jc w:val="left"/>
        <w:rPr>
          <w:b w:val="0"/>
          <w:bCs w:val="0"/>
        </w:rPr>
      </w:pPr>
      <w:bookmarkStart w:name="十二、关联方及关联交易" w:id="377"/>
      <w:bookmarkEnd w:id="377"/>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本企业的母公司情况" w:id="378"/>
      <w:bookmarkEnd w:id="37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  宁</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12.74%</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  力</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12.85%</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25.59%</w:t>
            </w:r>
          </w:p>
        </w:tc>
      </w:tr>
    </w:tbl>
    <w:p>
      <w:pPr>
        <w:spacing w:line="240" w:lineRule="auto" w:before="7"/>
        <w:rPr>
          <w:rFonts w:ascii="宋体" w:hAnsi="宋体" w:cs="宋体" w:eastAsia="宋体" w:hint="default"/>
          <w:b/>
          <w:bCs/>
          <w:sz w:val="6"/>
          <w:szCs w:val="6"/>
        </w:rPr>
      </w:pPr>
    </w:p>
    <w:p>
      <w:pPr>
        <w:pStyle w:val="BodyText"/>
        <w:spacing w:line="516" w:lineRule="auto" w:before="44"/>
        <w:ind w:left="1493" w:right="3733" w:hanging="360"/>
        <w:jc w:val="left"/>
      </w:pPr>
      <w:r>
        <w:rPr/>
        <w:t>本企业的母公司情况的说明 本公司的实际控制人为王宁先生、李力先生，签定了一致行动协议，为一致行动人。 本企业最终控制方是王宁、李力共同控制。</w:t>
      </w:r>
    </w:p>
    <w:p>
      <w:pPr>
        <w:spacing w:after="0" w:line="516"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2、本企业的子公司情况" w:id="379"/>
      <w:bookmarkEnd w:id="37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3" w:right="0"/>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3、本企业合营和联营企业情况" w:id="380"/>
      <w:bookmarkEnd w:id="38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32"/>
          <w:szCs w:val="32"/>
        </w:rPr>
      </w:pPr>
    </w:p>
    <w:p>
      <w:pPr>
        <w:pStyle w:val="BodyText"/>
        <w:spacing w:line="516" w:lineRule="auto"/>
        <w:ind w:right="2293"/>
        <w:jc w:val="left"/>
      </w:pPr>
      <w:r>
        <w:rPr/>
        <w:pict>
          <v:shape style="position:absolute;margin-left:56.459999pt;margin-top:46.301727pt;width:479.2pt;height:161.35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北京盈海益讯科技发展有限公司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宁波泰岳梧桐投资管理有限公司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深圳市前海泰岳梧桐投资基金管理有限公司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北京神州泰岳良品电子商务有限公司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
              </w:txbxContent>
            </v:textbox>
            <w10:wrap type="none"/>
          </v:shape>
        </w:pict>
      </w:r>
      <w:r>
        <w:rPr/>
        <w:t>本企业重要的合营或联营企业详见附注附注九、在其他主体中的权益。 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3"/>
        <w:spacing w:line="240" w:lineRule="auto" w:before="35"/>
        <w:ind w:right="0"/>
        <w:jc w:val="left"/>
        <w:rPr>
          <w:b w:val="0"/>
          <w:bCs w:val="0"/>
        </w:rPr>
      </w:pPr>
      <w:bookmarkStart w:name="4、其他关联方情况" w:id="381"/>
      <w:bookmarkEnd w:id="38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齐强、黄松浪、李毅、万能、徐斯平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公司其他主要自然人股东</w:t>
            </w:r>
          </w:p>
        </w:tc>
      </w:tr>
      <w:tr>
        <w:trPr>
          <w:trHeight w:val="10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6"/>
                <w:sz w:val="18"/>
                <w:szCs w:val="18"/>
              </w:rPr>
              <w:t>翟一兵、江锡如【注】、刘凯湘、蓝伯雄、罗建北、刘豪、许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sz w:val="18"/>
                <w:szCs w:val="18"/>
              </w:rPr>
              <w:t>芃、高峰、张振鹏、汪铖、朱建松、陶磊【注】、李广刚、丁</w:t>
            </w:r>
            <w:r>
              <w:rPr>
                <w:rFonts w:ascii="宋体" w:hAnsi="宋体" w:cs="宋体" w:eastAsia="宋体" w:hint="default"/>
                <w:sz w:val="18"/>
                <w:szCs w:val="18"/>
              </w:rPr>
              <w:t> 彦超、郝岩、孙海粟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关键管理人员（不含主要个人股东）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华信永道科技有限公司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北京云中融信网络科技有限公司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公司董事担任执行董事的企业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北京碧水源净水电子商务有限公司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公司董事担任董事的企业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北京光合起源网络科技有限公司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公司董事担任董事的企业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北京启天同信科技有限公司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公司实际控制人直接控制的公司</w:t>
            </w:r>
          </w:p>
        </w:tc>
      </w:tr>
    </w:tbl>
    <w:p>
      <w:pPr>
        <w:spacing w:line="240" w:lineRule="auto" w:before="6"/>
        <w:rPr>
          <w:rFonts w:ascii="宋体" w:hAnsi="宋体" w:cs="宋体" w:eastAsia="宋体" w:hint="default"/>
          <w:b/>
          <w:bCs/>
          <w:sz w:val="6"/>
          <w:szCs w:val="6"/>
        </w:rPr>
      </w:pPr>
    </w:p>
    <w:p>
      <w:pPr>
        <w:pStyle w:val="BodyText"/>
        <w:spacing w:line="240" w:lineRule="auto" w:before="44"/>
        <w:ind w:left="1134" w:right="0"/>
        <w:jc w:val="left"/>
      </w:pPr>
      <w:r>
        <w:rPr/>
        <w:t>其他说明</w:t>
      </w:r>
    </w:p>
    <w:p>
      <w:pPr>
        <w:spacing w:line="240" w:lineRule="auto" w:before="10"/>
        <w:rPr>
          <w:rFonts w:ascii="宋体" w:hAnsi="宋体" w:cs="宋体" w:eastAsia="宋体" w:hint="default"/>
          <w:sz w:val="20"/>
          <w:szCs w:val="20"/>
        </w:rPr>
      </w:pPr>
    </w:p>
    <w:p>
      <w:pPr>
        <w:pStyle w:val="BodyText"/>
        <w:spacing w:line="240" w:lineRule="auto"/>
        <w:ind w:left="1494" w:right="0"/>
        <w:jc w:val="left"/>
      </w:pPr>
      <w:r>
        <w:rPr/>
        <w:t>注：独立董事江锡如于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日申请离职。 副总经理陶磊于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日离任。</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5、关联交易情况" w:id="382"/>
      <w:bookmarkEnd w:id="38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购销商品、提供和接受劳务的关联交易" w:id="383"/>
      <w:bookmarkEnd w:id="38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611,494.73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大连华信计算机技 术股份有限公司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6,496,355.00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6,496,355.00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4,087,153.00</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北京光合起源网络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6"/>
                <w:sz w:val="18"/>
                <w:szCs w:val="18"/>
              </w:rPr>
              <w:t>购买版权金、支付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分成款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8,442,675.17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8,442,675.17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北京云中融信网络科技有限公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5,216,980.94</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北京碧水源净水电子商务有限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413,939.74</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租赁情况" w:id="384"/>
      <w:bookmarkEnd w:id="384"/>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本公司作为出租方：</w:t>
      </w:r>
    </w:p>
    <w:p>
      <w:pPr>
        <w:spacing w:line="240" w:lineRule="auto" w:before="6"/>
        <w:rPr>
          <w:rFonts w:ascii="宋体" w:hAnsi="宋体" w:cs="宋体" w:eastAsia="宋体" w:hint="default"/>
          <w:sz w:val="11"/>
          <w:szCs w:val="11"/>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4,027,454.16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3,686,096.40</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华信永道（北京）科技有限公 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1,571,357.67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1,528,442.71</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北京中清龙图网络技术有限 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10,217,684.65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6,293,961.90</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宁波泰岳梧桐投资管理有限 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1,209,991.86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246,384.08</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北京光合起源网络科技有限 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深圳市前海泰岳梧桐投资基 金管理有限公司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349,100.25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493,200.00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4）关联担保情况" w:id="385"/>
      <w:bookmarkEnd w:id="38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t>本公司作为担保方</w:t>
      </w:r>
    </w:p>
    <w:p>
      <w:pPr>
        <w:spacing w:line="240" w:lineRule="auto" w:before="6"/>
        <w:rPr>
          <w:rFonts w:ascii="宋体" w:hAnsi="宋体" w:cs="宋体" w:eastAsia="宋体" w:hint="default"/>
          <w:sz w:val="17"/>
          <w:szCs w:val="17"/>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北京新媒传信科技有限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北京神州泰岳系统集成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北京神州泰岳智能数据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北京互联时代通讯科技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关联方资产转让、债务重组情况" w:id="386"/>
      <w:bookmarkEnd w:id="386"/>
      <w:r>
        <w:rPr>
          <w:b w:val="0"/>
          <w:bCs w:val="0"/>
        </w:rPr>
      </w: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北京云中融信网络科技有限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出售无形资产</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19,795,245.48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键管理人员报酬" w:id="387"/>
      <w:bookmarkEnd w:id="387"/>
      <w:r>
        <w:rPr>
          <w:b w:val="0"/>
          <w:bCs w:val="0"/>
        </w:rPr>
      </w:r>
      <w:r>
        <w:rPr/>
        <w:t>（</w:t>
      </w:r>
      <w:r>
        <w:rPr>
          <w:rFonts w:ascii="Times New Roman" w:hAnsi="Times New Roman" w:cs="Times New Roman" w:eastAsia="Times New Roman" w:hint="default"/>
        </w:rPr>
        <w:t>6</w:t>
      </w:r>
      <w:r>
        <w:rPr/>
        <w:t>）关键管理人员报酬</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万元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其他关联交易" w:id="388"/>
      <w:bookmarkEnd w:id="388"/>
      <w:r>
        <w:rPr>
          <w:b w:val="0"/>
          <w:bCs w:val="0"/>
        </w:rPr>
      </w:r>
      <w:r>
        <w:rPr/>
        <w:t>（</w:t>
      </w:r>
      <w:r>
        <w:rPr>
          <w:rFonts w:ascii="Times New Roman" w:hAnsi="Times New Roman" w:cs="Times New Roman" w:eastAsia="Times New Roman" w:hint="default"/>
        </w:rPr>
        <w:t>7</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w:t>
      </w:r>
      <w:r>
        <w:rPr>
          <w:rFonts w:ascii="Times New Roman" w:hAnsi="Times New Roman" w:cs="Times New Roman" w:eastAsia="Times New Roman" w:hint="default"/>
        </w:rPr>
        <w:t>1</w:t>
      </w:r>
      <w:r>
        <w:rPr/>
        <w:t>）本公司支付给主要自然人股东的薪酬如下：</w:t>
      </w:r>
    </w:p>
    <w:p>
      <w:pPr>
        <w:pStyle w:val="BodyText"/>
        <w:spacing w:line="240" w:lineRule="auto" w:before="141"/>
        <w:ind w:left="0" w:right="1130"/>
        <w:jc w:val="right"/>
      </w:pPr>
      <w:r>
        <w:rPr/>
        <w:t>单位：人民币万元</w:t>
      </w:r>
    </w:p>
    <w:p>
      <w:pPr>
        <w:spacing w:line="240" w:lineRule="auto" w:before="13"/>
        <w:rPr>
          <w:rFonts w:ascii="宋体" w:hAnsi="宋体" w:cs="宋体" w:eastAsia="宋体" w:hint="default"/>
          <w:sz w:val="10"/>
          <w:szCs w:val="10"/>
        </w:rPr>
      </w:pPr>
    </w:p>
    <w:tbl>
      <w:tblPr>
        <w:tblW w:w="0" w:type="auto"/>
        <w:jc w:val="left"/>
        <w:tblInd w:w="1119" w:type="dxa"/>
        <w:tblLayout w:type="fixed"/>
        <w:tblCellMar>
          <w:top w:w="0" w:type="dxa"/>
          <w:left w:w="0" w:type="dxa"/>
          <w:bottom w:w="0" w:type="dxa"/>
          <w:right w:w="0" w:type="dxa"/>
        </w:tblCellMar>
        <w:tblLook w:val="01E0"/>
      </w:tblPr>
      <w:tblGrid>
        <w:gridCol w:w="3356"/>
        <w:gridCol w:w="3141"/>
        <w:gridCol w:w="3162"/>
      </w:tblGrid>
      <w:tr>
        <w:trPr>
          <w:trHeight w:val="342" w:hRule="exact"/>
        </w:trPr>
        <w:tc>
          <w:tcPr>
            <w:tcW w:w="3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042" w:right="0"/>
              <w:jc w:val="left"/>
              <w:rPr>
                <w:rFonts w:ascii="宋体" w:hAnsi="宋体" w:cs="宋体" w:eastAsia="宋体" w:hint="default"/>
                <w:sz w:val="18"/>
                <w:szCs w:val="18"/>
              </w:rPr>
            </w:pPr>
            <w:r>
              <w:rPr>
                <w:rFonts w:ascii="宋体" w:hAnsi="宋体" w:cs="宋体" w:eastAsia="宋体" w:hint="default"/>
                <w:sz w:val="18"/>
                <w:szCs w:val="18"/>
              </w:rPr>
              <w:t>主要自然人股东</w:t>
            </w:r>
          </w:p>
        </w:tc>
        <w:tc>
          <w:tcPr>
            <w:tcW w:w="3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2"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王  宁</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17.03</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16.92</w:t>
            </w:r>
          </w:p>
        </w:tc>
      </w:tr>
      <w:tr>
        <w:trPr>
          <w:trHeight w:val="342"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  力</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17.03</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16.92</w:t>
            </w:r>
          </w:p>
        </w:tc>
      </w:tr>
      <w:tr>
        <w:trPr>
          <w:trHeight w:val="342"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齐  强</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未在公司领薪</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未在公司领薪</w:t>
            </w:r>
          </w:p>
        </w:tc>
      </w:tr>
      <w:tr>
        <w:trPr>
          <w:trHeight w:val="342"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黄松浪</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15.77</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15.66</w:t>
            </w:r>
          </w:p>
        </w:tc>
      </w:tr>
      <w:tr>
        <w:trPr>
          <w:trHeight w:val="342"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李  毅</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22.29</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15.29</w:t>
            </w:r>
          </w:p>
        </w:tc>
      </w:tr>
      <w:tr>
        <w:trPr>
          <w:trHeight w:val="342"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万  能</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16.13</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15.18</w:t>
            </w:r>
          </w:p>
        </w:tc>
      </w:tr>
    </w:tbl>
    <w:p>
      <w:pPr>
        <w:spacing w:after="0" w:line="240" w:lineRule="auto"/>
        <w:jc w:val="center"/>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19" w:type="dxa"/>
        <w:tblLayout w:type="fixed"/>
        <w:tblCellMar>
          <w:top w:w="0" w:type="dxa"/>
          <w:left w:w="0" w:type="dxa"/>
          <w:bottom w:w="0" w:type="dxa"/>
          <w:right w:w="0" w:type="dxa"/>
        </w:tblCellMar>
        <w:tblLook w:val="01E0"/>
      </w:tblPr>
      <w:tblGrid>
        <w:gridCol w:w="3356"/>
        <w:gridCol w:w="3141"/>
        <w:gridCol w:w="3162"/>
      </w:tblGrid>
      <w:tr>
        <w:trPr>
          <w:trHeight w:val="354" w:hRule="exact"/>
        </w:trPr>
        <w:tc>
          <w:tcPr>
            <w:tcW w:w="33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徐斯平</w:t>
            </w:r>
          </w:p>
        </w:tc>
        <w:tc>
          <w:tcPr>
            <w:tcW w:w="31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未在公司领薪</w:t>
            </w:r>
          </w:p>
        </w:tc>
        <w:tc>
          <w:tcPr>
            <w:tcW w:w="31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未在公司领薪</w:t>
            </w:r>
          </w:p>
        </w:tc>
      </w:tr>
      <w:tr>
        <w:trPr>
          <w:trHeight w:val="342" w:hRule="exact"/>
        </w:trPr>
        <w:tc>
          <w:tcPr>
            <w:tcW w:w="3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88.25</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79.97</w:t>
            </w:r>
          </w:p>
        </w:tc>
      </w:tr>
    </w:tbl>
    <w:p>
      <w:pPr>
        <w:pStyle w:val="BodyText"/>
        <w:spacing w:line="451" w:lineRule="auto" w:before="88"/>
        <w:ind w:left="1134" w:right="1042"/>
        <w:jc w:val="both"/>
      </w:pPr>
      <w:r>
        <w:rPr>
          <w:spacing w:val="-3"/>
        </w:rPr>
        <w:t>（</w:t>
      </w:r>
      <w:r>
        <w:rPr>
          <w:rFonts w:ascii="Times New Roman" w:hAnsi="Times New Roman" w:cs="Times New Roman" w:eastAsia="Times New Roman" w:hint="default"/>
          <w:spacing w:val="-3"/>
        </w:rPr>
        <w:t>2</w:t>
      </w:r>
      <w:r>
        <w:rPr>
          <w:spacing w:val="-3"/>
        </w:rPr>
        <w:t>）报告期内，公司与关联方北京启天同信科技有限公司共同出资</w:t>
      </w:r>
      <w:r>
        <w:rPr>
          <w:rFonts w:ascii="Times New Roman" w:hAnsi="Times New Roman" w:cs="Times New Roman" w:eastAsia="Times New Roman" w:hint="default"/>
          <w:spacing w:val="-3"/>
        </w:rPr>
        <w:t>2,500</w:t>
      </w:r>
      <w:r>
        <w:rPr>
          <w:spacing w:val="-3"/>
        </w:rPr>
        <w:t>万元用于增资北京神州泰岳智能数据技术有限公司。</w:t>
      </w:r>
      <w:r>
        <w:rPr>
          <w:spacing w:val="-45"/>
        </w:rPr>
        <w:t> </w:t>
      </w:r>
      <w:r>
        <w:rPr>
          <w:spacing w:val="-1"/>
        </w:rPr>
        <w:t>其中公司出资</w:t>
      </w:r>
      <w:r>
        <w:rPr>
          <w:rFonts w:ascii="Times New Roman" w:hAnsi="Times New Roman" w:cs="Times New Roman" w:eastAsia="Times New Roman" w:hint="default"/>
          <w:spacing w:val="-1"/>
        </w:rPr>
        <w:t>2,125</w:t>
      </w:r>
      <w:r>
        <w:rPr>
          <w:spacing w:val="-1"/>
        </w:rPr>
        <w:t>万元用于增资，增资完成以后占北京神州泰岳智能数据技术有限公司的</w:t>
      </w:r>
      <w:r>
        <w:rPr>
          <w:rFonts w:ascii="Times New Roman" w:hAnsi="Times New Roman" w:cs="Times New Roman" w:eastAsia="Times New Roman" w:hint="default"/>
          <w:spacing w:val="-1"/>
        </w:rPr>
        <w:t>85%</w:t>
      </w:r>
      <w:r>
        <w:rPr>
          <w:spacing w:val="-1"/>
        </w:rPr>
        <w:t>股份，股份比例未发生变化。</w:t>
      </w:r>
      <w:r>
        <w:rPr>
          <w:spacing w:val="-41"/>
        </w:rPr>
        <w:t> </w:t>
      </w:r>
      <w:r>
        <w:rPr>
          <w:spacing w:val="-41"/>
        </w:rPr>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日止，该增资事项已完成。</w:t>
      </w:r>
    </w:p>
    <w:p>
      <w:pPr>
        <w:spacing w:line="240" w:lineRule="auto" w:before="6"/>
        <w:rPr>
          <w:rFonts w:ascii="宋体" w:hAnsi="宋体" w:cs="宋体" w:eastAsia="宋体" w:hint="default"/>
          <w:sz w:val="18"/>
          <w:szCs w:val="18"/>
        </w:rPr>
      </w:pPr>
    </w:p>
    <w:p>
      <w:pPr>
        <w:pStyle w:val="Heading3"/>
        <w:spacing w:line="240" w:lineRule="auto"/>
        <w:ind w:left="1133" w:right="0"/>
        <w:jc w:val="both"/>
        <w:rPr>
          <w:b w:val="0"/>
          <w:bCs w:val="0"/>
        </w:rPr>
      </w:pPr>
      <w:bookmarkStart w:name="6、关联方应收应付款项" w:id="389"/>
      <w:bookmarkEnd w:id="38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both"/>
        <w:rPr>
          <w:b w:val="0"/>
          <w:bCs w:val="0"/>
        </w:rPr>
      </w:pPr>
      <w:bookmarkStart w:name="（1）应收项目" w:id="390"/>
      <w:bookmarkEnd w:id="39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595"/>
        <w:gridCol w:w="3083"/>
        <w:gridCol w:w="1277"/>
        <w:gridCol w:w="1276"/>
        <w:gridCol w:w="1134"/>
        <w:gridCol w:w="1202"/>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0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3083"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华信永道（北京）科技有限公司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257,254.18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12,862.71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309,334.15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15,466.70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北京华泰德丰技术有限公司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854,700.00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51,345.00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491,400.00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24,570.00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4,901,053.66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245,052.68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2,734,082.20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238,895.89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391"/>
      <w:bookmarkEnd w:id="39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2392"/>
        <w:gridCol w:w="3705"/>
        <w:gridCol w:w="1842"/>
        <w:gridCol w:w="1630"/>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大连华信计算机技术股份有限公司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156,300.00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561,743.40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611,494.73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北京光合起源网络科技有限公司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3,295,930.07</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中信网络科技股份有限公司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北京华信永道（北京）科技公司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神州泰岳顶策科技（北京）有限公司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北京光合起源网络科技有限公司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北京华信永道（北京）科技公司</w:t>
            </w:r>
          </w:p>
        </w:tc>
        <w:tc>
          <w:tcPr>
            <w:tcW w:w="184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北京中清龙图网络技术有限公司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294,358.50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宁波泰岳梧桐投资管理有限公司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102,716.12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132,696.47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北京光合起源网络科技有限公司</w:t>
            </w:r>
          </w:p>
        </w:tc>
        <w:tc>
          <w:tcPr>
            <w:tcW w:w="184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深圳市前海泰岳梧桐投资基金管理有限公司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44,236.93</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7"/>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394"/>
        <w:gridCol w:w="3705"/>
        <w:gridCol w:w="1842"/>
        <w:gridCol w:w="1630"/>
      </w:tblGrid>
      <w:tr>
        <w:trPr>
          <w:trHeight w:val="414" w:hRule="exact"/>
        </w:trPr>
        <w:tc>
          <w:tcPr>
            <w:tcW w:w="23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0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北京碧水源净水电子商务有限公司</w:t>
            </w:r>
          </w:p>
        </w:tc>
        <w:tc>
          <w:tcPr>
            <w:tcW w:w="184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863" w:right="0"/>
              <w:jc w:val="left"/>
              <w:rPr>
                <w:rFonts w:ascii="Times New Roman" w:hAnsi="Times New Roman" w:cs="Times New Roman" w:eastAsia="Times New Roman" w:hint="default"/>
                <w:sz w:val="18"/>
                <w:szCs w:val="18"/>
              </w:rPr>
            </w:pPr>
            <w:r>
              <w:rPr>
                <w:rFonts w:ascii="Times New Roman"/>
                <w:sz w:val="18"/>
              </w:rPr>
              <w:t>1,080,000.00</w:t>
            </w:r>
          </w:p>
        </w:tc>
        <w:tc>
          <w:tcPr>
            <w:tcW w:w="1630" w:type="dxa"/>
            <w:tcBorders>
              <w:top w:val="single" w:sz="10"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股份支付" w:id="392"/>
      <w:bookmarkEnd w:id="392"/>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股份支付总体情况" w:id="393"/>
      <w:bookmarkEnd w:id="39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7"/>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8,369,220.00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1,926,405.00</w:t>
            </w:r>
          </w:p>
        </w:tc>
      </w:tr>
      <w:tr>
        <w:trPr>
          <w:trHeight w:val="258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股；期限为自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及分配现金股利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元的利</w:t>
            </w:r>
            <w:r>
              <w:rPr>
                <w:rFonts w:ascii="宋体" w:hAnsi="宋体" w:cs="宋体" w:eastAsia="宋体" w:hint="default"/>
                <w:spacing w:val="1"/>
                <w:sz w:val="18"/>
                <w:szCs w:val="18"/>
              </w:rPr>
              <w:t>润</w:t>
            </w:r>
            <w:r>
              <w:rPr>
                <w:rFonts w:ascii="宋体" w:hAnsi="宋体" w:cs="宋体" w:eastAsia="宋体" w:hint="default"/>
                <w:sz w:val="18"/>
                <w:szCs w:val="18"/>
              </w:rPr>
              <w:t>分配方案</w:t>
            </w:r>
            <w:r>
              <w:rPr>
                <w:rFonts w:ascii="宋体" w:hAnsi="宋体" w:cs="宋体" w:eastAsia="宋体" w:hint="default"/>
                <w:spacing w:val="-82"/>
                <w:sz w:val="18"/>
                <w:szCs w:val="18"/>
              </w:rPr>
              <w:t>，</w:t>
            </w:r>
            <w:r>
              <w:rPr>
                <w:rFonts w:ascii="宋体" w:hAnsi="宋体" w:cs="宋体" w:eastAsia="宋体" w:hint="default"/>
                <w:sz w:val="18"/>
                <w:szCs w:val="18"/>
              </w:rPr>
              <w:t>行权价格调整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股。由于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年已实施每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股及分配现金股利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3"/>
                <w:sz w:val="18"/>
                <w:szCs w:val="18"/>
              </w:rPr>
              <w:t>元的利润分配方案，行权价格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年已实施每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5.020004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股及分配现金股利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1.204801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元的利润分配</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方案，行权价格调整为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58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股；期限为自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元的利润分配方案</w:t>
            </w:r>
            <w:r>
              <w:rPr>
                <w:rFonts w:ascii="宋体" w:hAnsi="宋体" w:cs="宋体" w:eastAsia="宋体" w:hint="default"/>
                <w:spacing w:val="-82"/>
                <w:sz w:val="18"/>
                <w:szCs w:val="18"/>
              </w:rPr>
              <w:t>，</w:t>
            </w:r>
            <w:r>
              <w:rPr>
                <w:rFonts w:ascii="宋体" w:hAnsi="宋体" w:cs="宋体" w:eastAsia="宋体" w:hint="default"/>
                <w:sz w:val="18"/>
                <w:szCs w:val="18"/>
              </w:rPr>
              <w:t>回购价格调整为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股。由于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分配现金股利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元的利润分配方案，回购价格调整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年已实施每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5.020004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股及分配现金股利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1.204801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元的利润分配</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方案，回购价格调整为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14"/>
          <w:szCs w:val="14"/>
        </w:rPr>
      </w:pPr>
    </w:p>
    <w:p>
      <w:pPr>
        <w:pStyle w:val="BodyText"/>
        <w:spacing w:line="451" w:lineRule="auto"/>
        <w:ind w:left="1135" w:right="1093" w:firstLine="360"/>
        <w:jc w:val="both"/>
      </w:pPr>
      <w:r>
        <w:rPr>
          <w:spacing w:val="-2"/>
        </w:rPr>
        <w:t>注</w:t>
      </w:r>
      <w:r>
        <w:rPr>
          <w:rFonts w:ascii="Times New Roman" w:hAnsi="Times New Roman" w:cs="Times New Roman" w:eastAsia="Times New Roman" w:hint="default"/>
          <w:spacing w:val="-2"/>
        </w:rPr>
        <w:t>1</w:t>
      </w:r>
      <w:r>
        <w:rPr>
          <w:spacing w:val="-2"/>
        </w:rPr>
        <w:t>：北京神州泰岳软件股份有限公司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日召开的第四届董事会第二十九次会议审议通过了《关于公司股权激</w:t>
      </w:r>
      <w:r>
        <w:rPr/>
        <w:t> 励计划所涉股票期权与限制性股票授予的议案》，股权激励计划规定的授予条件已经满足，公司董事会同意授予</w:t>
      </w:r>
      <w:r>
        <w:rPr>
          <w:rFonts w:ascii="Times New Roman" w:hAnsi="Times New Roman" w:cs="Times New Roman" w:eastAsia="Times New Roman" w:hint="default"/>
        </w:rPr>
        <w:t>360</w:t>
      </w:r>
      <w:r>
        <w:rPr/>
        <w:t>名激励</w:t>
      </w:r>
      <w:r>
        <w:rPr>
          <w:spacing w:val="-83"/>
        </w:rPr>
        <w:t> </w:t>
      </w:r>
      <w:r>
        <w:rPr>
          <w:spacing w:val="-83"/>
        </w:rPr>
      </w:r>
      <w:r>
        <w:rPr/>
        <w:t>对象</w:t>
      </w:r>
      <w:r>
        <w:rPr>
          <w:rFonts w:ascii="Times New Roman" w:hAnsi="Times New Roman" w:cs="Times New Roman" w:eastAsia="Times New Roman" w:hint="default"/>
        </w:rPr>
        <w:t>850</w:t>
      </w:r>
      <w:r>
        <w:rPr/>
        <w:t>万份股票期权，</w:t>
      </w:r>
      <w:r>
        <w:rPr>
          <w:rFonts w:ascii="Times New Roman" w:hAnsi="Times New Roman" w:cs="Times New Roman" w:eastAsia="Times New Roman" w:hint="default"/>
        </w:rPr>
        <w:t>450</w:t>
      </w:r>
      <w:r>
        <w:rPr/>
        <w:t>万份限制性股票，授予日为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日。剔除</w:t>
      </w:r>
      <w:r>
        <w:rPr>
          <w:rFonts w:ascii="Times New Roman" w:hAnsi="Times New Roman" w:cs="Times New Roman" w:eastAsia="Times New Roman" w:hint="default"/>
        </w:rPr>
        <w:t>2012</w:t>
      </w:r>
      <w:r>
        <w:rPr/>
        <w:t>年度员工未认购的</w:t>
      </w:r>
      <w:r>
        <w:rPr>
          <w:rFonts w:ascii="Times New Roman" w:hAnsi="Times New Roman" w:cs="Times New Roman" w:eastAsia="Times New Roman" w:hint="default"/>
        </w:rPr>
        <w:t>316,300</w:t>
      </w:r>
      <w:r>
        <w:rPr/>
        <w:t>份限制性股票， </w:t>
      </w:r>
      <w:r>
        <w:rPr>
          <w:rFonts w:ascii="Times New Roman" w:hAnsi="Times New Roman" w:cs="Times New Roman" w:eastAsia="Times New Roman" w:hint="default"/>
          <w:spacing w:val="-1"/>
        </w:rPr>
        <w:t>2012</w:t>
      </w:r>
      <w:r>
        <w:rPr>
          <w:spacing w:val="-1"/>
        </w:rPr>
        <w:t>年度授予的各项期权工具总额为</w:t>
      </w:r>
      <w:r>
        <w:rPr>
          <w:rFonts w:ascii="Times New Roman" w:hAnsi="Times New Roman" w:cs="Times New Roman" w:eastAsia="Times New Roman" w:hint="default"/>
          <w:spacing w:val="-1"/>
        </w:rPr>
        <w:t>12,683,700</w:t>
      </w:r>
      <w:r>
        <w:rPr>
          <w:spacing w:val="-1"/>
        </w:rPr>
        <w:t>股，其中股票期权</w:t>
      </w:r>
      <w:r>
        <w:rPr>
          <w:rFonts w:ascii="Times New Roman" w:hAnsi="Times New Roman" w:cs="Times New Roman" w:eastAsia="Times New Roman" w:hint="default"/>
          <w:spacing w:val="-1"/>
        </w:rPr>
        <w:t>850</w:t>
      </w:r>
      <w:r>
        <w:rPr>
          <w:spacing w:val="-1"/>
        </w:rPr>
        <w:t>万份，限制性股票</w:t>
      </w:r>
      <w:r>
        <w:rPr>
          <w:rFonts w:ascii="Times New Roman" w:hAnsi="Times New Roman" w:cs="Times New Roman" w:eastAsia="Times New Roman" w:hint="default"/>
          <w:spacing w:val="-1"/>
        </w:rPr>
        <w:t>418.37</w:t>
      </w:r>
      <w:r>
        <w:rPr>
          <w:spacing w:val="-1"/>
        </w:rPr>
        <w:t>万股。因</w:t>
      </w:r>
      <w:r>
        <w:rPr>
          <w:rFonts w:ascii="Times New Roman" w:hAnsi="Times New Roman" w:cs="Times New Roman" w:eastAsia="Times New Roman" w:hint="default"/>
          <w:spacing w:val="-1"/>
        </w:rPr>
        <w:t>2012</w:t>
      </w:r>
      <w:r>
        <w:rPr>
          <w:spacing w:val="-1"/>
        </w:rPr>
        <w:t>年度股东大会决</w:t>
      </w:r>
      <w:r>
        <w:rPr>
          <w:spacing w:val="-67"/>
        </w:rPr>
        <w:t> </w:t>
      </w:r>
      <w:r>
        <w:rPr>
          <w:spacing w:val="-3"/>
        </w:rPr>
        <w:t>议通过</w:t>
      </w:r>
      <w:r>
        <w:rPr>
          <w:rFonts w:ascii="Times New Roman" w:hAnsi="Times New Roman" w:cs="Times New Roman" w:eastAsia="Times New Roman" w:hint="default"/>
          <w:spacing w:val="-3"/>
        </w:rPr>
        <w:t>10</w:t>
      </w:r>
      <w:r>
        <w:rPr>
          <w:spacing w:val="-3"/>
        </w:rPr>
        <w:t>股转</w:t>
      </w:r>
      <w:r>
        <w:rPr>
          <w:rFonts w:ascii="Times New Roman" w:hAnsi="Times New Roman" w:cs="Times New Roman" w:eastAsia="Times New Roman" w:hint="default"/>
          <w:spacing w:val="-3"/>
        </w:rPr>
        <w:t>6</w:t>
      </w:r>
      <w:r>
        <w:rPr>
          <w:spacing w:val="-3"/>
        </w:rPr>
        <w:t>股的股利分配政策，相应的各项期权工具总额变为</w:t>
      </w:r>
      <w:r>
        <w:rPr>
          <w:rFonts w:ascii="Times New Roman" w:hAnsi="Times New Roman" w:cs="Times New Roman" w:eastAsia="Times New Roman" w:hint="default"/>
          <w:spacing w:val="-3"/>
        </w:rPr>
        <w:t>20,293,920</w:t>
      </w:r>
      <w:r>
        <w:rPr>
          <w:spacing w:val="-3"/>
        </w:rPr>
        <w:t>股，其中股票期权</w:t>
      </w:r>
      <w:r>
        <w:rPr>
          <w:rFonts w:ascii="Times New Roman" w:hAnsi="Times New Roman" w:cs="Times New Roman" w:eastAsia="Times New Roman" w:hint="default"/>
          <w:spacing w:val="-3"/>
        </w:rPr>
        <w:t>1,360</w:t>
      </w:r>
      <w:r>
        <w:rPr>
          <w:spacing w:val="-3"/>
        </w:rPr>
        <w:t>万份，限制性股票</w:t>
      </w:r>
      <w:r>
        <w:rPr>
          <w:rFonts w:ascii="Times New Roman" w:hAnsi="Times New Roman" w:cs="Times New Roman" w:eastAsia="Times New Roman" w:hint="default"/>
          <w:spacing w:val="-3"/>
        </w:rPr>
        <w:t>669.392</w:t>
      </w:r>
      <w:r>
        <w:rPr>
          <w:rFonts w:ascii="Times New Roman" w:hAnsi="Times New Roman" w:cs="Times New Roman" w:eastAsia="Times New Roman" w:hint="default"/>
          <w:spacing w:val="-19"/>
        </w:rPr>
        <w:t> </w:t>
      </w:r>
      <w:r>
        <w:rPr/>
        <w:t>万股。因</w:t>
      </w:r>
      <w:r>
        <w:rPr>
          <w:rFonts w:ascii="Times New Roman" w:hAnsi="Times New Roman" w:cs="Times New Roman" w:eastAsia="Times New Roman" w:hint="default"/>
        </w:rPr>
        <w:t>2013</w:t>
      </w:r>
      <w:r>
        <w:rPr/>
        <w:t>年度股东大会决议通过</w:t>
      </w:r>
      <w:r>
        <w:rPr>
          <w:rFonts w:ascii="Times New Roman" w:hAnsi="Times New Roman" w:cs="Times New Roman" w:eastAsia="Times New Roman" w:hint="default"/>
        </w:rPr>
        <w:t>10</w:t>
      </w:r>
      <w:r>
        <w:rPr/>
        <w:t>股转</w:t>
      </w:r>
      <w:r>
        <w:rPr>
          <w:rFonts w:ascii="Times New Roman" w:hAnsi="Times New Roman" w:cs="Times New Roman" w:eastAsia="Times New Roman" w:hint="default"/>
        </w:rPr>
        <w:t>10</w:t>
      </w:r>
      <w:r>
        <w:rPr/>
        <w:t>股的股利分配政策，相应的各项期权工具总额变为</w:t>
      </w:r>
      <w:r>
        <w:rPr>
          <w:rFonts w:ascii="Times New Roman" w:hAnsi="Times New Roman" w:cs="Times New Roman" w:eastAsia="Times New Roman" w:hint="default"/>
        </w:rPr>
        <w:t>40,587,840</w:t>
      </w:r>
      <w:r>
        <w:rPr/>
        <w:t>股，其中股票期</w:t>
      </w:r>
      <w:r>
        <w:rPr>
          <w:spacing w:val="-85"/>
        </w:rPr>
        <w:t> </w:t>
      </w:r>
      <w:r>
        <w:rPr>
          <w:spacing w:val="-85"/>
        </w:rPr>
      </w:r>
      <w:r>
        <w:rPr>
          <w:spacing w:val="-1"/>
        </w:rPr>
        <w:t>权</w:t>
      </w:r>
      <w:r>
        <w:rPr>
          <w:rFonts w:ascii="Times New Roman" w:hAnsi="Times New Roman" w:cs="Times New Roman" w:eastAsia="Times New Roman" w:hint="default"/>
          <w:spacing w:val="-1"/>
        </w:rPr>
        <w:t>2,720</w:t>
      </w:r>
      <w:r>
        <w:rPr>
          <w:spacing w:val="-1"/>
        </w:rPr>
        <w:t>万份，限制性股票</w:t>
      </w:r>
      <w:r>
        <w:rPr>
          <w:rFonts w:ascii="Times New Roman" w:hAnsi="Times New Roman" w:cs="Times New Roman" w:eastAsia="Times New Roman" w:hint="default"/>
          <w:spacing w:val="-1"/>
        </w:rPr>
        <w:t>1,338.78</w:t>
      </w:r>
      <w:r>
        <w:rPr>
          <w:spacing w:val="-1"/>
        </w:rPr>
        <w:t>万股。因</w:t>
      </w:r>
      <w:r>
        <w:rPr>
          <w:rFonts w:ascii="Times New Roman" w:hAnsi="Times New Roman" w:cs="Times New Roman" w:eastAsia="Times New Roman" w:hint="default"/>
          <w:spacing w:val="-1"/>
        </w:rPr>
        <w:t>2014</w:t>
      </w:r>
      <w:r>
        <w:rPr>
          <w:spacing w:val="-1"/>
        </w:rPr>
        <w:t>年度股东大会决议通过</w:t>
      </w:r>
      <w:r>
        <w:rPr>
          <w:rFonts w:ascii="Times New Roman" w:hAnsi="Times New Roman" w:cs="Times New Roman" w:eastAsia="Times New Roman" w:hint="default"/>
          <w:spacing w:val="-1"/>
        </w:rPr>
        <w:t>10</w:t>
      </w:r>
      <w:r>
        <w:rPr>
          <w:spacing w:val="-1"/>
        </w:rPr>
        <w:t>股转</w:t>
      </w:r>
      <w:r>
        <w:rPr>
          <w:rFonts w:ascii="Times New Roman" w:hAnsi="Times New Roman" w:cs="Times New Roman" w:eastAsia="Times New Roman" w:hint="default"/>
          <w:spacing w:val="-1"/>
        </w:rPr>
        <w:t>10</w:t>
      </w:r>
      <w:r>
        <w:rPr>
          <w:spacing w:val="-1"/>
        </w:rPr>
        <w:t>股的股利分配政策，相应的各项期权工具总</w:t>
      </w:r>
      <w:r>
        <w:rPr>
          <w:spacing w:val="-70"/>
        </w:rPr>
        <w:t> </w:t>
      </w:r>
      <w:r>
        <w:rPr>
          <w:spacing w:val="-70"/>
        </w:rPr>
      </w:r>
      <w:r>
        <w:rPr/>
        <w:t>额变为</w:t>
      </w:r>
      <w:r>
        <w:rPr>
          <w:rFonts w:ascii="Times New Roman" w:hAnsi="Times New Roman" w:cs="Times New Roman" w:eastAsia="Times New Roman" w:hint="default"/>
        </w:rPr>
        <w:t>60,881,760</w:t>
      </w:r>
      <w:r>
        <w:rPr/>
        <w:t>股，其中股票期权</w:t>
      </w:r>
      <w:r>
        <w:rPr>
          <w:rFonts w:ascii="Times New Roman" w:hAnsi="Times New Roman" w:cs="Times New Roman" w:eastAsia="Times New Roman" w:hint="default"/>
        </w:rPr>
        <w:t>4,080</w:t>
      </w:r>
      <w:r>
        <w:rPr/>
        <w:t>万份，限制性股票</w:t>
      </w:r>
      <w:r>
        <w:rPr>
          <w:rFonts w:ascii="Times New Roman" w:hAnsi="Times New Roman" w:cs="Times New Roman" w:eastAsia="Times New Roman" w:hint="default"/>
        </w:rPr>
        <w:t>2,008.17</w:t>
      </w:r>
      <w:r>
        <w:rPr/>
        <w:t>万股。</w:t>
      </w:r>
    </w:p>
    <w:p>
      <w:pPr>
        <w:pStyle w:val="BodyText"/>
        <w:spacing w:line="240" w:lineRule="auto" w:before="43"/>
        <w:ind w:left="1495" w:right="0"/>
        <w:jc w:val="left"/>
      </w:pPr>
      <w:r>
        <w:rPr/>
        <w:t>注</w:t>
      </w:r>
      <w:r>
        <w:rPr>
          <w:rFonts w:ascii="Times New Roman" w:hAnsi="Times New Roman" w:cs="Times New Roman" w:eastAsia="Times New Roman" w:hint="default"/>
        </w:rPr>
        <w:t>2</w:t>
      </w:r>
      <w:r>
        <w:rPr/>
        <w:t>：本期因离职失效股份期权数为</w:t>
      </w:r>
      <w:r>
        <w:rPr>
          <w:rFonts w:ascii="Times New Roman" w:hAnsi="Times New Roman" w:cs="Times New Roman" w:eastAsia="Times New Roman" w:hint="default"/>
        </w:rPr>
        <w:t>1,061,253</w:t>
      </w:r>
      <w:r>
        <w:rPr/>
        <w:t>股，本期因离职失效限制性股票数为</w:t>
      </w:r>
      <w:r>
        <w:rPr>
          <w:rFonts w:ascii="Times New Roman" w:hAnsi="Times New Roman" w:cs="Times New Roman" w:eastAsia="Times New Roman" w:hint="default"/>
        </w:rPr>
        <w:t>865,152</w:t>
      </w:r>
      <w:r>
        <w:rPr/>
        <w:t>股。</w:t>
      </w:r>
    </w:p>
    <w:p>
      <w:pPr>
        <w:spacing w:after="0" w:line="240"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2、以权益结算的股份支付情况" w:id="394"/>
      <w:bookmarkEnd w:id="39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工人数变动等后续信息做出最佳估计，修正预计可行权的 权益工具的数量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68,849,367.73</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3,302,402.10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14"/>
          <w:szCs w:val="14"/>
        </w:rPr>
      </w:pPr>
    </w:p>
    <w:p>
      <w:pPr>
        <w:pStyle w:val="BodyText"/>
        <w:spacing w:line="451" w:lineRule="auto"/>
        <w:ind w:left="1494" w:right="4592"/>
        <w:jc w:val="left"/>
      </w:pPr>
      <w:r>
        <w:rPr/>
        <w:t>注：此金额包括因行权、解锁等原因已转入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的金额。 以权益结算的股份支付的说明：</w:t>
      </w:r>
    </w:p>
    <w:p>
      <w:pPr>
        <w:pStyle w:val="BodyText"/>
        <w:spacing w:line="451" w:lineRule="auto" w:before="74"/>
        <w:ind w:right="1129" w:firstLine="360"/>
        <w:jc w:val="both"/>
      </w:pPr>
      <w:r>
        <w:rPr/>
        <w:t>经本公司</w:t>
      </w:r>
      <w:r>
        <w:rPr>
          <w:rFonts w:ascii="Times New Roman" w:hAnsi="Times New Roman" w:cs="Times New Roman" w:eastAsia="Times New Roman" w:hint="default"/>
        </w:rPr>
        <w:t>2012</w:t>
      </w:r>
      <w:r>
        <w:rPr/>
        <w:t>年度第一次临时股东大会于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日审议批准，本公司于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日起实行一项股份期权计划。 据此，本公司董事会获授权酌情授予本公司</w:t>
      </w:r>
    </w:p>
    <w:p>
      <w:pPr>
        <w:pStyle w:val="BodyText"/>
        <w:spacing w:line="451" w:lineRule="auto" w:before="74"/>
        <w:ind w:right="1130" w:firstLine="360"/>
        <w:jc w:val="both"/>
      </w:pPr>
      <w:r>
        <w:rPr/>
        <w:t>中层管理人员、核心技术（业务）人员共</w:t>
      </w:r>
      <w:r>
        <w:rPr>
          <w:rFonts w:ascii="Times New Roman" w:hAnsi="Times New Roman" w:cs="Times New Roman" w:eastAsia="Times New Roman" w:hint="default"/>
        </w:rPr>
        <w:t>370</w:t>
      </w:r>
      <w:r>
        <w:rPr/>
        <w:t>人</w:t>
      </w:r>
      <w:r>
        <w:rPr>
          <w:rFonts w:ascii="Times New Roman" w:hAnsi="Times New Roman" w:cs="Times New Roman" w:eastAsia="Times New Roman" w:hint="default"/>
        </w:rPr>
        <w:t>850</w:t>
      </w:r>
      <w:r>
        <w:rPr/>
        <w:t>万份股票期权，</w:t>
      </w:r>
      <w:r>
        <w:rPr>
          <w:rFonts w:ascii="Times New Roman" w:hAnsi="Times New Roman" w:cs="Times New Roman" w:eastAsia="Times New Roman" w:hint="default"/>
        </w:rPr>
        <w:t>450</w:t>
      </w:r>
      <w:r>
        <w:rPr/>
        <w:t>万份限制性股票。经本公司第四届董事会第三十 </w:t>
      </w:r>
      <w:r>
        <w:rPr>
          <w:spacing w:val="-2"/>
        </w:rPr>
        <w:t>次会议于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日审议批准，同意取消</w:t>
      </w:r>
      <w:r>
        <w:rPr>
          <w:rFonts w:ascii="Times New Roman" w:hAnsi="Times New Roman" w:cs="Times New Roman" w:eastAsia="Times New Roman" w:hint="default"/>
          <w:spacing w:val="-2"/>
        </w:rPr>
        <w:t>25</w:t>
      </w:r>
      <w:r>
        <w:rPr>
          <w:spacing w:val="-2"/>
        </w:rPr>
        <w:t>名限制性股票授予人因资金原因自愿全部或部分放弃认购获授份额，本次限</w:t>
      </w:r>
      <w:r>
        <w:rPr>
          <w:spacing w:val="-54"/>
        </w:rPr>
        <w:t> </w:t>
      </w:r>
      <w:r>
        <w:rPr>
          <w:spacing w:val="-54"/>
        </w:rPr>
      </w:r>
      <w:r>
        <w:rPr/>
        <w:t>制性股票最终授予及认购的情况为：限制性股票激励计划激励对象</w:t>
      </w:r>
      <w:r>
        <w:rPr>
          <w:rFonts w:ascii="Times New Roman" w:hAnsi="Times New Roman" w:cs="Times New Roman" w:eastAsia="Times New Roman" w:hint="default"/>
        </w:rPr>
        <w:t>185</w:t>
      </w:r>
      <w:r>
        <w:rPr/>
        <w:t>人，限制性股票数量</w:t>
      </w:r>
      <w:r>
        <w:rPr>
          <w:rFonts w:ascii="Times New Roman" w:hAnsi="Times New Roman" w:cs="Times New Roman" w:eastAsia="Times New Roman" w:hint="default"/>
        </w:rPr>
        <w:t>418.37</w:t>
      </w:r>
      <w:r>
        <w:rPr/>
        <w:t>万份。</w:t>
      </w:r>
    </w:p>
    <w:p>
      <w:pPr>
        <w:pStyle w:val="BodyText"/>
        <w:spacing w:line="451" w:lineRule="auto" w:before="43"/>
        <w:ind w:right="1130" w:firstLine="360"/>
        <w:jc w:val="both"/>
      </w:pPr>
      <w:r>
        <w:rPr/>
        <w:t>本次限制性股票授予日为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日，授予价格为</w:t>
      </w:r>
      <w:r>
        <w:rPr>
          <w:rFonts w:ascii="Times New Roman" w:hAnsi="Times New Roman" w:cs="Times New Roman" w:eastAsia="Times New Roman" w:hint="default"/>
        </w:rPr>
        <w:t>8.97</w:t>
      </w:r>
      <w:r>
        <w:rPr/>
        <w:t>元</w:t>
      </w:r>
      <w:r>
        <w:rPr>
          <w:rFonts w:ascii="Times New Roman" w:hAnsi="Times New Roman" w:cs="Times New Roman" w:eastAsia="Times New Roman" w:hint="default"/>
        </w:rPr>
        <w:t>/</w:t>
      </w:r>
      <w:r>
        <w:rPr/>
        <w:t>股。公司授予激励对象的限制性股票自授予之日起</w:t>
      </w:r>
      <w:r>
        <w:rPr>
          <w:rFonts w:ascii="Times New Roman" w:hAnsi="Times New Roman" w:cs="Times New Roman" w:eastAsia="Times New Roman" w:hint="default"/>
        </w:rPr>
        <w:t>12</w:t>
      </w:r>
      <w:r>
        <w:rPr/>
        <w:t>个月</w:t>
      </w:r>
      <w:r>
        <w:rPr>
          <w:spacing w:val="1"/>
        </w:rPr>
        <w:t> </w:t>
      </w:r>
      <w:r>
        <w:rPr>
          <w:spacing w:val="-2"/>
        </w:rPr>
        <w:t>为锁定期；锁定期内，激励对象通过本计划持有的限制性股票将被锁定不得转让、用于担保或偿还债务。锁定期后</w:t>
      </w:r>
      <w:r>
        <w:rPr>
          <w:rFonts w:ascii="Times New Roman" w:hAnsi="Times New Roman" w:cs="Times New Roman" w:eastAsia="Times New Roman" w:hint="default"/>
          <w:spacing w:val="-2"/>
        </w:rPr>
        <w:t>48</w:t>
      </w:r>
      <w:r>
        <w:rPr>
          <w:spacing w:val="-2"/>
        </w:rPr>
        <w:t>个月为</w:t>
      </w:r>
      <w:r>
        <w:rPr>
          <w:spacing w:val="-64"/>
        </w:rPr>
        <w:t> </w:t>
      </w:r>
      <w:r>
        <w:rPr>
          <w:spacing w:val="-2"/>
        </w:rPr>
        <w:t>解锁期，在解锁期内，在满足本激励计划规定的解锁条件时，激励对象可分四次申请标的股票解锁，分别自授予日起</w:t>
      </w:r>
      <w:r>
        <w:rPr>
          <w:rFonts w:ascii="Times New Roman" w:hAnsi="Times New Roman" w:cs="Times New Roman" w:eastAsia="Times New Roman" w:hint="default"/>
          <w:spacing w:val="-2"/>
        </w:rPr>
        <w:t>12</w:t>
      </w:r>
      <w:r>
        <w:rPr>
          <w:spacing w:val="-2"/>
        </w:rPr>
        <w:t>个月</w:t>
      </w:r>
      <w:r>
        <w:rPr>
          <w:spacing w:val="-64"/>
        </w:rPr>
        <w:t> </w:t>
      </w:r>
      <w:r>
        <w:rPr/>
        <w:t>后、</w:t>
      </w:r>
      <w:r>
        <w:rPr>
          <w:rFonts w:ascii="Times New Roman" w:hAnsi="Times New Roman" w:cs="Times New Roman" w:eastAsia="Times New Roman" w:hint="default"/>
        </w:rPr>
        <w:t>24</w:t>
      </w:r>
      <w:r>
        <w:rPr/>
        <w:t>个月后、</w:t>
      </w:r>
      <w:r>
        <w:rPr>
          <w:rFonts w:ascii="Times New Roman" w:hAnsi="Times New Roman" w:cs="Times New Roman" w:eastAsia="Times New Roman" w:hint="default"/>
        </w:rPr>
        <w:t>36</w:t>
      </w:r>
      <w:r>
        <w:rPr/>
        <w:t>个月及</w:t>
      </w:r>
      <w:r>
        <w:rPr>
          <w:rFonts w:ascii="Times New Roman" w:hAnsi="Times New Roman" w:cs="Times New Roman" w:eastAsia="Times New Roman" w:hint="default"/>
        </w:rPr>
        <w:t>48</w:t>
      </w:r>
      <w:r>
        <w:rPr/>
        <w:t>个月后后分别申请解锁所获授限制性股票总量的</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p>
    <w:p>
      <w:pPr>
        <w:pStyle w:val="BodyText"/>
        <w:spacing w:line="451" w:lineRule="auto" w:before="43"/>
        <w:ind w:right="1132" w:firstLine="360"/>
        <w:jc w:val="both"/>
      </w:pPr>
      <w:r>
        <w:rPr>
          <w:spacing w:val="-2"/>
        </w:rPr>
        <w:t>本次股份期权授予日为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日，行权价格为</w:t>
      </w:r>
      <w:r>
        <w:rPr>
          <w:rFonts w:ascii="Times New Roman" w:hAnsi="Times New Roman" w:cs="Times New Roman" w:eastAsia="Times New Roman" w:hint="default"/>
          <w:spacing w:val="-2"/>
        </w:rPr>
        <w:t>18.30</w:t>
      </w:r>
      <w:r>
        <w:rPr>
          <w:spacing w:val="-2"/>
        </w:rPr>
        <w:t>元</w:t>
      </w:r>
      <w:r>
        <w:rPr>
          <w:rFonts w:ascii="Times New Roman" w:hAnsi="Times New Roman" w:cs="Times New Roman" w:eastAsia="Times New Roman" w:hint="default"/>
          <w:spacing w:val="-2"/>
        </w:rPr>
        <w:t>/</w:t>
      </w:r>
      <w:r>
        <w:rPr>
          <w:spacing w:val="-2"/>
        </w:rPr>
        <w:t>股。本次股份期权的权利自首次授权日起满</w:t>
      </w:r>
      <w:r>
        <w:rPr>
          <w:rFonts w:ascii="Times New Roman" w:hAnsi="Times New Roman" w:cs="Times New Roman" w:eastAsia="Times New Roman" w:hint="default"/>
          <w:spacing w:val="-2"/>
        </w:rPr>
        <w:t>12</w:t>
      </w:r>
      <w:r>
        <w:rPr>
          <w:spacing w:val="-2"/>
        </w:rPr>
        <w:t>个月后，股权</w:t>
      </w:r>
      <w:r>
        <w:rPr/>
        <w:t> 授予对象应在未来</w:t>
      </w:r>
      <w:r>
        <w:rPr>
          <w:rFonts w:ascii="Times New Roman" w:hAnsi="Times New Roman" w:cs="Times New Roman" w:eastAsia="Times New Roman" w:hint="default"/>
        </w:rPr>
        <w:t>48</w:t>
      </w:r>
      <w:r>
        <w:rPr/>
        <w:t>个月内分四期行权</w:t>
      </w:r>
      <w:r>
        <w:rPr>
          <w:rFonts w:ascii="Times New Roman" w:hAnsi="Times New Roman" w:cs="Times New Roman" w:eastAsia="Times New Roman" w:hint="default"/>
        </w:rPr>
        <w:t>, </w:t>
      </w:r>
      <w:r>
        <w:rPr/>
        <w:t>可行权数量占获授期权数量比例依次为</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。每份股份期权赋</w:t>
      </w:r>
      <w:r>
        <w:rPr>
          <w:spacing w:val="-63"/>
        </w:rPr>
        <w:t> </w:t>
      </w:r>
      <w:r>
        <w:rPr>
          <w:spacing w:val="-63"/>
        </w:rPr>
      </w:r>
      <w:r>
        <w:rPr/>
        <w:t>予持有人认购</w:t>
      </w:r>
      <w:r>
        <w:rPr>
          <w:rFonts w:ascii="Times New Roman" w:hAnsi="Times New Roman" w:cs="Times New Roman" w:eastAsia="Times New Roman" w:hint="default"/>
        </w:rPr>
        <w:t>1</w:t>
      </w:r>
      <w:r>
        <w:rPr/>
        <w:t>股本公司普通股的权利。</w:t>
      </w:r>
    </w:p>
    <w:p>
      <w:pPr>
        <w:pStyle w:val="BodyText"/>
        <w:spacing w:line="451" w:lineRule="auto" w:before="43"/>
        <w:ind w:right="1130" w:firstLine="360"/>
        <w:jc w:val="both"/>
      </w:pPr>
      <w:r>
        <w:rPr>
          <w:spacing w:val="-1"/>
        </w:rPr>
        <w:t>公司</w:t>
      </w:r>
      <w:r>
        <w:rPr>
          <w:rFonts w:ascii="Times New Roman" w:hAnsi="Times New Roman" w:cs="Times New Roman" w:eastAsia="Times New Roman" w:hint="default"/>
          <w:spacing w:val="-1"/>
        </w:rPr>
        <w:t>2012</w:t>
      </w:r>
      <w:r>
        <w:rPr>
          <w:spacing w:val="-1"/>
        </w:rPr>
        <w:t>年已授予的权益工具数量为</w:t>
      </w:r>
      <w:r>
        <w:rPr>
          <w:rFonts w:ascii="Times New Roman" w:hAnsi="Times New Roman" w:cs="Times New Roman" w:eastAsia="Times New Roman" w:hint="default"/>
          <w:spacing w:val="-1"/>
        </w:rPr>
        <w:t>12,683,700</w:t>
      </w:r>
      <w:r>
        <w:rPr>
          <w:spacing w:val="-1"/>
        </w:rPr>
        <w:t>股，至报告期末因</w:t>
      </w:r>
      <w:r>
        <w:rPr>
          <w:rFonts w:ascii="Times New Roman" w:hAnsi="Times New Roman" w:cs="Times New Roman" w:eastAsia="Times New Roman" w:hint="default"/>
          <w:spacing w:val="-1"/>
        </w:rPr>
        <w:t>8</w:t>
      </w:r>
      <w:r>
        <w:rPr>
          <w:spacing w:val="-1"/>
        </w:rPr>
        <w:t>名激励对象离职不符合激励条件，获授的</w:t>
      </w:r>
      <w:r>
        <w:rPr>
          <w:rFonts w:ascii="Times New Roman" w:hAnsi="Times New Roman" w:cs="Times New Roman" w:eastAsia="Times New Roman" w:hint="default"/>
          <w:spacing w:val="-1"/>
        </w:rPr>
        <w:t>15,000</w:t>
      </w:r>
      <w:r>
        <w:rPr>
          <w:spacing w:val="-1"/>
        </w:rPr>
        <w:t>股限</w:t>
      </w:r>
      <w:r>
        <w:rPr>
          <w:spacing w:val="-2"/>
        </w:rPr>
        <w:t> </w:t>
      </w:r>
      <w:r>
        <w:rPr>
          <w:spacing w:val="2"/>
        </w:rPr>
        <w:t>制性股票及</w:t>
      </w:r>
      <w:r>
        <w:rPr>
          <w:rFonts w:ascii="Times New Roman" w:hAnsi="Times New Roman" w:cs="Times New Roman" w:eastAsia="Times New Roman" w:hint="default"/>
          <w:spacing w:val="2"/>
        </w:rPr>
        <w:t>210,000</w:t>
      </w:r>
      <w:r>
        <w:rPr>
          <w:spacing w:val="2"/>
        </w:rPr>
        <w:t>份股票期权失效。公司按授予日的公允价值确认本次激励的限制性股票及股份期权总成本为</w:t>
      </w:r>
      <w:r>
        <w:rPr>
          <w:rFonts w:ascii="Times New Roman" w:hAnsi="Times New Roman" w:cs="Times New Roman" w:eastAsia="Times New Roman" w:hint="default"/>
          <w:spacing w:val="2"/>
        </w:rPr>
        <w:t>3,438.16</w:t>
      </w:r>
      <w:r>
        <w:rPr>
          <w:spacing w:val="2"/>
        </w:rPr>
        <w:t>万</w:t>
      </w:r>
      <w:r>
        <w:rPr>
          <w:spacing w:val="-86"/>
        </w:rPr>
        <w:t> </w:t>
      </w:r>
      <w:r>
        <w:rPr>
          <w:spacing w:val="-1"/>
        </w:rPr>
        <w:t>元，并将在激励计划实施期间内进行分摊，本期分摊的成本</w:t>
      </w:r>
      <w:r>
        <w:rPr>
          <w:rFonts w:ascii="Times New Roman" w:hAnsi="Times New Roman" w:cs="Times New Roman" w:eastAsia="Times New Roman" w:hint="default"/>
          <w:spacing w:val="-1"/>
        </w:rPr>
        <w:t>544.38</w:t>
      </w:r>
      <w:r>
        <w:rPr>
          <w:spacing w:val="-1"/>
        </w:rPr>
        <w:t>万元已计入当期管理费用并作为经常性损益列支，同时计</w:t>
      </w:r>
      <w:r>
        <w:rPr>
          <w:spacing w:val="-74"/>
        </w:rPr>
        <w:t> </w:t>
      </w:r>
      <w:r>
        <w:rPr>
          <w:spacing w:val="-74"/>
        </w:rPr>
      </w:r>
      <w:r>
        <w:rPr/>
        <w:t>入资本公积</w:t>
      </w:r>
      <w:r>
        <w:rPr>
          <w:rFonts w:ascii="Times New Roman" w:hAnsi="Times New Roman" w:cs="Times New Roman" w:eastAsia="Times New Roman" w:hint="default"/>
        </w:rPr>
        <w:t>-</w:t>
      </w:r>
      <w:r>
        <w:rPr/>
        <w:t>其他资本公积。</w:t>
      </w:r>
    </w:p>
    <w:p>
      <w:pPr>
        <w:pStyle w:val="BodyText"/>
        <w:spacing w:line="451" w:lineRule="auto" w:before="43"/>
        <w:ind w:left="1493" w:right="0"/>
        <w:jc w:val="left"/>
      </w:pPr>
      <w:r>
        <w:rPr/>
        <w:t>因</w:t>
      </w:r>
      <w:r>
        <w:rPr>
          <w:rFonts w:ascii="Times New Roman" w:hAnsi="Times New Roman" w:cs="Times New Roman" w:eastAsia="Times New Roman" w:hint="default"/>
        </w:rPr>
        <w:t>2012</w:t>
      </w:r>
      <w:r>
        <w:rPr/>
        <w:t>年度股东大会决议通过</w:t>
      </w:r>
      <w:r>
        <w:rPr>
          <w:rFonts w:ascii="Times New Roman" w:hAnsi="Times New Roman" w:cs="Times New Roman" w:eastAsia="Times New Roman" w:hint="default"/>
        </w:rPr>
        <w:t>10</w:t>
      </w:r>
      <w:r>
        <w:rPr/>
        <w:t>股转</w:t>
      </w:r>
      <w:r>
        <w:rPr>
          <w:rFonts w:ascii="Times New Roman" w:hAnsi="Times New Roman" w:cs="Times New Roman" w:eastAsia="Times New Roman" w:hint="default"/>
        </w:rPr>
        <w:t>6</w:t>
      </w:r>
      <w:r>
        <w:rPr/>
        <w:t>股的股利分配政策，相应的各项期权工具总额变为</w:t>
      </w:r>
      <w:r>
        <w:rPr>
          <w:rFonts w:ascii="Times New Roman" w:hAnsi="Times New Roman" w:cs="Times New Roman" w:eastAsia="Times New Roman" w:hint="default"/>
        </w:rPr>
        <w:t>20,293,920</w:t>
      </w:r>
      <w:r>
        <w:rPr/>
        <w:t>股。 本年度公司因</w:t>
      </w:r>
      <w:r>
        <w:rPr>
          <w:rFonts w:ascii="Times New Roman" w:hAnsi="Times New Roman" w:cs="Times New Roman" w:eastAsia="Times New Roman" w:hint="default"/>
        </w:rPr>
        <w:t>39</w:t>
      </w:r>
      <w:r>
        <w:rPr/>
        <w:t>名激励对象离职不符合激励条件，获授的</w:t>
      </w:r>
      <w:r>
        <w:rPr>
          <w:rFonts w:ascii="Times New Roman" w:hAnsi="Times New Roman" w:cs="Times New Roman" w:eastAsia="Times New Roman" w:hint="default"/>
        </w:rPr>
        <w:t>338,800</w:t>
      </w:r>
      <w:r>
        <w:rPr/>
        <w:t>股限制性股票及</w:t>
      </w:r>
      <w:r>
        <w:rPr>
          <w:rFonts w:ascii="Times New Roman" w:hAnsi="Times New Roman" w:cs="Times New Roman" w:eastAsia="Times New Roman" w:hint="default"/>
        </w:rPr>
        <w:t>1,391,200</w:t>
      </w:r>
      <w:r>
        <w:rPr/>
        <w:t>份股票期权失效。公司按授</w:t>
      </w:r>
    </w:p>
    <w:p>
      <w:pPr>
        <w:spacing w:after="0" w:line="451" w:lineRule="auto"/>
        <w:jc w:val="left"/>
        <w:sectPr>
          <w:pgSz w:w="11910" w:h="16840"/>
          <w:pgMar w:header="851" w:footer="979"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1" w:lineRule="auto" w:before="83"/>
        <w:ind w:right="1131"/>
        <w:jc w:val="left"/>
      </w:pPr>
      <w:r>
        <w:rPr/>
        <w:t>予日的公允价值确认本次激励的限制性股票及股份期权总成本为</w:t>
      </w:r>
      <w:r>
        <w:rPr>
          <w:rFonts w:ascii="Times New Roman" w:hAnsi="Times New Roman" w:cs="Times New Roman" w:eastAsia="Times New Roman" w:hint="default"/>
        </w:rPr>
        <w:t>3,129.89</w:t>
      </w:r>
      <w:r>
        <w:rPr/>
        <w:t>万元，并将在激励计划实施期间内进行分摊，本期</w:t>
      </w:r>
      <w:r>
        <w:rPr>
          <w:spacing w:val="-85"/>
        </w:rPr>
        <w:t> </w:t>
      </w:r>
      <w:r>
        <w:rPr>
          <w:spacing w:val="-85"/>
        </w:rPr>
      </w:r>
      <w:r>
        <w:rPr/>
        <w:t>分摊的成本</w:t>
      </w:r>
      <w:r>
        <w:rPr>
          <w:rFonts w:ascii="Times New Roman" w:hAnsi="Times New Roman" w:cs="Times New Roman" w:eastAsia="Times New Roman" w:hint="default"/>
        </w:rPr>
        <w:t>1,229.23</w:t>
      </w:r>
      <w:r>
        <w:rPr/>
        <w:t>万元已计入当期管理费用并作为经常性损益列支，同时计入资本公积</w:t>
      </w:r>
      <w:r>
        <w:rPr>
          <w:rFonts w:ascii="Times New Roman" w:hAnsi="Times New Roman" w:cs="Times New Roman" w:eastAsia="Times New Roman" w:hint="default"/>
        </w:rPr>
        <w:t>-</w:t>
      </w:r>
      <w:r>
        <w:rPr/>
        <w:t>其他资本公积。</w:t>
      </w:r>
    </w:p>
    <w:p>
      <w:pPr>
        <w:pStyle w:val="BodyText"/>
        <w:spacing w:line="451" w:lineRule="auto" w:before="43"/>
        <w:ind w:left="1493" w:right="0"/>
        <w:jc w:val="left"/>
      </w:pPr>
      <w:r>
        <w:rPr/>
        <w:t>因</w:t>
      </w:r>
      <w:r>
        <w:rPr>
          <w:rFonts w:ascii="Times New Roman" w:hAnsi="Times New Roman" w:cs="Times New Roman" w:eastAsia="Times New Roman" w:hint="default"/>
        </w:rPr>
        <w:t>2013</w:t>
      </w:r>
      <w:r>
        <w:rPr/>
        <w:t>年度股东大会决议通过</w:t>
      </w:r>
      <w:r>
        <w:rPr>
          <w:rFonts w:ascii="Times New Roman" w:hAnsi="Times New Roman" w:cs="Times New Roman" w:eastAsia="Times New Roman" w:hint="default"/>
        </w:rPr>
        <w:t>10</w:t>
      </w:r>
      <w:r>
        <w:rPr/>
        <w:t>股转</w:t>
      </w:r>
      <w:r>
        <w:rPr>
          <w:rFonts w:ascii="Times New Roman" w:hAnsi="Times New Roman" w:cs="Times New Roman" w:eastAsia="Times New Roman" w:hint="default"/>
        </w:rPr>
        <w:t>10</w:t>
      </w:r>
      <w:r>
        <w:rPr/>
        <w:t>股的股利分配政策，相应的各项期权工具总额变为</w:t>
      </w:r>
      <w:r>
        <w:rPr>
          <w:rFonts w:ascii="Times New Roman" w:hAnsi="Times New Roman" w:cs="Times New Roman" w:eastAsia="Times New Roman" w:hint="default"/>
        </w:rPr>
        <w:t>40,587,840</w:t>
      </w:r>
      <w:r>
        <w:rPr/>
        <w:t>股。 </w:t>
      </w:r>
      <w:r>
        <w:rPr>
          <w:spacing w:val="-2"/>
        </w:rPr>
        <w:t>本年度公司因</w:t>
      </w:r>
      <w:r>
        <w:rPr>
          <w:rFonts w:ascii="Times New Roman" w:hAnsi="Times New Roman" w:cs="Times New Roman" w:eastAsia="Times New Roman" w:hint="default"/>
          <w:spacing w:val="-2"/>
        </w:rPr>
        <w:t>7</w:t>
      </w:r>
      <w:r>
        <w:rPr>
          <w:spacing w:val="-2"/>
        </w:rPr>
        <w:t>名激励对象离职不符合激励条件，获授的</w:t>
      </w:r>
      <w:r>
        <w:rPr>
          <w:rFonts w:ascii="Times New Roman" w:hAnsi="Times New Roman" w:cs="Times New Roman" w:eastAsia="Times New Roman" w:hint="default"/>
          <w:spacing w:val="-2"/>
        </w:rPr>
        <w:t>181,856</w:t>
      </w:r>
      <w:r>
        <w:rPr>
          <w:spacing w:val="-2"/>
        </w:rPr>
        <w:t>股限制性股票及</w:t>
      </w:r>
      <w:r>
        <w:rPr>
          <w:rFonts w:ascii="Times New Roman" w:hAnsi="Times New Roman" w:cs="Times New Roman" w:eastAsia="Times New Roman" w:hint="default"/>
          <w:spacing w:val="-2"/>
        </w:rPr>
        <w:t>688,800</w:t>
      </w:r>
      <w:r>
        <w:rPr>
          <w:spacing w:val="-2"/>
        </w:rPr>
        <w:t>份股票期权失效。公司按授予日</w:t>
      </w:r>
    </w:p>
    <w:p>
      <w:pPr>
        <w:pStyle w:val="BodyText"/>
        <w:spacing w:line="451" w:lineRule="auto" w:before="43"/>
        <w:ind w:left="1134" w:right="1130"/>
        <w:jc w:val="left"/>
      </w:pPr>
      <w:r>
        <w:rPr/>
        <w:t>的公允价值确认本次激励的限制性股票及股份期权总成本为</w:t>
      </w:r>
      <w:r>
        <w:rPr>
          <w:rFonts w:ascii="Times New Roman" w:hAnsi="Times New Roman" w:cs="Times New Roman" w:eastAsia="Times New Roman" w:hint="default"/>
        </w:rPr>
        <w:t>3,052.56</w:t>
      </w:r>
      <w:r>
        <w:rPr/>
        <w:t>万元，并将在激励计划实施期间内进行分摊，本期分摊</w:t>
      </w:r>
      <w:r>
        <w:rPr>
          <w:spacing w:val="-85"/>
        </w:rPr>
        <w:t> </w:t>
      </w:r>
      <w:r>
        <w:rPr>
          <w:spacing w:val="-85"/>
        </w:rPr>
      </w:r>
      <w:r>
        <w:rPr/>
        <w:t>的成本</w:t>
      </w:r>
      <w:r>
        <w:rPr>
          <w:rFonts w:ascii="Times New Roman" w:hAnsi="Times New Roman" w:cs="Times New Roman" w:eastAsia="Times New Roman" w:hint="default"/>
        </w:rPr>
        <w:t>693.88</w:t>
      </w:r>
      <w:r>
        <w:rPr/>
        <w:t>万元已计入当期管理费用并作为经常性损益列支，同时计入资本公积</w:t>
      </w:r>
      <w:r>
        <w:rPr>
          <w:rFonts w:ascii="Times New Roman" w:hAnsi="Times New Roman" w:cs="Times New Roman" w:eastAsia="Times New Roman" w:hint="default"/>
        </w:rPr>
        <w:t>-</w:t>
      </w:r>
      <w:r>
        <w:rPr/>
        <w:t>其他资本公积。</w:t>
      </w:r>
    </w:p>
    <w:p>
      <w:pPr>
        <w:pStyle w:val="BodyText"/>
        <w:spacing w:line="451" w:lineRule="auto" w:before="43"/>
        <w:ind w:left="1493" w:right="0"/>
        <w:jc w:val="left"/>
      </w:pPr>
      <w:r>
        <w:rPr/>
        <w:t>因</w:t>
      </w:r>
      <w:r>
        <w:rPr>
          <w:rFonts w:ascii="Times New Roman" w:hAnsi="Times New Roman" w:cs="Times New Roman" w:eastAsia="Times New Roman" w:hint="default"/>
        </w:rPr>
        <w:t>2014</w:t>
      </w:r>
      <w:r>
        <w:rPr/>
        <w:t>年度股东大会决议通过</w:t>
      </w:r>
      <w:r>
        <w:rPr>
          <w:rFonts w:ascii="Times New Roman" w:hAnsi="Times New Roman" w:cs="Times New Roman" w:eastAsia="Times New Roman" w:hint="default"/>
        </w:rPr>
        <w:t>10</w:t>
      </w:r>
      <w:r>
        <w:rPr/>
        <w:t>股转</w:t>
      </w:r>
      <w:r>
        <w:rPr>
          <w:rFonts w:ascii="Times New Roman" w:hAnsi="Times New Roman" w:cs="Times New Roman" w:eastAsia="Times New Roman" w:hint="default"/>
        </w:rPr>
        <w:t>5</w:t>
      </w:r>
      <w:r>
        <w:rPr/>
        <w:t>股的股利分配政策，相应的各项期权工具总额变为</w:t>
      </w:r>
      <w:r>
        <w:rPr>
          <w:rFonts w:ascii="Times New Roman" w:hAnsi="Times New Roman" w:cs="Times New Roman" w:eastAsia="Times New Roman" w:hint="default"/>
        </w:rPr>
        <w:t>60,881,760</w:t>
      </w:r>
      <w:r>
        <w:rPr/>
        <w:t>股。 </w:t>
      </w:r>
      <w:r>
        <w:rPr>
          <w:spacing w:val="-1"/>
        </w:rPr>
        <w:t>本年度公司因</w:t>
      </w:r>
      <w:r>
        <w:rPr>
          <w:rFonts w:ascii="Times New Roman" w:hAnsi="Times New Roman" w:cs="Times New Roman" w:eastAsia="Times New Roman" w:hint="default"/>
          <w:spacing w:val="-1"/>
        </w:rPr>
        <w:t>8</w:t>
      </w:r>
      <w:r>
        <w:rPr>
          <w:spacing w:val="-1"/>
        </w:rPr>
        <w:t>名激励对象离职不符合激励条件，获授的</w:t>
      </w:r>
      <w:r>
        <w:rPr>
          <w:rFonts w:ascii="Times New Roman" w:hAnsi="Times New Roman" w:cs="Times New Roman" w:eastAsia="Times New Roman" w:hint="default"/>
          <w:spacing w:val="-1"/>
        </w:rPr>
        <w:t>865,152</w:t>
      </w:r>
      <w:r>
        <w:rPr>
          <w:spacing w:val="-1"/>
        </w:rPr>
        <w:t>股限制性股票及</w:t>
      </w:r>
      <w:r>
        <w:rPr>
          <w:rFonts w:ascii="Times New Roman" w:hAnsi="Times New Roman" w:cs="Times New Roman" w:eastAsia="Times New Roman" w:hint="default"/>
          <w:spacing w:val="-1"/>
        </w:rPr>
        <w:t>1,061,253</w:t>
      </w:r>
      <w:r>
        <w:rPr>
          <w:spacing w:val="-1"/>
        </w:rPr>
        <w:t>份股票期权失效。公司按授予</w:t>
      </w:r>
    </w:p>
    <w:p>
      <w:pPr>
        <w:pStyle w:val="BodyText"/>
        <w:spacing w:line="451" w:lineRule="auto" w:before="43"/>
        <w:ind w:left="1134" w:right="1131"/>
        <w:jc w:val="left"/>
      </w:pPr>
      <w:r>
        <w:rPr/>
        <w:t>日的公允价值确认本次激励的限制性股票及股份期权总成本为</w:t>
      </w:r>
      <w:r>
        <w:rPr>
          <w:rFonts w:ascii="Times New Roman" w:hAnsi="Times New Roman" w:cs="Times New Roman" w:eastAsia="Times New Roman" w:hint="default"/>
        </w:rPr>
        <w:t>2,944.97</w:t>
      </w:r>
      <w:r>
        <w:rPr/>
        <w:t>万元，并将在激励计划实施期间内进行分摊，本期分</w:t>
      </w:r>
      <w:r>
        <w:rPr>
          <w:spacing w:val="-84"/>
        </w:rPr>
        <w:t> </w:t>
      </w:r>
      <w:r>
        <w:rPr>
          <w:spacing w:val="-84"/>
        </w:rPr>
      </w:r>
      <w:r>
        <w:rPr/>
        <w:t>摊的成本</w:t>
      </w:r>
      <w:r>
        <w:rPr>
          <w:rFonts w:ascii="Times New Roman" w:hAnsi="Times New Roman" w:cs="Times New Roman" w:eastAsia="Times New Roman" w:hint="default"/>
        </w:rPr>
        <w:t>330.24</w:t>
      </w:r>
      <w:r>
        <w:rPr/>
        <w:t>万元已计入当期管理费用并作为经常性损益列支，同时计入资本公积</w:t>
      </w:r>
      <w:r>
        <w:rPr>
          <w:rFonts w:ascii="Times New Roman" w:hAnsi="Times New Roman" w:cs="Times New Roman" w:eastAsia="Times New Roman" w:hint="default"/>
        </w:rPr>
        <w:t>-</w:t>
      </w:r>
      <w:r>
        <w:rPr/>
        <w:t>其他资本公积。</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3、以现金结算的股份支付情况" w:id="395"/>
      <w:bookmarkEnd w:id="39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32"/>
          <w:szCs w:val="3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right="0"/>
        <w:jc w:val="left"/>
        <w:rPr>
          <w:b w:val="0"/>
          <w:bCs w:val="0"/>
        </w:rPr>
      </w:pPr>
      <w:bookmarkStart w:name="4、股份支付的修改、终止情况" w:id="396"/>
      <w:bookmarkEnd w:id="39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4" w:right="0"/>
        <w:jc w:val="left"/>
      </w:pPr>
      <w:r>
        <w:rPr/>
        <w:t>由于不能达到股权激励方案中的第四期的业绩指标，本报告期冲减以前年度及本期已确认的第四期相关费用，相应减少</w:t>
      </w:r>
    </w:p>
    <w:p>
      <w:pPr>
        <w:spacing w:line="240" w:lineRule="auto" w:before="10"/>
        <w:rPr>
          <w:rFonts w:ascii="宋体" w:hAnsi="宋体" w:cs="宋体" w:eastAsia="宋体" w:hint="default"/>
          <w:sz w:val="17"/>
          <w:szCs w:val="17"/>
        </w:rPr>
      </w:pPr>
    </w:p>
    <w:p>
      <w:pPr>
        <w:pStyle w:val="BodyText"/>
        <w:spacing w:line="240" w:lineRule="auto"/>
        <w:ind w:left="1134" w:right="0"/>
        <w:jc w:val="left"/>
      </w:pP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股权激励费用</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7,362,428.23</w:t>
      </w:r>
      <w:r>
        <w:rPr/>
        <w:t>元。</w:t>
      </w:r>
    </w:p>
    <w:p>
      <w:pPr>
        <w:spacing w:line="240" w:lineRule="auto" w:before="0"/>
        <w:rPr>
          <w:rFonts w:ascii="宋体" w:hAnsi="宋体" w:cs="宋体" w:eastAsia="宋体" w:hint="default"/>
          <w:sz w:val="18"/>
          <w:szCs w:val="18"/>
        </w:rPr>
      </w:pPr>
    </w:p>
    <w:p>
      <w:pPr>
        <w:pStyle w:val="Heading2"/>
        <w:spacing w:line="240" w:lineRule="auto" w:before="158"/>
        <w:ind w:left="1133" w:right="0"/>
        <w:jc w:val="left"/>
        <w:rPr>
          <w:b w:val="0"/>
          <w:bCs w:val="0"/>
        </w:rPr>
      </w:pPr>
      <w:bookmarkStart w:name="十四、承诺及或有事项" w:id="397"/>
      <w:bookmarkEnd w:id="397"/>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重要承诺事项" w:id="398"/>
      <w:bookmarkEnd w:id="398"/>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1134" w:right="0"/>
        <w:jc w:val="left"/>
      </w:pPr>
      <w:r>
        <w:rPr/>
        <w:t>资产负债表日存在的重要承诺</w:t>
      </w:r>
    </w:p>
    <w:p>
      <w:pPr>
        <w:spacing w:line="240" w:lineRule="auto" w:before="9"/>
        <w:rPr>
          <w:rFonts w:ascii="宋体" w:hAnsi="宋体" w:cs="宋体" w:eastAsia="宋体" w:hint="default"/>
          <w:sz w:val="20"/>
          <w:szCs w:val="20"/>
        </w:rPr>
      </w:pPr>
    </w:p>
    <w:p>
      <w:pPr>
        <w:pStyle w:val="BodyText"/>
        <w:spacing w:line="477" w:lineRule="auto"/>
        <w:ind w:left="1134" w:right="4092"/>
        <w:jc w:val="left"/>
      </w:pPr>
      <w:r>
        <w:rPr/>
        <w:t>（以下金额单位若未特别注明者均为人民币元）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日止，公司尚未结清的银行保函（不含利息收入金额）明细如下：</w:t>
      </w:r>
    </w:p>
    <w:p>
      <w:pPr>
        <w:spacing w:line="240" w:lineRule="auto" w:before="9"/>
        <w:rPr>
          <w:rFonts w:ascii="宋体" w:hAnsi="宋体" w:cs="宋体" w:eastAsia="宋体" w:hint="default"/>
          <w:sz w:val="18"/>
          <w:szCs w:val="18"/>
        </w:rPr>
      </w:pPr>
    </w:p>
    <w:tbl>
      <w:tblPr>
        <w:tblW w:w="0" w:type="auto"/>
        <w:jc w:val="left"/>
        <w:tblInd w:w="1119" w:type="dxa"/>
        <w:tblLayout w:type="fixed"/>
        <w:tblCellMar>
          <w:top w:w="0" w:type="dxa"/>
          <w:left w:w="0" w:type="dxa"/>
          <w:bottom w:w="0" w:type="dxa"/>
          <w:right w:w="0" w:type="dxa"/>
        </w:tblCellMar>
        <w:tblLook w:val="01E0"/>
      </w:tblPr>
      <w:tblGrid>
        <w:gridCol w:w="4122"/>
        <w:gridCol w:w="1700"/>
        <w:gridCol w:w="1277"/>
        <w:gridCol w:w="1416"/>
        <w:gridCol w:w="1144"/>
      </w:tblGrid>
      <w:tr>
        <w:trPr>
          <w:trHeight w:val="342" w:hRule="exact"/>
        </w:trPr>
        <w:tc>
          <w:tcPr>
            <w:tcW w:w="41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开户银行</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73"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保证金比例</w:t>
            </w:r>
            <w:r>
              <w:rPr>
                <w:rFonts w:ascii="Times New Roman" w:hAnsi="Times New Roman" w:cs="Times New Roman" w:eastAsia="Times New Roman" w:hint="default"/>
                <w:sz w:val="18"/>
                <w:szCs w:val="18"/>
              </w:rPr>
              <w:t>(%)</w:t>
            </w:r>
          </w:p>
        </w:tc>
        <w:tc>
          <w:tcPr>
            <w:tcW w:w="11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6" w:right="0"/>
              <w:jc w:val="left"/>
              <w:rPr>
                <w:rFonts w:ascii="宋体" w:hAnsi="宋体" w:cs="宋体" w:eastAsia="宋体" w:hint="default"/>
                <w:sz w:val="18"/>
                <w:szCs w:val="18"/>
              </w:rPr>
            </w:pPr>
            <w:r>
              <w:rPr>
                <w:rFonts w:ascii="宋体" w:hAnsi="宋体" w:cs="宋体" w:eastAsia="宋体" w:hint="default"/>
                <w:sz w:val="18"/>
                <w:szCs w:val="18"/>
              </w:rPr>
              <w:t>保证金金额</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2"/>
                <w:sz w:val="18"/>
                <w:szCs w:val="18"/>
              </w:rPr>
              <w:t>中国人寿保险股份有限公司数据中心零星设备（堡垒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主机）采购项目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1,584,000.00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79,200.00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r>
              <w:rPr>
                <w:rFonts w:ascii="Times New Roman" w:hAnsi="Times New Roman" w:cs="Times New Roman" w:eastAsia="Times New Roman" w:hint="default"/>
                <w:sz w:val="18"/>
                <w:szCs w:val="18"/>
              </w:rPr>
              <w:t>SDMS</w:t>
            </w:r>
            <w:r>
              <w:rPr>
                <w:rFonts w:ascii="宋体" w:hAnsi="宋体" w:cs="宋体" w:eastAsia="宋体" w:hint="default"/>
                <w:sz w:val="18"/>
                <w:szCs w:val="18"/>
              </w:rPr>
              <w:t>系统维保服务采购 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3,350,000.00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167,500.00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年第二批信息化设备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4,200.00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服务器采购合同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262,150.00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13,107.50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BMC</w:t>
            </w:r>
            <w:r>
              <w:rPr>
                <w:rFonts w:ascii="宋体" w:hAnsi="宋体" w:cs="宋体" w:eastAsia="宋体" w:hint="default"/>
                <w:sz w:val="18"/>
                <w:szCs w:val="18"/>
              </w:rPr>
              <w:t>软件维护服务采购合同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157,000.00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157,000.00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5.98pt;margin-top:71.699982pt;width:483.7pt;height:691pt;mso-position-horizontal-relative:page;mso-position-vertical-relative:page;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22"/>
                    <w:gridCol w:w="1700"/>
                    <w:gridCol w:w="1277"/>
                    <w:gridCol w:w="1416"/>
                    <w:gridCol w:w="1144"/>
                  </w:tblGrid>
                  <w:tr>
                    <w:trPr>
                      <w:trHeight w:val="349" w:hRule="exact"/>
                    </w:trPr>
                    <w:tc>
                      <w:tcPr>
                        <w:tcW w:w="412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开户银行</w:t>
                        </w:r>
                      </w:p>
                    </w:tc>
                    <w:tc>
                      <w:tcPr>
                        <w:tcW w:w="127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141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保证金比例</w:t>
                        </w:r>
                        <w:r>
                          <w:rPr>
                            <w:rFonts w:ascii="Times New Roman" w:hAnsi="Times New Roman" w:cs="Times New Roman" w:eastAsia="Times New Roman" w:hint="default"/>
                            <w:sz w:val="18"/>
                            <w:szCs w:val="18"/>
                          </w:rPr>
                          <w:t>(%)</w:t>
                        </w:r>
                      </w:p>
                    </w:tc>
                    <w:tc>
                      <w:tcPr>
                        <w:tcW w:w="114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保证金金额</w:t>
                        </w:r>
                      </w:p>
                    </w:tc>
                  </w:tr>
                  <w:tr>
                    <w:trPr>
                      <w:trHeight w:val="34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服务器买卖合同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61,475.00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3,073.75</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辽宁电信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年业务网综合网管扩容工程设备及相 关服务采购合同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239,928.00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239,928.00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银联数据软硬件采购合同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850,000.00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85,000.00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信通公司数据通信网网管系统生菜技术改造数据设 备网管采购合同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4,878,900.00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487,890.00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中国移动数据网全国中心综合网管系统二期工程河 北两级共管</w:t>
                        </w:r>
                        <w:r>
                          <w:rPr>
                            <w:rFonts w:ascii="Times New Roman" w:hAnsi="Times New Roman" w:cs="Times New Roman" w:eastAsia="Times New Roman" w:hint="default"/>
                            <w:sz w:val="18"/>
                            <w:szCs w:val="18"/>
                          </w:rPr>
                          <w:t>BMC</w:t>
                        </w:r>
                        <w:r>
                          <w:rPr>
                            <w:rFonts w:ascii="宋体" w:hAnsi="宋体" w:cs="宋体" w:eastAsia="宋体" w:hint="default"/>
                            <w:sz w:val="18"/>
                            <w:szCs w:val="18"/>
                          </w:rPr>
                          <w:t>主机代理软件采购合同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185,328.00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18,532.80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中国移动数据网综合网管系统二期工程河北省自建</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BMC</w:t>
                        </w:r>
                        <w:r>
                          <w:rPr>
                            <w:rFonts w:ascii="宋体" w:hAnsi="宋体" w:cs="宋体" w:eastAsia="宋体" w:hint="default"/>
                            <w:sz w:val="18"/>
                            <w:szCs w:val="18"/>
                          </w:rPr>
                          <w:t>主机代理软件采购合同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223,236.00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22,324.00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w:t>
                        </w:r>
                        <w:r>
                          <w:rPr>
                            <w:rFonts w:ascii="宋体" w:hAnsi="宋体" w:cs="宋体" w:eastAsia="宋体" w:hint="default"/>
                            <w:spacing w:val="-3"/>
                            <w:sz w:val="18"/>
                            <w:szCs w:val="18"/>
                          </w:rPr>
                          <w:t>服务采购合同（</w:t>
                        </w:r>
                        <w:r>
                          <w:rPr>
                            <w:rFonts w:ascii="Times New Roman" w:hAnsi="Times New Roman" w:cs="Times New Roman" w:eastAsia="Times New Roman" w:hint="default"/>
                            <w:spacing w:val="-3"/>
                            <w:sz w:val="18"/>
                            <w:szCs w:val="18"/>
                          </w:rPr>
                          <w:t>IBM</w:t>
                        </w:r>
                        <w:r>
                          <w:rPr>
                            <w:rFonts w:ascii="宋体" w:hAnsi="宋体" w:cs="宋体" w:eastAsia="宋体" w:hint="default"/>
                            <w:spacing w:val="-3"/>
                            <w:sz w:val="18"/>
                            <w:szCs w:val="18"/>
                          </w:rPr>
                          <w:t>设备部分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神州泰岳代理）（分省</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网资）（集团）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1,219,298.00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121,929.80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w:t>
                        </w:r>
                        <w:r>
                          <w:rPr>
                            <w:rFonts w:ascii="宋体" w:hAnsi="宋体" w:cs="宋体" w:eastAsia="宋体" w:hint="default"/>
                            <w:spacing w:val="-3"/>
                            <w:sz w:val="18"/>
                            <w:szCs w:val="18"/>
                          </w:rPr>
                          <w:t>服务采购合同（</w:t>
                        </w:r>
                        <w:r>
                          <w:rPr>
                            <w:rFonts w:ascii="Times New Roman" w:hAnsi="Times New Roman" w:cs="Times New Roman" w:eastAsia="Times New Roman" w:hint="default"/>
                            <w:spacing w:val="-3"/>
                            <w:sz w:val="18"/>
                            <w:szCs w:val="18"/>
                          </w:rPr>
                          <w:t>IBM</w:t>
                        </w:r>
                        <w:r>
                          <w:rPr>
                            <w:rFonts w:ascii="宋体" w:hAnsi="宋体" w:cs="宋体" w:eastAsia="宋体" w:hint="default"/>
                            <w:spacing w:val="-3"/>
                            <w:sz w:val="18"/>
                            <w:szCs w:val="18"/>
                          </w:rPr>
                          <w:t>设备部分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神州泰岳代理）（分省</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网资）（集团）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149,922.00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14,992.20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年集团业务平台综合网管系统升级扩 容工程软件开发合同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5,270,380.28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1,054,076.06</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年集团业务平台综合网管系统升级扩 容工程系统集成合同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129,200.00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25,840.00</w:t>
                        </w:r>
                      </w:p>
                    </w:tc>
                  </w:tr>
                  <w:tr>
                    <w:trPr>
                      <w:trHeight w:val="65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河北联通</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年增值业务平台网管系统代理软件采 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135,247.00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13,524.70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年增值业务平台网管系统代理软件采购合同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23,767.00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2,376.70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181,123.00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18,112.30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2011</w:t>
                        </w:r>
                        <w:r>
                          <w:rPr>
                            <w:rFonts w:ascii="宋体" w:hAnsi="宋体" w:cs="宋体" w:eastAsia="宋体" w:hint="default"/>
                            <w:sz w:val="18"/>
                            <w:szCs w:val="18"/>
                          </w:rPr>
                          <w:t>年第三批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77,092.00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7,709.20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服务采购框架合同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459,916.80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45,991.68</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中国移动数据网全国中心综合网管系统二期工程重 庆两级共管</w:t>
                        </w:r>
                        <w:r>
                          <w:rPr>
                            <w:rFonts w:ascii="Times New Roman" w:hAnsi="Times New Roman" w:cs="Times New Roman" w:eastAsia="Times New Roman" w:hint="default"/>
                            <w:sz w:val="18"/>
                            <w:szCs w:val="18"/>
                          </w:rPr>
                          <w:t>BMC</w:t>
                        </w:r>
                        <w:r>
                          <w:rPr>
                            <w:rFonts w:ascii="宋体" w:hAnsi="宋体" w:cs="宋体" w:eastAsia="宋体" w:hint="default"/>
                            <w:sz w:val="18"/>
                            <w:szCs w:val="18"/>
                          </w:rPr>
                          <w:t>主机代理商软件采购合同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92,664.00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9,266.40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中国移动数据网综合网管系统二期工程重庆省自建</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BMC</w:t>
                        </w:r>
                        <w:r>
                          <w:rPr>
                            <w:rFonts w:ascii="宋体" w:hAnsi="宋体" w:cs="宋体" w:eastAsia="宋体" w:hint="default"/>
                            <w:sz w:val="18"/>
                            <w:szCs w:val="18"/>
                          </w:rPr>
                          <w:t>主机代理软件采购合同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484,380.00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48,438.00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中国移动数据网全国中心综合网管系统二期工程重 庆应用层软件及系统集成部分采购合同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701,224.00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70,122.00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4A</w:t>
                        </w:r>
                        <w:r>
                          <w:rPr>
                            <w:rFonts w:ascii="宋体" w:hAnsi="宋体" w:cs="宋体" w:eastAsia="宋体" w:hint="default"/>
                            <w:sz w:val="18"/>
                            <w:szCs w:val="18"/>
                          </w:rPr>
                          <w:t>硬件维保服务采购合同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34,500.00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中国移动数据网管三期二阶段扩容工程云南节点泰 </w:t>
                        </w:r>
                        <w:r>
                          <w:rPr>
                            <w:rFonts w:ascii="宋体" w:hAnsi="宋体" w:cs="宋体" w:eastAsia="宋体" w:hint="default"/>
                            <w:spacing w:val="-2"/>
                            <w:sz w:val="18"/>
                            <w:szCs w:val="18"/>
                          </w:rPr>
                          <w:t>岳主机代理软件、采集层软件、应用层软件及集成供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货合同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362,100.00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36,210.00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中国移动</w:t>
                        </w:r>
                        <w:r>
                          <w:rPr>
                            <w:rFonts w:ascii="Times New Roman" w:hAnsi="Times New Roman" w:cs="Times New Roman" w:eastAsia="Times New Roman" w:hint="default"/>
                            <w:sz w:val="18"/>
                            <w:szCs w:val="18"/>
                          </w:rPr>
                          <w:t>2015</w:t>
                        </w:r>
                        <w:r>
                          <w:rPr>
                            <w:rFonts w:ascii="宋体" w:hAnsi="宋体" w:cs="宋体" w:eastAsia="宋体" w:hint="default"/>
                            <w:sz w:val="18"/>
                            <w:szCs w:val="18"/>
                          </w:rPr>
                          <w:t>年负载均衡器集中采购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300,000.00</w:t>
                        </w:r>
                      </w:p>
                    </w:tc>
                  </w:tr>
                  <w:tr>
                    <w:trPr>
                      <w:trHeight w:val="34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年中国联通河北行业网关扩容工程监控代理软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11,700.00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1,170.00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5.98pt;margin-top:71.699982pt;width:483.7pt;height:686.5pt;mso-position-horizontal-relative:page;mso-position-vertical-relative:page;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22"/>
                    <w:gridCol w:w="1700"/>
                    <w:gridCol w:w="1277"/>
                    <w:gridCol w:w="1416"/>
                    <w:gridCol w:w="1144"/>
                  </w:tblGrid>
                  <w:tr>
                    <w:trPr>
                      <w:trHeight w:val="349" w:hRule="exact"/>
                    </w:trPr>
                    <w:tc>
                      <w:tcPr>
                        <w:tcW w:w="412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开户银行</w:t>
                        </w:r>
                      </w:p>
                    </w:tc>
                    <w:tc>
                      <w:tcPr>
                        <w:tcW w:w="127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141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保证金比例</w:t>
                        </w:r>
                        <w:r>
                          <w:rPr>
                            <w:rFonts w:ascii="Times New Roman" w:hAnsi="Times New Roman" w:cs="Times New Roman" w:eastAsia="Times New Roman" w:hint="default"/>
                            <w:sz w:val="18"/>
                            <w:szCs w:val="18"/>
                          </w:rPr>
                          <w:t>(%)</w:t>
                        </w:r>
                      </w:p>
                    </w:tc>
                    <w:tc>
                      <w:tcPr>
                        <w:tcW w:w="114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保证金金额</w:t>
                        </w:r>
                      </w:p>
                    </w:tc>
                  </w:tr>
                  <w:tr>
                    <w:trPr>
                      <w:trHeight w:val="34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件采购合同</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w:t>
                        </w:r>
                        <w:r>
                          <w:rPr>
                            <w:rFonts w:ascii="宋体" w:hAnsi="宋体" w:cs="宋体" w:eastAsia="宋体" w:hint="default"/>
                            <w:spacing w:val="-3"/>
                            <w:sz w:val="18"/>
                            <w:szCs w:val="18"/>
                          </w:rPr>
                          <w:t>服务采购合同（</w:t>
                        </w:r>
                        <w:r>
                          <w:rPr>
                            <w:rFonts w:ascii="Times New Roman" w:hAnsi="Times New Roman" w:cs="Times New Roman" w:eastAsia="Times New Roman" w:hint="default"/>
                            <w:spacing w:val="-3"/>
                            <w:sz w:val="18"/>
                            <w:szCs w:val="18"/>
                          </w:rPr>
                          <w:t>IBM</w:t>
                        </w:r>
                        <w:r>
                          <w:rPr>
                            <w:rFonts w:ascii="宋体" w:hAnsi="宋体" w:cs="宋体" w:eastAsia="宋体" w:hint="default"/>
                            <w:spacing w:val="-3"/>
                            <w:sz w:val="18"/>
                            <w:szCs w:val="18"/>
                          </w:rPr>
                          <w:t>设备部分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神州泰岳代理）（分省</w:t>
                        </w:r>
                      </w:p>
                      <w:p>
                        <w:pPr>
                          <w:pStyle w:val="TableParagraph"/>
                          <w:spacing w:line="240" w:lineRule="auto" w:before="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常规）（股份）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272,501.00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27,251.10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89"/>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服务采购框架合</w:t>
                        </w:r>
                        <w:r>
                          <w:rPr>
                            <w:rFonts w:ascii="Times New Roman" w:hAnsi="Times New Roman" w:cs="Times New Roman" w:eastAsia="Times New Roman" w:hint="default"/>
                            <w:sz w:val="18"/>
                            <w:szCs w:val="18"/>
                          </w:rPr>
                          <w:t>HP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PC/</w:t>
                        </w:r>
                        <w:r>
                          <w:rPr>
                            <w:rFonts w:ascii="宋体" w:hAnsi="宋体" w:cs="宋体" w:eastAsia="宋体" w:hint="default"/>
                            <w:sz w:val="18"/>
                            <w:szCs w:val="18"/>
                          </w:rPr>
                          <w:t>刀片服务器设备部分</w:t>
                        </w:r>
                        <w:r>
                          <w:rPr>
                            <w:rFonts w:ascii="Times New Roman" w:hAnsi="Times New Roman" w:cs="Times New Roman" w:eastAsia="Times New Roman" w:hint="default"/>
                            <w:sz w:val="18"/>
                            <w:szCs w:val="18"/>
                          </w:rPr>
                          <w:t>/</w:t>
                        </w:r>
                        <w:r>
                          <w:rPr>
                            <w:rFonts w:ascii="宋体" w:hAnsi="宋体" w:cs="宋体" w:eastAsia="宋体" w:hint="default"/>
                            <w:sz w:val="18"/>
                            <w:szCs w:val="18"/>
                          </w:rPr>
                          <w:t>神州泰 岳代理）（股份</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423,805.80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42,380.58</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89"/>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年第一批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服务采购框架合</w:t>
                        </w:r>
                        <w:r>
                          <w:rPr>
                            <w:rFonts w:ascii="Times New Roman" w:hAnsi="Times New Roman" w:cs="Times New Roman" w:eastAsia="Times New Roman" w:hint="default"/>
                            <w:sz w:val="18"/>
                            <w:szCs w:val="18"/>
                          </w:rPr>
                          <w:t>HP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PC/</w:t>
                        </w:r>
                        <w:r>
                          <w:rPr>
                            <w:rFonts w:ascii="宋体" w:hAnsi="宋体" w:cs="宋体" w:eastAsia="宋体" w:hint="default"/>
                            <w:sz w:val="18"/>
                            <w:szCs w:val="18"/>
                          </w:rPr>
                          <w:t>刀片服务器设备部分</w:t>
                        </w:r>
                        <w:r>
                          <w:rPr>
                            <w:rFonts w:ascii="Times New Roman" w:hAnsi="Times New Roman" w:cs="Times New Roman" w:eastAsia="Times New Roman" w:hint="default"/>
                            <w:sz w:val="18"/>
                            <w:szCs w:val="18"/>
                          </w:rPr>
                          <w:t>/</w:t>
                        </w:r>
                        <w:r>
                          <w:rPr>
                            <w:rFonts w:ascii="宋体" w:hAnsi="宋体" w:cs="宋体" w:eastAsia="宋体" w:hint="default"/>
                            <w:sz w:val="18"/>
                            <w:szCs w:val="18"/>
                          </w:rPr>
                          <w:t>神州泰 岳代理）（股份</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4,180,009.20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418,000.92</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中国移动数据网管四期工程湖北节点泰岳应用软件 </w:t>
                        </w:r>
                        <w:r>
                          <w:rPr>
                            <w:rFonts w:ascii="宋体" w:hAnsi="宋体" w:cs="宋体" w:eastAsia="宋体" w:hint="default"/>
                            <w:spacing w:val="-2"/>
                            <w:sz w:val="18"/>
                            <w:szCs w:val="18"/>
                          </w:rPr>
                          <w:t>开发、主机代理软件及系统集成服务合同的基础合同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839,200.00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83,920.00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5"/>
                          <w:jc w:val="both"/>
                          <w:rPr>
                            <w:rFonts w:ascii="宋体" w:hAnsi="宋体" w:cs="宋体" w:eastAsia="宋体" w:hint="default"/>
                            <w:sz w:val="18"/>
                            <w:szCs w:val="18"/>
                          </w:rPr>
                        </w:pPr>
                        <w:r>
                          <w:rPr>
                            <w:rFonts w:ascii="宋体" w:hAnsi="宋体" w:cs="宋体" w:eastAsia="宋体" w:hint="default"/>
                            <w:sz w:val="18"/>
                            <w:szCs w:val="18"/>
                          </w:rPr>
                          <w:t>中国移动南方基地支撑系统集中化全国网管系统监 控中心一期工程湖南节点泰岳应用软件及集成采购 合同的基础合同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382,650.00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38,265.00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中国移动数据网管四期工程广西节点单项工程主机 代理软件供货合同的基础合同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252,000.00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25,200.00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教育服务与监管体系信息化建设</w:t>
                        </w:r>
                        <w:r>
                          <w:rPr>
                            <w:rFonts w:ascii="Times New Roman" w:hAnsi="Times New Roman" w:cs="Times New Roman" w:eastAsia="Times New Roman" w:hint="default"/>
                            <w:sz w:val="18"/>
                            <w:szCs w:val="18"/>
                          </w:rPr>
                          <w:t>”</w:t>
                        </w:r>
                        <w:r>
                          <w:rPr>
                            <w:rFonts w:ascii="宋体" w:hAnsi="宋体" w:cs="宋体" w:eastAsia="宋体" w:hint="default"/>
                            <w:sz w:val="18"/>
                            <w:szCs w:val="18"/>
                          </w:rPr>
                          <w:t>运维服务体系建 设项目合同书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7,585,000.00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758,500.00</w:t>
                        </w:r>
                      </w:p>
                    </w:tc>
                  </w:tr>
                  <w:tr>
                    <w:trPr>
                      <w:trHeight w:val="965"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服务采购合同</w:t>
                        </w:r>
                        <w:r>
                          <w:rPr>
                            <w:rFonts w:ascii="Times New Roman" w:hAnsi="Times New Roman" w:cs="Times New Roman" w:eastAsia="Times New Roman" w:hint="default"/>
                            <w:sz w:val="18"/>
                            <w:szCs w:val="18"/>
                          </w:rPr>
                          <w:t>(IBM</w:t>
                        </w:r>
                        <w:r>
                          <w:rPr>
                            <w:rFonts w:ascii="宋体" w:hAnsi="宋体" w:cs="宋体" w:eastAsia="宋体" w:hint="default"/>
                            <w:sz w:val="18"/>
                            <w:szCs w:val="18"/>
                          </w:rPr>
                          <w:t>设备部分</w:t>
                        </w:r>
                        <w:r>
                          <w:rPr>
                            <w:rFonts w:ascii="Times New Roman" w:hAnsi="Times New Roman" w:cs="Times New Roman" w:eastAsia="Times New Roman" w:hint="default"/>
                            <w:sz w:val="18"/>
                            <w:szCs w:val="18"/>
                          </w:rPr>
                          <w:t>/</w:t>
                        </w:r>
                        <w:r>
                          <w:rPr>
                            <w:rFonts w:ascii="宋体" w:hAnsi="宋体" w:cs="宋体" w:eastAsia="宋体" w:hint="default"/>
                            <w:sz w:val="18"/>
                            <w:szCs w:val="18"/>
                          </w:rPr>
                          <w:t>神州泰岳代理</w:t>
                        </w:r>
                        <w:r>
                          <w:rPr>
                            <w:rFonts w:ascii="Times New Roman" w:hAnsi="Times New Roman" w:cs="Times New Roman" w:eastAsia="Times New Roman" w:hint="default"/>
                            <w:sz w:val="18"/>
                            <w:szCs w:val="18"/>
                          </w:rPr>
                          <w:t>)(</w:t>
                        </w:r>
                        <w:r>
                          <w:rPr>
                            <w:rFonts w:ascii="宋体" w:hAnsi="宋体" w:cs="宋体" w:eastAsia="宋体" w:hint="default"/>
                            <w:sz w:val="18"/>
                            <w:szCs w:val="18"/>
                          </w:rPr>
                          <w:t>分省</w:t>
                        </w:r>
                        <w:r>
                          <w:rPr>
                            <w:rFonts w:ascii="Times New Roman" w:hAnsi="Times New Roman" w:cs="Times New Roman" w:eastAsia="Times New Roman" w:hint="default"/>
                            <w:sz w:val="18"/>
                            <w:szCs w:val="18"/>
                          </w:rPr>
                          <w:t>/</w:t>
                        </w:r>
                        <w:r>
                          <w:rPr>
                            <w:rFonts w:ascii="宋体" w:hAnsi="宋体" w:cs="宋体" w:eastAsia="宋体" w:hint="default"/>
                            <w:sz w:val="18"/>
                            <w:szCs w:val="18"/>
                          </w:rPr>
                          <w:t>网 资</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70,394.00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7,039.40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w:t>
                        </w:r>
                        <w:r>
                          <w:rPr>
                            <w:rFonts w:ascii="Times New Roman" w:hAnsi="Times New Roman" w:cs="Times New Roman" w:eastAsia="Times New Roman" w:hint="default"/>
                            <w:sz w:val="18"/>
                            <w:szCs w:val="18"/>
                          </w:rPr>
                          <w:t>(IBM</w:t>
                        </w:r>
                        <w:r>
                          <w:rPr>
                            <w:rFonts w:ascii="宋体" w:hAnsi="宋体" w:cs="宋体" w:eastAsia="宋体" w:hint="default"/>
                            <w:sz w:val="18"/>
                            <w:szCs w:val="18"/>
                          </w:rPr>
                          <w:t>设备部分</w:t>
                        </w:r>
                        <w:r>
                          <w:rPr>
                            <w:rFonts w:ascii="Times New Roman" w:hAnsi="Times New Roman" w:cs="Times New Roman" w:eastAsia="Times New Roman" w:hint="default"/>
                            <w:sz w:val="18"/>
                            <w:szCs w:val="18"/>
                          </w:rPr>
                          <w:t>/</w:t>
                        </w:r>
                        <w:r>
                          <w:rPr>
                            <w:rFonts w:ascii="宋体" w:hAnsi="宋体" w:cs="宋体" w:eastAsia="宋体" w:hint="default"/>
                            <w:sz w:val="18"/>
                            <w:szCs w:val="18"/>
                          </w:rPr>
                          <w:t>神州泰岳代理</w:t>
                        </w:r>
                        <w:r>
                          <w:rPr>
                            <w:rFonts w:ascii="Times New Roman" w:hAnsi="Times New Roman" w:cs="Times New Roman" w:eastAsia="Times New Roman" w:hint="default"/>
                            <w:sz w:val="18"/>
                            <w:szCs w:val="18"/>
                          </w:rPr>
                          <w:t>)(</w:t>
                        </w:r>
                        <w:r>
                          <w:rPr>
                            <w:rFonts w:ascii="宋体" w:hAnsi="宋体" w:cs="宋体" w:eastAsia="宋体" w:hint="default"/>
                            <w:sz w:val="18"/>
                            <w:szCs w:val="18"/>
                          </w:rPr>
                          <w:t>分省</w:t>
                        </w:r>
                        <w:r>
                          <w:rPr>
                            <w:rFonts w:ascii="Times New Roman" w:hAnsi="Times New Roman" w:cs="Times New Roman" w:eastAsia="Times New Roman" w:hint="default"/>
                            <w:sz w:val="18"/>
                            <w:szCs w:val="18"/>
                          </w:rPr>
                          <w:t>/</w:t>
                        </w:r>
                        <w:r>
                          <w:rPr>
                            <w:rFonts w:ascii="宋体" w:hAnsi="宋体" w:cs="宋体" w:eastAsia="宋体" w:hint="default"/>
                            <w:sz w:val="18"/>
                            <w:szCs w:val="18"/>
                          </w:rPr>
                          <w:t>网 资</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167,654.00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16,765.40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年湖北电信基础设施存储中心扩容一期工程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1,034,056.20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103,405.62</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05"/>
                          <w:jc w:val="left"/>
                          <w:rPr>
                            <w:rFonts w:ascii="宋体" w:hAnsi="宋体" w:cs="宋体" w:eastAsia="宋体" w:hint="default"/>
                            <w:sz w:val="18"/>
                            <w:szCs w:val="18"/>
                          </w:rPr>
                        </w:pPr>
                        <w:r>
                          <w:rPr>
                            <w:rFonts w:ascii="宋体" w:hAnsi="宋体" w:cs="宋体" w:eastAsia="宋体" w:hint="default"/>
                            <w:sz w:val="18"/>
                            <w:szCs w:val="18"/>
                          </w:rPr>
                          <w:t>湖北电信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年基础设施</w:t>
                        </w:r>
                        <w:r>
                          <w:rPr>
                            <w:rFonts w:ascii="Times New Roman" w:hAnsi="Times New Roman" w:cs="Times New Roman" w:eastAsia="Times New Roman" w:hint="default"/>
                            <w:sz w:val="18"/>
                            <w:szCs w:val="18"/>
                          </w:rPr>
                          <w:t>PC</w:t>
                        </w:r>
                        <w:r>
                          <w:rPr>
                            <w:rFonts w:ascii="宋体" w:hAnsi="宋体" w:cs="宋体" w:eastAsia="宋体" w:hint="default"/>
                            <w:sz w:val="18"/>
                            <w:szCs w:val="18"/>
                          </w:rPr>
                          <w:t>服务器扩容一期工程刀 片服务器采购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1,224,298.80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122,429.88</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4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年集团业务平台综合网管系统升级扩 容工程软件开发合同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5,635,003.00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563,500.30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4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年集团业务平台综合网管系统升级扩 容工程设备及相关服务采购合同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19,200.00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1,920.00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中国移动数据网管三期二阶段扩容工程四川节点泰 岳主机代理软件供货合同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91,700.00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91,700.00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4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年集团业务平台综合网管系统升级扩 容工程系统集成合同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127,300.00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12,730.00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中国移动数据网全国中心综合网管系统二期工程四 川丙级共管</w:t>
                        </w:r>
                        <w:r>
                          <w:rPr>
                            <w:rFonts w:ascii="Times New Roman" w:hAnsi="Times New Roman" w:cs="Times New Roman" w:eastAsia="Times New Roman" w:hint="default"/>
                            <w:sz w:val="18"/>
                            <w:szCs w:val="18"/>
                          </w:rPr>
                          <w:t>BMC</w:t>
                        </w:r>
                        <w:r>
                          <w:rPr>
                            <w:rFonts w:ascii="宋体" w:hAnsi="宋体" w:cs="宋体" w:eastAsia="宋体" w:hint="default"/>
                            <w:sz w:val="18"/>
                            <w:szCs w:val="18"/>
                          </w:rPr>
                          <w:t>主机代理软件采购合同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227,448.00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22,744.80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中国移动数据网综合网管系统二期工程四川自建</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BMC</w:t>
                        </w:r>
                        <w:r>
                          <w:rPr>
                            <w:rFonts w:ascii="宋体" w:hAnsi="宋体" w:cs="宋体" w:eastAsia="宋体" w:hint="default"/>
                            <w:sz w:val="18"/>
                            <w:szCs w:val="18"/>
                          </w:rPr>
                          <w:t>主机代理软件采购合同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812,920.00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81,292.00</w:t>
                        </w:r>
                      </w:p>
                    </w:tc>
                  </w:tr>
                  <w:tr>
                    <w:trPr>
                      <w:trHeight w:val="34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中国移动数据网管第四期工程云南节点泰岳应用软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343,115.00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34,311.50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5.98pt;margin-top:71.699982pt;width:483.7pt;height:686.5pt;mso-position-horizontal-relative:page;mso-position-vertical-relative:page;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22"/>
                    <w:gridCol w:w="1700"/>
                    <w:gridCol w:w="1277"/>
                    <w:gridCol w:w="1416"/>
                    <w:gridCol w:w="1144"/>
                  </w:tblGrid>
                  <w:tr>
                    <w:trPr>
                      <w:trHeight w:val="349" w:hRule="exact"/>
                    </w:trPr>
                    <w:tc>
                      <w:tcPr>
                        <w:tcW w:w="412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开户银行</w:t>
                        </w:r>
                      </w:p>
                    </w:tc>
                    <w:tc>
                      <w:tcPr>
                        <w:tcW w:w="127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141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保证金比例</w:t>
                        </w:r>
                        <w:r>
                          <w:rPr>
                            <w:rFonts w:ascii="Times New Roman" w:hAnsi="Times New Roman" w:cs="Times New Roman" w:eastAsia="Times New Roman" w:hint="default"/>
                            <w:sz w:val="18"/>
                            <w:szCs w:val="18"/>
                          </w:rPr>
                          <w:t>(%)</w:t>
                        </w:r>
                      </w:p>
                    </w:tc>
                    <w:tc>
                      <w:tcPr>
                        <w:tcW w:w="114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保证金金额</w:t>
                        </w:r>
                      </w:p>
                    </w:tc>
                  </w:tr>
                  <w:tr>
                    <w:trPr>
                      <w:trHeight w:val="34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件开发、主机代理软件及系统集成服务合同</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75"/>
                          <w:jc w:val="left"/>
                          <w:rPr>
                            <w:rFonts w:ascii="宋体" w:hAnsi="宋体" w:cs="宋体" w:eastAsia="宋体" w:hint="default"/>
                            <w:sz w:val="18"/>
                            <w:szCs w:val="18"/>
                          </w:rPr>
                        </w:pPr>
                        <w:r>
                          <w:rPr>
                            <w:rFonts w:ascii="宋体" w:hAnsi="宋体" w:cs="宋体" w:eastAsia="宋体" w:hint="default"/>
                            <w:sz w:val="18"/>
                            <w:szCs w:val="18"/>
                          </w:rPr>
                          <w:t>民生银行</w:t>
                        </w:r>
                        <w:r>
                          <w:rPr>
                            <w:rFonts w:ascii="Times New Roman" w:hAnsi="Times New Roman" w:cs="Times New Roman" w:eastAsia="Times New Roman" w:hint="default"/>
                            <w:sz w:val="18"/>
                            <w:szCs w:val="18"/>
                          </w:rPr>
                          <w:t>ITSM</w:t>
                        </w:r>
                        <w:r>
                          <w:rPr>
                            <w:rFonts w:ascii="宋体" w:hAnsi="宋体" w:cs="宋体" w:eastAsia="宋体" w:hint="default"/>
                            <w:sz w:val="18"/>
                            <w:szCs w:val="18"/>
                          </w:rPr>
                          <w:t>运维管理系统（二期）项目技术开发 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2,980,000.00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298,000.00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中国移动数据网管四期工程四川节点主机代理软件 供货合同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511,000.00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51,100.00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中国移动数据网管四期工程青海节点主机代理软件 供货合同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322,000.00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32,200.00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年中国联通总部北六省</w:t>
                        </w:r>
                        <w:r>
                          <w:rPr>
                            <w:rFonts w:ascii="Times New Roman" w:hAnsi="Times New Roman" w:cs="Times New Roman" w:eastAsia="Times New Roman" w:hint="default"/>
                            <w:sz w:val="18"/>
                            <w:szCs w:val="18"/>
                          </w:rPr>
                          <w:t>IT</w:t>
                        </w:r>
                        <w:r>
                          <w:rPr>
                            <w:rFonts w:ascii="宋体" w:hAnsi="宋体" w:cs="宋体" w:eastAsia="宋体" w:hint="default"/>
                            <w:sz w:val="18"/>
                            <w:szCs w:val="18"/>
                          </w:rPr>
                          <w:t>服务支撑平台扩容软 件工程第三方软件采购合同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804,120.00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80,412.00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中国移动数据网管三期二阶段扩容工程江西节点泰 岳主机代理软件供货合同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609,000.00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60,900.00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pacing w:val="-2"/>
                            <w:sz w:val="18"/>
                            <w:szCs w:val="18"/>
                          </w:rPr>
                          <w:t>中国电信</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年集团智能网管平台建设工程（网管系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统部分）系统集成合同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12,350.00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1,235.00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pacing w:val="-2"/>
                            <w:sz w:val="18"/>
                            <w:szCs w:val="18"/>
                          </w:rPr>
                          <w:t>中国电信</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年集团智能网管平台建设工程（网管系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统部分）软件许可合同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441,216.00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44,121.60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pacing w:val="-2"/>
                            <w:sz w:val="18"/>
                            <w:szCs w:val="18"/>
                          </w:rPr>
                          <w:t>中国电信</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年集团智能网管平台建设工程（网管系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统部分）软件开发合同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11,876.00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1,187.60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中国移动数据网管四期工程河北节点主机代理软件 供货合同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154,000.00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15,400.00</w:t>
                        </w:r>
                      </w:p>
                    </w:tc>
                  </w:tr>
                  <w:tr>
                    <w:trPr>
                      <w:trHeight w:val="965"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105"/>
                          <w:jc w:val="both"/>
                          <w:rPr>
                            <w:rFonts w:ascii="宋体" w:hAnsi="宋体" w:cs="宋体" w:eastAsia="宋体" w:hint="default"/>
                            <w:sz w:val="18"/>
                            <w:szCs w:val="18"/>
                          </w:rPr>
                        </w:pPr>
                        <w:r>
                          <w:rPr>
                            <w:rFonts w:ascii="宋体" w:hAnsi="宋体" w:cs="宋体" w:eastAsia="宋体" w:hint="default"/>
                            <w:sz w:val="18"/>
                            <w:szCs w:val="18"/>
                          </w:rPr>
                          <w:t>中国人寿保险股份有限公司上海数据中心与北京神 州泰岳软件股份有限公司之</w:t>
                        </w:r>
                        <w:r>
                          <w:rPr>
                            <w:rFonts w:ascii="Times New Roman" w:hAnsi="Times New Roman" w:cs="Times New Roman" w:eastAsia="Times New Roman" w:hint="default"/>
                            <w:sz w:val="18"/>
                            <w:szCs w:val="18"/>
                          </w:rPr>
                          <w:t>4A</w:t>
                        </w:r>
                        <w:r>
                          <w:rPr>
                            <w:rFonts w:ascii="宋体" w:hAnsi="宋体" w:cs="宋体" w:eastAsia="宋体" w:hint="default"/>
                            <w:sz w:val="18"/>
                            <w:szCs w:val="18"/>
                          </w:rPr>
                          <w:t>硬件维保服务采购合 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17,000.00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17,000.00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服务采购合同</w:t>
                        </w:r>
                        <w:r>
                          <w:rPr>
                            <w:rFonts w:ascii="Times New Roman" w:hAnsi="Times New Roman" w:cs="Times New Roman" w:eastAsia="Times New Roman" w:hint="default"/>
                            <w:sz w:val="18"/>
                            <w:szCs w:val="18"/>
                          </w:rPr>
                          <w:t>(IBM</w:t>
                        </w:r>
                        <w:r>
                          <w:rPr>
                            <w:rFonts w:ascii="宋体" w:hAnsi="宋体" w:cs="宋体" w:eastAsia="宋体" w:hint="default"/>
                            <w:sz w:val="18"/>
                            <w:szCs w:val="18"/>
                          </w:rPr>
                          <w:t>设备部分</w:t>
                        </w:r>
                        <w:r>
                          <w:rPr>
                            <w:rFonts w:ascii="Times New Roman" w:hAnsi="Times New Roman" w:cs="Times New Roman" w:eastAsia="Times New Roman" w:hint="default"/>
                            <w:sz w:val="18"/>
                            <w:szCs w:val="18"/>
                          </w:rPr>
                          <w:t>/</w:t>
                        </w:r>
                        <w:r>
                          <w:rPr>
                            <w:rFonts w:ascii="宋体" w:hAnsi="宋体" w:cs="宋体" w:eastAsia="宋体" w:hint="default"/>
                            <w:sz w:val="18"/>
                            <w:szCs w:val="18"/>
                          </w:rPr>
                          <w:t>神州泰岳代理</w:t>
                        </w:r>
                        <w:r>
                          <w:rPr>
                            <w:rFonts w:ascii="Times New Roman" w:hAnsi="Times New Roman" w:cs="Times New Roman" w:eastAsia="Times New Roman" w:hint="default"/>
                            <w:sz w:val="18"/>
                            <w:szCs w:val="18"/>
                          </w:rPr>
                          <w:t>)(</w:t>
                        </w:r>
                        <w:r>
                          <w:rPr>
                            <w:rFonts w:ascii="宋体" w:hAnsi="宋体" w:cs="宋体" w:eastAsia="宋体" w:hint="default"/>
                            <w:sz w:val="18"/>
                            <w:szCs w:val="18"/>
                          </w:rPr>
                          <w:t>分省</w:t>
                        </w:r>
                        <w:r>
                          <w:rPr>
                            <w:rFonts w:ascii="Times New Roman" w:hAnsi="Times New Roman" w:cs="Times New Roman" w:eastAsia="Times New Roman" w:hint="default"/>
                            <w:sz w:val="18"/>
                            <w:szCs w:val="18"/>
                          </w:rPr>
                          <w:t>/</w:t>
                        </w:r>
                        <w:r>
                          <w:rPr>
                            <w:rFonts w:ascii="宋体" w:hAnsi="宋体" w:cs="宋体" w:eastAsia="宋体" w:hint="default"/>
                            <w:sz w:val="18"/>
                            <w:szCs w:val="18"/>
                          </w:rPr>
                          <w:t>网 资</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71,588.00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7,158.80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年集团</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系统资源池上海节点扩容改 造工程负载均衡设备及相关服务采购合同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391,611.00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39,161.10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147,878.40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14,787.84</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年第一批</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设备集中采购设备及相关 服务采购框架合同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89,009.40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8,900.94</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4"/>
                          <w:jc w:val="left"/>
                          <w:rPr>
                            <w:rFonts w:ascii="宋体" w:hAnsi="宋体" w:cs="宋体" w:eastAsia="宋体" w:hint="default"/>
                            <w:sz w:val="18"/>
                            <w:szCs w:val="18"/>
                          </w:rPr>
                        </w:pPr>
                        <w:r>
                          <w:rPr>
                            <w:rFonts w:ascii="宋体" w:hAnsi="宋体" w:cs="宋体" w:eastAsia="宋体" w:hint="default"/>
                            <w:sz w:val="18"/>
                            <w:szCs w:val="18"/>
                          </w:rPr>
                          <w:t>中国电信</w:t>
                        </w:r>
                        <w:r>
                          <w:rPr>
                            <w:rFonts w:ascii="Times New Roman" w:hAnsi="Times New Roman" w:cs="Times New Roman" w:eastAsia="Times New Roman" w:hint="default"/>
                            <w:sz w:val="18"/>
                            <w:szCs w:val="18"/>
                          </w:rPr>
                          <w:t>2013</w:t>
                        </w:r>
                        <w:r>
                          <w:rPr>
                            <w:rFonts w:ascii="宋体" w:hAnsi="宋体" w:cs="宋体" w:eastAsia="宋体" w:hint="default"/>
                            <w:sz w:val="18"/>
                            <w:szCs w:val="18"/>
                          </w:rPr>
                          <w:t>年集团</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系统资源池北京节点扩容改 造工程负载均衡设备及相关服务采购合同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391,611.00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39,161.10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中国移动数据网管四期工程海南节点泰岳应用软件 开发、主机代理软件及系统集成服务合同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619,135.00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61,913.50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中国移动数据网管三期二阶段扩容工程重庆节点泰 </w:t>
                        </w:r>
                        <w:r>
                          <w:rPr>
                            <w:rFonts w:ascii="宋体" w:hAnsi="宋体" w:cs="宋体" w:eastAsia="宋体" w:hint="default"/>
                            <w:spacing w:val="-2"/>
                            <w:sz w:val="18"/>
                            <w:szCs w:val="18"/>
                          </w:rPr>
                          <w:t>岳主机代理软件、采集层软件、应用层软件及集成供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货合同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279,000.00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27,900.00</w:t>
                        </w:r>
                      </w:p>
                    </w:tc>
                  </w:tr>
                  <w:tr>
                    <w:trPr>
                      <w:trHeight w:val="967"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3"/>
                          <w:jc w:val="both"/>
                          <w:rPr>
                            <w:rFonts w:ascii="宋体" w:hAnsi="宋体" w:cs="宋体" w:eastAsia="宋体" w:hint="default"/>
                            <w:sz w:val="18"/>
                            <w:szCs w:val="18"/>
                          </w:rPr>
                        </w:pPr>
                        <w:r>
                          <w:rPr>
                            <w:rFonts w:ascii="宋体" w:hAnsi="宋体" w:cs="宋体" w:eastAsia="宋体" w:hint="default"/>
                            <w:spacing w:val="-2"/>
                            <w:sz w:val="18"/>
                            <w:szCs w:val="18"/>
                          </w:rPr>
                          <w:t>中国电信统谈分签类</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设备（</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年）集中采购定制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化服务器部分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标包</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：定制化服务器（大数据型）招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标文件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55.98pt;margin-top:71.699982pt;width:483.7pt;height:685pt;mso-position-horizontal-relative:page;mso-position-vertical-relative:page;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22"/>
                    <w:gridCol w:w="1700"/>
                    <w:gridCol w:w="1277"/>
                    <w:gridCol w:w="1416"/>
                    <w:gridCol w:w="1144"/>
                  </w:tblGrid>
                  <w:tr>
                    <w:trPr>
                      <w:trHeight w:val="349" w:hRule="exact"/>
                    </w:trPr>
                    <w:tc>
                      <w:tcPr>
                        <w:tcW w:w="412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开户银行</w:t>
                        </w:r>
                      </w:p>
                    </w:tc>
                    <w:tc>
                      <w:tcPr>
                        <w:tcW w:w="127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141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保证金比例</w:t>
                        </w:r>
                        <w:r>
                          <w:rPr>
                            <w:rFonts w:ascii="Times New Roman" w:hAnsi="Times New Roman" w:cs="Times New Roman" w:eastAsia="Times New Roman" w:hint="default"/>
                            <w:sz w:val="18"/>
                            <w:szCs w:val="18"/>
                          </w:rPr>
                          <w:t>(%)</w:t>
                        </w:r>
                      </w:p>
                    </w:tc>
                    <w:tc>
                      <w:tcPr>
                        <w:tcW w:w="114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保证金金额</w:t>
                        </w:r>
                      </w:p>
                    </w:tc>
                  </w:tr>
                  <w:tr>
                    <w:trPr>
                      <w:trHeight w:val="967"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both"/>
                          <w:rPr>
                            <w:rFonts w:ascii="宋体" w:hAnsi="宋体" w:cs="宋体" w:eastAsia="宋体" w:hint="default"/>
                            <w:sz w:val="18"/>
                            <w:szCs w:val="18"/>
                          </w:rPr>
                        </w:pPr>
                        <w:r>
                          <w:rPr>
                            <w:rFonts w:ascii="宋体" w:hAnsi="宋体" w:cs="宋体" w:eastAsia="宋体" w:hint="default"/>
                            <w:spacing w:val="-2"/>
                            <w:sz w:val="18"/>
                            <w:szCs w:val="18"/>
                          </w:rPr>
                          <w:t>中国电信统谈分签类</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设备（</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年）集中采购定制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化服务器部分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标包</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：定制化服务器（计算型）招标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文件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0"/>
                          <w:jc w:val="left"/>
                          <w:rPr>
                            <w:rFonts w:ascii="宋体" w:hAnsi="宋体" w:cs="宋体" w:eastAsia="宋体" w:hint="default"/>
                            <w:sz w:val="18"/>
                            <w:szCs w:val="18"/>
                          </w:rPr>
                        </w:pPr>
                        <w:r>
                          <w:rPr>
                            <w:rFonts w:ascii="宋体" w:hAnsi="宋体" w:cs="宋体" w:eastAsia="宋体" w:hint="default"/>
                            <w:sz w:val="18"/>
                            <w:szCs w:val="18"/>
                          </w:rPr>
                          <w:t>中国电信统谈分签类</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年）集中采购</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服务器部分</w:t>
                        </w:r>
                        <w:r>
                          <w:rPr>
                            <w:rFonts w:ascii="Times New Roman" w:hAnsi="Times New Roman" w:cs="Times New Roman" w:eastAsia="Times New Roman" w:hint="default"/>
                            <w:sz w:val="18"/>
                            <w:szCs w:val="18"/>
                          </w:rPr>
                          <w:t>-</w:t>
                        </w:r>
                        <w:r>
                          <w:rPr>
                            <w:rFonts w:ascii="宋体" w:hAnsi="宋体" w:cs="宋体" w:eastAsia="宋体" w:hint="default"/>
                            <w:sz w:val="18"/>
                            <w:szCs w:val="18"/>
                          </w:rPr>
                          <w:t>标包</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PC</w:t>
                        </w:r>
                        <w:r>
                          <w:rPr>
                            <w:rFonts w:ascii="宋体" w:hAnsi="宋体" w:cs="宋体" w:eastAsia="宋体" w:hint="default"/>
                            <w:sz w:val="18"/>
                            <w:szCs w:val="18"/>
                          </w:rPr>
                          <w:t>服务器（</w:t>
                        </w:r>
                        <w:r>
                          <w:rPr>
                            <w:rFonts w:ascii="Times New Roman" w:hAnsi="Times New Roman" w:cs="Times New Roman" w:eastAsia="Times New Roman" w:hint="default"/>
                            <w:sz w:val="18"/>
                            <w:szCs w:val="18"/>
                          </w:rPr>
                          <w:t>Intel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路）招标文件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0"/>
                          <w:jc w:val="left"/>
                          <w:rPr>
                            <w:rFonts w:ascii="宋体" w:hAnsi="宋体" w:cs="宋体" w:eastAsia="宋体" w:hint="default"/>
                            <w:sz w:val="18"/>
                            <w:szCs w:val="18"/>
                          </w:rPr>
                        </w:pPr>
                        <w:r>
                          <w:rPr>
                            <w:rFonts w:ascii="宋体" w:hAnsi="宋体" w:cs="宋体" w:eastAsia="宋体" w:hint="default"/>
                            <w:sz w:val="18"/>
                            <w:szCs w:val="18"/>
                          </w:rPr>
                          <w:t>中国电信统谈分签类</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年）集中采购</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服务器部分</w:t>
                        </w:r>
                        <w:r>
                          <w:rPr>
                            <w:rFonts w:ascii="Times New Roman" w:hAnsi="Times New Roman" w:cs="Times New Roman" w:eastAsia="Times New Roman" w:hint="default"/>
                            <w:sz w:val="18"/>
                            <w:szCs w:val="18"/>
                          </w:rPr>
                          <w:t>-</w:t>
                        </w:r>
                        <w:r>
                          <w:rPr>
                            <w:rFonts w:ascii="宋体" w:hAnsi="宋体" w:cs="宋体" w:eastAsia="宋体" w:hint="default"/>
                            <w:sz w:val="18"/>
                            <w:szCs w:val="18"/>
                          </w:rPr>
                          <w:t>标包</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PC</w:t>
                        </w:r>
                        <w:r>
                          <w:rPr>
                            <w:rFonts w:ascii="宋体" w:hAnsi="宋体" w:cs="宋体" w:eastAsia="宋体" w:hint="default"/>
                            <w:sz w:val="18"/>
                            <w:szCs w:val="18"/>
                          </w:rPr>
                          <w:t>服务器（</w:t>
                        </w:r>
                        <w:r>
                          <w:rPr>
                            <w:rFonts w:ascii="Times New Roman" w:hAnsi="Times New Roman" w:cs="Times New Roman" w:eastAsia="Times New Roman" w:hint="default"/>
                            <w:sz w:val="18"/>
                            <w:szCs w:val="18"/>
                          </w:rPr>
                          <w:t>Intel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路）招标文件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both"/>
                          <w:rPr>
                            <w:rFonts w:ascii="宋体" w:hAnsi="宋体" w:cs="宋体" w:eastAsia="宋体" w:hint="default"/>
                            <w:sz w:val="18"/>
                            <w:szCs w:val="18"/>
                          </w:rPr>
                        </w:pPr>
                        <w:r>
                          <w:rPr>
                            <w:rFonts w:ascii="宋体" w:hAnsi="宋体" w:cs="宋体" w:eastAsia="宋体" w:hint="default"/>
                            <w:spacing w:val="-2"/>
                            <w:sz w:val="18"/>
                            <w:szCs w:val="18"/>
                          </w:rPr>
                          <w:t>中国电信统谈分签类</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设备（</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年）集中采购定制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化服务器部分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标包</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：定制化服务器（冷数据型）招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标文件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500,000.00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14"/>
                          <w:jc w:val="left"/>
                          <w:rPr>
                            <w:rFonts w:ascii="宋体" w:hAnsi="宋体" w:cs="宋体" w:eastAsia="宋体" w:hint="default"/>
                            <w:sz w:val="18"/>
                            <w:szCs w:val="18"/>
                          </w:rPr>
                        </w:pPr>
                        <w:r>
                          <w:rPr>
                            <w:rFonts w:ascii="宋体" w:hAnsi="宋体" w:cs="宋体" w:eastAsia="宋体" w:hint="default"/>
                            <w:sz w:val="18"/>
                            <w:szCs w:val="18"/>
                          </w:rPr>
                          <w:t>中国电信统谈分签类</w:t>
                        </w:r>
                        <w:r>
                          <w:rPr>
                            <w:rFonts w:ascii="Times New Roman" w:hAnsi="Times New Roman" w:cs="Times New Roman" w:eastAsia="Times New Roman" w:hint="default"/>
                            <w:sz w:val="18"/>
                            <w:szCs w:val="18"/>
                          </w:rPr>
                          <w:t>IT</w:t>
                        </w:r>
                        <w:r>
                          <w:rPr>
                            <w:rFonts w:ascii="宋体" w:hAnsi="宋体" w:cs="宋体" w:eastAsia="宋体" w:hint="default"/>
                            <w:sz w:val="18"/>
                            <w:szCs w:val="18"/>
                          </w:rPr>
                          <w:t>设备（</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年）集中采购</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服务器部分</w:t>
                        </w:r>
                        <w:r>
                          <w:rPr>
                            <w:rFonts w:ascii="Times New Roman" w:hAnsi="Times New Roman" w:cs="Times New Roman" w:eastAsia="Times New Roman" w:hint="default"/>
                            <w:sz w:val="18"/>
                            <w:szCs w:val="18"/>
                          </w:rPr>
                          <w:t>-</w:t>
                        </w:r>
                        <w:r>
                          <w:rPr>
                            <w:rFonts w:ascii="宋体" w:hAnsi="宋体" w:cs="宋体" w:eastAsia="宋体" w:hint="default"/>
                            <w:sz w:val="18"/>
                            <w:szCs w:val="18"/>
                          </w:rPr>
                          <w:t>标包</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PC</w:t>
                        </w:r>
                        <w:r>
                          <w:rPr>
                            <w:rFonts w:ascii="宋体" w:hAnsi="宋体" w:cs="宋体" w:eastAsia="宋体" w:hint="default"/>
                            <w:sz w:val="18"/>
                            <w:szCs w:val="18"/>
                          </w:rPr>
                          <w:t>服务器（</w:t>
                        </w:r>
                        <w:r>
                          <w:rPr>
                            <w:rFonts w:ascii="Times New Roman" w:hAnsi="Times New Roman" w:cs="Times New Roman" w:eastAsia="Times New Roman" w:hint="default"/>
                            <w:sz w:val="18"/>
                            <w:szCs w:val="18"/>
                          </w:rPr>
                          <w:t>AMD</w:t>
                        </w:r>
                        <w:r>
                          <w:rPr>
                            <w:rFonts w:ascii="宋体" w:hAnsi="宋体" w:cs="宋体" w:eastAsia="宋体" w:hint="default"/>
                            <w:sz w:val="18"/>
                            <w:szCs w:val="18"/>
                          </w:rPr>
                          <w:t>）招标文件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9,000.00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both"/>
                          <w:rPr>
                            <w:rFonts w:ascii="宋体" w:hAnsi="宋体" w:cs="宋体" w:eastAsia="宋体" w:hint="default"/>
                            <w:sz w:val="18"/>
                            <w:szCs w:val="18"/>
                          </w:rPr>
                        </w:pPr>
                        <w:r>
                          <w:rPr>
                            <w:rFonts w:ascii="宋体" w:hAnsi="宋体" w:cs="宋体" w:eastAsia="宋体" w:hint="default"/>
                            <w:spacing w:val="-2"/>
                            <w:sz w:val="18"/>
                            <w:szCs w:val="18"/>
                          </w:rPr>
                          <w:t>中国电信统谈分签类</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设备（</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年）集中采购刀片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服务器部分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标包</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：刀片服务器（</w:t>
                        </w:r>
                        <w:r>
                          <w:rPr>
                            <w:rFonts w:ascii="Times New Roman" w:hAnsi="Times New Roman" w:cs="Times New Roman" w:eastAsia="Times New Roman" w:hint="default"/>
                            <w:spacing w:val="-3"/>
                            <w:sz w:val="18"/>
                            <w:szCs w:val="18"/>
                          </w:rPr>
                          <w:t>Intel</w:t>
                        </w:r>
                        <w:r>
                          <w:rPr>
                            <w:rFonts w:ascii="Times New Roman" w:hAnsi="Times New Roman" w:cs="Times New Roman" w:eastAsia="Times New Roman" w:hint="default"/>
                            <w:spacing w:val="21"/>
                            <w:sz w:val="18"/>
                            <w:szCs w:val="18"/>
                          </w:rPr>
                          <w:t> </w:t>
                        </w:r>
                        <w:r>
                          <w:rPr>
                            <w:rFonts w:ascii="宋体" w:hAnsi="宋体" w:cs="宋体" w:eastAsia="宋体" w:hint="default"/>
                            <w:spacing w:val="-5"/>
                            <w:sz w:val="18"/>
                            <w:szCs w:val="18"/>
                          </w:rPr>
                          <w:t>模型一）招标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文件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300,000.00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3"/>
                          <w:jc w:val="both"/>
                          <w:rPr>
                            <w:rFonts w:ascii="宋体" w:hAnsi="宋体" w:cs="宋体" w:eastAsia="宋体" w:hint="default"/>
                            <w:sz w:val="18"/>
                            <w:szCs w:val="18"/>
                          </w:rPr>
                        </w:pPr>
                        <w:r>
                          <w:rPr>
                            <w:rFonts w:ascii="宋体" w:hAnsi="宋体" w:cs="宋体" w:eastAsia="宋体" w:hint="default"/>
                            <w:spacing w:val="-2"/>
                            <w:sz w:val="18"/>
                            <w:szCs w:val="18"/>
                          </w:rPr>
                          <w:t>中国电信统谈分签类</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设备（</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年）集中采购刀片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服务器部分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标包</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：刀片服务器（</w:t>
                        </w:r>
                        <w:r>
                          <w:rPr>
                            <w:rFonts w:ascii="Times New Roman" w:hAnsi="Times New Roman" w:cs="Times New Roman" w:eastAsia="Times New Roman" w:hint="default"/>
                            <w:spacing w:val="-3"/>
                            <w:sz w:val="18"/>
                            <w:szCs w:val="18"/>
                          </w:rPr>
                          <w:t>Intel</w:t>
                        </w:r>
                        <w:r>
                          <w:rPr>
                            <w:rFonts w:ascii="Times New Roman" w:hAnsi="Times New Roman" w:cs="Times New Roman" w:eastAsia="Times New Roman" w:hint="default"/>
                            <w:spacing w:val="21"/>
                            <w:sz w:val="18"/>
                            <w:szCs w:val="18"/>
                          </w:rPr>
                          <w:t> </w:t>
                        </w:r>
                        <w:r>
                          <w:rPr>
                            <w:rFonts w:ascii="宋体" w:hAnsi="宋体" w:cs="宋体" w:eastAsia="宋体" w:hint="default"/>
                            <w:spacing w:val="-5"/>
                            <w:sz w:val="18"/>
                            <w:szCs w:val="18"/>
                          </w:rPr>
                          <w:t>模型三）招标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文件</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300,000.00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数据仓库分布式一体机采购合同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北京银行上地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2,929,860.00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292,986.00</w:t>
                        </w:r>
                      </w:p>
                    </w:tc>
                  </w:tr>
                  <w:tr>
                    <w:trPr>
                      <w:trHeight w:val="965"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84"/>
                          <w:jc w:val="left"/>
                          <w:rPr>
                            <w:rFonts w:ascii="宋体" w:hAnsi="宋体" w:cs="宋体" w:eastAsia="宋体" w:hint="default"/>
                            <w:sz w:val="18"/>
                            <w:szCs w:val="18"/>
                          </w:rPr>
                        </w:pPr>
                        <w:r>
                          <w:rPr>
                            <w:rFonts w:ascii="宋体" w:hAnsi="宋体" w:cs="宋体" w:eastAsia="宋体" w:hint="default"/>
                            <w:sz w:val="18"/>
                            <w:szCs w:val="18"/>
                          </w:rPr>
                          <w:t>中央财政现代职业教育质量提升计划</w:t>
                        </w:r>
                        <w:r>
                          <w:rPr>
                            <w:rFonts w:ascii="Times New Roman" w:hAnsi="Times New Roman" w:cs="Times New Roman" w:eastAsia="Times New Roman" w:hint="default"/>
                            <w:sz w:val="18"/>
                            <w:szCs w:val="18"/>
                          </w:rPr>
                          <w:t>-</w:t>
                        </w:r>
                        <w:r>
                          <w:rPr>
                            <w:rFonts w:ascii="宋体" w:hAnsi="宋体" w:cs="宋体" w:eastAsia="宋体" w:hint="default"/>
                            <w:sz w:val="18"/>
                            <w:szCs w:val="18"/>
                          </w:rPr>
                          <w:t>电子信息工程 技术专业建设项目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695,000.00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69,500.00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宋体" w:hAnsi="宋体" w:cs="宋体" w:eastAsia="宋体" w:hint="default"/>
                            <w:sz w:val="18"/>
                            <w:szCs w:val="18"/>
                          </w:rPr>
                          <w:t>存储扩容及全闪陈列等设备采购合同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3,956,560.00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197,828.00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45"/>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年河南网资与北京神州泰岳软件股份有限公司 关于移动业务自动拨测设备及相关服务采购合同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940,000.00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94,000.00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5"/>
                          <w:jc w:val="both"/>
                          <w:rPr>
                            <w:rFonts w:ascii="宋体" w:hAnsi="宋体" w:cs="宋体" w:eastAsia="宋体" w:hint="default"/>
                            <w:sz w:val="18"/>
                            <w:szCs w:val="18"/>
                          </w:rPr>
                        </w:pPr>
                        <w:r>
                          <w:rPr>
                            <w:rFonts w:ascii="宋体" w:hAnsi="宋体" w:cs="宋体" w:eastAsia="宋体" w:hint="default"/>
                            <w:sz w:val="18"/>
                            <w:szCs w:val="18"/>
                          </w:rPr>
                          <w:t>中国移动南方基地支撑系统集中化全国网管系统监 控中心一期工程黑龙江节点泰岳应用软件及集成采 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382,650.00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38,265.00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中国移动数据网综合网管系统二期工程黑龙江省自 建</w:t>
                        </w:r>
                        <w:r>
                          <w:rPr>
                            <w:rFonts w:ascii="Times New Roman" w:hAnsi="Times New Roman" w:cs="Times New Roman" w:eastAsia="Times New Roman" w:hint="default"/>
                            <w:sz w:val="18"/>
                            <w:szCs w:val="18"/>
                          </w:rPr>
                          <w:t>BMC</w:t>
                        </w:r>
                        <w:r>
                          <w:rPr>
                            <w:rFonts w:ascii="宋体" w:hAnsi="宋体" w:cs="宋体" w:eastAsia="宋体" w:hint="default"/>
                            <w:sz w:val="18"/>
                            <w:szCs w:val="18"/>
                          </w:rPr>
                          <w:t>主机代理软件采购合同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214,810.00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21,481.00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5"/>
                          <w:jc w:val="left"/>
                          <w:rPr>
                            <w:rFonts w:ascii="宋体" w:hAnsi="宋体" w:cs="宋体" w:eastAsia="宋体" w:hint="default"/>
                            <w:sz w:val="18"/>
                            <w:szCs w:val="18"/>
                          </w:rPr>
                        </w:pPr>
                        <w:r>
                          <w:rPr>
                            <w:rFonts w:ascii="宋体" w:hAnsi="宋体" w:cs="宋体" w:eastAsia="宋体" w:hint="default"/>
                            <w:sz w:val="18"/>
                            <w:szCs w:val="18"/>
                          </w:rPr>
                          <w:t>中国移动数据网全国中心综合网管系统二期工程黑 龙江两级共管</w:t>
                        </w:r>
                        <w:r>
                          <w:rPr>
                            <w:rFonts w:ascii="Times New Roman" w:hAnsi="Times New Roman" w:cs="Times New Roman" w:eastAsia="Times New Roman" w:hint="default"/>
                            <w:sz w:val="18"/>
                            <w:szCs w:val="18"/>
                          </w:rPr>
                          <w:t>BMC</w:t>
                        </w:r>
                        <w:r>
                          <w:rPr>
                            <w:rFonts w:ascii="宋体" w:hAnsi="宋体" w:cs="宋体" w:eastAsia="宋体" w:hint="default"/>
                            <w:sz w:val="18"/>
                            <w:szCs w:val="18"/>
                          </w:rPr>
                          <w:t>主机代理软件采购合同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101,088.00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10,108.80</w:t>
                        </w:r>
                      </w:p>
                    </w:tc>
                  </w:tr>
                  <w:tr>
                    <w:trPr>
                      <w:trHeight w:val="966"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5"/>
                          <w:jc w:val="both"/>
                          <w:rPr>
                            <w:rFonts w:ascii="宋体" w:hAnsi="宋体" w:cs="宋体" w:eastAsia="宋体" w:hint="default"/>
                            <w:sz w:val="18"/>
                            <w:szCs w:val="18"/>
                          </w:rPr>
                        </w:pPr>
                        <w:r>
                          <w:rPr>
                            <w:rFonts w:ascii="宋体" w:hAnsi="宋体" w:cs="宋体" w:eastAsia="宋体" w:hint="default"/>
                            <w:sz w:val="18"/>
                            <w:szCs w:val="18"/>
                          </w:rPr>
                          <w:t>中国移动南方基地支撑系统集中化全国网管系统监 控中心一期工程云南节点泰岳应用软件及集成采购 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442,650.00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44,265.00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年中国联通总部</w:t>
                        </w:r>
                        <w:r>
                          <w:rPr>
                            <w:rFonts w:ascii="Times New Roman" w:hAnsi="Times New Roman" w:cs="Times New Roman" w:eastAsia="Times New Roman" w:hint="default"/>
                            <w:sz w:val="18"/>
                            <w:szCs w:val="18"/>
                          </w:rPr>
                          <w:t>BSS</w:t>
                        </w:r>
                        <w:r>
                          <w:rPr>
                            <w:rFonts w:ascii="宋体" w:hAnsi="宋体" w:cs="宋体" w:eastAsia="宋体" w:hint="default"/>
                            <w:sz w:val="18"/>
                            <w:szCs w:val="18"/>
                          </w:rPr>
                          <w:t>基础设施扩容三期工程（扩 容监控软件部分）软件采购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288,900.00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28,890.00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4"/>
                          <w:jc w:val="left"/>
                          <w:rPr>
                            <w:rFonts w:ascii="宋体" w:hAnsi="宋体" w:cs="宋体" w:eastAsia="宋体" w:hint="default"/>
                            <w:sz w:val="18"/>
                            <w:szCs w:val="18"/>
                          </w:rPr>
                        </w:pPr>
                        <w:r>
                          <w:rPr>
                            <w:rFonts w:ascii="宋体" w:hAnsi="宋体" w:cs="宋体" w:eastAsia="宋体" w:hint="default"/>
                            <w:sz w:val="18"/>
                            <w:szCs w:val="18"/>
                          </w:rPr>
                          <w:t>国家教育管理信息系统异地灾备体系建设项目南方 异地灾备中心设备</w:t>
                        </w:r>
                        <w:r>
                          <w:rPr>
                            <w:rFonts w:ascii="Times New Roman" w:hAnsi="Times New Roman" w:cs="Times New Roman" w:eastAsia="Times New Roman" w:hint="default"/>
                            <w:sz w:val="18"/>
                            <w:szCs w:val="18"/>
                          </w:rPr>
                          <w:t>B2</w:t>
                        </w:r>
                        <w:r>
                          <w:rPr>
                            <w:rFonts w:ascii="宋体" w:hAnsi="宋体" w:cs="宋体" w:eastAsia="宋体" w:hint="default"/>
                            <w:sz w:val="18"/>
                            <w:szCs w:val="18"/>
                          </w:rPr>
                          <w:t>包服务合同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13,688,800.00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1,368,880.00</w:t>
                        </w:r>
                      </w:p>
                    </w:tc>
                  </w:tr>
                  <w:tr>
                    <w:trPr>
                      <w:trHeight w:val="655"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5"/>
                          <w:jc w:val="left"/>
                          <w:rPr>
                            <w:rFonts w:ascii="宋体" w:hAnsi="宋体" w:cs="宋体" w:eastAsia="宋体" w:hint="default"/>
                            <w:sz w:val="18"/>
                            <w:szCs w:val="18"/>
                          </w:rPr>
                        </w:pPr>
                        <w:r>
                          <w:rPr>
                            <w:rFonts w:ascii="宋体" w:hAnsi="宋体" w:cs="宋体" w:eastAsia="宋体" w:hint="default"/>
                            <w:sz w:val="18"/>
                            <w:szCs w:val="18"/>
                          </w:rPr>
                          <w:t>国家教育管理信息系统异地灾备体系建设项目南方 异地灾备中心设备</w:t>
                        </w:r>
                        <w:r>
                          <w:rPr>
                            <w:rFonts w:ascii="Times New Roman" w:hAnsi="Times New Roman" w:cs="Times New Roman" w:eastAsia="Times New Roman" w:hint="default"/>
                            <w:sz w:val="18"/>
                            <w:szCs w:val="18"/>
                          </w:rPr>
                          <w:t>B2</w:t>
                        </w:r>
                        <w:r>
                          <w:rPr>
                            <w:rFonts w:ascii="宋体" w:hAnsi="宋体" w:cs="宋体" w:eastAsia="宋体" w:hint="default"/>
                            <w:sz w:val="18"/>
                            <w:szCs w:val="18"/>
                          </w:rPr>
                          <w:t>包服务合同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北京银行中关村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13,688,800.00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20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2,737,760.00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1" w:footer="979" w:top="1440" w:bottom="1160" w:left="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19" w:type="dxa"/>
        <w:tblLayout w:type="fixed"/>
        <w:tblCellMar>
          <w:top w:w="0" w:type="dxa"/>
          <w:left w:w="0" w:type="dxa"/>
          <w:bottom w:w="0" w:type="dxa"/>
          <w:right w:w="0" w:type="dxa"/>
        </w:tblCellMar>
        <w:tblLook w:val="01E0"/>
      </w:tblPr>
      <w:tblGrid>
        <w:gridCol w:w="4122"/>
        <w:gridCol w:w="1700"/>
        <w:gridCol w:w="1277"/>
        <w:gridCol w:w="1416"/>
        <w:gridCol w:w="1144"/>
      </w:tblGrid>
      <w:tr>
        <w:trPr>
          <w:trHeight w:val="349" w:hRule="exact"/>
        </w:trPr>
        <w:tc>
          <w:tcPr>
            <w:tcW w:w="4122"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tabs>
                <w:tab w:pos="539"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00"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开户银行</w:t>
            </w:r>
          </w:p>
        </w:tc>
        <w:tc>
          <w:tcPr>
            <w:tcW w:w="1277"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273" w:right="0"/>
              <w:jc w:val="left"/>
              <w:rPr>
                <w:rFonts w:ascii="宋体" w:hAnsi="宋体" w:cs="宋体" w:eastAsia="宋体" w:hint="default"/>
                <w:sz w:val="18"/>
                <w:szCs w:val="18"/>
              </w:rPr>
            </w:pPr>
            <w:r>
              <w:rPr>
                <w:rFonts w:ascii="宋体" w:hAnsi="宋体" w:cs="宋体" w:eastAsia="宋体" w:hint="default"/>
                <w:sz w:val="18"/>
                <w:szCs w:val="18"/>
              </w:rPr>
              <w:t>保函金额</w:t>
            </w:r>
          </w:p>
        </w:tc>
        <w:tc>
          <w:tcPr>
            <w:tcW w:w="141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保证金比例</w:t>
            </w:r>
            <w:r>
              <w:rPr>
                <w:rFonts w:ascii="Times New Roman" w:hAnsi="Times New Roman" w:cs="Times New Roman" w:eastAsia="Times New Roman" w:hint="default"/>
                <w:sz w:val="18"/>
                <w:szCs w:val="18"/>
              </w:rPr>
              <w:t>(%)</w:t>
            </w:r>
          </w:p>
        </w:tc>
        <w:tc>
          <w:tcPr>
            <w:tcW w:w="1144"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6" w:right="0"/>
              <w:jc w:val="left"/>
              <w:rPr>
                <w:rFonts w:ascii="宋体" w:hAnsi="宋体" w:cs="宋体" w:eastAsia="宋体" w:hint="default"/>
                <w:sz w:val="18"/>
                <w:szCs w:val="18"/>
              </w:rPr>
            </w:pPr>
            <w:r>
              <w:rPr>
                <w:rFonts w:ascii="宋体" w:hAnsi="宋体" w:cs="宋体" w:eastAsia="宋体" w:hint="default"/>
                <w:sz w:val="18"/>
                <w:szCs w:val="18"/>
              </w:rPr>
              <w:t>保证金金额</w:t>
            </w:r>
          </w:p>
        </w:tc>
      </w:tr>
      <w:tr>
        <w:trPr>
          <w:trHeight w:val="655"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5"/>
              <w:jc w:val="left"/>
              <w:rPr>
                <w:rFonts w:ascii="宋体" w:hAnsi="宋体" w:cs="宋体" w:eastAsia="宋体" w:hint="default"/>
                <w:sz w:val="18"/>
                <w:szCs w:val="18"/>
              </w:rPr>
            </w:pPr>
            <w:r>
              <w:rPr>
                <w:rFonts w:ascii="宋体" w:hAnsi="宋体" w:cs="宋体" w:eastAsia="宋体" w:hint="default"/>
                <w:sz w:val="18"/>
                <w:szCs w:val="18"/>
              </w:rPr>
              <w:t>自动拨打测试系统六期扩容工程专有软硬件工程服 务采购合同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中国建设银行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3,565,600.00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178,280.00</w:t>
            </w:r>
          </w:p>
        </w:tc>
      </w:tr>
      <w:tr>
        <w:trPr>
          <w:trHeight w:val="65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中国移动通信集团终端有限公司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年终端仪表采 购合同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6"/>
              <w:jc w:val="left"/>
              <w:rPr>
                <w:rFonts w:ascii="宋体" w:hAnsi="宋体" w:cs="宋体" w:eastAsia="宋体" w:hint="default"/>
                <w:sz w:val="18"/>
                <w:szCs w:val="18"/>
              </w:rPr>
            </w:pPr>
            <w:r>
              <w:rPr>
                <w:rFonts w:ascii="宋体" w:hAnsi="宋体" w:cs="宋体" w:eastAsia="宋体" w:hint="default"/>
                <w:spacing w:val="6"/>
                <w:sz w:val="18"/>
                <w:szCs w:val="18"/>
              </w:rPr>
              <w:t>建设银行宁波西郊支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25,800.00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100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25,800.00</w:t>
            </w:r>
          </w:p>
        </w:tc>
      </w:tr>
      <w:tr>
        <w:trPr>
          <w:trHeight w:val="34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14,550,954.87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或有事项" w:id="399"/>
      <w:bookmarkEnd w:id="39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00"/>
      <w:bookmarkEnd w:id="40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935" w:right="6971"/>
        <w:jc w:val="center"/>
      </w:pPr>
      <w:r>
        <w:rPr/>
        <w:t>公司没有需要披露的重要或有事项。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bookmarkStart w:name="十五、资产负债表日后事项" w:id="401"/>
      <w:bookmarkEnd w:id="401"/>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02"/>
      <w:bookmarkEnd w:id="402"/>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发行超短期融资券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对外投资蓝鸥科技有限公司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03"/>
      <w:bookmarkEnd w:id="40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99,799,393.40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99,799,393.40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资产负债表日后事项说明" w:id="404"/>
      <w:bookmarkEnd w:id="404"/>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6"/>
        <w:rPr>
          <w:rFonts w:ascii="宋体" w:hAnsi="宋体" w:cs="宋体" w:eastAsia="宋体" w:hint="default"/>
          <w:b/>
          <w:bCs/>
          <w:sz w:val="32"/>
          <w:szCs w:val="32"/>
        </w:rPr>
      </w:pPr>
    </w:p>
    <w:p>
      <w:pPr>
        <w:pStyle w:val="BodyText"/>
        <w:spacing w:line="458" w:lineRule="auto"/>
        <w:ind w:right="1129"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2016</w:t>
      </w:r>
      <w:r>
        <w:rPr/>
        <w:t>年第二次临时股东大会审议通过《关于公司发行超短期融资债券的议案》，新注册发行超短期 融资债券的规模不超过</w:t>
      </w:r>
      <w:r>
        <w:rPr>
          <w:rFonts w:ascii="Times New Roman" w:hAnsi="Times New Roman" w:cs="Times New Roman" w:eastAsia="Times New Roman" w:hint="default"/>
        </w:rPr>
        <w:t>20</w:t>
      </w:r>
      <w:r>
        <w:rPr/>
        <w:t>亿元，在注册有效期限内，可多次发行，单次发行超短期融资债券的期限不超过</w:t>
      </w:r>
      <w:r>
        <w:rPr>
          <w:rFonts w:ascii="Times New Roman" w:hAnsi="Times New Roman" w:cs="Times New Roman" w:eastAsia="Times New Roman" w:hint="default"/>
        </w:rPr>
        <w:t>270</w:t>
      </w:r>
      <w:r>
        <w:rPr/>
        <w:t>天，以发行时</w:t>
      </w:r>
      <w:r>
        <w:rPr>
          <w:spacing w:val="-82"/>
        </w:rPr>
        <w:t> </w:t>
      </w:r>
      <w:r>
        <w:rPr>
          <w:spacing w:val="-82"/>
        </w:rPr>
      </w:r>
      <w:r>
        <w:rPr>
          <w:spacing w:val="-2"/>
        </w:rPr>
        <w:t>的全国银行间债券市场情况由发行人和主承销商协商，通过簿记建档方式最终确定，发行对象为全国银行间债券市场机构投</w:t>
      </w:r>
      <w:r>
        <w:rPr>
          <w:spacing w:val="-64"/>
        </w:rPr>
        <w:t> </w:t>
      </w:r>
      <w:r>
        <w:rPr>
          <w:spacing w:val="-64"/>
        </w:rPr>
      </w:r>
      <w:r>
        <w:rPr/>
        <w:t>资者。资金用途为用于补充公司营运资金，偿还银行借款及其他规定用途等。</w:t>
      </w:r>
    </w:p>
    <w:p>
      <w:pPr>
        <w:pStyle w:val="BodyText"/>
        <w:spacing w:line="451" w:lineRule="auto" w:before="68"/>
        <w:ind w:left="1134" w:right="1130"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日，公司第五届董事会第七十五次会议审议了《关于收购蓝鸥科技有限公司部分股权并增资的议案》，公 </w:t>
      </w:r>
      <w:r>
        <w:rPr>
          <w:spacing w:val="-1"/>
        </w:rPr>
        <w:t>司计划以自有资金出资</w:t>
      </w:r>
      <w:r>
        <w:rPr>
          <w:rFonts w:ascii="Times New Roman" w:hAnsi="Times New Roman" w:cs="Times New Roman" w:eastAsia="Times New Roman" w:hint="default"/>
          <w:spacing w:val="-1"/>
        </w:rPr>
        <w:t>6,240</w:t>
      </w:r>
      <w:r>
        <w:rPr>
          <w:spacing w:val="-1"/>
        </w:rPr>
        <w:t>万元收购刘辉先生所持有的蓝鸥科技有限公司</w:t>
      </w:r>
      <w:r>
        <w:rPr>
          <w:rFonts w:ascii="Times New Roman" w:hAnsi="Times New Roman" w:cs="Times New Roman" w:eastAsia="Times New Roman" w:hint="default"/>
          <w:spacing w:val="-1"/>
        </w:rPr>
        <w:t>16%</w:t>
      </w:r>
      <w:r>
        <w:rPr>
          <w:spacing w:val="-1"/>
        </w:rPr>
        <w:t>的股权。股权转让完成后，公司再出资</w:t>
      </w:r>
      <w:r>
        <w:rPr>
          <w:rFonts w:ascii="Times New Roman" w:hAnsi="Times New Roman" w:cs="Times New Roman" w:eastAsia="Times New Roman" w:hint="default"/>
          <w:spacing w:val="-1"/>
        </w:rPr>
        <w:t>11,360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1"/>
        </w:rPr>
        <w:t>万元增资蓝鸥科技。股权转让及增资完成后，公司占蓝鸥科技的股权比例为</w:t>
      </w:r>
      <w:r>
        <w:rPr>
          <w:rFonts w:ascii="Times New Roman" w:hAnsi="Times New Roman" w:cs="Times New Roman" w:eastAsia="Times New Roman" w:hint="default"/>
          <w:spacing w:val="-1"/>
        </w:rPr>
        <w:t>32%</w:t>
      </w:r>
      <w:r>
        <w:rPr>
          <w:spacing w:val="-1"/>
        </w:rPr>
        <w:t>。同时，公司控股子公司</w:t>
      </w:r>
      <w:r>
        <w:rPr>
          <w:rFonts w:ascii="Times New Roman" w:hAnsi="Times New Roman" w:cs="Times New Roman" w:eastAsia="Times New Roman" w:hint="default"/>
          <w:spacing w:val="-1"/>
        </w:rPr>
        <w:t>—</w:t>
      </w:r>
      <w:r>
        <w:rPr>
          <w:spacing w:val="-1"/>
        </w:rPr>
        <w:t>深圳市前海泰岳</w:t>
      </w:r>
    </w:p>
    <w:p>
      <w:pPr>
        <w:spacing w:after="0" w:line="451" w:lineRule="auto"/>
        <w:jc w:val="both"/>
        <w:sectPr>
          <w:footerReference w:type="default" r:id="rId18"/>
          <w:pgSz w:w="11910" w:h="16840"/>
          <w:pgMar w:footer="979" w:header="851" w:top="138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458" w:lineRule="auto" w:before="83"/>
        <w:ind w:right="1132"/>
        <w:jc w:val="both"/>
      </w:pPr>
      <w:r>
        <w:rPr>
          <w:spacing w:val="-2"/>
        </w:rPr>
        <w:t>梧桐投资基金管理有限公司（根据第五届董事会第六十二次会议审议通过《关于受让部分股权并控制深圳市前海泰岳梧桐投</w:t>
      </w:r>
      <w:r>
        <w:rPr>
          <w:spacing w:val="-64"/>
        </w:rPr>
        <w:t> </w:t>
      </w:r>
      <w:r>
        <w:rPr>
          <w:spacing w:val="-64"/>
        </w:rPr>
      </w:r>
      <w:r>
        <w:rPr>
          <w:spacing w:val="-2"/>
        </w:rPr>
        <w:t>资基金管理有限公司》的决议，</w:t>
      </w:r>
      <w:r>
        <w:rPr>
          <w:rFonts w:ascii="Times New Roman" w:hAnsi="Times New Roman" w:cs="Times New Roman" w:eastAsia="Times New Roman" w:hint="default"/>
          <w:spacing w:val="-2"/>
        </w:rPr>
        <w:t>2016</w:t>
      </w:r>
      <w:r>
        <w:rPr>
          <w:spacing w:val="-2"/>
        </w:rPr>
        <w:t>年完成受让部分股权后，深圳市前海泰岳梧桐投资基金管理有限公司由公司的合营公司</w:t>
      </w:r>
      <w:r>
        <w:rPr>
          <w:spacing w:val="-62"/>
        </w:rPr>
        <w:t> </w:t>
      </w:r>
      <w:r>
        <w:rPr>
          <w:spacing w:val="-62"/>
        </w:rPr>
      </w:r>
      <w:r>
        <w:rPr>
          <w:spacing w:val="-1"/>
        </w:rPr>
        <w:t>转变为公司控股子公司）出资</w:t>
      </w:r>
      <w:r>
        <w:rPr>
          <w:rFonts w:ascii="Times New Roman" w:hAnsi="Times New Roman" w:cs="Times New Roman" w:eastAsia="Times New Roman" w:hint="default"/>
          <w:spacing w:val="-1"/>
        </w:rPr>
        <w:t>1,560</w:t>
      </w:r>
      <w:r>
        <w:rPr>
          <w:spacing w:val="-1"/>
        </w:rPr>
        <w:t>万元收购刘辉先生所持有的蓝鸥科技</w:t>
      </w:r>
      <w:r>
        <w:rPr>
          <w:rFonts w:ascii="Times New Roman" w:hAnsi="Times New Roman" w:cs="Times New Roman" w:eastAsia="Times New Roman" w:hint="default"/>
          <w:spacing w:val="-1"/>
        </w:rPr>
        <w:t>4%</w:t>
      </w:r>
      <w:r>
        <w:rPr>
          <w:spacing w:val="-1"/>
        </w:rPr>
        <w:t>的股权，股权转让完成后再出资</w:t>
      </w:r>
      <w:r>
        <w:rPr>
          <w:rFonts w:ascii="Times New Roman" w:hAnsi="Times New Roman" w:cs="Times New Roman" w:eastAsia="Times New Roman" w:hint="default"/>
          <w:spacing w:val="-1"/>
        </w:rPr>
        <w:t>2,840</w:t>
      </w:r>
      <w:r>
        <w:rPr>
          <w:spacing w:val="-1"/>
        </w:rPr>
        <w:t>万元增资蓝</w:t>
      </w:r>
      <w:r>
        <w:rPr>
          <w:spacing w:val="-86"/>
        </w:rPr>
        <w:t> </w:t>
      </w:r>
      <w:r>
        <w:rPr>
          <w:spacing w:val="-86"/>
        </w:rPr>
      </w:r>
      <w:r>
        <w:rPr/>
        <w:t>鸥科技。增资完成后，泰岳梧桐占蓝鸥科技的股权比例为</w:t>
      </w:r>
      <w:r>
        <w:rPr>
          <w:rFonts w:ascii="Times New Roman" w:hAnsi="Times New Roman" w:cs="Times New Roman" w:eastAsia="Times New Roman" w:hint="default"/>
        </w:rPr>
        <w:t>8%</w:t>
      </w:r>
      <w:r>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2"/>
        <w:spacing w:line="240" w:lineRule="auto"/>
        <w:ind w:right="0"/>
        <w:jc w:val="both"/>
        <w:rPr>
          <w:b w:val="0"/>
          <w:bCs w:val="0"/>
        </w:rPr>
      </w:pPr>
      <w:bookmarkStart w:name="十六、其他重要事项" w:id="405"/>
      <w:bookmarkEnd w:id="405"/>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分部信息" w:id="406"/>
      <w:bookmarkEnd w:id="406"/>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分部的确定依据与会计政策" w:id="407"/>
      <w:bookmarkEnd w:id="40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0" w:right="1132"/>
        <w:jc w:val="right"/>
      </w:pPr>
      <w:r>
        <w:rPr/>
        <w:t>根据本公司的内部组织结构、管理要求及内部报告制度确定了</w:t>
      </w:r>
      <w:r>
        <w:rPr>
          <w:rFonts w:ascii="Times New Roman" w:hAnsi="Times New Roman" w:cs="Times New Roman" w:eastAsia="Times New Roman" w:hint="default"/>
        </w:rPr>
        <w:t>4</w:t>
      </w:r>
      <w:r>
        <w:rPr/>
        <w:t>个报告分部，分别为</w:t>
      </w:r>
      <w:r>
        <w:rPr>
          <w:rFonts w:ascii="Times New Roman" w:hAnsi="Times New Roman" w:cs="Times New Roman" w:eastAsia="Times New Roman" w:hint="default"/>
        </w:rPr>
        <w:t>ICT</w:t>
      </w:r>
      <w:r>
        <w:rPr/>
        <w:t>领域运营管理软件研发和服务</w:t>
      </w:r>
    </w:p>
    <w:p>
      <w:pPr>
        <w:spacing w:line="240" w:lineRule="auto" w:before="9"/>
        <w:rPr>
          <w:rFonts w:ascii="宋体" w:hAnsi="宋体" w:cs="宋体" w:eastAsia="宋体" w:hint="default"/>
          <w:sz w:val="16"/>
          <w:szCs w:val="16"/>
        </w:rPr>
      </w:pPr>
    </w:p>
    <w:p>
      <w:pPr>
        <w:pStyle w:val="BodyText"/>
        <w:spacing w:line="468" w:lineRule="auto"/>
        <w:ind w:left="1134" w:right="1130"/>
        <w:jc w:val="both"/>
      </w:pPr>
      <w:r>
        <w:rPr>
          <w:spacing w:val="-2"/>
        </w:rPr>
        <w:t>（简称</w:t>
      </w:r>
      <w:r>
        <w:rPr>
          <w:rFonts w:ascii="Times New Roman" w:hAnsi="Times New Roman" w:cs="Times New Roman" w:eastAsia="Times New Roman" w:hint="default"/>
          <w:spacing w:val="-2"/>
        </w:rPr>
        <w:t>“</w:t>
      </w:r>
      <w:r>
        <w:rPr>
          <w:spacing w:val="-2"/>
        </w:rPr>
        <w:t>运营管理板块</w:t>
      </w:r>
      <w:r>
        <w:rPr>
          <w:rFonts w:ascii="Times New Roman" w:hAnsi="Times New Roman" w:cs="Times New Roman" w:eastAsia="Times New Roman" w:hint="default"/>
          <w:spacing w:val="-2"/>
        </w:rPr>
        <w:t>”</w:t>
      </w:r>
      <w:r>
        <w:rPr>
          <w:spacing w:val="-2"/>
        </w:rPr>
        <w:t>）、手机游戏板块、物联网技术应用板块、创新板块。本公司的各个报告分部分别提供不同的产品或</w:t>
      </w:r>
      <w:r>
        <w:rPr>
          <w:spacing w:val="-47"/>
        </w:rPr>
        <w:t> </w:t>
      </w:r>
      <w:r>
        <w:rPr>
          <w:spacing w:val="-47"/>
        </w:rPr>
      </w:r>
      <w:r>
        <w:rPr>
          <w:spacing w:val="-2"/>
        </w:rPr>
        <w:t>服务。由于每个分部需要不同的技术或市场策略，本公司管理层分别单独管理各个报告分部的经营活动，定期评价这些报告</w:t>
      </w:r>
      <w:r>
        <w:rPr>
          <w:spacing w:val="-66"/>
        </w:rPr>
        <w:t> </w:t>
      </w:r>
      <w:r>
        <w:rPr>
          <w:spacing w:val="-66"/>
        </w:rPr>
      </w:r>
      <w:r>
        <w:rPr>
          <w:spacing w:val="-2"/>
        </w:rPr>
        <w:t>分部的经营成果，以决定向其分配资源及评价其业绩。分部报告信息根据各分部向管理层报告时采用的会计政策及计量标准</w:t>
      </w:r>
      <w:r>
        <w:rPr>
          <w:spacing w:val="-64"/>
        </w:rPr>
        <w:t> </w:t>
      </w:r>
      <w:r>
        <w:rPr>
          <w:spacing w:val="-64"/>
        </w:rPr>
      </w:r>
      <w:r>
        <w:rPr/>
        <w:t>披露，这些计量基础与编制财务报表时的会计与计量基础保持一致。</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2）报告分部的财务信息" w:id="408"/>
      <w:bookmarkEnd w:id="40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161" w:hRule="exact"/>
        </w:trPr>
        <w:tc>
          <w:tcPr>
            <w:tcW w:w="1344" w:type="dxa"/>
            <w:vMerge w:val="restart"/>
            <w:tcBorders>
              <w:top w:val="single" w:sz="4" w:space="0" w:color="000000"/>
              <w:left w:val="single" w:sz="4" w:space="0" w:color="000000"/>
              <w:right w:val="single" w:sz="9" w:space="0" w:color="D9D9D9"/>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nil" w:sz="6" w:space="0" w:color="auto"/>
              <w:right w:val="single" w:sz="4" w:space="0" w:color="000000"/>
            </w:tcBorders>
            <w:shd w:val="clear" w:color="auto" w:fill="D9D9D9"/>
          </w:tcPr>
          <w:p>
            <w:pPr/>
          </w:p>
        </w:tc>
        <w:tc>
          <w:tcPr>
            <w:tcW w:w="1368" w:type="dxa"/>
            <w:tcBorders>
              <w:top w:val="single" w:sz="4" w:space="0" w:color="000000"/>
              <w:left w:val="single" w:sz="4" w:space="0" w:color="000000"/>
              <w:bottom w:val="nil" w:sz="6" w:space="0" w:color="auto"/>
              <w:right w:val="single" w:sz="4" w:space="0" w:color="000000"/>
            </w:tcBorders>
            <w:shd w:val="clear" w:color="auto" w:fill="D9D9D9"/>
          </w:tcPr>
          <w:p>
            <w:pPr/>
          </w:p>
        </w:tc>
        <w:tc>
          <w:tcPr>
            <w:tcW w:w="1367" w:type="dxa"/>
            <w:vMerge w:val="restart"/>
            <w:tcBorders>
              <w:top w:val="single" w:sz="4" w:space="0" w:color="000000"/>
              <w:left w:val="single" w:sz="4" w:space="0" w:color="000000"/>
              <w:right w:val="single" w:sz="4" w:space="0" w:color="000000"/>
            </w:tcBorders>
            <w:shd w:val="clear" w:color="auto" w:fill="D9D9D9"/>
          </w:tcPr>
          <w:p>
            <w:pPr>
              <w:pStyle w:val="TableParagraph"/>
              <w:spacing w:line="319" w:lineRule="auto" w:before="51"/>
              <w:ind w:left="497" w:right="47" w:hanging="450"/>
              <w:jc w:val="left"/>
              <w:rPr>
                <w:rFonts w:ascii="宋体" w:hAnsi="宋体" w:cs="宋体" w:eastAsia="宋体" w:hint="default"/>
                <w:sz w:val="18"/>
                <w:szCs w:val="18"/>
              </w:rPr>
            </w:pPr>
            <w:r>
              <w:rPr>
                <w:rFonts w:ascii="宋体" w:hAnsi="宋体" w:cs="宋体" w:eastAsia="宋体" w:hint="default"/>
                <w:sz w:val="18"/>
                <w:szCs w:val="18"/>
              </w:rPr>
              <w:t>物联网技术应用 板块</w:t>
            </w:r>
          </w:p>
        </w:tc>
        <w:tc>
          <w:tcPr>
            <w:tcW w:w="1367" w:type="dxa"/>
            <w:tcBorders>
              <w:top w:val="single" w:sz="4" w:space="0" w:color="000000"/>
              <w:left w:val="single" w:sz="4" w:space="0" w:color="000000"/>
              <w:bottom w:val="nil" w:sz="6" w:space="0" w:color="auto"/>
              <w:right w:val="single" w:sz="4" w:space="0" w:color="000000"/>
            </w:tcBorders>
            <w:shd w:val="clear" w:color="auto" w:fill="D9D9D9"/>
          </w:tcPr>
          <w:p>
            <w:pPr/>
          </w:p>
        </w:tc>
        <w:tc>
          <w:tcPr>
            <w:tcW w:w="1367" w:type="dxa"/>
            <w:vMerge w:val="restart"/>
            <w:tcBorders>
              <w:top w:val="single" w:sz="4" w:space="0" w:color="000000"/>
              <w:left w:val="single" w:sz="10" w:space="0" w:color="D9D9D9"/>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344" w:type="dxa"/>
            <w:vMerge/>
            <w:tcBorders>
              <w:left w:val="single" w:sz="4" w:space="0" w:color="000000"/>
              <w:right w:val="single" w:sz="9" w:space="0" w:color="D9D9D9"/>
            </w:tcBorders>
            <w:shd w:val="clear" w:color="auto" w:fill="D2D2D2"/>
          </w:tcPr>
          <w:p>
            <w:pPr/>
          </w:p>
        </w:tc>
        <w:tc>
          <w:tcPr>
            <w:tcW w:w="137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运营管理板块</w:t>
            </w:r>
          </w:p>
        </w:tc>
        <w:tc>
          <w:tcPr>
            <w:tcW w:w="136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手机游戏板块</w:t>
            </w:r>
          </w:p>
        </w:tc>
        <w:tc>
          <w:tcPr>
            <w:tcW w:w="1367" w:type="dxa"/>
            <w:vMerge/>
            <w:tcBorders>
              <w:left w:val="single" w:sz="4" w:space="0" w:color="000000"/>
              <w:right w:val="single" w:sz="4" w:space="0" w:color="000000"/>
            </w:tcBorders>
            <w:shd w:val="clear" w:color="auto" w:fill="D9D9D9"/>
          </w:tcPr>
          <w:p>
            <w:pPr/>
          </w:p>
        </w:tc>
        <w:tc>
          <w:tcPr>
            <w:tcW w:w="136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创新板块</w:t>
            </w:r>
          </w:p>
        </w:tc>
        <w:tc>
          <w:tcPr>
            <w:tcW w:w="1367" w:type="dxa"/>
            <w:vMerge/>
            <w:tcBorders>
              <w:left w:val="single" w:sz="10" w:space="0" w:color="D9D9D9"/>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44" w:type="dxa"/>
            <w:vMerge/>
            <w:tcBorders>
              <w:left w:val="single" w:sz="4" w:space="0" w:color="000000"/>
              <w:bottom w:val="single" w:sz="4" w:space="0" w:color="000000"/>
              <w:right w:val="single" w:sz="9" w:space="0" w:color="D9D9D9"/>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9D9D9"/>
          </w:tcPr>
          <w:p>
            <w:pPr/>
          </w:p>
        </w:tc>
        <w:tc>
          <w:tcPr>
            <w:tcW w:w="1368" w:type="dxa"/>
            <w:tcBorders>
              <w:top w:val="nil" w:sz="6" w:space="0" w:color="auto"/>
              <w:left w:val="single" w:sz="4" w:space="0" w:color="000000"/>
              <w:bottom w:val="single" w:sz="4" w:space="0" w:color="000000"/>
              <w:right w:val="single" w:sz="4" w:space="0" w:color="000000"/>
            </w:tcBorders>
            <w:shd w:val="clear" w:color="auto" w:fill="D9D9D9"/>
          </w:tcPr>
          <w:p>
            <w:pPr/>
          </w:p>
        </w:tc>
        <w:tc>
          <w:tcPr>
            <w:tcW w:w="1367" w:type="dxa"/>
            <w:vMerge/>
            <w:tcBorders>
              <w:left w:val="single" w:sz="4" w:space="0" w:color="000000"/>
              <w:bottom w:val="single" w:sz="4" w:space="0" w:color="000000"/>
              <w:right w:val="single" w:sz="4" w:space="0" w:color="000000"/>
            </w:tcBorders>
            <w:shd w:val="clear" w:color="auto" w:fill="D9D9D9"/>
          </w:tcPr>
          <w:p>
            <w:pPr/>
          </w:p>
        </w:tc>
        <w:tc>
          <w:tcPr>
            <w:tcW w:w="1367" w:type="dxa"/>
            <w:tcBorders>
              <w:top w:val="nil" w:sz="6" w:space="0" w:color="auto"/>
              <w:left w:val="single" w:sz="4" w:space="0" w:color="000000"/>
              <w:bottom w:val="single" w:sz="4" w:space="0" w:color="000000"/>
              <w:right w:val="single" w:sz="4" w:space="0" w:color="000000"/>
            </w:tcBorders>
            <w:shd w:val="clear" w:color="auto" w:fill="D9D9D9"/>
          </w:tcPr>
          <w:p>
            <w:pPr/>
          </w:p>
        </w:tc>
        <w:tc>
          <w:tcPr>
            <w:tcW w:w="1367" w:type="dxa"/>
            <w:vMerge/>
            <w:tcBorders>
              <w:left w:val="single" w:sz="10" w:space="0" w:color="D9D9D9"/>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一、对外交易主 营收入</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2,359,560,428.61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159,123,066.60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10,529,513.80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211,499,470.33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2,740,712,479.34</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61" w:firstLine="180"/>
              <w:jc w:val="left"/>
              <w:rPr>
                <w:rFonts w:ascii="宋体" w:hAnsi="宋体" w:cs="宋体" w:eastAsia="宋体" w:hint="default"/>
                <w:sz w:val="18"/>
                <w:szCs w:val="18"/>
              </w:rPr>
            </w:pPr>
            <w:r>
              <w:rPr>
                <w:rFonts w:ascii="宋体" w:hAnsi="宋体" w:cs="宋体" w:eastAsia="宋体" w:hint="default"/>
                <w:sz w:val="18"/>
                <w:szCs w:val="18"/>
              </w:rPr>
              <w:t>分部间交易主 营收入</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17,122,976.91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17,379,867.56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3,262,027.15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37,764,871.62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二、对外交易主 营成本</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1,552,661,062.57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45,831,838.14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2,295,977.22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149,914,947.77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1,750,703,825.70</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分部间交易主营 成本</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21,500,306.53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7,044,344.43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28,544,650.96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61"/>
              <w:jc w:val="both"/>
              <w:rPr>
                <w:rFonts w:ascii="宋体" w:hAnsi="宋体" w:cs="宋体" w:eastAsia="宋体" w:hint="default"/>
                <w:sz w:val="18"/>
                <w:szCs w:val="18"/>
              </w:rPr>
            </w:pPr>
            <w:r>
              <w:rPr>
                <w:rFonts w:ascii="宋体" w:hAnsi="宋体" w:cs="宋体" w:eastAsia="宋体" w:hint="default"/>
                <w:sz w:val="18"/>
                <w:szCs w:val="18"/>
              </w:rPr>
              <w:t>三、对联营和合 营企业的投资收 益</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8,996,648.84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-2,427,877.96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25,941,225.93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32,509,996.81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四、资产减值损 失</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24,626,098.48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3,175,033.53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394,970.41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-2,963,099.40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-31,929,896.98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57,162,900.00</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五、折旧和摊销</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40,939,673.00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9,602,877.10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1,345,938.49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2,202,855.40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54,091,343.99</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851" w:top="1380" w:bottom="1160" w:left="0" w:right="0"/>
          <w:pgNumType w:start="201"/>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73" w:hRule="exact"/>
        </w:trPr>
        <w:tc>
          <w:tcPr>
            <w:tcW w:w="1356" w:type="dxa"/>
            <w:tcBorders>
              <w:top w:val="single" w:sz="10"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378" w:type="dxa"/>
            <w:tcBorders>
              <w:top w:val="single" w:sz="10" w:space="0" w:color="000000"/>
              <w:left w:val="single" w:sz="13" w:space="0" w:color="D9D9D9"/>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c>
          <w:tcPr>
            <w:tcW w:w="1367"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2"/>
              <w:jc w:val="left"/>
              <w:rPr>
                <w:rFonts w:ascii="宋体" w:hAnsi="宋体" w:cs="宋体" w:eastAsia="宋体" w:hint="default"/>
                <w:sz w:val="18"/>
                <w:szCs w:val="18"/>
              </w:rPr>
            </w:pPr>
            <w:r>
              <w:rPr>
                <w:rFonts w:ascii="宋体" w:hAnsi="宋体" w:cs="宋体" w:eastAsia="宋体" w:hint="default"/>
                <w:spacing w:val="-17"/>
                <w:sz w:val="18"/>
                <w:szCs w:val="18"/>
              </w:rPr>
              <w:t>六、利润总额（亏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损总额）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397,318,441.63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2,374,909.34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-3,458,744.24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-36,335,910.15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18,489,391.10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341,409,305.48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57,245,187.83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2,886,051.79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-6,357,411.54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6,140,983.47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47,632,844.61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八、净利润（净 亏损）</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340,073,253.80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-511,142.45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-3,458,744.24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-29,978,498.61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12,348,407.63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293,776,460.87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5,712,744,558.13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867,893,296.68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43,517,874.05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346,475,942.64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1,064,052,268.82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5,906,579,402.68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815,006,071.15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415,541,372.59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58,781,079.89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468,959,978.29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836,576,020.92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921,712,481.00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十一、其他重要 的非现金项目</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firstLine="90"/>
              <w:jc w:val="left"/>
              <w:rPr>
                <w:rFonts w:ascii="宋体" w:hAnsi="宋体" w:cs="宋体" w:eastAsia="宋体" w:hint="default"/>
                <w:sz w:val="18"/>
                <w:szCs w:val="18"/>
              </w:rPr>
            </w:pPr>
            <w:r>
              <w:rPr>
                <w:rFonts w:ascii="宋体" w:hAnsi="宋体" w:cs="宋体" w:eastAsia="宋体" w:hint="default"/>
                <w:sz w:val="18"/>
                <w:szCs w:val="18"/>
              </w:rPr>
              <w:t>折旧和摊销费 以外的其他非现 金费用</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-4,060,026.13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-4,060,026.13</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firstLine="90"/>
              <w:jc w:val="left"/>
              <w:rPr>
                <w:rFonts w:ascii="宋体" w:hAnsi="宋体" w:cs="宋体" w:eastAsia="宋体" w:hint="default"/>
                <w:sz w:val="18"/>
                <w:szCs w:val="18"/>
              </w:rPr>
            </w:pPr>
            <w:r>
              <w:rPr>
                <w:rFonts w:ascii="宋体" w:hAnsi="宋体" w:cs="宋体" w:eastAsia="宋体" w:hint="default"/>
                <w:sz w:val="18"/>
                <w:szCs w:val="18"/>
              </w:rPr>
              <w:t>对联营企业和 合营企业的长期 股权投资</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194,493,205.07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260,429,203.22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690,426.50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455,612,834.79</w:t>
            </w:r>
          </w:p>
        </w:tc>
      </w:tr>
      <w:tr>
        <w:trPr>
          <w:trHeight w:val="1027"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长期股权投资以 外的其他非流动 资产增加额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322,286,604.85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78,130,492.37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11,535,642.02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22,489,574.59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44,380,260.11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390,062,053.72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母公司财务报表主要项目注释" w:id="409"/>
      <w:bookmarkEnd w:id="409"/>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 w:id="410"/>
      <w:bookmarkEnd w:id="41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应收账款分类披露" w:id="411"/>
      <w:bookmarkEnd w:id="41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613,946,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347.97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74,587,6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65.03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539,358,6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82.94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580,980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,897.40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64,532,69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pacing w:val="-3"/>
                <w:sz w:val="18"/>
              </w:rPr>
              <w:t>11.11%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516,448,20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6.99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613,946,</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347.97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74,587,6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65.03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12.15%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539,358,6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82.94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580,980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,897.40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64,532,69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0.41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pacing w:val="-3"/>
                <w:sz w:val="18"/>
              </w:rPr>
              <w:t>11.11%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516,448,20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6.99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期末单项金额重大并单项计提坏账准备的应收账款：</w:t>
      </w:r>
    </w:p>
    <w:p>
      <w:pPr>
        <w:spacing w:line="240" w:lineRule="auto" w:before="12"/>
        <w:rPr>
          <w:rFonts w:ascii="宋体" w:hAnsi="宋体" w:cs="宋体" w:eastAsia="宋体" w:hint="default"/>
          <w:sz w:val="20"/>
          <w:szCs w:val="20"/>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4"/>
        <w:ind w:right="0"/>
        <w:jc w:val="left"/>
      </w:pPr>
      <w:r>
        <w:rPr/>
        <w:t>组合中，按账龄分析法计提坏账准备的应收账款：</w:t>
      </w:r>
    </w:p>
    <w:p>
      <w:pPr>
        <w:spacing w:line="240" w:lineRule="auto" w:before="10"/>
        <w:rPr>
          <w:rFonts w:ascii="宋体" w:hAnsi="宋体" w:cs="宋体" w:eastAsia="宋体" w:hint="default"/>
          <w:sz w:val="20"/>
          <w:szCs w:val="20"/>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367,078,155.94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18,353,907.80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160,187,355.30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16,018,735.53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53,644,545.71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16,093,363.71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16,950,359.99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8,475,180.00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2,197,265.20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1,757,812.16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13,888,665.83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13,888,665.83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613,946,347.97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74,587,665.03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518" w:lineRule="auto" w:before="44"/>
        <w:ind w:left="1134" w:right="6432"/>
        <w:jc w:val="left"/>
      </w:pPr>
      <w:r>
        <w:rPr/>
        <w:t>确定该组合依据的说明： 组合中，采用余额百分比法计提坏账准备的应收账款：</w:t>
      </w:r>
    </w:p>
    <w:p>
      <w:pPr>
        <w:spacing w:before="6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right="0"/>
        <w:jc w:val="left"/>
        <w:rPr>
          <w:b w:val="0"/>
          <w:bCs w:val="0"/>
        </w:rPr>
      </w:pPr>
      <w:bookmarkStart w:name="（2）本期计提、收回或转回的坏账准备情况" w:id="412"/>
      <w:bookmarkEnd w:id="41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7"/>
        </w:rPr>
        <w:t> </w:t>
      </w:r>
      <w:r>
        <w:rPr>
          <w:rFonts w:ascii="Times New Roman" w:hAnsi="Times New Roman" w:cs="Times New Roman" w:eastAsia="Times New Roman" w:hint="default"/>
        </w:rPr>
        <w:t>10,054,974.62</w:t>
      </w:r>
      <w:r>
        <w:rPr>
          <w:rFonts w:ascii="Times New Roman" w:hAnsi="Times New Roman" w:cs="Times New Roman" w:eastAsia="Times New Roman" w:hint="default"/>
          <w:spacing w:val="-2"/>
        </w:rPr>
        <w:t> </w:t>
      </w:r>
      <w:r>
        <w:rPr/>
        <w:t>元；本期收回或转回坏账准备金额元。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413"/>
      <w:bookmarkEnd w:id="41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4）按欠款方归集的期末余额前五名的应收账款情况" w:id="414"/>
      <w:bookmarkEnd w:id="41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121" w:type="dxa"/>
        <w:tblLayout w:type="fixed"/>
        <w:tblCellMar>
          <w:top w:w="0" w:type="dxa"/>
          <w:left w:w="0" w:type="dxa"/>
          <w:bottom w:w="0" w:type="dxa"/>
          <w:right w:w="0" w:type="dxa"/>
        </w:tblCellMar>
        <w:tblLook w:val="01E0"/>
      </w:tblPr>
      <w:tblGrid>
        <w:gridCol w:w="3626"/>
        <w:gridCol w:w="2078"/>
        <w:gridCol w:w="1833"/>
        <w:gridCol w:w="2119"/>
      </w:tblGrid>
      <w:tr>
        <w:trPr>
          <w:trHeight w:val="331" w:hRule="exact"/>
        </w:trPr>
        <w:tc>
          <w:tcPr>
            <w:tcW w:w="362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3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5" w:hRule="exact"/>
        </w:trPr>
        <w:tc>
          <w:tcPr>
            <w:tcW w:w="3626" w:type="dxa"/>
            <w:vMerge/>
            <w:tcBorders>
              <w:left w:val="single" w:sz="4" w:space="0" w:color="000000"/>
              <w:bottom w:val="single" w:sz="4" w:space="0" w:color="000000"/>
              <w:right w:val="single" w:sz="4" w:space="0" w:color="000000"/>
            </w:tcBorders>
            <w:shd w:val="clear" w:color="auto" w:fill="D9D9D9"/>
          </w:tcPr>
          <w:p>
            <w:pPr/>
          </w:p>
        </w:tc>
        <w:tc>
          <w:tcPr>
            <w:tcW w:w="20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7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6"/>
              <w:ind w:left="686" w:right="10"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2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7" w:hRule="exact"/>
        </w:trPr>
        <w:tc>
          <w:tcPr>
            <w:tcW w:w="3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0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5"/>
              <w:ind w:right="2"/>
              <w:jc w:val="right"/>
              <w:rPr>
                <w:rFonts w:ascii="Times New Roman" w:hAnsi="Times New Roman" w:cs="Times New Roman" w:eastAsia="Times New Roman" w:hint="default"/>
                <w:sz w:val="18"/>
                <w:szCs w:val="18"/>
              </w:rPr>
            </w:pPr>
            <w:r>
              <w:rPr>
                <w:rFonts w:ascii="Times New Roman"/>
                <w:spacing w:val="-1"/>
                <w:sz w:val="18"/>
              </w:rPr>
              <w:t>78,288,789.60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Times New Roman" w:hAnsi="Times New Roman" w:cs="Times New Roman" w:eastAsia="Times New Roman" w:hint="default"/>
                <w:sz w:val="18"/>
                <w:szCs w:val="18"/>
              </w:rPr>
            </w:pPr>
            <w:r>
              <w:rPr>
                <w:rFonts w:ascii="Times New Roman"/>
                <w:sz w:val="18"/>
              </w:rPr>
              <w:t>12.75</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Times New Roman" w:hAnsi="Times New Roman" w:cs="Times New Roman" w:eastAsia="Times New Roman" w:hint="default"/>
                <w:sz w:val="18"/>
                <w:szCs w:val="18"/>
              </w:rPr>
            </w:pPr>
            <w:r>
              <w:rPr>
                <w:rFonts w:ascii="Times New Roman"/>
                <w:spacing w:val="-1"/>
                <w:sz w:val="18"/>
              </w:rPr>
              <w:t>13,128,643.26</w:t>
            </w:r>
          </w:p>
        </w:tc>
      </w:tr>
      <w:tr>
        <w:trPr>
          <w:trHeight w:val="421" w:hRule="exact"/>
        </w:trPr>
        <w:tc>
          <w:tcPr>
            <w:tcW w:w="3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0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52,189,795.32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8.50</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10,342,741.57</w:t>
            </w:r>
          </w:p>
        </w:tc>
      </w:tr>
      <w:tr>
        <w:trPr>
          <w:trHeight w:val="423" w:hRule="exact"/>
        </w:trPr>
        <w:tc>
          <w:tcPr>
            <w:tcW w:w="3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0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50,152,149.51</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8.17</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3,420,747.48</w:t>
            </w:r>
          </w:p>
        </w:tc>
      </w:tr>
      <w:tr>
        <w:trPr>
          <w:trHeight w:val="422" w:hRule="exact"/>
        </w:trPr>
        <w:tc>
          <w:tcPr>
            <w:tcW w:w="3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0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32,960,274.00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5.37</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2,075,099.44</w:t>
            </w:r>
          </w:p>
        </w:tc>
      </w:tr>
      <w:tr>
        <w:trPr>
          <w:trHeight w:val="422" w:hRule="exact"/>
        </w:trPr>
        <w:tc>
          <w:tcPr>
            <w:tcW w:w="3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0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31,007,759.17</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5.05</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1,971,644.46</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b/>
          <w:bCs/>
          <w:sz w:val="2"/>
          <w:szCs w:val="2"/>
        </w:rPr>
      </w:pPr>
    </w:p>
    <w:tbl>
      <w:tblPr>
        <w:tblW w:w="0" w:type="auto"/>
        <w:jc w:val="left"/>
        <w:tblInd w:w="1119" w:type="dxa"/>
        <w:tblLayout w:type="fixed"/>
        <w:tblCellMar>
          <w:top w:w="0" w:type="dxa"/>
          <w:left w:w="0" w:type="dxa"/>
          <w:bottom w:w="0" w:type="dxa"/>
          <w:right w:w="0" w:type="dxa"/>
        </w:tblCellMar>
        <w:tblLook w:val="01E0"/>
      </w:tblPr>
      <w:tblGrid>
        <w:gridCol w:w="3632"/>
        <w:gridCol w:w="2075"/>
        <w:gridCol w:w="1833"/>
        <w:gridCol w:w="2122"/>
      </w:tblGrid>
      <w:tr>
        <w:trPr>
          <w:trHeight w:val="354" w:hRule="exact"/>
        </w:trPr>
        <w:tc>
          <w:tcPr>
            <w:tcW w:w="36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7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left="936" w:right="0"/>
              <w:jc w:val="left"/>
              <w:rPr>
                <w:rFonts w:ascii="Times New Roman" w:hAnsi="Times New Roman" w:cs="Times New Roman" w:eastAsia="Times New Roman" w:hint="default"/>
                <w:sz w:val="18"/>
                <w:szCs w:val="18"/>
              </w:rPr>
            </w:pPr>
            <w:r>
              <w:rPr>
                <w:rFonts w:ascii="Times New Roman"/>
                <w:sz w:val="18"/>
              </w:rPr>
              <w:t>244,598,767.60</w:t>
            </w:r>
          </w:p>
        </w:tc>
        <w:tc>
          <w:tcPr>
            <w:tcW w:w="183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39.84</w:t>
            </w:r>
          </w:p>
        </w:tc>
        <w:tc>
          <w:tcPr>
            <w:tcW w:w="21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4"/>
              <w:ind w:left="1069" w:right="0"/>
              <w:jc w:val="left"/>
              <w:rPr>
                <w:rFonts w:ascii="Times New Roman" w:hAnsi="Times New Roman" w:cs="Times New Roman" w:eastAsia="Times New Roman" w:hint="default"/>
                <w:sz w:val="18"/>
                <w:szCs w:val="18"/>
              </w:rPr>
            </w:pPr>
            <w:r>
              <w:rPr>
                <w:rFonts w:ascii="Times New Roman"/>
                <w:sz w:val="18"/>
              </w:rPr>
              <w:t>30,938,876.21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因金融资产转移而终止确认的应收账款" w:id="415"/>
      <w:bookmarkEnd w:id="41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6）转移应收账款且继续涉入形成的资产、负债金额" w:id="416"/>
      <w:bookmarkEnd w:id="41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494"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bookmarkStart w:name="2、其他应收款" w:id="417"/>
      <w:bookmarkEnd w:id="41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418"/>
      <w:bookmarkEnd w:id="41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658,102,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383.07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42,977,4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615,124,9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14.58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362,888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,775.85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99.19%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19,766,21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343,122,55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8.82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8,184,00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8,184,007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2,974,9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89.20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0.81%</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2,974,989.2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666,286,</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390.15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42,977,4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68.49</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623,308,9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21.66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365,863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,765.05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19,766,21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7.03</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346,097,54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8.02</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t>期末单项金额重大并单项计提坏账准备的其他应收款：</w:t>
      </w:r>
    </w:p>
    <w:p>
      <w:pPr>
        <w:spacing w:line="240" w:lineRule="auto" w:before="10"/>
        <w:rPr>
          <w:rFonts w:ascii="宋体" w:hAnsi="宋体" w:cs="宋体" w:eastAsia="宋体" w:hint="default"/>
          <w:sz w:val="20"/>
          <w:szCs w:val="20"/>
        </w:rPr>
      </w:pPr>
    </w:p>
    <w:p>
      <w:pPr>
        <w:pStyle w:val="BodyText"/>
        <w:spacing w:line="489" w:lineRule="auto"/>
        <w:ind w:left="113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组合中，按账龄分析法计提坏账准备的其他应收款：</w:t>
      </w:r>
    </w:p>
    <w:p>
      <w:pPr>
        <w:spacing w:before="85"/>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525,197,427.41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26,259,871.37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118,834,899.16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11,883,489.92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414" w:hRule="exact"/>
        </w:trPr>
        <w:tc>
          <w:tcPr>
            <w:tcW w:w="248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10"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12,383,500.00</w:t>
            </w:r>
          </w:p>
        </w:tc>
        <w:tc>
          <w:tcPr>
            <w:tcW w:w="23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3,715,050.00</w:t>
            </w:r>
          </w:p>
        </w:tc>
        <w:tc>
          <w:tcPr>
            <w:tcW w:w="23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1,087,083.00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543,541.50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119,789.00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95,831.20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479,684.50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479,684.50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658,102,383.07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42,977,468.49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6"/>
          <w:szCs w:val="6"/>
        </w:rPr>
      </w:pPr>
    </w:p>
    <w:p>
      <w:pPr>
        <w:pStyle w:val="BodyText"/>
        <w:spacing w:line="518" w:lineRule="auto" w:before="44"/>
        <w:ind w:left="1134" w:right="6252"/>
        <w:jc w:val="left"/>
      </w:pPr>
      <w:r>
        <w:rPr/>
        <w:t>确定该组合依据的说明： 组合中，采用余额百分比法计提坏账准备的其他应收款：</w:t>
      </w:r>
    </w:p>
    <w:p>
      <w:pPr>
        <w:pStyle w:val="BodyText"/>
        <w:spacing w:line="489" w:lineRule="auto" w:before="63"/>
        <w:ind w:left="1134"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4"/>
        </w:rPr>
        <w:t> </w:t>
      </w:r>
      <w:r>
        <w:rPr>
          <w:rFonts w:ascii="宋体" w:hAnsi="宋体" w:cs="宋体" w:eastAsia="宋体" w:hint="default"/>
          <w:b/>
          <w:bCs/>
        </w:rPr>
        <w:t>不适用</w:t>
      </w:r>
      <w:r>
        <w:rPr>
          <w:rFonts w:ascii="宋体" w:hAnsi="宋体" w:cs="宋体" w:eastAsia="宋体" w:hint="default"/>
          <w:b/>
          <w:bCs/>
          <w:w w:val="99"/>
        </w:rPr>
        <w:t> </w:t>
      </w:r>
      <w:r>
        <w:rPr/>
        <w:t>组合中，采用其他方法计提坏账准备的其他应收款：</w:t>
      </w:r>
    </w:p>
    <w:p>
      <w:pPr>
        <w:spacing w:before="8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3"/>
          <w:szCs w:val="13"/>
        </w:rPr>
      </w:pPr>
    </w:p>
    <w:p>
      <w:pPr>
        <w:pStyle w:val="Heading3"/>
        <w:spacing w:line="240" w:lineRule="auto"/>
        <w:ind w:right="0"/>
        <w:jc w:val="left"/>
        <w:rPr>
          <w:b w:val="0"/>
          <w:bCs w:val="0"/>
        </w:rPr>
      </w:pPr>
      <w:bookmarkStart w:name="（2）本期计提、收回或转回的坏账准备情况" w:id="419"/>
      <w:bookmarkEnd w:id="4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本期计提坏账准备金额</w:t>
      </w:r>
      <w:r>
        <w:rPr>
          <w:spacing w:val="-49"/>
        </w:rPr>
        <w:t> </w:t>
      </w:r>
      <w:r>
        <w:rPr>
          <w:rFonts w:ascii="Times New Roman" w:hAnsi="Times New Roman" w:cs="Times New Roman" w:eastAsia="Times New Roman" w:hint="default"/>
        </w:rPr>
        <w:t>23,211,251.46</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25"/>
          <w:szCs w:val="25"/>
        </w:rPr>
      </w:pPr>
    </w:p>
    <w:p>
      <w:pPr>
        <w:pStyle w:val="Heading3"/>
        <w:spacing w:line="240" w:lineRule="auto"/>
        <w:ind w:left="1133" w:right="0"/>
        <w:jc w:val="left"/>
        <w:rPr>
          <w:b w:val="0"/>
          <w:bCs w:val="0"/>
        </w:rPr>
      </w:pPr>
      <w:bookmarkStart w:name="（3）本期实际核销的其他应收款情况" w:id="420"/>
      <w:bookmarkEnd w:id="42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32"/>
          <w:szCs w:val="32"/>
        </w:rPr>
      </w:pPr>
    </w:p>
    <w:p>
      <w:pPr>
        <w:pStyle w:val="BodyText"/>
        <w:spacing w:line="240" w:lineRule="auto"/>
        <w:ind w:left="1493" w:right="0"/>
        <w:jc w:val="left"/>
      </w:pPr>
      <w:r>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3"/>
        <w:spacing w:line="240" w:lineRule="auto"/>
        <w:ind w:left="1133" w:right="0"/>
        <w:jc w:val="left"/>
        <w:rPr>
          <w:b w:val="0"/>
          <w:bCs w:val="0"/>
        </w:rPr>
      </w:pPr>
      <w:bookmarkStart w:name="（4）其他应收款按款项性质分类情况" w:id="421"/>
      <w:bookmarkEnd w:id="42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651,042,745.95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355,160,599.96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6,904,858.62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4,789,315.19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其他非大额、非特殊往来款项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154,778.48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204,778.50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财务资助</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2,734,082.20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员工股权激励相关款项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8,184,007.10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2,974,989.20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666,286,390.15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365,863,765.05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422"/>
      <w:bookmarkEnd w:id="42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26" w:hRule="exact"/>
        </w:trPr>
        <w:tc>
          <w:tcPr>
            <w:tcW w:w="1684"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2" w:right="29"/>
              <w:jc w:val="left"/>
              <w:rPr>
                <w:rFonts w:ascii="宋体" w:hAnsi="宋体" w:cs="宋体" w:eastAsia="宋体" w:hint="default"/>
                <w:sz w:val="18"/>
                <w:szCs w:val="18"/>
              </w:rPr>
            </w:pPr>
            <w:r>
              <w:rPr>
                <w:rFonts w:ascii="宋体" w:hAnsi="宋体" w:cs="宋体" w:eastAsia="宋体" w:hint="default"/>
                <w:sz w:val="18"/>
                <w:szCs w:val="18"/>
              </w:rPr>
              <w:t>北京神州泰岳系统集 成有限公司</w:t>
            </w:r>
          </w:p>
        </w:tc>
        <w:tc>
          <w:tcPr>
            <w:tcW w:w="15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418,400,000.00</w:t>
            </w:r>
          </w:p>
        </w:tc>
        <w:tc>
          <w:tcPr>
            <w:tcW w:w="155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62.80%</w:t>
            </w:r>
          </w:p>
        </w:tc>
        <w:tc>
          <w:tcPr>
            <w:tcW w:w="16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20,920,000.00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神州泰岳</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105,123,475.95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9,798,240.30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北京泰岳智桥信息技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奇点新源国际技术开 发公司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5,925,000.00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宁波普金通信设备有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14,019,270.00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2,136,081.00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646,042,745.95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41,629,321.30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423"/>
      <w:bookmarkEnd w:id="42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2,021,696,467.94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1,980,980,467.94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1,964,054,243.01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1,964,054,243.01</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451,377,685.79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451,377,685.79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478,253,503.63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478,253,503.63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2,473,074,153.73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2,432,358,153.73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2,442,307,746.64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2,442,307,746.64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24"/>
      <w:bookmarkEnd w:id="42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北京新媒传信科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12,348,720.16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12,348,720.16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北京神州泰岳通 信技术有限公司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4,310,800.00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4,310,800.00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北京神州泰岳信 息安全技术有限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重庆新媒农信科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北京互联时代通 讯科技有限公司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6,977,459.86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6,977,459.86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北京神州泰岳系</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73" w:hRule="exact"/>
        </w:trPr>
        <w:tc>
          <w:tcPr>
            <w:tcW w:w="144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统集成有限公司</w:t>
            </w:r>
          </w:p>
        </w:tc>
        <w:tc>
          <w:tcPr>
            <w:tcW w:w="1336" w:type="dxa"/>
            <w:tcBorders>
              <w:top w:val="single" w:sz="10" w:space="0" w:color="000000"/>
              <w:left w:val="single" w:sz="4" w:space="0" w:color="000000"/>
              <w:bottom w:val="single" w:sz="4" w:space="0" w:color="000000"/>
              <w:right w:val="single" w:sz="4" w:space="0" w:color="000000"/>
            </w:tcBorders>
          </w:tcPr>
          <w:p>
            <w:pPr/>
          </w:p>
        </w:tc>
        <w:tc>
          <w:tcPr>
            <w:tcW w:w="1336" w:type="dxa"/>
            <w:tcBorders>
              <w:top w:val="single" w:sz="10" w:space="0" w:color="000000"/>
              <w:left w:val="single" w:sz="4" w:space="0" w:color="000000"/>
              <w:bottom w:val="single" w:sz="4" w:space="0" w:color="000000"/>
              <w:right w:val="single" w:sz="4" w:space="0" w:color="000000"/>
            </w:tcBorders>
          </w:tcPr>
          <w:p>
            <w:pPr/>
          </w:p>
        </w:tc>
        <w:tc>
          <w:tcPr>
            <w:tcW w:w="1334" w:type="dxa"/>
            <w:tcBorders>
              <w:top w:val="single" w:sz="10" w:space="0" w:color="000000"/>
              <w:left w:val="single" w:sz="4" w:space="0" w:color="000000"/>
              <w:bottom w:val="single" w:sz="4" w:space="0" w:color="000000"/>
              <w:right w:val="single" w:sz="4" w:space="0" w:color="000000"/>
            </w:tcBorders>
          </w:tcPr>
          <w:p>
            <w:pPr/>
          </w:p>
        </w:tc>
        <w:tc>
          <w:tcPr>
            <w:tcW w:w="1336" w:type="dxa"/>
            <w:tcBorders>
              <w:top w:val="single" w:sz="10" w:space="0" w:color="000000"/>
              <w:left w:val="single" w:sz="4" w:space="0" w:color="000000"/>
              <w:bottom w:val="single" w:sz="4" w:space="0" w:color="000000"/>
              <w:right w:val="single" w:sz="4" w:space="0" w:color="000000"/>
            </w:tcBorders>
          </w:tcPr>
          <w:p>
            <w:pPr/>
          </w:p>
        </w:tc>
        <w:tc>
          <w:tcPr>
            <w:tcW w:w="1389" w:type="dxa"/>
            <w:tcBorders>
              <w:top w:val="single" w:sz="10" w:space="0" w:color="000000"/>
              <w:left w:val="single" w:sz="4" w:space="0" w:color="000000"/>
              <w:bottom w:val="single" w:sz="4" w:space="0" w:color="000000"/>
              <w:right w:val="single" w:sz="4" w:space="0" w:color="000000"/>
            </w:tcBorders>
          </w:tcPr>
          <w:p>
            <w:pPr/>
          </w:p>
        </w:tc>
        <w:tc>
          <w:tcPr>
            <w:tcW w:w="1390" w:type="dxa"/>
            <w:tcBorders>
              <w:top w:val="single" w:sz="10"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53"/>
              <w:jc w:val="left"/>
              <w:rPr>
                <w:rFonts w:ascii="宋体" w:hAnsi="宋体" w:cs="宋体" w:eastAsia="宋体" w:hint="default"/>
                <w:sz w:val="18"/>
                <w:szCs w:val="18"/>
              </w:rPr>
            </w:pPr>
            <w:r>
              <w:rPr>
                <w:rFonts w:ascii="宋体" w:hAnsi="宋体" w:cs="宋体" w:eastAsia="宋体" w:hint="default"/>
                <w:sz w:val="18"/>
                <w:szCs w:val="18"/>
              </w:rPr>
              <w:t>宁波普天通信技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7"/>
              <w:ind w:left="22" w:right="153"/>
              <w:jc w:val="left"/>
              <w:rPr>
                <w:rFonts w:ascii="宋体" w:hAnsi="宋体" w:cs="宋体" w:eastAsia="宋体" w:hint="default"/>
                <w:sz w:val="18"/>
                <w:szCs w:val="18"/>
              </w:rPr>
            </w:pPr>
            <w:r>
              <w:rPr>
                <w:rFonts w:ascii="宋体" w:hAnsi="宋体" w:cs="宋体" w:eastAsia="宋体" w:hint="default"/>
                <w:sz w:val="18"/>
                <w:szCs w:val="18"/>
              </w:rPr>
              <w:t>宁波普金通讯设 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15,800,065.45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15,800,065.45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23"/>
              <w:jc w:val="left"/>
              <w:rPr>
                <w:rFonts w:ascii="宋体" w:hAnsi="宋体" w:cs="宋体" w:eastAsia="宋体" w:hint="default"/>
                <w:sz w:val="18"/>
                <w:szCs w:val="18"/>
              </w:rPr>
            </w:pPr>
            <w:r>
              <w:rPr>
                <w:rFonts w:ascii="宋体" w:hAnsi="宋体" w:cs="宋体" w:eastAsia="宋体" w:hint="default"/>
                <w:sz w:val="18"/>
                <w:szCs w:val="18"/>
              </w:rPr>
              <w:t>奇点新源国际技 </w:t>
            </w:r>
            <w:r>
              <w:rPr>
                <w:rFonts w:ascii="宋体" w:hAnsi="宋体" w:cs="宋体" w:eastAsia="宋体" w:hint="default"/>
                <w:spacing w:val="-7"/>
                <w:sz w:val="18"/>
                <w:szCs w:val="18"/>
              </w:rPr>
              <w:t>术开发（北京）有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7"/>
              <w:ind w:left="22" w:right="-37"/>
              <w:jc w:val="left"/>
              <w:rPr>
                <w:rFonts w:ascii="宋体" w:hAnsi="宋体" w:cs="宋体" w:eastAsia="宋体" w:hint="default"/>
                <w:sz w:val="18"/>
                <w:szCs w:val="18"/>
              </w:rPr>
            </w:pPr>
            <w:r>
              <w:rPr>
                <w:rFonts w:ascii="宋体" w:hAnsi="宋体" w:cs="宋体" w:eastAsia="宋体" w:hint="default"/>
                <w:sz w:val="18"/>
                <w:szCs w:val="18"/>
              </w:rPr>
              <w:t>神州泰岳（香港）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66,567,197.54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66,567,197.54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53"/>
              <w:jc w:val="left"/>
              <w:rPr>
                <w:rFonts w:ascii="宋体" w:hAnsi="宋体" w:cs="宋体" w:eastAsia="宋体" w:hint="default"/>
                <w:sz w:val="18"/>
                <w:szCs w:val="18"/>
              </w:rPr>
            </w:pPr>
            <w:r>
              <w:rPr>
                <w:rFonts w:ascii="宋体" w:hAnsi="宋体" w:cs="宋体" w:eastAsia="宋体" w:hint="default"/>
                <w:sz w:val="18"/>
                <w:szCs w:val="18"/>
              </w:rPr>
              <w:t>北京广通神州网 络技术有限公司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53"/>
              <w:jc w:val="both"/>
              <w:rPr>
                <w:rFonts w:ascii="宋体" w:hAnsi="宋体" w:cs="宋体" w:eastAsia="宋体" w:hint="default"/>
                <w:sz w:val="18"/>
                <w:szCs w:val="18"/>
              </w:rPr>
            </w:pPr>
            <w:r>
              <w:rPr>
                <w:rFonts w:ascii="宋体" w:hAnsi="宋体" w:cs="宋体" w:eastAsia="宋体" w:hint="default"/>
                <w:sz w:val="18"/>
                <w:szCs w:val="18"/>
              </w:rPr>
              <w:t>北京神州泰岳智 能数据技术有限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53"/>
              <w:jc w:val="left"/>
              <w:rPr>
                <w:rFonts w:ascii="宋体" w:hAnsi="宋体" w:cs="宋体" w:eastAsia="宋体" w:hint="default"/>
                <w:sz w:val="18"/>
                <w:szCs w:val="18"/>
              </w:rPr>
            </w:pPr>
            <w:r>
              <w:rPr>
                <w:rFonts w:ascii="宋体" w:hAnsi="宋体" w:cs="宋体" w:eastAsia="宋体" w:hint="default"/>
                <w:sz w:val="18"/>
                <w:szCs w:val="18"/>
              </w:rPr>
              <w:t>天津壳木软件有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1,210,100,000.00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40,716,000.00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40,716,000.00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53"/>
              <w:jc w:val="left"/>
              <w:rPr>
                <w:rFonts w:ascii="宋体" w:hAnsi="宋体" w:cs="宋体" w:eastAsia="宋体" w:hint="default"/>
                <w:sz w:val="18"/>
                <w:szCs w:val="18"/>
              </w:rPr>
            </w:pPr>
            <w:r>
              <w:rPr>
                <w:rFonts w:ascii="宋体" w:hAnsi="宋体" w:cs="宋体" w:eastAsia="宋体" w:hint="default"/>
                <w:sz w:val="18"/>
                <w:szCs w:val="18"/>
              </w:rPr>
              <w:t>天津泰岳小漫科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22" w:right="153"/>
              <w:jc w:val="left"/>
              <w:rPr>
                <w:rFonts w:ascii="宋体" w:hAnsi="宋体" w:cs="宋体" w:eastAsia="宋体" w:hint="default"/>
                <w:sz w:val="18"/>
                <w:szCs w:val="18"/>
              </w:rPr>
            </w:pPr>
            <w:r>
              <w:rPr>
                <w:rFonts w:ascii="宋体" w:hAnsi="宋体" w:cs="宋体" w:eastAsia="宋体" w:hint="default"/>
                <w:sz w:val="18"/>
                <w:szCs w:val="18"/>
              </w:rPr>
              <w:t>北京神州祥升科 技软件有限公司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32,453,024.93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32,453,024.93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2" w:right="153"/>
              <w:jc w:val="left"/>
              <w:rPr>
                <w:rFonts w:ascii="宋体" w:hAnsi="宋体" w:cs="宋体" w:eastAsia="宋体" w:hint="default"/>
                <w:sz w:val="18"/>
                <w:szCs w:val="18"/>
              </w:rPr>
            </w:pPr>
            <w:r>
              <w:rPr>
                <w:rFonts w:ascii="宋体" w:hAnsi="宋体" w:cs="宋体" w:eastAsia="宋体" w:hint="default"/>
                <w:sz w:val="18"/>
                <w:szCs w:val="18"/>
              </w:rPr>
              <w:t>北京融聚世界网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22" w:right="153"/>
              <w:jc w:val="left"/>
              <w:rPr>
                <w:rFonts w:ascii="宋体" w:hAnsi="宋体" w:cs="宋体" w:eastAsia="宋体" w:hint="default"/>
                <w:sz w:val="18"/>
                <w:szCs w:val="18"/>
              </w:rPr>
            </w:pPr>
            <w:r>
              <w:rPr>
                <w:rFonts w:ascii="宋体" w:hAnsi="宋体" w:cs="宋体" w:eastAsia="宋体" w:hint="default"/>
                <w:sz w:val="18"/>
                <w:szCs w:val="18"/>
              </w:rPr>
              <w:t>北京神州泰岳教 育科技有限公司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1,964,054,243.01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61,953,024.93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7" w:right="0"/>
              <w:jc w:val="left"/>
              <w:rPr>
                <w:rFonts w:ascii="Times New Roman" w:hAnsi="Times New Roman" w:cs="Times New Roman" w:eastAsia="Times New Roman" w:hint="default"/>
                <w:sz w:val="18"/>
                <w:szCs w:val="18"/>
              </w:rPr>
            </w:pPr>
            <w:r>
              <w:rPr>
                <w:rFonts w:ascii="Times New Roman"/>
                <w:sz w:val="18"/>
              </w:rPr>
              <w:t>4,310,800.00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2,021,696,467.94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40,716,000.00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40,716,000.00</w:t>
            </w:r>
          </w:p>
        </w:tc>
      </w:tr>
    </w:tbl>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2）对联营、合营企业投资" w:id="425"/>
      <w:bookmarkEnd w:id="42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2" w:right="0"/>
              <w:jc w:val="left"/>
              <w:rPr>
                <w:rFonts w:ascii="宋体" w:hAnsi="宋体" w:cs="宋体" w:eastAsia="宋体" w:hint="default"/>
                <w:sz w:val="15"/>
                <w:szCs w:val="15"/>
              </w:rPr>
            </w:pPr>
            <w:r>
              <w:rPr>
                <w:rFonts w:ascii="宋体" w:hAnsi="宋体" w:cs="宋体" w:eastAsia="宋体" w:hint="default"/>
                <w:sz w:val="15"/>
                <w:szCs w:val="15"/>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p>
          <w:p>
            <w:pPr>
              <w:pStyle w:val="TableParagraph"/>
              <w:spacing w:line="381" w:lineRule="auto"/>
              <w:ind w:left="93" w:right="92"/>
              <w:jc w:val="left"/>
              <w:rPr>
                <w:rFonts w:ascii="宋体" w:hAnsi="宋体" w:cs="宋体" w:eastAsia="宋体" w:hint="default"/>
                <w:sz w:val="15"/>
                <w:szCs w:val="15"/>
              </w:rPr>
            </w:pPr>
            <w:r>
              <w:rPr>
                <w:rFonts w:ascii="宋体" w:hAnsi="宋体" w:cs="宋体" w:eastAsia="宋体" w:hint="default"/>
                <w:sz w:val="15"/>
                <w:szCs w:val="15"/>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93" w:right="93"/>
              <w:jc w:val="both"/>
              <w:rPr>
                <w:rFonts w:ascii="宋体" w:hAnsi="宋体" w:cs="宋体" w:eastAsia="宋体" w:hint="default"/>
                <w:sz w:val="15"/>
                <w:szCs w:val="15"/>
              </w:rPr>
            </w:pPr>
            <w:r>
              <w:rPr>
                <w:rFonts w:ascii="宋体" w:hAnsi="宋体" w:cs="宋体" w:eastAsia="宋体" w:hint="default"/>
                <w:sz w:val="15"/>
                <w:szCs w:val="15"/>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93" w:right="92"/>
              <w:jc w:val="left"/>
              <w:rPr>
                <w:rFonts w:ascii="宋体" w:hAnsi="宋体" w:cs="宋体" w:eastAsia="宋体" w:hint="default"/>
                <w:sz w:val="15"/>
                <w:szCs w:val="15"/>
              </w:rPr>
            </w:pPr>
            <w:r>
              <w:rPr>
                <w:rFonts w:ascii="宋体" w:hAnsi="宋体" w:cs="宋体" w:eastAsia="宋体" w:hint="default"/>
                <w:sz w:val="15"/>
                <w:szCs w:val="15"/>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243" w:right="92" w:hanging="150"/>
              <w:jc w:val="left"/>
              <w:rPr>
                <w:rFonts w:ascii="宋体" w:hAnsi="宋体" w:cs="宋体" w:eastAsia="宋体" w:hint="default"/>
                <w:sz w:val="15"/>
                <w:szCs w:val="15"/>
              </w:rPr>
            </w:pPr>
            <w:r>
              <w:rPr>
                <w:rFonts w:ascii="宋体" w:hAnsi="宋体" w:cs="宋体" w:eastAsia="宋体" w:hint="default"/>
                <w:sz w:val="15"/>
                <w:szCs w:val="15"/>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93" w:right="92"/>
              <w:jc w:val="both"/>
              <w:rPr>
                <w:rFonts w:ascii="宋体" w:hAnsi="宋体" w:cs="宋体" w:eastAsia="宋体" w:hint="default"/>
                <w:sz w:val="15"/>
                <w:szCs w:val="15"/>
              </w:rPr>
            </w:pPr>
            <w:r>
              <w:rPr>
                <w:rFonts w:ascii="宋体" w:hAnsi="宋体" w:cs="宋体" w:eastAsia="宋体" w:hint="default"/>
                <w:sz w:val="15"/>
                <w:szCs w:val="15"/>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243" w:right="93" w:hanging="150"/>
              <w:jc w:val="left"/>
              <w:rPr>
                <w:rFonts w:ascii="宋体" w:hAnsi="宋体" w:cs="宋体" w:eastAsia="宋体" w:hint="default"/>
                <w:sz w:val="15"/>
                <w:szCs w:val="15"/>
              </w:rPr>
            </w:pPr>
            <w:r>
              <w:rPr>
                <w:rFonts w:ascii="宋体" w:hAnsi="宋体" w:cs="宋体" w:eastAsia="宋体" w:hint="default"/>
                <w:sz w:val="15"/>
                <w:szCs w:val="15"/>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129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2" w:right="161"/>
              <w:jc w:val="both"/>
              <w:rPr>
                <w:rFonts w:ascii="宋体" w:hAnsi="宋体" w:cs="宋体" w:eastAsia="宋体" w:hint="default"/>
                <w:sz w:val="15"/>
                <w:szCs w:val="15"/>
              </w:rPr>
            </w:pPr>
            <w:r>
              <w:rPr>
                <w:rFonts w:ascii="宋体" w:hAnsi="宋体" w:cs="宋体" w:eastAsia="宋体" w:hint="default"/>
                <w:sz w:val="15"/>
                <w:szCs w:val="15"/>
              </w:rPr>
              <w:t>深圳市前 海泰岳梧 桐投资基 金管理有</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1,000,000.0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 w:right="0"/>
              <w:jc w:val="left"/>
              <w:rPr>
                <w:rFonts w:ascii="Times New Roman" w:hAnsi="Times New Roman" w:cs="Times New Roman" w:eastAsia="Times New Roman" w:hint="default"/>
                <w:sz w:val="15"/>
                <w:szCs w:val="15"/>
              </w:rPr>
            </w:pPr>
            <w:r>
              <w:rPr>
                <w:rFonts w:ascii="Times New Roman"/>
                <w:sz w:val="15"/>
              </w:rPr>
              <w:t>-309,573.50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90" w:right="0"/>
              <w:jc w:val="left"/>
              <w:rPr>
                <w:rFonts w:ascii="Times New Roman" w:hAnsi="Times New Roman" w:cs="Times New Roman" w:eastAsia="Times New Roman" w:hint="default"/>
                <w:sz w:val="15"/>
                <w:szCs w:val="15"/>
              </w:rPr>
            </w:pPr>
            <w:r>
              <w:rPr>
                <w:rFonts w:ascii="Times New Roman"/>
                <w:sz w:val="15"/>
              </w:rPr>
              <w:t>690,426.50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420" w:bottom="1160" w:left="0" w:right="0"/>
        </w:sect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73" w:hRule="exact"/>
        </w:trPr>
        <w:tc>
          <w:tcPr>
            <w:tcW w:w="7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98"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c>
          <w:tcPr>
            <w:tcW w:w="798" w:type="dxa"/>
            <w:tcBorders>
              <w:top w:val="single" w:sz="10"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4"/>
              <w:ind w:right="20"/>
              <w:jc w:val="right"/>
              <w:rPr>
                <w:rFonts w:ascii="Times New Roman" w:hAnsi="Times New Roman" w:cs="Times New Roman" w:eastAsia="Times New Roman" w:hint="default"/>
                <w:sz w:val="15"/>
                <w:szCs w:val="15"/>
              </w:rPr>
            </w:pPr>
            <w:r>
              <w:rPr>
                <w:rFonts w:ascii="Times New Roman"/>
                <w:spacing w:val="-1"/>
                <w:sz w:val="15"/>
              </w:rPr>
              <w:t>1,000,000.0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9" w:right="0"/>
              <w:jc w:val="left"/>
              <w:rPr>
                <w:rFonts w:ascii="Times New Roman" w:hAnsi="Times New Roman" w:cs="Times New Roman" w:eastAsia="Times New Roman" w:hint="default"/>
                <w:sz w:val="15"/>
                <w:szCs w:val="15"/>
              </w:rPr>
            </w:pPr>
            <w:r>
              <w:rPr>
                <w:rFonts w:ascii="Times New Roman"/>
                <w:sz w:val="15"/>
              </w:rPr>
              <w:t>-309,573.50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5"/>
                <w:szCs w:val="15"/>
              </w:rPr>
            </w:pPr>
            <w:r>
              <w:rPr>
                <w:rFonts w:ascii="Times New Roman"/>
                <w:sz w:val="15"/>
              </w:rPr>
              <w:t>690,426.50</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161"/>
              <w:jc w:val="both"/>
              <w:rPr>
                <w:rFonts w:ascii="宋体" w:hAnsi="宋体" w:cs="宋体" w:eastAsia="宋体" w:hint="default"/>
                <w:sz w:val="15"/>
                <w:szCs w:val="15"/>
              </w:rPr>
            </w:pPr>
            <w:r>
              <w:rPr>
                <w:rFonts w:ascii="宋体" w:hAnsi="宋体" w:cs="宋体" w:eastAsia="宋体" w:hint="default"/>
                <w:sz w:val="15"/>
                <w:szCs w:val="15"/>
              </w:rPr>
              <w:t>大连华信 计算机技 术股份有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5" w:right="0"/>
              <w:jc w:val="left"/>
              <w:rPr>
                <w:rFonts w:ascii="Times New Roman" w:hAnsi="Times New Roman" w:cs="Times New Roman" w:eastAsia="Times New Roman" w:hint="default"/>
                <w:sz w:val="15"/>
                <w:szCs w:val="15"/>
              </w:rPr>
            </w:pPr>
            <w:r>
              <w:rPr>
                <w:rFonts w:ascii="Times New Roman"/>
                <w:sz w:val="15"/>
              </w:rPr>
              <w:t>119,363,61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2" w:right="0"/>
              <w:jc w:val="left"/>
              <w:rPr>
                <w:rFonts w:ascii="Times New Roman" w:hAnsi="Times New Roman" w:cs="Times New Roman" w:eastAsia="Times New Roman" w:hint="default"/>
                <w:sz w:val="15"/>
                <w:szCs w:val="15"/>
              </w:rPr>
            </w:pPr>
            <w:r>
              <w:rPr>
                <w:rFonts w:ascii="Times New Roman"/>
                <w:sz w:val="15"/>
              </w:rPr>
              <w:t>3.10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15"/>
                <w:szCs w:val="15"/>
              </w:rPr>
            </w:pPr>
            <w:r>
              <w:rPr>
                <w:rFonts w:ascii="Times New Roman"/>
                <w:spacing w:val="-1"/>
                <w:sz w:val="15"/>
              </w:rPr>
              <w:t>13,130,086.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209,134.92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-137,828.04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-19,800,000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4" w:right="0"/>
              <w:jc w:val="left"/>
              <w:rPr>
                <w:rFonts w:ascii="Times New Roman" w:hAnsi="Times New Roman" w:cs="Times New Roman" w:eastAsia="Times New Roman" w:hint="default"/>
                <w:sz w:val="15"/>
                <w:szCs w:val="15"/>
              </w:rPr>
            </w:pPr>
            <w:r>
              <w:rPr>
                <w:rFonts w:ascii="Times New Roman"/>
                <w:sz w:val="15"/>
              </w:rPr>
              <w:t>112,765,00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6.90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1"/>
              <w:ind w:left="22" w:right="161"/>
              <w:jc w:val="left"/>
              <w:rPr>
                <w:rFonts w:ascii="宋体" w:hAnsi="宋体" w:cs="宋体" w:eastAsia="宋体" w:hint="default"/>
                <w:sz w:val="15"/>
                <w:szCs w:val="15"/>
              </w:rPr>
            </w:pPr>
            <w:r>
              <w:rPr>
                <w:rFonts w:ascii="宋体" w:hAnsi="宋体" w:cs="宋体" w:eastAsia="宋体" w:hint="default"/>
                <w:sz w:val="15"/>
                <w:szCs w:val="15"/>
              </w:rPr>
              <w:t>神州泰岳 顶策科技</w:t>
            </w:r>
          </w:p>
          <w:p>
            <w:pPr>
              <w:pStyle w:val="TableParagraph"/>
              <w:spacing w:line="384" w:lineRule="auto" w:before="28"/>
              <w:ind w:left="22" w:right="21"/>
              <w:jc w:val="left"/>
              <w:rPr>
                <w:rFonts w:ascii="宋体" w:hAnsi="宋体" w:cs="宋体" w:eastAsia="宋体" w:hint="default"/>
                <w:sz w:val="15"/>
                <w:szCs w:val="15"/>
              </w:rPr>
            </w:pPr>
            <w:r>
              <w:rPr>
                <w:rFonts w:ascii="宋体" w:hAnsi="宋体" w:cs="宋体" w:eastAsia="宋体" w:hint="default"/>
                <w:spacing w:val="-2"/>
                <w:sz w:val="15"/>
                <w:szCs w:val="15"/>
              </w:rPr>
              <w:t>（北京）有</w:t>
            </w:r>
            <w:r>
              <w:rPr>
                <w:rFonts w:ascii="宋体" w:hAnsi="宋体" w:cs="宋体" w:eastAsia="宋体" w:hint="default"/>
                <w:sz w:val="15"/>
                <w:szCs w:val="15"/>
              </w:rPr>
              <w:t>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9,026,184.0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-14,850,000</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5,823,815.9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161"/>
              <w:jc w:val="both"/>
              <w:rPr>
                <w:rFonts w:ascii="宋体" w:hAnsi="宋体" w:cs="宋体" w:eastAsia="宋体" w:hint="default"/>
                <w:sz w:val="15"/>
                <w:szCs w:val="15"/>
              </w:rPr>
            </w:pPr>
            <w:r>
              <w:rPr>
                <w:rFonts w:ascii="宋体" w:hAnsi="宋体" w:cs="宋体" w:eastAsia="宋体" w:hint="default"/>
                <w:sz w:val="15"/>
                <w:szCs w:val="15"/>
              </w:rPr>
              <w:t>北京盈海 益讯科技 发展有限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2,019,257.8</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4,324,177.2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5"/>
              <w:jc w:val="right"/>
              <w:rPr>
                <w:rFonts w:ascii="Times New Roman" w:hAnsi="Times New Roman" w:cs="Times New Roman" w:eastAsia="Times New Roman" w:hint="default"/>
                <w:sz w:val="15"/>
                <w:szCs w:val="15"/>
              </w:rPr>
            </w:pPr>
            <w:r>
              <w:rPr>
                <w:rFonts w:ascii="Times New Roman"/>
                <w:spacing w:val="-1"/>
                <w:sz w:val="15"/>
              </w:rPr>
              <w:t>6,343,435.1</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161"/>
              <w:jc w:val="both"/>
              <w:rPr>
                <w:rFonts w:ascii="宋体" w:hAnsi="宋体" w:cs="宋体" w:eastAsia="宋体" w:hint="default"/>
                <w:sz w:val="15"/>
                <w:szCs w:val="15"/>
              </w:rPr>
            </w:pPr>
            <w:r>
              <w:rPr>
                <w:rFonts w:ascii="宋体" w:hAnsi="宋体" w:cs="宋体" w:eastAsia="宋体" w:hint="default"/>
                <w:sz w:val="15"/>
                <w:szCs w:val="15"/>
              </w:rPr>
              <w:t>北京华泰 德丰技术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2,609,963.6</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-2,609,963.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1"/>
              <w:ind w:left="22" w:right="161"/>
              <w:jc w:val="both"/>
              <w:rPr>
                <w:rFonts w:ascii="宋体" w:hAnsi="宋体" w:cs="宋体" w:eastAsia="宋体" w:hint="default"/>
                <w:sz w:val="15"/>
                <w:szCs w:val="15"/>
              </w:rPr>
            </w:pPr>
            <w:r>
              <w:rPr>
                <w:rFonts w:ascii="宋体" w:hAnsi="宋体" w:cs="宋体" w:eastAsia="宋体" w:hint="default"/>
                <w:sz w:val="15"/>
                <w:szCs w:val="15"/>
              </w:rPr>
              <w:t>宁波泰岳 梧桐投资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7,361,141.9</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-2,075,595.</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5,285,546.3</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69"/>
              <w:ind w:left="22" w:right="161"/>
              <w:jc w:val="both"/>
              <w:rPr>
                <w:rFonts w:ascii="宋体" w:hAnsi="宋体" w:cs="宋体" w:eastAsia="宋体" w:hint="default"/>
                <w:sz w:val="15"/>
                <w:szCs w:val="15"/>
              </w:rPr>
            </w:pPr>
            <w:r>
              <w:rPr>
                <w:rFonts w:ascii="宋体" w:hAnsi="宋体" w:cs="宋体" w:eastAsia="宋体" w:hint="default"/>
                <w:sz w:val="15"/>
                <w:szCs w:val="15"/>
              </w:rPr>
              <w:t>北京神州 泰岳良品 电子商务 有限公司</w:t>
            </w:r>
          </w:p>
          <w:p>
            <w:pPr>
              <w:pStyle w:val="TableParagraph"/>
              <w:spacing w:line="240" w:lineRule="auto" w:before="28"/>
              <w:ind w:left="22" w:right="0"/>
              <w:jc w:val="both"/>
              <w:rPr>
                <w:rFonts w:ascii="宋体" w:hAnsi="宋体" w:cs="宋体" w:eastAsia="宋体" w:hint="default"/>
                <w:sz w:val="15"/>
                <w:szCs w:val="15"/>
              </w:rPr>
            </w:pPr>
            <w:r>
              <w:rPr>
                <w:rFonts w:ascii="宋体" w:hAnsi="宋体" w:cs="宋体" w:eastAsia="宋体" w:hint="default"/>
                <w:sz w:val="15"/>
                <w:szCs w:val="15"/>
              </w:rPr>
              <w:t>【注】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60,248,880.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z w:val="15"/>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-12,666,529</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23,567,263.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71,149,614.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1" w:right="0"/>
              <w:jc w:val="left"/>
              <w:rPr>
                <w:rFonts w:ascii="Times New Roman" w:hAnsi="Times New Roman" w:cs="Times New Roman" w:eastAsia="Times New Roman" w:hint="default"/>
                <w:sz w:val="15"/>
                <w:szCs w:val="15"/>
              </w:rPr>
            </w:pPr>
            <w:r>
              <w:rPr>
                <w:rFonts w:ascii="Times New Roman"/>
                <w:sz w:val="15"/>
              </w:rPr>
              <w:t>200,629,04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2" w:right="0"/>
              <w:jc w:val="left"/>
              <w:rPr>
                <w:rFonts w:ascii="Times New Roman" w:hAnsi="Times New Roman" w:cs="Times New Roman" w:eastAsia="Times New Roman" w:hint="default"/>
                <w:sz w:val="15"/>
                <w:szCs w:val="15"/>
              </w:rPr>
            </w:pPr>
            <w:r>
              <w:rPr>
                <w:rFonts w:ascii="Times New Roman"/>
                <w:sz w:val="15"/>
              </w:rPr>
              <w:t>1.34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-14,850,000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5,925,991.2</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209,134.92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-137,828.04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-19,800,000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23,567,263.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0" w:right="0"/>
              <w:jc w:val="left"/>
              <w:rPr>
                <w:rFonts w:ascii="Times New Roman" w:hAnsi="Times New Roman" w:cs="Times New Roman" w:eastAsia="Times New Roman" w:hint="default"/>
                <w:sz w:val="15"/>
                <w:szCs w:val="15"/>
              </w:rPr>
            </w:pPr>
            <w:r>
              <w:rPr>
                <w:rFonts w:ascii="Times New Roman"/>
                <w:sz w:val="15"/>
              </w:rPr>
              <w:t>195,543,60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2.46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1" w:right="0"/>
              <w:jc w:val="left"/>
              <w:rPr>
                <w:rFonts w:ascii="Times New Roman" w:hAnsi="Times New Roman" w:cs="Times New Roman" w:eastAsia="Times New Roman" w:hint="default"/>
                <w:sz w:val="15"/>
                <w:szCs w:val="15"/>
              </w:rPr>
            </w:pPr>
            <w:r>
              <w:rPr>
                <w:rFonts w:ascii="Times New Roman"/>
                <w:sz w:val="15"/>
              </w:rPr>
              <w:t>200,629,04</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2" w:right="0"/>
              <w:jc w:val="left"/>
              <w:rPr>
                <w:rFonts w:ascii="Times New Roman" w:hAnsi="Times New Roman" w:cs="Times New Roman" w:eastAsia="Times New Roman" w:hint="default"/>
                <w:sz w:val="15"/>
                <w:szCs w:val="15"/>
              </w:rPr>
            </w:pPr>
            <w:r>
              <w:rPr>
                <w:rFonts w:ascii="Times New Roman"/>
                <w:sz w:val="15"/>
              </w:rPr>
              <w:t>1.34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5"/>
                <w:szCs w:val="15"/>
              </w:rPr>
            </w:pPr>
            <w:r>
              <w:rPr>
                <w:rFonts w:ascii="Times New Roman"/>
                <w:spacing w:val="-1"/>
                <w:sz w:val="15"/>
              </w:rPr>
              <w:t>1,000,000.0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-14,850,000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5,616,417.7</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209,134.92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-137,828.04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5"/>
                <w:szCs w:val="15"/>
              </w:rPr>
            </w:pPr>
            <w:r>
              <w:rPr>
                <w:rFonts w:ascii="Times New Roman"/>
                <w:spacing w:val="-1"/>
                <w:sz w:val="15"/>
              </w:rPr>
              <w:t>-19,800,000</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z w:val="15"/>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5"/>
                <w:szCs w:val="15"/>
              </w:rPr>
            </w:pPr>
            <w:r>
              <w:rPr>
                <w:rFonts w:ascii="Times New Roman"/>
                <w:spacing w:val="-1"/>
                <w:sz w:val="15"/>
              </w:rPr>
              <w:t>23,567,263.</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z w:val="15"/>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0" w:right="0"/>
              <w:jc w:val="left"/>
              <w:rPr>
                <w:rFonts w:ascii="Times New Roman" w:hAnsi="Times New Roman" w:cs="Times New Roman" w:eastAsia="Times New Roman" w:hint="default"/>
                <w:sz w:val="15"/>
                <w:szCs w:val="15"/>
              </w:rPr>
            </w:pPr>
            <w:r>
              <w:rPr>
                <w:rFonts w:ascii="Times New Roman"/>
                <w:sz w:val="15"/>
              </w:rPr>
              <w:t>196,234,02</w:t>
            </w: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01" w:right="0"/>
              <w:jc w:val="left"/>
              <w:rPr>
                <w:rFonts w:ascii="Times New Roman" w:hAnsi="Times New Roman" w:cs="Times New Roman" w:eastAsia="Times New Roman" w:hint="default"/>
                <w:sz w:val="15"/>
                <w:szCs w:val="15"/>
              </w:rPr>
            </w:pPr>
            <w:r>
              <w:rPr>
                <w:rFonts w:ascii="Times New Roman"/>
                <w:sz w:val="15"/>
              </w:rPr>
              <w:t>8.96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3）其他说明" w:id="426"/>
      <w:bookmarkEnd w:id="42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32"/>
          <w:szCs w:val="32"/>
        </w:rPr>
      </w:pPr>
    </w:p>
    <w:p>
      <w:pPr>
        <w:pStyle w:val="BodyText"/>
        <w:spacing w:line="458" w:lineRule="auto"/>
        <w:ind w:right="1063" w:firstLine="360"/>
        <w:jc w:val="left"/>
      </w:pPr>
      <w:r>
        <w:rPr/>
        <w:t>北京神州泰岳良品电子商务有限公司本报告内进行增资引入了新股东，本公司股权比例由</w:t>
      </w:r>
      <w:r>
        <w:rPr>
          <w:rFonts w:ascii="Times New Roman" w:hAnsi="Times New Roman" w:cs="Times New Roman" w:eastAsia="Times New Roman" w:hint="default"/>
        </w:rPr>
        <w:t>89%</w:t>
      </w:r>
      <w:r>
        <w:rPr/>
        <w:t>（直接持股加间接持股） 稀释到了</w:t>
      </w:r>
      <w:r>
        <w:rPr>
          <w:rFonts w:ascii="Times New Roman" w:hAnsi="Times New Roman" w:cs="Times New Roman" w:eastAsia="Times New Roman" w:hint="default"/>
        </w:rPr>
        <w:t>42.39%</w:t>
      </w:r>
      <w:r>
        <w:rPr/>
        <w:t>（直接持股加间接持股），核算方法由纳入合并范围的子公司变更为权益法核算的联营公司，北京神州泰 </w:t>
      </w:r>
      <w:r>
        <w:rPr>
          <w:spacing w:val="-2"/>
        </w:rPr>
        <w:t>岳良品电子商务有限公司于本报告期末退出合并范围。母公司单体报表追溯该事项，视同神州良品在报告期期初即为权益法</w:t>
      </w:r>
      <w:r>
        <w:rPr>
          <w:spacing w:val="-64"/>
        </w:rPr>
        <w:t> </w:t>
      </w:r>
      <w:r>
        <w:rPr>
          <w:spacing w:val="-64"/>
        </w:rPr>
      </w:r>
      <w:r>
        <w:rPr/>
        <w:t>核算的联营公司。</w:t>
      </w:r>
    </w:p>
    <w:p>
      <w:pPr>
        <w:spacing w:after="0" w:line="458" w:lineRule="auto"/>
        <w:jc w:val="left"/>
        <w:sectPr>
          <w:pgSz w:w="11910" w:h="16840"/>
          <w:pgMar w:header="851" w:footer="979" w:top="142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pStyle w:val="Heading3"/>
        <w:spacing w:line="240" w:lineRule="auto"/>
        <w:ind w:left="1133" w:right="0"/>
        <w:jc w:val="left"/>
        <w:rPr>
          <w:b w:val="0"/>
          <w:bCs w:val="0"/>
        </w:rPr>
      </w:pPr>
      <w:bookmarkStart w:name="4、营业收入和营业成本" w:id="427"/>
      <w:bookmarkEnd w:id="42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12"/>
        <w:rPr>
          <w:rFonts w:ascii="宋体" w:hAnsi="宋体" w:cs="宋体" w:eastAsia="宋体" w:hint="default"/>
          <w:sz w:val="13"/>
          <w:szCs w:val="13"/>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543,456,618.46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111,232,822.80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774,478,417.42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251,715,432.83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29,029,724.19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4,081,462.20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17,124,922.44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4,081,462.20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572,486,342.65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115,314,285.00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791,603,339.86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255,796,895.03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28"/>
      <w:bookmarkEnd w:id="42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2"/>
        <w:rPr>
          <w:rFonts w:ascii="宋体" w:hAnsi="宋体" w:cs="宋体" w:eastAsia="宋体" w:hint="default"/>
          <w:b/>
          <w:bCs/>
          <w:sz w:val="29"/>
          <w:szCs w:val="29"/>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-1,110,907.23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71,267,964.77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-6,505,752.00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3,072,692.00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3,270,222.20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23,567,263.04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股份注销确认权益工具形成收益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44,924,572.54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63,947,868.35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74,538,186.97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429"/>
      <w:bookmarkEnd w:id="42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3" w:right="0"/>
        <w:jc w:val="left"/>
        <w:rPr>
          <w:b w:val="0"/>
          <w:bCs w:val="0"/>
        </w:rPr>
      </w:pPr>
      <w:bookmarkStart w:name="1、当期非经常性损益明细表" w:id="430"/>
      <w:bookmarkEnd w:id="43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6"/>
          <w:szCs w:val="16"/>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14"/>
          <w:szCs w:val="14"/>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447,706.32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23,203,990.08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90,958.90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4,025,354.37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祥升软件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月归属母公司净利润</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5,316,960.74</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9" w:top="1380" w:bottom="1160" w:left="0" w:right="0"/>
        </w:sectPr>
      </w:pPr>
    </w:p>
    <w:p>
      <w:pPr>
        <w:spacing w:line="240" w:lineRule="auto" w:before="7"/>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14" w:hRule="exact"/>
        </w:trPr>
        <w:tc>
          <w:tcPr>
            <w:tcW w:w="332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69,461,158.34</w:t>
            </w:r>
          </w:p>
        </w:tc>
        <w:tc>
          <w:tcPr>
            <w:tcW w:w="3186"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4,160,138.23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2,459,326.05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95,926,664.47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line="240" w:lineRule="auto" w:before="8"/>
        <w:rPr>
          <w:rFonts w:ascii="宋体" w:hAnsi="宋体" w:cs="宋体" w:eastAsia="宋体" w:hint="default"/>
          <w:sz w:val="16"/>
          <w:szCs w:val="16"/>
        </w:rPr>
      </w:pPr>
    </w:p>
    <w:p>
      <w:pPr>
        <w:pStyle w:val="BodyText"/>
        <w:spacing w:line="451" w:lineRule="auto"/>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before="115"/>
        <w:ind w:left="1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101" w:type="dxa"/>
        <w:tblLayout w:type="fixed"/>
        <w:tblCellMar>
          <w:top w:w="0" w:type="dxa"/>
          <w:left w:w="0" w:type="dxa"/>
          <w:bottom w:w="0" w:type="dxa"/>
          <w:right w:w="0" w:type="dxa"/>
        </w:tblCellMar>
        <w:tblLook w:val="01E0"/>
      </w:tblPr>
      <w:tblGrid>
        <w:gridCol w:w="6692"/>
        <w:gridCol w:w="3003"/>
      </w:tblGrid>
      <w:tr>
        <w:trPr>
          <w:trHeight w:val="402" w:hRule="exact"/>
        </w:trPr>
        <w:tc>
          <w:tcPr>
            <w:tcW w:w="6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6" w:right="0"/>
              <w:jc w:val="left"/>
              <w:rPr>
                <w:rFonts w:ascii="宋体" w:hAnsi="宋体" w:cs="宋体" w:eastAsia="宋体" w:hint="default"/>
                <w:sz w:val="18"/>
                <w:szCs w:val="18"/>
              </w:rPr>
            </w:pPr>
            <w:r>
              <w:rPr>
                <w:rFonts w:ascii="宋体" w:hAnsi="宋体" w:cs="宋体" w:eastAsia="宋体" w:hint="default"/>
                <w:sz w:val="18"/>
                <w:szCs w:val="18"/>
              </w:rPr>
              <w:t>涉及金额（元）</w:t>
            </w:r>
          </w:p>
        </w:tc>
      </w:tr>
      <w:tr>
        <w:trPr>
          <w:trHeight w:val="402" w:hRule="exact"/>
        </w:trPr>
        <w:tc>
          <w:tcPr>
            <w:tcW w:w="6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对子公司丧失控制权改用权益法计量，剩余股权按公允价值重新计量产生的利得</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24,536,585.80</w:t>
            </w:r>
          </w:p>
        </w:tc>
      </w:tr>
      <w:tr>
        <w:trPr>
          <w:trHeight w:val="402" w:hRule="exact"/>
        </w:trPr>
        <w:tc>
          <w:tcPr>
            <w:tcW w:w="6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股份注销确认权益工具形成收益</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44,924,572.54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净资产收益率及每股收益" w:id="431"/>
      <w:bookmarkEnd w:id="43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0.1768</w:t>
            </w:r>
          </w:p>
        </w:tc>
      </w:tr>
      <w:tr>
        <w:trPr>
          <w:trHeight w:val="716"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0.1254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32"/>
      <w:bookmarkEnd w:id="43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33"/>
      <w:bookmarkEnd w:id="43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34"/>
      <w:bookmarkEnd w:id="43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9"/>
        <w:rPr>
          <w:rFonts w:ascii="宋体" w:hAnsi="宋体" w:cs="宋体" w:eastAsia="宋体" w:hint="default"/>
          <w:b/>
          <w:bCs/>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35"/>
      <w:bookmarkEnd w:id="43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79" w:top="138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Heading1"/>
        <w:spacing w:line="240" w:lineRule="auto" w:before="149"/>
        <w:ind w:right="1115"/>
        <w:jc w:val="center"/>
        <w:rPr>
          <w:b w:val="0"/>
          <w:bCs w:val="0"/>
        </w:rPr>
      </w:pPr>
      <w:bookmarkStart w:name="第十一节 备查文件目录" w:id="436"/>
      <w:bookmarkEnd w:id="436"/>
      <w:r>
        <w:rPr>
          <w:b w:val="0"/>
          <w:bCs w:val="0"/>
        </w:rPr>
      </w:r>
      <w:bookmarkStart w:name="_bookmark10" w:id="437"/>
      <w:bookmarkEnd w:id="437"/>
      <w:r>
        <w:rPr>
          <w:b w:val="0"/>
          <w:bCs w:val="0"/>
        </w:rPr>
      </w:r>
      <w:r>
        <w:rPr/>
        <w:t>第十一节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77" w:lineRule="auto" w:before="215"/>
        <w:ind w:right="1753"/>
        <w:jc w:val="left"/>
      </w:pPr>
      <w:r>
        <w:rPr/>
        <w:t>一、载有法定代表人王宁先生、主管会计工作负责人万能先生、会计机构负责人林红女士签名并盖章的财务报表； 二、载有会计师事务所盖章、注册会计师签名并盖章的审计报告原件； 三、报告期内在中国证监会指定报纸上公开披露过的所有公司文件的正本及公告的原稿；</w:t>
      </w:r>
    </w:p>
    <w:p>
      <w:pPr>
        <w:pStyle w:val="BodyText"/>
        <w:spacing w:line="477" w:lineRule="auto" w:before="54"/>
        <w:ind w:right="7153"/>
        <w:jc w:val="left"/>
      </w:pPr>
      <w:r>
        <w:rPr/>
        <w:t>四、其他相关资料。 以上备查文件的备置地点：公司董事会办公室</w:t>
      </w:r>
    </w:p>
    <w:sectPr>
      <w:pgSz w:w="11910" w:h="16840"/>
      <w:pgMar w:header="851" w:footer="979" w:top="138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84232" type="#_x0000_t75" stroked="false">
          <v:imagedata r:id="rId1" o:title=""/>
        </v:shape>
      </w:pict>
    </w:r>
    <w:r>
      <w:rPr/>
      <w:pict>
        <v:shape style="position:absolute;margin-left:533.179993pt;margin-top:795.517944pt;width:6.5pt;height:11pt;mso-position-horizontal-relative:page;mso-position-vertical-relative:page;z-index:-12842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84184" type="#_x0000_t75" stroked="false">
          <v:imagedata r:id="rId1" o:title=""/>
        </v:shape>
      </w:pict>
    </w:r>
    <w:r>
      <w:rPr/>
      <w:pict>
        <v:shape style="position:absolute;margin-left:527.679993pt;margin-top:781.957947pt;width:13pt;height:11pt;mso-position-horizontal-relative:page;mso-position-vertical-relative:page;z-index:-1284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84064" type="#_x0000_t75" stroked="false">
          <v:imagedata r:id="rId1" o:title=""/>
        </v:shape>
      </w:pict>
    </w:r>
    <w:r>
      <w:rPr/>
      <w:pict>
        <v:shape style="position:absolute;margin-left:524.179993pt;margin-top:781.957947pt;width:15.5pt;height:11pt;mso-position-horizontal-relative:page;mso-position-vertical-relative:page;z-index:-12840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84016" type="#_x0000_t75" stroked="false">
          <v:imagedata r:id="rId1" o:title=""/>
        </v:shape>
      </w:pict>
    </w:r>
    <w:r>
      <w:rPr/>
      <w:pict>
        <v:shape style="position:absolute;margin-left:523.179993pt;margin-top:781.957947pt;width:17.5pt;height:11pt;mso-position-horizontal-relative:page;mso-position-vertical-relative:page;z-index:-1283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83920" type="#_x0000_t75" stroked="false">
          <v:imagedata r:id="rId1" o:title=""/>
        </v:shape>
      </w:pict>
    </w:r>
    <w:r>
      <w:rPr/>
      <w:pict>
        <v:shape style="position:absolute;margin-left:524.179993pt;margin-top:781.957947pt;width:15.5pt;height:11pt;mso-position-horizontal-relative:page;mso-position-vertical-relative:page;z-index:-12838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283872" type="#_x0000_t75" stroked="false">
          <v:imagedata r:id="rId1" o:title=""/>
        </v:shape>
      </w:pict>
    </w:r>
    <w:r>
      <w:rPr/>
      <w:pict>
        <v:shape style="position:absolute;margin-left:523.179993pt;margin-top:781.957947pt;width:17.5pt;height:11pt;mso-position-horizontal-relative:page;mso-position-vertical-relative:page;z-index:-1283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52.76561pt;width:213.55pt;height:11.5pt;mso-position-horizontal-relative:page;mso-position-vertical-relative:page;z-index:-1284256"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899994pt;margin-top:42.549988pt;width:90.699997pt;height:25.5pt;mso-position-horizontal-relative:page;mso-position-vertical-relative:page;z-index:-1284136" type="#_x0000_t75" stroked="false">
          <v:imagedata r:id="rId1" o:title=""/>
        </v:shape>
      </w:pict>
    </w:r>
    <w:r>
      <w:rPr/>
      <w:pict>
        <v:group style="position:absolute;margin-left:55.200001pt;margin-top:72.059982pt;width:485pt;height:.1pt;mso-position-horizontal-relative:page;mso-position-vertical-relative:page;z-index:-1284112" coordorigin="1104,1441" coordsize="9700,2">
          <v:shape style="position:absolute;left:1104;top:1441;width:9700;height:2" coordorigin="1104,1441" coordsize="9700,0" path="m1104,1441l10804,1441e" filled="false" stroked="true" strokeweight=".72pt" strokecolor="#000000">
            <v:path arrowok="t"/>
          </v:shape>
          <w10:wrap type="none"/>
        </v:group>
      </w:pict>
    </w:r>
    <w:r>
      <w:rPr/>
      <w:pict>
        <v:shape style="position:absolute;margin-left:326.160004pt;margin-top:59.305607pt;width:213.55pt;height:11.5pt;mso-position-horizontal-relative:page;mso-position-vertical-relative:page;z-index:-1284088"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899994pt;margin-top:42.549988pt;width:90.699997pt;height:25.5pt;mso-position-horizontal-relative:page;mso-position-vertical-relative:page;z-index:-1283968" type="#_x0000_t75" stroked="false">
          <v:imagedata r:id="rId1" o:title=""/>
        </v:shape>
      </w:pict>
    </w:r>
    <w:r>
      <w:rPr/>
      <w:pict>
        <v:shape style="position:absolute;margin-left:326.160004pt;margin-top:59.305607pt;width:213.55pt;height:11.5pt;mso-position-horizontal-relative:page;mso-position-vertical-relative:page;z-index:-1283944" type="#_x0000_t202" filled="false" stroked="false">
          <v:textbox inset="0,0,0,0">
            <w:txbxContent>
              <w:p>
                <w:pPr>
                  <w:pStyle w:val="BodyText"/>
                  <w:spacing w:line="214" w:lineRule="exact"/>
                  <w:ind w:left="20" w:right="0"/>
                  <w:jc w:val="left"/>
                </w:pPr>
                <w:r>
                  <w:rPr/>
                  <w:t>北京神州泰岳软件股份有限公司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61"/>
      <w:ind w:left="1133"/>
    </w:pPr>
    <w:rPr>
      <w:rFonts w:ascii="宋体" w:hAnsi="宋体" w:eastAsia="宋体"/>
      <w:sz w:val="21"/>
      <w:szCs w:val="21"/>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114"/>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Heading4" w:type="paragraph">
    <w:name w:val="Heading 4"/>
    <w:basedOn w:val="Normal"/>
    <w:uiPriority w:val="1"/>
    <w:qFormat/>
    <w:pPr>
      <w:spacing w:before="35"/>
      <w:outlineLvl w:val="4"/>
    </w:pPr>
    <w:rPr>
      <w:rFonts w:ascii="宋体" w:hAnsi="宋体" w:eastAsia="宋体"/>
      <w:sz w:val="21"/>
      <w:szCs w:val="21"/>
    </w:rPr>
  </w:style>
  <w:style w:styleId="Heading5" w:type="paragraph">
    <w:name w:val="Heading 5"/>
    <w:basedOn w:val="Normal"/>
    <w:uiPriority w:val="1"/>
    <w:qFormat/>
    <w:pPr>
      <w:spacing w:before="72"/>
      <w:ind w:left="1134" w:firstLine="399"/>
      <w:outlineLvl w:val="5"/>
    </w:pPr>
    <w:rPr>
      <w:rFonts w:ascii="宋体" w:hAnsi="宋体" w:eastAsia="宋体"/>
      <w:sz w:val="20"/>
      <w:szCs w:val="20"/>
    </w:rPr>
  </w:style>
  <w:style w:styleId="Heading6" w:type="paragraph">
    <w:name w:val="Heading 6"/>
    <w:basedOn w:val="Normal"/>
    <w:uiPriority w:val="1"/>
    <w:qFormat/>
    <w:pPr>
      <w:ind w:left="113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baike.baidu.com/subview/1455/5443915.htm" TargetMode="External"/><Relationship Id="rId11" Type="http://schemas.openxmlformats.org/officeDocument/2006/relationships/hyperlink" Target="http://www.ultrapower.com.cn/" TargetMode="External"/><Relationship Id="rId12" Type="http://schemas.openxmlformats.org/officeDocument/2006/relationships/hyperlink" Target="mailto:IRM@ultrapower.com.cn" TargetMode="External"/><Relationship Id="rId13" Type="http://schemas.openxmlformats.org/officeDocument/2006/relationships/hyperlink" Target="http://www.cninfo.com.cn/" TargetMode="External"/><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北京神州泰岳软件股份有限公司</dc:creator>
  <dc:title>北京神州泰岳软件股份有限公司2015年年度报告全文</dc:title>
  <dcterms:created xsi:type="dcterms:W3CDTF">2020-05-04T15:27:51Z</dcterms:created>
  <dcterms:modified xsi:type="dcterms:W3CDTF">2020-05-04T15:27:51Z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