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60" w:line="240" w:lineRule="auto"/>
        <w:ind w:left="0" w:right="0" w:firstLine="0"/>
        <w:jc w:val="center"/>
        <w:rPr>
          <w:sz w:val="36"/>
          <w:szCs w:val="36"/>
        </w:rPr>
      </w:pPr>
      <w:r>
        <w:rPr>
          <w:b/>
          <w:bCs/>
          <w:color w:val="000000"/>
          <w:spacing w:val="0"/>
          <w:w w:val="100"/>
          <w:position w:val="0"/>
          <w:sz w:val="36"/>
          <w:szCs w:val="36"/>
        </w:rPr>
        <w:t>北京神州泰岳软件股份有限公司</w:t>
      </w:r>
    </w:p>
    <w:p>
      <w:pPr>
        <w:pStyle w:val="Style2"/>
        <w:keepNext w:val="0"/>
        <w:keepLines w:val="0"/>
        <w:widowControl w:val="0"/>
        <w:shd w:val="clear" w:color="auto" w:fill="auto"/>
        <w:bidi w:val="0"/>
        <w:spacing w:before="0" w:after="63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66" w:right="1008" w:bottom="286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40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470" w:lineRule="exact"/>
        <w:ind w:left="0" w:right="0"/>
        <w:jc w:val="left"/>
      </w:pPr>
      <w:r>
        <w:rPr>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8"/>
        <w:keepNext w:val="0"/>
        <w:keepLines w:val="0"/>
        <w:widowControl w:val="0"/>
        <w:shd w:val="clear" w:color="auto" w:fill="auto"/>
        <w:bidi w:val="0"/>
        <w:spacing w:before="0" w:line="466" w:lineRule="exact"/>
        <w:ind w:left="0" w:right="0"/>
        <w:jc w:val="left"/>
      </w:pPr>
      <w:r>
        <w:rPr>
          <w:color w:val="000000"/>
          <w:spacing w:val="0"/>
          <w:w w:val="100"/>
          <w:position w:val="0"/>
        </w:rPr>
        <w:t>公司负责人王宁先生、主管会计工作负责人林红女士及会计机构负责人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王辉先生声明： 保证年度报告中财务报告的真实、准确、完整。</w:t>
      </w:r>
    </w:p>
    <w:p>
      <w:pPr>
        <w:pStyle w:val="Style18"/>
        <w:keepNext w:val="0"/>
        <w:keepLines w:val="0"/>
        <w:widowControl w:val="0"/>
        <w:shd w:val="clear" w:color="auto" w:fill="auto"/>
        <w:bidi w:val="0"/>
        <w:spacing w:before="0"/>
        <w:ind w:left="0" w:right="0"/>
        <w:jc w:val="left"/>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0"/>
        <w:ind w:left="0" w:right="0"/>
        <w:jc w:val="left"/>
      </w:pPr>
      <w:r>
        <w:rPr>
          <w:color w:val="000000"/>
          <w:spacing w:val="0"/>
          <w:w w:val="100"/>
          <w:position w:val="0"/>
        </w:rPr>
        <w:t>随着公司资产规模、业务规模的扩大，在战略规划、组织机构设置、企业文化建设、资源配置、运营 管理，特别是资金管理、人才管理、内部控制等方面，都将对管理水平提出更大的挑战。</w:t>
      </w:r>
    </w:p>
    <w:p>
      <w:pPr>
        <w:pStyle w:val="Style18"/>
        <w:keepNext w:val="0"/>
        <w:keepLines w:val="0"/>
        <w:widowControl w:val="0"/>
        <w:shd w:val="clear" w:color="auto" w:fill="auto"/>
        <w:bidi w:val="0"/>
        <w:spacing w:before="0" w:after="0"/>
        <w:ind w:left="0" w:right="0"/>
        <w:jc w:val="left"/>
      </w:pPr>
      <w:r>
        <w:rPr>
          <w:color w:val="000000"/>
          <w:spacing w:val="0"/>
          <w:w w:val="100"/>
          <w:position w:val="0"/>
        </w:rPr>
        <w:t>游戏产品具有更新快、可模仿性较高、玩家喜好转换快、市场竞争激烈等特点，如果公司无法持续推 出受玩家认可的成功的游戏产品，或由于游戏研发周期延长、推广时间延长等原因造成游戏无法按计划推 出，从而造成老游戏盈利能力出现下滑时，新游戏无法成功按时推出难以弥补老游戏收入的下滑，则将对 公司的运营产生不利影响。</w:t>
      </w:r>
    </w:p>
    <w:p>
      <w:pPr>
        <w:pStyle w:val="Style18"/>
        <w:keepNext w:val="0"/>
        <w:keepLines w:val="0"/>
        <w:widowControl w:val="0"/>
        <w:shd w:val="clear" w:color="auto" w:fill="auto"/>
        <w:bidi w:val="0"/>
        <w:spacing w:before="0"/>
        <w:ind w:left="0" w:right="0"/>
        <w:jc w:val="left"/>
      </w:pPr>
      <w:r>
        <w:rPr>
          <w:color w:val="000000"/>
          <w:spacing w:val="0"/>
          <w:w w:val="100"/>
          <w:position w:val="0"/>
        </w:rPr>
        <w:t>系统集成业务是公司</w:t>
      </w:r>
      <w:r>
        <w:rPr>
          <w:rFonts w:ascii="Times New Roman" w:eastAsia="Times New Roman" w:hAnsi="Times New Roman" w:cs="Times New Roman"/>
          <w:color w:val="000000"/>
          <w:spacing w:val="0"/>
          <w:w w:val="100"/>
          <w:position w:val="0"/>
        </w:rPr>
        <w:t>ICT</w:t>
      </w:r>
      <w:r>
        <w:rPr>
          <w:color w:val="000000"/>
          <w:spacing w:val="0"/>
          <w:w w:val="100"/>
          <w:position w:val="0"/>
        </w:rPr>
        <w:t>运营管理板块中的组成部分，该业务的销售政策普遍采取赊销方式，随着 系统集成业务规模的扩大，应收款项余额加大，一旦出现呆账、死账将对公司产生不同程度的影响和损失, 近年来出现个别客户拖欠货款的情形。为此，公司一方面加强应收款项的催收管理，另一方面严控系统集 成业务的规模，进一步加强客户的信用管理（包括黑名单制度、信用额度控制、结算政策、抵押担保等）, 选择信誉度好的客户，严控信用额度与结算政策。</w:t>
      </w:r>
    </w:p>
    <w:p>
      <w:pPr>
        <w:pStyle w:val="Style18"/>
        <w:keepNext w:val="0"/>
        <w:keepLines w:val="0"/>
        <w:widowControl w:val="0"/>
        <w:shd w:val="clear" w:color="auto" w:fill="auto"/>
        <w:bidi w:val="0"/>
        <w:spacing w:before="0" w:line="466" w:lineRule="exact"/>
        <w:ind w:left="0" w:right="0"/>
        <w:jc w:val="left"/>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1,961,091,984</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 xml:space="preserve">股（含税），以资本公积金向全体股东每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1"/>
        <w:keepNext w:val="0"/>
        <w:keepLines w:val="0"/>
        <w:widowControl w:val="0"/>
        <w:shd w:val="clear" w:color="auto" w:fill="auto"/>
        <w:tabs>
          <w:tab w:pos="1138" w:val="left"/>
        </w:tabs>
        <w:bidi w:val="0"/>
        <w:spacing w:before="0" w:after="1600" w:line="240" w:lineRule="auto"/>
        <w:ind w:left="0" w:right="0" w:firstLine="0"/>
        <w:jc w:val="center"/>
        <w:rPr>
          <w:sz w:val="32"/>
          <w:szCs w:val="32"/>
        </w:rPr>
      </w:pPr>
      <w:r>
        <w:fldChar w:fldCharType="begin"/>
        <w:instrText xml:space="preserve"> TOC \o "1-5" \h \z </w:instrText>
        <w:fldChar w:fldCharType="separate"/>
      </w:r>
      <w:r>
        <w:rPr>
          <w:rFonts w:ascii="SimHei" w:eastAsia="SimHei" w:hAnsi="SimHei" w:cs="SimHei"/>
          <w:b/>
          <w:bCs/>
          <w:color w:val="000000"/>
          <w:spacing w:val="0"/>
          <w:w w:val="100"/>
          <w:position w:val="0"/>
          <w:sz w:val="32"/>
          <w:szCs w:val="32"/>
        </w:rPr>
        <w:t>目</w:t>
        <w:tab/>
        <w:t>录</w:t>
      </w:r>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pos="901" w:val="left"/>
          <w:tab w:leader="dot" w:pos="9608"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26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44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26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0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4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62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63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97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226</w:t>
        </w:r>
      </w:hyperlink>
      <w:r>
        <w:br w:type="page"/>
      </w:r>
      <w:r>
        <w:fldChar w:fldCharType="end"/>
      </w:r>
    </w:p>
    <w:tbl>
      <w:tblPr>
        <w:tblOverlap w:val="never"/>
        <w:jc w:val="center"/>
        <w:tblLayout w:type="fixed"/>
      </w:tblPr>
      <w:tblGrid>
        <w:gridCol w:w="3528"/>
        <w:gridCol w:w="619"/>
        <w:gridCol w:w="5434"/>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26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运营管理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w:t>
            </w:r>
            <w:r>
              <w:rPr>
                <w:color w:val="000000"/>
                <w:spacing w:val="0"/>
                <w:w w:val="100"/>
                <w:position w:val="0"/>
                <w:sz w:val="17"/>
                <w:szCs w:val="17"/>
              </w:rPr>
              <w:t>即信息业（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）与通信产业</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CT</w:t>
            </w:r>
            <w:r>
              <w:rPr>
                <w:color w:val="000000"/>
                <w:spacing w:val="0"/>
                <w:w w:val="100"/>
                <w:position w:val="0"/>
                <w:sz w:val="17"/>
                <w:szCs w:val="17"/>
              </w:rPr>
              <w:t>）</w:t>
            </w:r>
            <w:r>
              <w:rPr>
                <w:color w:val="000000"/>
                <w:spacing w:val="0"/>
                <w:w w:val="100"/>
                <w:position w:val="0"/>
                <w:sz w:val="17"/>
                <w:szCs w:val="17"/>
              </w:rPr>
              <w:t>的统称，</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领域运营管理 软件研发和服务（简称</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运营管理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）即通过提供软件与服务的方 式对</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基础设施、业务应用和运维体系进行全面统一的管理，及时 发现和解决故障，规范运行维护和支持服务工作，保障</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系统安全、 稳定、可靠、高效运行。</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运营管理产品线主要涵盖</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网管、通信专业网管、流程管 理、信息安全管理、拨测及网络优化、移动互联网运营（包括飞信、 融合通信、农信通）、系统集成等。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手机游戏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手机游戏是指运行于手机上的游戏软件。随着科技的发展，智能手机 日益普及，手机游戏产品画面日益精细、</w:t>
            </w:r>
            <w:r>
              <w:rPr>
                <w:rFonts w:ascii="Times New Roman" w:eastAsia="Times New Roman" w:hAnsi="Times New Roman" w:cs="Times New Roman"/>
                <w:color w:val="000000"/>
                <w:spacing w:val="0"/>
                <w:w w:val="100"/>
                <w:position w:val="0"/>
                <w:sz w:val="18"/>
                <w:szCs w:val="18"/>
              </w:rPr>
              <w:t>3D</w:t>
            </w:r>
            <w:r>
              <w:rPr>
                <w:color w:val="000000"/>
                <w:spacing w:val="0"/>
                <w:w w:val="100"/>
                <w:position w:val="0"/>
                <w:sz w:val="17"/>
                <w:szCs w:val="17"/>
              </w:rPr>
              <w:t>效果逼真、除了键盘操 作，还有触摸屏操作、屏幕感应操作、重力感应操作等，具有很强的 娱乐性、竞技性和交互性。手游市场处于高速增长时期。</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人工智能及大数据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在人工智能和大数据快速迭代的发展进程中，人工智能涉及的感知技 术（视觉识别和语音识别等）之外的认知技术（自然语言语义识别）， 以及非结构化文本大数据的分析挖掘等都是与自然语言处理（</w:t>
            </w:r>
            <w:r>
              <w:rPr>
                <w:rFonts w:ascii="Times New Roman" w:eastAsia="Times New Roman" w:hAnsi="Times New Roman" w:cs="Times New Roman"/>
                <w:color w:val="000000"/>
                <w:spacing w:val="0"/>
                <w:w w:val="100"/>
                <w:position w:val="0"/>
                <w:sz w:val="18"/>
                <w:szCs w:val="18"/>
              </w:rPr>
              <w:t>NLP</w:t>
            </w:r>
            <w:r>
              <w:rPr>
                <w:color w:val="000000"/>
                <w:spacing w:val="0"/>
                <w:w w:val="100"/>
                <w:position w:val="0"/>
                <w:sz w:val="17"/>
                <w:szCs w:val="17"/>
              </w:rPr>
              <w:t xml:space="preserve">） </w:t>
            </w:r>
            <w:r>
              <w:rPr>
                <w:color w:val="000000"/>
                <w:spacing w:val="0"/>
                <w:w w:val="100"/>
                <w:position w:val="0"/>
                <w:sz w:val="17"/>
                <w:szCs w:val="17"/>
              </w:rPr>
              <w:t>密切相关的。公司在自主研发的基于概念计算的智慧语义认知技术基 础上，推出了业界首款完全面向业务建模的</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sz w:val="17"/>
                <w:szCs w:val="17"/>
              </w:rPr>
              <w:t xml:space="preserve">非结构化文 本分析挖掘平台，为人工智能和大数据的应用场景创新提供了强大的 技术平台的支持。公司基于领先的自然语言语义理解技术和 </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sz w:val="17"/>
                <w:szCs w:val="17"/>
              </w:rPr>
              <w:t>平台，提出并构建了人工智能认知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的三大产品战略：泰 岳语义云、人工智能和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云服务，通过三大战略构成了公司人工 智能和大数据的商业生态。目前公司已经广泛服务于银行、保险、证 券、电信、公安、政府、公共服务、速递和互联网等行业用户。</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是公司物联网技术应用领域里的主要产品。智慧线将联网芯片嵌入到 通信电缆中，形成了集供电、信号传输一体的智能线缆，在核电核岛、 石油炼化区、地下管廊、矿山巷道等封闭空间和低功耗要求的特殊环 境下的无线通信领域，在国境线及其他军事设施、核电、化工、机场、 监狱等需要全地形全天候高精度进行周界安防的领域具有广阔的应 用前景。</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融合通信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把计算机技术与传统通信技术融合一体的新通信模式，融合计算机网 络与传统通信网络在一个网络平台上，提供包括语音、数据、视频和 多媒体业务信息通信技术在内的全业务服务，目前全球主流电信运营 商都纷纷地将融合通信业务定位为业务和技术发展的核心方向。公司 基于多年为中国移动通信集团公司研发并运营飞信项目的成功经验，</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继续积极配合中国移动的融合通信战略，为中国移动提供个人融合通 信与飞信融合北方节点和</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7"/>
                <w:szCs w:val="17"/>
              </w:rPr>
              <w:t>客户端定制软件项目技术服务。</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信息安全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信息安全管理业务是公司运营管理的重要组成部分，公司在信息安全 管理领域拥有十五年的产品研发和项目实施经验，围绕企业的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 事、物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推出了身份安全管控、行为安全管控、事件安全管控、流量 安全管控、资产安全管控、配置安全管控六大类</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多款产品，是金 融、电信等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应用最密集行业中主流的安全产品和服务商，也是</w:t>
            </w:r>
            <w:r>
              <w:rPr>
                <w:rFonts w:ascii="Times New Roman" w:eastAsia="Times New Roman" w:hAnsi="Times New Roman" w:cs="Times New Roman"/>
                <w:color w:val="000000"/>
                <w:spacing w:val="0"/>
                <w:w w:val="100"/>
                <w:position w:val="0"/>
                <w:sz w:val="18"/>
                <w:szCs w:val="18"/>
              </w:rPr>
              <w:t>IAM</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（用户和认证管理）、</w:t>
            </w:r>
            <w:r>
              <w:rPr>
                <w:rFonts w:ascii="Times New Roman" w:eastAsia="Times New Roman" w:hAnsi="Times New Roman" w:cs="Times New Roman"/>
                <w:color w:val="000000"/>
                <w:spacing w:val="0"/>
                <w:w w:val="100"/>
                <w:position w:val="0"/>
                <w:sz w:val="18"/>
                <w:szCs w:val="18"/>
              </w:rPr>
              <w:t xml:space="preserve">SIEM </w:t>
            </w:r>
            <w:r>
              <w:rPr>
                <w:color w:val="000000"/>
                <w:spacing w:val="0"/>
                <w:w w:val="100"/>
                <w:position w:val="0"/>
                <w:sz w:val="17"/>
                <w:szCs w:val="17"/>
              </w:rPr>
              <w:t>（安全事件管理）和安全合规管理领域的 领导厂商。</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62" w:right="1064" w:bottom="1708" w:left="1049" w:header="0" w:footer="3" w:gutter="0"/>
          <w:cols w:space="720"/>
          <w:noEndnote/>
          <w:rtlGutter w:val="0"/>
          <w:docGrid w:linePitch="360"/>
        </w:sectPr>
      </w:pPr>
    </w:p>
    <w:p>
      <w:pPr>
        <w:pStyle w:val="Style16"/>
        <w:keepNext/>
        <w:keepLines/>
        <w:widowControl w:val="0"/>
        <w:shd w:val="clear" w:color="auto" w:fill="auto"/>
        <w:bidi w:val="0"/>
        <w:spacing w:before="3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7"/>
        <w:keepNext/>
        <w:keepLines/>
        <w:widowControl w:val="0"/>
        <w:shd w:val="clear" w:color="auto" w:fill="auto"/>
        <w:bidi w:val="0"/>
        <w:spacing w:before="0" w:after="4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神州泰岳</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北京神州泰岳软件股份有限公司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神州泰岳</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Ultrapower Software Co., 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Ultrapower</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sz w:val="17"/>
                <w:szCs w:val="17"/>
              </w:rPr>
              <w:t>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"http://www.ultrapower.com.cn" </w:instrText>
            </w:r>
            <w:r>
              <w:fldChar w:fldCharType="separate"/>
            </w:r>
            <w:r>
              <w:rPr>
                <w:rFonts w:ascii="Times New Roman" w:eastAsia="Times New Roman" w:hAnsi="Times New Roman" w:cs="Times New Roman"/>
                <w:color w:val="000000"/>
                <w:spacing w:val="0"/>
                <w:w w:val="100"/>
                <w:position w:val="0"/>
                <w:sz w:val="18"/>
                <w:szCs w:val="18"/>
              </w:rPr>
              <w:t>www.ultrapower.com.cn</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"mailto:IRM@ultrapower.com" </w:instrText>
            </w:r>
            <w:r>
              <w:fldChar w:fldCharType="separate"/>
            </w:r>
            <w:r>
              <w:rPr>
                <w:rFonts w:ascii="Times New Roman" w:eastAsia="Times New Roman" w:hAnsi="Times New Roman" w:cs="Times New Roman"/>
                <w:color w:val="000000"/>
                <w:spacing w:val="0"/>
                <w:w w:val="100"/>
                <w:position w:val="0"/>
                <w:sz w:val="18"/>
                <w:szCs w:val="18"/>
              </w:rPr>
              <w:t>IRM@ultrapower.com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99" w:line="1" w:lineRule="exact"/>
      </w:pPr>
    </w:p>
    <w:p>
      <w:pPr>
        <w:pStyle w:val="Style27"/>
        <w:keepNext/>
        <w:keepLines/>
        <w:widowControl w:val="0"/>
        <w:shd w:val="clear" w:color="auto" w:fill="auto"/>
        <w:bidi w:val="0"/>
        <w:spacing w:before="0" w:after="4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2558"/>
        <w:gridCol w:w="3542"/>
        <w:gridCol w:w="348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张黔山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丁思茗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010-58847583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"mailto:IRM@ultrapower.com.cn" </w:instrText>
            </w:r>
            <w:r>
              <w:fldChar w:fldCharType="separate"/>
            </w:r>
            <w:r>
              <w:rPr>
                <w:rFonts w:ascii="Times New Roman" w:eastAsia="Times New Roman" w:hAnsi="Times New Roman" w:cs="Times New Roman"/>
                <w:color w:val="000000"/>
                <w:spacing w:val="0"/>
                <w:w w:val="100"/>
                <w:position w:val="0"/>
                <w:sz w:val="18"/>
                <w:szCs w:val="18"/>
              </w:rPr>
              <w:t>IRM@ultrapower.com.cn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"mailto:IRM@ultrapower.com" </w:instrText>
            </w:r>
            <w:r>
              <w:fldChar w:fldCharType="separate"/>
            </w:r>
            <w:r>
              <w:rPr>
                <w:rFonts w:ascii="Times New Roman" w:eastAsia="Times New Roman" w:hAnsi="Times New Roman" w:cs="Times New Roman"/>
                <w:color w:val="000000"/>
                <w:spacing w:val="0"/>
                <w:w w:val="100"/>
                <w:position w:val="0"/>
                <w:sz w:val="18"/>
                <w:szCs w:val="18"/>
              </w:rPr>
              <w:t>IRM@ultrapower.com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99" w:line="1" w:lineRule="exact"/>
      </w:pPr>
    </w:p>
    <w:p>
      <w:pPr>
        <w:pStyle w:val="Style27"/>
        <w:keepNext/>
        <w:keepLines/>
        <w:widowControl w:val="0"/>
        <w:shd w:val="clear" w:color="auto" w:fill="auto"/>
        <w:bidi w:val="0"/>
        <w:spacing w:before="0" w:after="4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《证券时报》、《中国证券报》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公司董事会办公室</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、其他有关资料</w:t>
      </w:r>
      <w:bookmarkEnd w:id="18"/>
      <w:bookmarkEnd w:id="19"/>
      <w:bookmarkEnd w:id="2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号新黄浦金融大厦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楼</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肖菲、陈迅骅</w:t>
            </w: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、主要会计数据和财务指标</w:t>
      </w:r>
      <w:bookmarkEnd w:id="22"/>
      <w:bookmarkEnd w:id="23"/>
      <w:bookmarkEnd w:id="25"/>
    </w:p>
    <w:p>
      <w:pPr>
        <w:pStyle w:val="Style29"/>
        <w:keepNext w:val="0"/>
        <w:keepLines w:val="0"/>
        <w:widowControl w:val="0"/>
        <w:shd w:val="clear" w:color="auto" w:fill="auto"/>
        <w:bidi w:val="0"/>
        <w:spacing w:before="0" w:after="6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否</w:t>
      </w:r>
    </w:p>
    <w:tbl>
      <w:tblPr>
        <w:tblOverlap w:val="never"/>
        <w:jc w:val="center"/>
        <w:tblLayout w:type="fixed"/>
      </w:tblPr>
      <w:tblGrid>
        <w:gridCol w:w="2875"/>
        <w:gridCol w:w="1546"/>
        <w:gridCol w:w="1762"/>
        <w:gridCol w:w="1757"/>
        <w:gridCol w:w="177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2,936,581,930.55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2,773,487,308.85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2,605,296,562.50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507,331,705.29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351,341,166.79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633,118,638.76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326,075,880.02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255,414,502.32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607,486,640.40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91,291,377.55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64,239,462.80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371,219,542.29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年末</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7,031,108,818.04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5,906,579,402.68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5,583,327,554.35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5,033,349,236.74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4,946,010,040.92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4,855,809,903.36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、分季度主要财务指标</w:t>
      </w:r>
      <w:bookmarkEnd w:id="26"/>
      <w:bookmarkEnd w:id="27"/>
      <w:bookmarkEnd w:id="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62"/>
        <w:gridCol w:w="1762"/>
        <w:gridCol w:w="1762"/>
        <w:gridCol w:w="17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669,453,982.47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746,950,207.69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711,315,951.03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808,861,789.36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14,989,967.69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229,619,226.13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105,680,396.72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157,042,114.75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8,232,574.48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76,547,259.76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98,272,503.72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143,023,542.06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-137,847,908.09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-75,607,219.25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316,418,124.94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-11,671,620.05</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上述财务指标或其加总数是否与公司已披露季度报告、半年度报告相关财务指标存在重大差异</w:t>
      </w:r>
    </w:p>
    <w:p>
      <w:pPr>
        <w:pStyle w:val="Style2"/>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b/>
          <w:bCs/>
          <w:i/>
          <w:iCs/>
          <w:color w:val="000000"/>
          <w:spacing w:val="0"/>
          <w:w w:val="100"/>
          <w:position w:val="0"/>
          <w:sz w:val="17"/>
          <w:szCs w:val="17"/>
        </w:rPr>
        <w:t>V</w:t>
      </w:r>
      <w:r>
        <w:rPr>
          <w:rFonts w:ascii="SimHei" w:eastAsia="SimHei" w:hAnsi="SimHei" w:cs="SimHei"/>
          <w:b/>
          <w:bCs/>
          <w:i/>
          <w:iCs/>
          <w:color w:val="000000"/>
          <w:spacing w:val="0"/>
          <w:w w:val="100"/>
          <w:position w:val="0"/>
          <w:sz w:val="20"/>
          <w:szCs w:val="20"/>
        </w:rPr>
        <w:t>否</w:t>
      </w:r>
    </w:p>
    <w:p>
      <w:pPr>
        <w:pStyle w:val="Style27"/>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9"/>
        <w:keepNext/>
        <w:keepLines/>
        <w:widowControl w:val="0"/>
        <w:shd w:val="clear" w:color="auto" w:fill="auto"/>
        <w:tabs>
          <w:tab w:pos="402" w:val="left"/>
        </w:tabs>
        <w:bidi w:val="0"/>
        <w:spacing w:before="0" w:after="46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402" w:val="left"/>
        </w:tabs>
        <w:bidi w:val="0"/>
        <w:spacing w:before="0" w:after="46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非经常性损益项目及金额</w:t>
      </w:r>
      <w:bookmarkEnd w:id="42"/>
      <w:bookmarkEnd w:id="43"/>
      <w:bookmarkEnd w:id="4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42"/>
        <w:gridCol w:w="1805"/>
        <w:gridCol w:w="1877"/>
        <w:gridCol w:w="18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年金额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非流动资产处置损益（包括已计提资产减值准备的冲 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-6,443,418.57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-84,629.79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18,267,331.91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23,203,990.08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17,320,461.88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190,246.58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同一控制下企业合并产生的子公司期初至合并日的 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4,025,354.37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20,150,419.72</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5,353,963.38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5,316,960.74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1,405,723.67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165,154,448.10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69,461,158.34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4,160,138.23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1,715,838.12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2,459,326.05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11,634,385.58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181,255,825.27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95,926,664.47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25,631,998.36</w:t>
            </w:r>
          </w:p>
        </w:tc>
      </w:tr>
    </w:tbl>
    <w:p>
      <w:pPr>
        <w:pStyle w:val="Style35"/>
        <w:keepNext w:val="0"/>
        <w:keepLines w:val="0"/>
        <w:widowControl w:val="0"/>
        <w:shd w:val="clear" w:color="auto" w:fill="auto"/>
        <w:bidi w:val="0"/>
        <w:spacing w:before="0" w:after="0" w:line="240" w:lineRule="auto"/>
        <w:ind w:left="1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w:t>
      </w:r>
    </w:p>
    <w:p>
      <w:pPr>
        <w:widowControl w:val="0"/>
        <w:spacing w:after="23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w:t>
      </w:r>
      <w:r>
        <w:rPr>
          <w:color w:val="000000"/>
          <w:spacing w:val="0"/>
          <w:w w:val="100"/>
          <w:position w:val="0"/>
        </w:rPr>
        <w:t>说明原因</w:t>
      </w:r>
      <w:r>
        <w:br w:type="page"/>
      </w:r>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006"/>
        <w:gridCol w:w="470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股份注销确认权益工具形成收益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166,886,615.94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对子公司丧失控制权改用权益法计量，剩余股权按公允价值重 新计量产生的利得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6,142,117.12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对子公司丧失控制权转为可供出售金融资产，剩余股权按公允 价值重新计量产生的利得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6,742,631.87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权益法核算的长期股权投资转可供出售金融资产持有期间确认 的除净损益以外的其他权益变动转投资收益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6,183,450.28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企业取得子公司、联营企业及合营企业的投资成本大于取得投 资时应享有被投资单位可辨认净资产公允价值产生的损失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-20,800,367.11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165,154,448.10</w:t>
            </w:r>
          </w:p>
        </w:tc>
      </w:tr>
    </w:tbl>
    <w:p>
      <w:pPr>
        <w:sectPr>
          <w:footnotePr>
            <w:pos w:val="pageBottom"/>
            <w:numFmt w:val="decimal"/>
            <w:numRestart w:val="continuous"/>
          </w:footnotePr>
          <w:pgSz w:w="11900" w:h="16840"/>
          <w:pgMar w:top="1462" w:right="1104" w:bottom="1401" w:left="1086" w:header="0" w:footer="3" w:gutter="0"/>
          <w:cols w:space="720"/>
          <w:noEndnote/>
          <w:rtlGutter w:val="0"/>
          <w:docGrid w:linePitch="360"/>
        </w:sectPr>
      </w:pPr>
    </w:p>
    <w:p>
      <w:pPr>
        <w:pStyle w:val="Style16"/>
        <w:keepNext/>
        <w:keepLines/>
        <w:widowControl w:val="0"/>
        <w:shd w:val="clear" w:color="auto" w:fill="auto"/>
        <w:bidi w:val="0"/>
        <w:spacing w:before="42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7"/>
        <w:keepNext/>
        <w:keepLines/>
        <w:widowControl w:val="0"/>
        <w:shd w:val="clear" w:color="auto" w:fill="auto"/>
        <w:bidi w:val="0"/>
        <w:spacing w:before="0" w:after="2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、报告期内公司从事的主要业务</w:t>
      </w:r>
      <w:bookmarkEnd w:id="49"/>
      <w:bookmarkEnd w:id="50"/>
      <w:bookmarkEnd w:id="52"/>
    </w:p>
    <w:p>
      <w:pPr>
        <w:pStyle w:val="Style29"/>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是</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互联网游戏业</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报告期内，公司秉承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聚焦信息产业、多元化布局、专业化经营、扁平化运作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的经营策略，大力推进年度整体经营计划, 经营业绩得到了良好修复并增长。持续优化业务布局，正式确立了</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的业务战略模式，形成了以</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运营管理、手机游 戏、人工智能与大数据、物联网及通讯技术应用等四大业务板块为核心的多元化战略布局。四大业务板块依托核心的信息和 通信技术及研发能力，整合公司技术和人才优势，成为互为依托、互相支撑的有机整体。</w:t>
      </w:r>
    </w:p>
    <w:p>
      <w:pPr>
        <w:pStyle w:val="Style29"/>
        <w:keepNext w:val="0"/>
        <w:keepLines w:val="0"/>
        <w:widowControl w:val="0"/>
        <w:shd w:val="clear" w:color="auto" w:fill="auto"/>
        <w:tabs>
          <w:tab w:pos="680" w:val="left"/>
        </w:tabs>
        <w:bidi w:val="0"/>
        <w:spacing w:before="0" w:after="0" w:line="472" w:lineRule="exact"/>
        <w:ind w:left="0" w:right="0"/>
        <w:jc w:val="both"/>
      </w:pPr>
      <w:bookmarkStart w:id="53" w:name="bookmark53"/>
      <w:r>
        <w:rPr>
          <w:rFonts w:ascii="Times New Roman" w:eastAsia="Times New Roman" w:hAnsi="Times New Roman" w:cs="Times New Roman"/>
          <w:color w:val="000000"/>
          <w:spacing w:val="0"/>
          <w:w w:val="100"/>
          <w:position w:val="0"/>
          <w:sz w:val="18"/>
          <w:szCs w:val="18"/>
        </w:rPr>
        <w:t>1</w:t>
      </w:r>
      <w:bookmarkEnd w:id="53"/>
      <w:r>
        <w:rPr>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是信息产业（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）与通信产业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的统称，</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运营管理即通过提供软件与服务的方式对</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基础设施、业务 应用和运维体系进行全面统一的管理，保障</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系统安全、稳定、可靠、高效运行，支撑业务发展。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早已渗透到 全社会生产生活的方方面面，象水电那样成为不可或缺的基础设施；在云计算、大数据、软件定义网络</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color w:val="000000"/>
          <w:spacing w:val="0"/>
          <w:w w:val="100"/>
          <w:position w:val="0"/>
        </w:rPr>
        <w:t xml:space="preserve">网络虚拟化 </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w:t>
      </w:r>
      <w:r>
        <w:rPr>
          <w:color w:val="000000"/>
          <w:spacing w:val="0"/>
          <w:w w:val="100"/>
          <w:position w:val="0"/>
        </w:rPr>
        <w:t>人工智能等新架构、新技术的推动下，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环境正发生着颠覆性变革，对运营管理的刚性需求越来越强烈、空间越 来越大。</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运营管理板块是公司的传统核心业务，产品和服务覆盖移动互联网运营，运营商专业网管、业务网管、综合网管、 无线网优、拨打测试、电子运维，</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服务管理、运维管理、云管平台、大数据平台、信息安全，以及系统集成等领域，技术 领先、产品齐全、客户认可度高，拥有一大批优质客户资源，包括电信、金融、能源、交通等行业中的大中型企业以及政府 机构等。</w:t>
      </w:r>
    </w:p>
    <w:p>
      <w:pPr>
        <w:pStyle w:val="Style29"/>
        <w:keepNext w:val="0"/>
        <w:keepLines w:val="0"/>
        <w:widowControl w:val="0"/>
        <w:shd w:val="clear" w:color="auto" w:fill="auto"/>
        <w:bidi w:val="0"/>
        <w:spacing w:before="0" w:after="320" w:line="472" w:lineRule="exact"/>
        <w:ind w:left="0" w:right="0"/>
        <w:jc w:val="both"/>
      </w:pPr>
      <w:r>
        <w:rPr>
          <w:color w:val="000000"/>
          <w:spacing w:val="0"/>
          <w:w w:val="100"/>
          <w:position w:val="0"/>
        </w:rPr>
        <w:t>长期以来，公司在该领域一直处于国内领先水平。</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等权威评测机构多年来将公司与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等国际巨头并 列，遥遥领先于国内同行。</w:t>
      </w:r>
      <w:r>
        <w:rPr>
          <w:b/>
          <w:bCs/>
          <w:color w:val="000000"/>
          <w:spacing w:val="0"/>
          <w:w w:val="100"/>
          <w:position w:val="0"/>
        </w:rPr>
        <w:t>在工业和信息化部及赛迪顾问主办的</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市场年会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上，公司又一次确定了</w:t>
      </w:r>
      <w:r>
        <w:rPr>
          <w:rFonts w:ascii="Times New Roman" w:eastAsia="Times New Roman" w:hAnsi="Times New Roman" w:cs="Times New Roman"/>
          <w:b/>
          <w:bCs/>
          <w:color w:val="000000"/>
          <w:spacing w:val="0"/>
          <w:w w:val="100"/>
          <w:position w:val="0"/>
          <w:sz w:val="18"/>
          <w:szCs w:val="18"/>
        </w:rPr>
        <w:t xml:space="preserve">“2016-2017 </w:t>
      </w: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运维管理市场占有率第一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的地位，这也是公司连续第七年雄据中国</w:t>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服务管理市场榜首。</w:t>
      </w:r>
    </w:p>
    <w:p>
      <w:pPr>
        <w:pStyle w:val="Style29"/>
        <w:keepNext w:val="0"/>
        <w:keepLines w:val="0"/>
        <w:widowControl w:val="0"/>
        <w:shd w:val="clear" w:color="auto" w:fill="auto"/>
        <w:tabs>
          <w:tab w:pos="699" w:val="left"/>
        </w:tabs>
        <w:bidi w:val="0"/>
        <w:spacing w:before="0" w:after="0" w:line="547" w:lineRule="auto"/>
        <w:ind w:left="0" w:right="0"/>
        <w:jc w:val="both"/>
      </w:pPr>
      <w:bookmarkStart w:id="54" w:name="bookmark54"/>
      <w:r>
        <w:rPr>
          <w:rFonts w:ascii="Times New Roman" w:eastAsia="Times New Roman" w:hAnsi="Times New Roman" w:cs="Times New Roman"/>
          <w:color w:val="000000"/>
          <w:spacing w:val="0"/>
          <w:w w:val="100"/>
          <w:position w:val="0"/>
          <w:sz w:val="18"/>
          <w:szCs w:val="18"/>
        </w:rPr>
        <w:t>2</w:t>
      </w:r>
      <w:bookmarkEnd w:id="54"/>
      <w:r>
        <w:rPr>
          <w:color w:val="000000"/>
          <w:spacing w:val="0"/>
          <w:w w:val="100"/>
          <w:position w:val="0"/>
        </w:rPr>
        <w:t>、</w:t>
        <w:tab/>
      </w:r>
      <w:r>
        <w:rPr>
          <w:b/>
          <w:bCs/>
          <w:color w:val="000000"/>
          <w:spacing w:val="0"/>
          <w:w w:val="100"/>
          <w:position w:val="0"/>
        </w:rPr>
        <w:t>手机游戏</w:t>
      </w:r>
    </w:p>
    <w:p>
      <w:pPr>
        <w:pStyle w:val="Style29"/>
        <w:keepNext w:val="0"/>
        <w:keepLines w:val="0"/>
        <w:widowControl w:val="0"/>
        <w:shd w:val="clear" w:color="auto" w:fill="auto"/>
        <w:bidi w:val="0"/>
        <w:spacing w:before="0" w:after="300" w:line="463" w:lineRule="exact"/>
        <w:ind w:left="0" w:right="0"/>
        <w:jc w:val="both"/>
      </w:pPr>
      <w:r>
        <w:rPr>
          <w:color w:val="000000"/>
          <w:spacing w:val="0"/>
          <w:w w:val="100"/>
          <w:position w:val="0"/>
        </w:rPr>
        <w:t>手机游戏业务是公司重点业务方向之一，以旗下全资子公司壳木软件作为手机游戏板块的核心团队，以研发打造重度手 游产品为主，定位于全球渠道游戏发行。截止目前，公司已成功研发并发行了《小小帝国》、《人在天朝》、《风暴纪元》、《天 子传奇》、《战火与秩序》等大型重度游戏，其中，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年上半年推出的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 xml:space="preserve">（国内名称：《战火与秩序》）上线 </w:t>
      </w:r>
      <w:r>
        <w:rPr>
          <w:color w:val="000000"/>
          <w:spacing w:val="0"/>
          <w:w w:val="100"/>
          <w:position w:val="0"/>
        </w:rPr>
        <w:t>至今已获得多次谷歌全球精选游戏首页推荐，全球流水快速增长，截止本报告期末，实现总流水逾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亿元人民币。</w:t>
      </w:r>
    </w:p>
    <w:p>
      <w:pPr>
        <w:pStyle w:val="Style29"/>
        <w:keepNext w:val="0"/>
        <w:keepLines w:val="0"/>
        <w:widowControl w:val="0"/>
        <w:shd w:val="clear" w:color="auto" w:fill="auto"/>
        <w:tabs>
          <w:tab w:pos="674" w:val="left"/>
        </w:tabs>
        <w:bidi w:val="0"/>
        <w:spacing w:before="0" w:after="0" w:line="545" w:lineRule="auto"/>
        <w:ind w:left="0" w:right="0"/>
        <w:jc w:val="both"/>
      </w:pPr>
      <w:bookmarkStart w:id="55" w:name="bookmark55"/>
      <w:r>
        <w:rPr>
          <w:rFonts w:ascii="Times New Roman" w:eastAsia="Times New Roman" w:hAnsi="Times New Roman" w:cs="Times New Roman"/>
          <w:b/>
          <w:bCs/>
          <w:color w:val="000000"/>
          <w:spacing w:val="0"/>
          <w:w w:val="100"/>
          <w:position w:val="0"/>
          <w:sz w:val="18"/>
          <w:szCs w:val="18"/>
        </w:rPr>
        <w:t>3</w:t>
      </w:r>
      <w:bookmarkEnd w:id="55"/>
      <w:r>
        <w:rPr>
          <w:b/>
          <w:bCs/>
          <w:color w:val="000000"/>
          <w:spacing w:val="0"/>
          <w:w w:val="100"/>
          <w:position w:val="0"/>
        </w:rPr>
        <w:t>、</w:t>
        <w:tab/>
        <w:t>人工智能与大数据</w:t>
      </w:r>
    </w:p>
    <w:p>
      <w:pPr>
        <w:pStyle w:val="Style29"/>
        <w:keepNext w:val="0"/>
        <w:keepLines w:val="0"/>
        <w:widowControl w:val="0"/>
        <w:shd w:val="clear" w:color="auto" w:fill="auto"/>
        <w:bidi w:val="0"/>
        <w:spacing w:before="0" w:after="300" w:line="469"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年即开始从事大数据业务，报告期内，神州泰岳全资收购中科鼎富（北京）科技发展有限公司（简称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鼎富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），全面进军人工智能与大数据领域。目前，公司聚焦于人工智能认知技术领域，目前公司自然语言处理技术达到业 界领先水平，完全自主研发的核心专利产品</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非结构化文本分析挖掘平台，与国际上的</w:t>
      </w:r>
      <w:r>
        <w:rPr>
          <w:rFonts w:ascii="Times New Roman" w:eastAsia="Times New Roman" w:hAnsi="Times New Roman" w:cs="Times New Roman"/>
          <w:color w:val="000000"/>
          <w:spacing w:val="0"/>
          <w:w w:val="100"/>
          <w:position w:val="0"/>
          <w:sz w:val="18"/>
          <w:szCs w:val="18"/>
        </w:rPr>
        <w:t>IBM WATSON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HP AUTONOMY</w:t>
      </w:r>
      <w:r>
        <w:rPr>
          <w:color w:val="000000"/>
          <w:spacing w:val="0"/>
          <w:w w:val="100"/>
          <w:position w:val="0"/>
        </w:rPr>
        <w:t>等相比，具有更强的自然语言语义理解能力、面向业务的建模能力和多语种的自动支持能力。</w:t>
      </w:r>
      <w:r>
        <w:rPr>
          <w:b/>
          <w:bCs/>
          <w:color w:val="000000"/>
          <w:spacing w:val="0"/>
          <w:w w:val="100"/>
          <w:position w:val="0"/>
        </w:rPr>
        <w:t>公司依托智慧语 义认知技术和</w:t>
      </w:r>
      <w:r>
        <w:rPr>
          <w:rFonts w:ascii="Times New Roman" w:eastAsia="Times New Roman" w:hAnsi="Times New Roman" w:cs="Times New Roman"/>
          <w:b/>
          <w:bCs/>
          <w:color w:val="000000"/>
          <w:spacing w:val="0"/>
          <w:w w:val="100"/>
          <w:position w:val="0"/>
          <w:sz w:val="18"/>
          <w:szCs w:val="18"/>
        </w:rPr>
        <w:t>DINFO-OEC</w:t>
      </w:r>
      <w:r>
        <w:rPr>
          <w:b/>
          <w:bCs/>
          <w:color w:val="000000"/>
          <w:spacing w:val="0"/>
          <w:w w:val="100"/>
          <w:position w:val="0"/>
        </w:rPr>
        <w:t>平台将着力打造泰岳人工智能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的人工智能品牌，围绕三条主线——</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语义云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人工智能 （智能服务机器人和知识库）</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和</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云服务</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全面布局人工智能业务领域，致力于成为中国乃至全球范围的人工智能自 然语言语义理解第一品牌。</w:t>
      </w:r>
    </w:p>
    <w:p>
      <w:pPr>
        <w:pStyle w:val="Style29"/>
        <w:keepNext w:val="0"/>
        <w:keepLines w:val="0"/>
        <w:widowControl w:val="0"/>
        <w:shd w:val="clear" w:color="auto" w:fill="auto"/>
        <w:tabs>
          <w:tab w:pos="669" w:val="left"/>
        </w:tabs>
        <w:bidi w:val="0"/>
        <w:spacing w:before="0" w:after="0" w:line="545" w:lineRule="auto"/>
        <w:ind w:left="0" w:right="0"/>
        <w:jc w:val="both"/>
      </w:pPr>
      <w:bookmarkStart w:id="56" w:name="bookmark56"/>
      <w:r>
        <w:rPr>
          <w:rFonts w:ascii="Times New Roman" w:eastAsia="Times New Roman" w:hAnsi="Times New Roman" w:cs="Times New Roman"/>
          <w:b/>
          <w:bCs/>
          <w:color w:val="000000"/>
          <w:spacing w:val="0"/>
          <w:w w:val="100"/>
          <w:position w:val="0"/>
          <w:sz w:val="18"/>
          <w:szCs w:val="18"/>
        </w:rPr>
        <w:t>4</w:t>
      </w:r>
      <w:bookmarkEnd w:id="56"/>
      <w:r>
        <w:rPr>
          <w:b/>
          <w:bCs/>
          <w:color w:val="000000"/>
          <w:spacing w:val="0"/>
          <w:w w:val="100"/>
          <w:position w:val="0"/>
        </w:rPr>
        <w:t>、</w:t>
        <w:tab/>
        <w:t>物联网及通讯技术应用</w:t>
      </w:r>
    </w:p>
    <w:p>
      <w:pPr>
        <w:pStyle w:val="Style29"/>
        <w:keepNext w:val="0"/>
        <w:keepLines w:val="0"/>
        <w:widowControl w:val="0"/>
        <w:shd w:val="clear" w:color="auto" w:fill="auto"/>
        <w:bidi w:val="0"/>
        <w:spacing w:before="0" w:after="40" w:line="469"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年伊始至今，在物联网芯片、通信协议、核心算法、数据分析加工平台等方面进行了多年的技术和实践积累， 形成了智慧线系列产品的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封闭空间和低功耗要求特殊环境下的无线通信及定位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全地形全天候高准确度的周界安防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 大解决方案，已申请专利</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项（其中已获得</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项授权专利），被列入北京市二十大颠覆性技术储备库，牵头及参与制定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 中国矿山安全生产物联网行业标准。</w:t>
      </w:r>
    </w:p>
    <w:p>
      <w:pPr>
        <w:pStyle w:val="Style29"/>
        <w:keepNext w:val="0"/>
        <w:keepLines w:val="0"/>
        <w:widowControl w:val="0"/>
        <w:shd w:val="clear" w:color="auto" w:fill="auto"/>
        <w:bidi w:val="0"/>
        <w:spacing w:before="0" w:after="520" w:line="469" w:lineRule="exact"/>
        <w:ind w:left="0" w:right="0"/>
        <w:jc w:val="both"/>
      </w:pPr>
      <w:r>
        <w:rPr>
          <w:color w:val="000000"/>
          <w:spacing w:val="0"/>
          <w:w w:val="100"/>
          <w:position w:val="0"/>
        </w:rPr>
        <w:t>智慧线产品目前主要聚焦应用于两个领域：一是核电核岛、石油炼化区、地下管廊、矿山巷道等封闭空间和低功耗要求 的特殊环境下的无线通信定位领域；二是国境线及其他军事设施、核电、化工、机场、别墅院落、居民小区等需要全地形全 天候高准确度进行周界安防的领域，公司将以技术创新为主导，</w:t>
      </w:r>
      <w:r>
        <w:rPr>
          <w:b/>
          <w:bCs/>
          <w:color w:val="000000"/>
          <w:spacing w:val="0"/>
          <w:w w:val="100"/>
          <w:position w:val="0"/>
        </w:rPr>
        <w:t>打造基于</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智慧</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系列技术的物联网融合通信系统，不断推 出智慧矿山、智慧石油、智慧核电、智慧管廊、智慧安防、智慧边防等行业整体解决方案</w:t>
      </w:r>
      <w:r>
        <w:rPr>
          <w:color w:val="000000"/>
          <w:spacing w:val="0"/>
          <w:w w:val="100"/>
          <w:position w:val="0"/>
        </w:rPr>
        <w:t>。</w:t>
      </w:r>
    </w:p>
    <w:p>
      <w:pPr>
        <w:pStyle w:val="Style27"/>
        <w:keepNext/>
        <w:keepLines/>
        <w:widowControl w:val="0"/>
        <w:shd w:val="clear" w:color="auto" w:fill="auto"/>
        <w:bidi w:val="0"/>
        <w:spacing w:before="0" w:after="52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二</w:t>
      </w:r>
      <w:bookmarkEnd w:id="59"/>
      <w:r>
        <w:rPr>
          <w:color w:val="000000"/>
          <w:spacing w:val="0"/>
          <w:w w:val="100"/>
          <w:position w:val="0"/>
        </w:rPr>
        <w:t>、主要资产重大变化情况</w:t>
      </w:r>
      <w:bookmarkEnd w:id="57"/>
      <w:bookmarkEnd w:id="58"/>
      <w:bookmarkEnd w:id="60"/>
    </w:p>
    <w:p>
      <w:pPr>
        <w:pStyle w:val="Style39"/>
        <w:keepNext/>
        <w:keepLines/>
        <w:widowControl w:val="0"/>
        <w:shd w:val="clear" w:color="auto" w:fill="auto"/>
        <w:bidi w:val="0"/>
        <w:spacing w:before="0" w:after="38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1584"/>
        <w:gridCol w:w="8126"/>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较期初下降</w:t>
            </w:r>
            <w:r>
              <w:rPr>
                <w:rFonts w:ascii="Times New Roman" w:eastAsia="Times New Roman" w:hAnsi="Times New Roman" w:cs="Times New Roman"/>
                <w:color w:val="000000"/>
                <w:spacing w:val="0"/>
                <w:w w:val="100"/>
                <w:position w:val="0"/>
                <w:sz w:val="18"/>
                <w:szCs w:val="18"/>
              </w:rPr>
              <w:t>26.78%</w:t>
            </w:r>
            <w:r>
              <w:rPr>
                <w:color w:val="000000"/>
                <w:spacing w:val="0"/>
                <w:w w:val="100"/>
                <w:position w:val="0"/>
                <w:sz w:val="17"/>
                <w:szCs w:val="17"/>
              </w:rPr>
              <w:t>，主要系公司持有的北京中清龙图网络技术有限公司比例进一步下降，综合考虑业 务协同性及持有目的，本报告期内由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较期初增长</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sz w:val="17"/>
                <w:szCs w:val="17"/>
              </w:rPr>
              <w:t>,主要系重庆农信茶园新媒软件园建造工程于本报告期项目已竣工，转入固定资产。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较期初增长</w:t>
            </w:r>
            <w:r>
              <w:rPr>
                <w:rFonts w:ascii="Times New Roman" w:eastAsia="Times New Roman" w:hAnsi="Times New Roman" w:cs="Times New Roman"/>
                <w:color w:val="000000"/>
                <w:spacing w:val="0"/>
                <w:w w:val="100"/>
                <w:position w:val="0"/>
                <w:sz w:val="18"/>
                <w:szCs w:val="18"/>
              </w:rPr>
              <w:t>45.24%</w:t>
            </w:r>
            <w:r>
              <w:rPr>
                <w:color w:val="000000"/>
                <w:spacing w:val="0"/>
                <w:w w:val="100"/>
                <w:position w:val="0"/>
                <w:sz w:val="17"/>
                <w:szCs w:val="17"/>
              </w:rPr>
              <w:t>，主要系公司内部研发所形成的无形资产所致。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较期初下降</w:t>
            </w:r>
            <w:r>
              <w:rPr>
                <w:rFonts w:ascii="Times New Roman" w:eastAsia="Times New Roman" w:hAnsi="Times New Roman" w:cs="Times New Roman"/>
                <w:color w:val="000000"/>
                <w:spacing w:val="0"/>
                <w:w w:val="100"/>
                <w:position w:val="0"/>
                <w:sz w:val="18"/>
                <w:szCs w:val="18"/>
              </w:rPr>
              <w:t>98.17%</w:t>
            </w:r>
            <w:r>
              <w:rPr>
                <w:color w:val="000000"/>
                <w:spacing w:val="0"/>
                <w:w w:val="100"/>
                <w:position w:val="0"/>
                <w:sz w:val="17"/>
                <w:szCs w:val="17"/>
              </w:rPr>
              <w:t>，主要系重庆农信茶园新媒软件园建造工程于本报告期项目已竣工，转入固定资产。</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较期初下降</w:t>
            </w:r>
            <w:r>
              <w:rPr>
                <w:rFonts w:ascii="Times New Roman" w:eastAsia="Times New Roman" w:hAnsi="Times New Roman" w:cs="Times New Roman"/>
                <w:color w:val="000000"/>
                <w:spacing w:val="0"/>
                <w:w w:val="100"/>
                <w:position w:val="0"/>
                <w:sz w:val="18"/>
                <w:szCs w:val="18"/>
              </w:rPr>
              <w:t>81.37%</w:t>
            </w:r>
            <w:r>
              <w:rPr>
                <w:color w:val="000000"/>
                <w:spacing w:val="0"/>
                <w:w w:val="100"/>
                <w:position w:val="0"/>
                <w:sz w:val="17"/>
                <w:szCs w:val="17"/>
              </w:rPr>
              <w:t>，主要系系统集成业务预付款项减少所致。</w:t>
            </w:r>
          </w:p>
        </w:tc>
      </w:tr>
    </w:tbl>
    <w:p>
      <w:pPr>
        <w:spacing w:lineRule="exact" w:line="1"/>
        <w:rPr>
          <w:sz w:val="2"/>
          <w:szCs w:val="2"/>
        </w:rPr>
      </w:pPr>
      <w:r>
        <w:br w:type="page"/>
      </w:r>
    </w:p>
    <w:tbl>
      <w:tblPr>
        <w:tblOverlap w:val="never"/>
        <w:jc w:val="center"/>
        <w:tblLayout w:type="fixed"/>
      </w:tblPr>
      <w:tblGrid>
        <w:gridCol w:w="1584"/>
        <w:gridCol w:w="8126"/>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较期初增长</w:t>
            </w:r>
            <w:r>
              <w:rPr>
                <w:rFonts w:ascii="Times New Roman" w:eastAsia="Times New Roman" w:hAnsi="Times New Roman" w:cs="Times New Roman"/>
                <w:color w:val="000000"/>
                <w:spacing w:val="0"/>
                <w:w w:val="100"/>
                <w:position w:val="0"/>
                <w:sz w:val="18"/>
                <w:szCs w:val="18"/>
              </w:rPr>
              <w:t>312.25%</w:t>
            </w:r>
            <w:r>
              <w:rPr>
                <w:color w:val="000000"/>
                <w:spacing w:val="0"/>
                <w:w w:val="100"/>
                <w:position w:val="0"/>
                <w:sz w:val="17"/>
                <w:szCs w:val="17"/>
              </w:rPr>
              <w:t>，主要系公司一年内到期的保本理财产品重分类至该科目列示所致。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较期初下降</w:t>
            </w:r>
            <w:r>
              <w:rPr>
                <w:rFonts w:ascii="Times New Roman" w:eastAsia="Times New Roman" w:hAnsi="Times New Roman" w:cs="Times New Roman"/>
                <w:color w:val="000000"/>
                <w:spacing w:val="0"/>
                <w:w w:val="100"/>
                <w:position w:val="0"/>
                <w:sz w:val="18"/>
                <w:szCs w:val="18"/>
              </w:rPr>
              <w:t>42.29%</w:t>
            </w:r>
            <w:r>
              <w:rPr>
                <w:color w:val="000000"/>
                <w:spacing w:val="0"/>
                <w:w w:val="100"/>
                <w:position w:val="0"/>
                <w:sz w:val="17"/>
                <w:szCs w:val="17"/>
              </w:rPr>
              <w:t>，主要系公司研究开发完成结转无形资产较上年增加。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较期初增加</w:t>
            </w:r>
            <w:r>
              <w:rPr>
                <w:rFonts w:ascii="Times New Roman" w:eastAsia="Times New Roman" w:hAnsi="Times New Roman" w:cs="Times New Roman"/>
                <w:color w:val="000000"/>
                <w:spacing w:val="0"/>
                <w:w w:val="100"/>
                <w:position w:val="0"/>
                <w:sz w:val="18"/>
                <w:szCs w:val="18"/>
              </w:rPr>
              <w:t>38.16%</w:t>
            </w:r>
            <w:r>
              <w:rPr>
                <w:color w:val="000000"/>
                <w:spacing w:val="0"/>
                <w:w w:val="100"/>
                <w:position w:val="0"/>
                <w:sz w:val="17"/>
                <w:szCs w:val="17"/>
              </w:rPr>
              <w:t>，主要系公司全资收购中科鼎富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科技发展有限公司所致。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较期初增加</w:t>
            </w:r>
            <w:r>
              <w:rPr>
                <w:rFonts w:ascii="Times New Roman" w:eastAsia="Times New Roman" w:hAnsi="Times New Roman" w:cs="Times New Roman"/>
                <w:color w:val="000000"/>
                <w:spacing w:val="0"/>
                <w:w w:val="100"/>
                <w:position w:val="0"/>
                <w:sz w:val="18"/>
                <w:szCs w:val="18"/>
              </w:rPr>
              <w:t>81.15%</w:t>
            </w:r>
            <w:r>
              <w:rPr>
                <w:color w:val="000000"/>
                <w:spacing w:val="0"/>
                <w:w w:val="100"/>
                <w:position w:val="0"/>
                <w:sz w:val="17"/>
                <w:szCs w:val="17"/>
              </w:rPr>
              <w:t>，主要系应收北京裂变科技有限公司股权转让款。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较期初增加</w:t>
            </w:r>
            <w:r>
              <w:rPr>
                <w:rFonts w:ascii="Times New Roman" w:eastAsia="Times New Roman" w:hAnsi="Times New Roman" w:cs="Times New Roman"/>
                <w:color w:val="000000"/>
                <w:spacing w:val="0"/>
                <w:w w:val="100"/>
                <w:position w:val="0"/>
                <w:sz w:val="18"/>
                <w:szCs w:val="18"/>
              </w:rPr>
              <w:t>136.03%</w:t>
            </w:r>
            <w:r>
              <w:rPr>
                <w:color w:val="000000"/>
                <w:spacing w:val="0"/>
                <w:w w:val="100"/>
                <w:position w:val="0"/>
                <w:sz w:val="17"/>
                <w:szCs w:val="17"/>
              </w:rPr>
              <w:t>，主要系公司预付采购软件款分类至该科目。</w:t>
            </w:r>
          </w:p>
        </w:tc>
      </w:tr>
    </w:tbl>
    <w:p>
      <w:pPr>
        <w:widowControl w:val="0"/>
        <w:spacing w:after="399" w:line="1" w:lineRule="exact"/>
      </w:pPr>
    </w:p>
    <w:p>
      <w:pPr>
        <w:pStyle w:val="Style39"/>
        <w:keepNext/>
        <w:keepLines/>
        <w:widowControl w:val="0"/>
        <w:shd w:val="clear" w:color="auto" w:fill="auto"/>
        <w:bidi w:val="0"/>
        <w:spacing w:before="0" w:after="54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9"/>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456" w:right="1032" w:bottom="1804"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27"/>
        <w:keepNext/>
        <w:keepLines/>
        <w:widowControl w:val="0"/>
        <w:shd w:val="clear" w:color="auto" w:fill="auto"/>
        <w:bidi w:val="0"/>
        <w:spacing w:before="34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、核心竞争力分析</w:t>
      </w:r>
      <w:bookmarkEnd w:id="69"/>
      <w:bookmarkEnd w:id="70"/>
      <w:bookmarkEnd w:id="72"/>
    </w:p>
    <w:p>
      <w:pPr>
        <w:pStyle w:val="Style29"/>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互联网游戏业</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公司的核心竞争力主要体现在技术与产品、行业经验、客户资源、市场品牌等各方面。报告期内，公司的上述竞争优势 得到了进一步的提升。</w:t>
      </w:r>
    </w:p>
    <w:p>
      <w:pPr>
        <w:pStyle w:val="Style29"/>
        <w:keepNext w:val="0"/>
        <w:keepLines w:val="0"/>
        <w:widowControl w:val="0"/>
        <w:shd w:val="clear" w:color="auto" w:fill="auto"/>
        <w:bidi w:val="0"/>
        <w:spacing w:before="0" w:after="0" w:line="545"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、技术与产品优势</w:t>
      </w:r>
    </w:p>
    <w:p>
      <w:pPr>
        <w:pStyle w:val="Style29"/>
        <w:keepNext w:val="0"/>
        <w:keepLines w:val="0"/>
        <w:widowControl w:val="0"/>
        <w:shd w:val="clear" w:color="auto" w:fill="auto"/>
        <w:bidi w:val="0"/>
        <w:spacing w:before="0" w:after="0" w:line="466" w:lineRule="exact"/>
        <w:ind w:left="0" w:right="0"/>
        <w:jc w:val="both"/>
      </w:pP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运营管理领域</w:t>
      </w:r>
      <w:r>
        <w:rPr>
          <w:color w:val="000000"/>
          <w:spacing w:val="0"/>
          <w:w w:val="100"/>
          <w:position w:val="0"/>
        </w:rPr>
        <w:t>，公司及子公司新媒传信连续多年均被认定为国家规划布局内重点软件企业，具备计算机系统集成一 级资质、国家信息安全认证服务二级资质、软件能力成熟度模型集成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 L5</w:t>
      </w:r>
      <w:r>
        <w:rPr>
          <w:color w:val="000000"/>
          <w:spacing w:val="0"/>
          <w:w w:val="100"/>
          <w:position w:val="0"/>
        </w:rPr>
        <w:t>）</w:t>
      </w:r>
      <w:r>
        <w:rPr>
          <w:color w:val="000000"/>
          <w:spacing w:val="0"/>
          <w:w w:val="100"/>
          <w:position w:val="0"/>
        </w:rPr>
        <w:t>五级认证、</w:t>
      </w:r>
      <w:r>
        <w:rPr>
          <w:rFonts w:ascii="Times New Roman" w:eastAsia="Times New Roman" w:hAnsi="Times New Roman" w:cs="Times New Roman"/>
          <w:color w:val="000000"/>
          <w:spacing w:val="0"/>
          <w:w w:val="100"/>
          <w:position w:val="0"/>
          <w:sz w:val="18"/>
          <w:szCs w:val="18"/>
        </w:rPr>
        <w:t>IS09001:2000</w:t>
      </w:r>
      <w:r>
        <w:rPr>
          <w:color w:val="000000"/>
          <w:spacing w:val="0"/>
          <w:w w:val="100"/>
          <w:position w:val="0"/>
        </w:rPr>
        <w:t>质量管理体系认 证、</w:t>
      </w:r>
      <w:r>
        <w:rPr>
          <w:rFonts w:ascii="Times New Roman" w:eastAsia="Times New Roman" w:hAnsi="Times New Roman" w:cs="Times New Roman"/>
          <w:color w:val="000000"/>
          <w:spacing w:val="0"/>
          <w:w w:val="100"/>
          <w:position w:val="0"/>
          <w:sz w:val="18"/>
          <w:szCs w:val="18"/>
        </w:rPr>
        <w:t>IS020000 IT</w:t>
      </w:r>
      <w:r>
        <w:rPr>
          <w:color w:val="000000"/>
          <w:spacing w:val="0"/>
          <w:w w:val="100"/>
          <w:position w:val="0"/>
        </w:rPr>
        <w:t>服务管理国际标准认证、</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信息安全管理体系认证等多项资质。</w:t>
      </w:r>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运营管理方面，公司在集中监控、自动维护、</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ITSM）</w:t>
      </w:r>
      <w:r>
        <w:rPr>
          <w:color w:val="000000"/>
          <w:spacing w:val="0"/>
          <w:w w:val="100"/>
          <w:position w:val="0"/>
        </w:rPr>
        <w:t>、</w:t>
      </w:r>
      <w:r>
        <w:rPr>
          <w:color w:val="000000"/>
          <w:spacing w:val="0"/>
          <w:w w:val="100"/>
          <w:position w:val="0"/>
        </w:rPr>
        <w:t>信息安全管理等领域拥有成熟产品、丰富经验和 大量案例，综合实力国内领先，国际先进。与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BMC</w:t>
      </w:r>
      <w:r>
        <w:rPr>
          <w:color w:val="000000"/>
          <w:spacing w:val="0"/>
          <w:w w:val="100"/>
          <w:position w:val="0"/>
        </w:rPr>
        <w:t>等国际专业厂商相比，在可靠性、丰富性、独特性和创新性 等多方面均形成了有力竞争、局部有所超越。</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运营管理方面，公司是三大运营商数据网管、业务网管、电子运维、网络拨测、无线网优、运维管理、信息安全、 运营支撑等领域的主流服务厂商，熟悉客户</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系统和运维环境、一直参与相关企业规范制定，产品线齐全，在各自细分市 场领域内有着强有力的竞争优势。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在云计算、大数据、</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等技术发展的推动下，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融合方向和路线已有共识，传统软硬件一体、专用的</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设备 和技术，会逐步演进为部署在通用、弹性的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基础设施之上的软件系统，融合到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体系架构中。公司作为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运营管理领域的 优势厂商，与传输、话务等传统</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运营管理厂商相比，更为适应</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融合环境下的运营管理要求，拥有更大的竞争优势。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公司紧跟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技术发展趋势，深挖客户运营管理需求，研发了集混合云管理、大数据应用架构及数据管理、开发运维一 体化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DevOps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管理在内的新一代综合</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综合运营管理平台，并及时跟进、深入研究</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环境下的运营管理需求，确 保在未来新型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基础设施、应用架构和运维模式下保持专业、领先的地位。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年，神州泰岳和戴尔正式签署了战略合作 协议并成立</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联合实验室，在</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w:t>
      </w:r>
      <w:r>
        <w:rPr>
          <w:color w:val="000000"/>
          <w:spacing w:val="0"/>
          <w:w w:val="100"/>
          <w:position w:val="0"/>
        </w:rPr>
        <w:t>大数据等领域进行深度合作。</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新媒传信作为国内领先的融合通信解决方案提供商，经过多年亿级海量用户平台技术积淀和运营经验，在互联网业务运 维支撑（包括互联网应用、增值及平台）等服务上，具有行业领先的技术经验。目前，其自主研发完成的</w:t>
      </w:r>
      <w:r>
        <w:rPr>
          <w:rFonts w:ascii="Times New Roman" w:eastAsia="Times New Roman" w:hAnsi="Times New Roman" w:cs="Times New Roman"/>
          <w:color w:val="000000"/>
          <w:spacing w:val="0"/>
          <w:w w:val="100"/>
          <w:position w:val="0"/>
          <w:sz w:val="18"/>
          <w:szCs w:val="18"/>
        </w:rPr>
        <w:t>URCS+</w:t>
      </w:r>
      <w:r>
        <w:rPr>
          <w:color w:val="000000"/>
          <w:spacing w:val="0"/>
          <w:w w:val="100"/>
          <w:position w:val="0"/>
        </w:rPr>
        <w:t>融合通信 产品生态链，现已为多家国内外运营商及大型企业提供成功技术方案及全方位运营支撑服务。</w:t>
      </w:r>
    </w:p>
    <w:p>
      <w:pPr>
        <w:pStyle w:val="Style29"/>
        <w:keepNext w:val="0"/>
        <w:keepLines w:val="0"/>
        <w:widowControl w:val="0"/>
        <w:shd w:val="clear" w:color="auto" w:fill="auto"/>
        <w:bidi w:val="0"/>
        <w:spacing w:before="0" w:after="0" w:line="468" w:lineRule="exact"/>
        <w:ind w:left="0" w:right="0"/>
        <w:jc w:val="both"/>
      </w:pPr>
      <w:r>
        <w:rPr>
          <w:b/>
          <w:bCs/>
          <w:color w:val="000000"/>
          <w:spacing w:val="0"/>
          <w:w w:val="100"/>
          <w:position w:val="0"/>
        </w:rPr>
        <w:t>手机游戏领域</w:t>
      </w:r>
      <w:r>
        <w:rPr>
          <w:color w:val="000000"/>
          <w:spacing w:val="0"/>
          <w:w w:val="100"/>
          <w:position w:val="0"/>
        </w:rPr>
        <w:t>，公司旗下重要手游研发团队</w:t>
      </w:r>
      <w:r>
        <w:rPr>
          <w:color w:val="000000"/>
          <w:spacing w:val="0"/>
          <w:w w:val="100"/>
          <w:position w:val="0"/>
        </w:rPr>
        <w:t>一</w:t>
      </w:r>
      <w:r>
        <w:rPr>
          <w:color w:val="000000"/>
          <w:spacing w:val="0"/>
          <w:w w:val="100"/>
          <w:position w:val="0"/>
        </w:rPr>
        <w:t>壳木软件是中国目前为数不多的拥有独立研发世界水准的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游戏引擎 能力（可兼容各种层次的移动设备）的一流手机游戏研发团队，</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年即获得了</w:t>
      </w:r>
      <w:r>
        <w:rPr>
          <w:rFonts w:ascii="Times New Roman" w:eastAsia="Times New Roman" w:hAnsi="Times New Roman" w:cs="Times New Roman"/>
          <w:color w:val="000000"/>
          <w:spacing w:val="0"/>
          <w:w w:val="100"/>
          <w:position w:val="0"/>
          <w:sz w:val="18"/>
          <w:szCs w:val="18"/>
        </w:rPr>
        <w:t>Google Play</w:t>
      </w:r>
      <w:r>
        <w:rPr>
          <w:color w:val="000000"/>
          <w:spacing w:val="0"/>
          <w:w w:val="100"/>
          <w:position w:val="0"/>
        </w:rPr>
        <w:t>官方颁发的</w:t>
      </w:r>
      <w:r>
        <w:rPr>
          <w:rFonts w:ascii="Times New Roman" w:eastAsia="Times New Roman" w:hAnsi="Times New Roman" w:cs="Times New Roman"/>
          <w:color w:val="000000"/>
          <w:spacing w:val="0"/>
          <w:w w:val="100"/>
          <w:position w:val="0"/>
          <w:sz w:val="18"/>
          <w:szCs w:val="18"/>
        </w:rPr>
        <w:t xml:space="preserve">“Android Top </w:t>
      </w:r>
      <w:r>
        <w:rPr>
          <w:rFonts w:ascii="Times New Roman" w:eastAsia="Times New Roman" w:hAnsi="Times New Roman" w:cs="Times New Roman"/>
          <w:color w:val="000000"/>
          <w:spacing w:val="0"/>
          <w:w w:val="100"/>
          <w:position w:val="0"/>
          <w:sz w:val="18"/>
          <w:szCs w:val="18"/>
        </w:rPr>
        <w:t>Developer”</w:t>
      </w:r>
      <w:r>
        <w:rPr>
          <w:color w:val="000000"/>
          <w:spacing w:val="0"/>
          <w:w w:val="100"/>
          <w:position w:val="0"/>
        </w:rPr>
        <w:t>（全球顶级开发者）认证，是中国大陆地区最早一家荣获此殊荣的手机游戏开发团队，游戏美术和设计团队来自 于中央美术学院等高等院校及完美世界、</w:t>
      </w:r>
      <w:r>
        <w:rPr>
          <w:rFonts w:ascii="Times New Roman" w:eastAsia="Times New Roman" w:hAnsi="Times New Roman" w:cs="Times New Roman"/>
          <w:color w:val="000000"/>
          <w:spacing w:val="0"/>
          <w:w w:val="100"/>
          <w:position w:val="0"/>
          <w:sz w:val="18"/>
          <w:szCs w:val="18"/>
        </w:rPr>
        <w:t>Ubi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Glu</w:t>
      </w:r>
      <w:r>
        <w:rPr>
          <w:color w:val="000000"/>
          <w:spacing w:val="0"/>
          <w:w w:val="100"/>
          <w:position w:val="0"/>
        </w:rPr>
        <w:t>等国内外业界知名开发商，具有广阔的视野和高水准的技能。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年，壳 木软件获得北京中关村高新技术企业协会评选的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中关村高成长企业</w:t>
      </w:r>
      <w:r>
        <w:rPr>
          <w:rFonts w:ascii="Times New Roman" w:eastAsia="Times New Roman" w:hAnsi="Times New Roman" w:cs="Times New Roman"/>
          <w:color w:val="000000"/>
          <w:spacing w:val="0"/>
          <w:w w:val="100"/>
          <w:position w:val="0"/>
          <w:sz w:val="18"/>
          <w:szCs w:val="18"/>
        </w:rPr>
        <w:t>TOP100”</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从产品的设计层面，壳木团队在竞争激烈的国内</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手游市场中，擅长以独特的内容设计，在同质化严重的诸多游戏产 品中推出自身独具魅力的手游产品。以《战火与秩序》为例，游戏综合了</w:t>
      </w:r>
      <w:r>
        <w:rPr>
          <w:rFonts w:ascii="Times New Roman" w:eastAsia="Times New Roman" w:hAnsi="Times New Roman" w:cs="Times New Roman"/>
          <w:color w:val="000000"/>
          <w:spacing w:val="0"/>
          <w:w w:val="100"/>
          <w:position w:val="0"/>
          <w:sz w:val="18"/>
          <w:szCs w:val="18"/>
        </w:rPr>
        <w:t>GOW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COK</w:t>
      </w:r>
      <w:r>
        <w:rPr>
          <w:color w:val="000000"/>
          <w:spacing w:val="0"/>
          <w:w w:val="100"/>
          <w:position w:val="0"/>
        </w:rPr>
        <w:t>等产品特征，并融合联盟、社交、战 斗等其他游戏类型的元素，满足各种口味不同的玩家需求。</w:t>
      </w:r>
    </w:p>
    <w:p>
      <w:pPr>
        <w:pStyle w:val="Style29"/>
        <w:keepNext w:val="0"/>
        <w:keepLines w:val="0"/>
        <w:widowControl w:val="0"/>
        <w:shd w:val="clear" w:color="auto" w:fill="auto"/>
        <w:bidi w:val="0"/>
        <w:spacing w:before="0" w:after="0" w:line="467" w:lineRule="exact"/>
        <w:ind w:left="0" w:right="0"/>
        <w:jc w:val="both"/>
      </w:pPr>
      <w:r>
        <w:rPr>
          <w:b/>
          <w:bCs/>
          <w:color w:val="000000"/>
          <w:spacing w:val="0"/>
          <w:w w:val="100"/>
          <w:position w:val="0"/>
        </w:rPr>
        <w:t>人工智能与大数据领域</w:t>
      </w:r>
      <w:r>
        <w:rPr>
          <w:color w:val="000000"/>
          <w:spacing w:val="0"/>
          <w:w w:val="100"/>
          <w:position w:val="0"/>
        </w:rPr>
        <w:t>，公司人工智能与大数据团队，在自然语言处理</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 xml:space="preserve">领域达到了业界领先水平，自主研发的智慧 语义认知技术构建了基于概念的多层次语义知识表示方法和语义分析技术，有效解决了自然语言中普遍存在的歧义性，是超 越了传统关键字的领先语义理解技术，能实现对文本的多个层次（词语、句子、段落、篇章）的分析，实现文本语义的量化 计算，提供了强大的自然语言语义理解的相关分析算法。公司在智慧语义认知技术基础上完全自主研发的核心专利产品 </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非结构化文本分析挖掘平台，与国际上的</w:t>
      </w:r>
      <w:r>
        <w:rPr>
          <w:rFonts w:ascii="Times New Roman" w:eastAsia="Times New Roman" w:hAnsi="Times New Roman" w:cs="Times New Roman"/>
          <w:color w:val="000000"/>
          <w:spacing w:val="0"/>
          <w:w w:val="100"/>
          <w:position w:val="0"/>
          <w:sz w:val="18"/>
          <w:szCs w:val="18"/>
        </w:rPr>
        <w:t>IBM WATSON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HP AUTONOMY</w:t>
      </w:r>
      <w:r>
        <w:rPr>
          <w:color w:val="000000"/>
          <w:spacing w:val="0"/>
          <w:w w:val="100"/>
          <w:position w:val="0"/>
        </w:rPr>
        <w:t>等相比，具有更强的自然语言 语义理解能力、面向业务的建模能力和多语种的自动支持能力。</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平台在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年中国信息化行业评比中，荣获了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年中国非结构化大数据领域最佳解决方案奖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人工智能重点应用产品一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小富机器人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是一款基于人工智能的智能问答机器人创新产品。它采用了业界首创的面向场 景的设计理念，产品已覆盖五类典型场景：客服问答场景、外呼场景、智能推荐场景、营销场景和个人助理场景。小富机器 人提供了强大的上下文会话能力，可准确地进行上下文语义关联，通过多轮会话智能引导客户，可迅速满足客户需求、解决 客户问题。业务整体建模以及智能的概念扩展技术，极大地提升了后台知识加工的自动化程度和效率，使运维变得快捷简单。 小富机器人还支持对常见文档的碎片化加工能力，使得业务知识可以更方便地被机器人吸收。小富机器人具有智能问答能力、 语义技术能力、知识自动加工能力三大领先技术，实现了</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问题回答准确率，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实施加工效率提升和</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建设运营成本 降低，持续领跑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领域技术创新。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小富智能机器人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摘得中国好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北京赛区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最具价值</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日，晋级中国好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全国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强，并荣获</w:t>
      </w:r>
      <w:r>
        <w:rPr>
          <w:rFonts w:ascii="Times New Roman" w:eastAsia="Times New Roman" w:hAnsi="Times New Roman" w:cs="Times New Roman"/>
          <w:color w:val="000000"/>
          <w:spacing w:val="0"/>
          <w:w w:val="100"/>
          <w:position w:val="0"/>
          <w:sz w:val="18"/>
          <w:szCs w:val="18"/>
        </w:rPr>
        <w:t>BTAward s</w:t>
      </w:r>
      <w:r>
        <w:rPr>
          <w:color w:val="000000"/>
          <w:spacing w:val="0"/>
          <w:w w:val="100"/>
          <w:position w:val="0"/>
        </w:rPr>
        <w:t>创新评选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年度最具投资价值</w:t>
      </w:r>
      <w:r>
        <w:rPr>
          <w:rFonts w:ascii="Times New Roman" w:eastAsia="Times New Roman" w:hAnsi="Times New Roman" w:cs="Times New Roman"/>
          <w:color w:val="000000"/>
          <w:spacing w:val="0"/>
          <w:w w:val="100"/>
          <w:position w:val="0"/>
          <w:sz w:val="18"/>
          <w:szCs w:val="18"/>
        </w:rPr>
        <w:t>Saa S</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jc w:val="both"/>
      </w:pPr>
      <w:r>
        <w:rPr>
          <w:b/>
          <w:bCs/>
          <w:color w:val="000000"/>
          <w:spacing w:val="0"/>
          <w:w w:val="100"/>
          <w:position w:val="0"/>
        </w:rPr>
        <w:t>物联网及通讯技术应用领域</w:t>
      </w:r>
      <w:r>
        <w:rPr>
          <w:color w:val="000000"/>
          <w:spacing w:val="0"/>
          <w:w w:val="100"/>
          <w:position w:val="0"/>
        </w:rPr>
        <w:t>，公司在通讯、物联网相关技术领域多年不断创新，拥有自主研发的国际首创安防技术一 智慧墙技术，包括：</w:t>
      </w:r>
      <w:r>
        <w:rPr>
          <w:rFonts w:ascii="Times New Roman" w:eastAsia="Times New Roman" w:hAnsi="Times New Roman" w:cs="Times New Roman"/>
          <w:color w:val="000000"/>
          <w:spacing w:val="0"/>
          <w:w w:val="100"/>
          <w:position w:val="0"/>
          <w:sz w:val="18"/>
          <w:szCs w:val="18"/>
        </w:rPr>
        <w:t>SmartCable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SmartWall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SmartCare</w:t>
      </w:r>
      <w:r>
        <w:rPr>
          <w:color w:val="000000"/>
          <w:spacing w:val="0"/>
          <w:w w:val="100"/>
          <w:position w:val="0"/>
        </w:rPr>
        <w:t xml:space="preserve">等产品及多行业解决方案，以及业界领先的核电通信技术解决方案 </w:t>
      </w:r>
      <w:r>
        <w:rPr>
          <w:rFonts w:ascii="Times New Roman" w:eastAsia="Times New Roman" w:hAnsi="Times New Roman" w:cs="Times New Roman"/>
          <w:color w:val="000000"/>
          <w:spacing w:val="0"/>
          <w:w w:val="100"/>
          <w:position w:val="0"/>
          <w:sz w:val="18"/>
          <w:szCs w:val="18"/>
        </w:rPr>
        <w:t>Nu-WiFi</w:t>
      </w:r>
      <w:r>
        <w:rPr>
          <w:color w:val="000000"/>
          <w:spacing w:val="0"/>
          <w:w w:val="100"/>
          <w:position w:val="0"/>
        </w:rPr>
        <w:t>。</w:t>
      </w:r>
    </w:p>
    <w:p>
      <w:pPr>
        <w:pStyle w:val="Style29"/>
        <w:keepNext w:val="0"/>
        <w:keepLines w:val="0"/>
        <w:widowControl w:val="0"/>
        <w:shd w:val="clear" w:color="auto" w:fill="auto"/>
        <w:bidi w:val="0"/>
        <w:spacing w:before="0" w:after="260" w:line="467" w:lineRule="exact"/>
        <w:ind w:left="0" w:right="0"/>
        <w:jc w:val="both"/>
      </w:pPr>
      <w:r>
        <w:rPr>
          <w:color w:val="000000"/>
          <w:spacing w:val="0"/>
          <w:w w:val="100"/>
          <w:position w:val="0"/>
        </w:rPr>
        <w:t>公司物联网核心智慧线技术在物联网芯片、通信协议、核心算法、产品和解决方案等方面已进行了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年的技术和实践积 累，目前已通过</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质量管理体系认证、武器装备质量管理体系认证（国军标）、国家矿用产品安全标志认证以及公安 部产品、军工产品质量管理体系认证、中国核电产品等认证；公司作为国家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矿山安全生产物联网标准化组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组长单位，主导 提出了国内首套矿山物联网的国家系列标准，包括了以《矿山安全生产物联网信息交互通用技术要求》为首的七项标准，并 联合矿山及通信领域的院校与科研机构、龙头矿企、矿山物联网产品研发企业等共同致力于推广接口标准化理念，为我国未 来矿山物联网产业的发展奠定关键基础；智慧线相关的无线通讯与精确定位技术被列入北京市二十大颠覆性技术储备库。该 </w:t>
      </w:r>
      <w:r>
        <w:rPr>
          <w:color w:val="000000"/>
          <w:spacing w:val="0"/>
          <w:w w:val="100"/>
          <w:position w:val="0"/>
        </w:rPr>
        <w:t>技术已在神华、中石油等相关公司正式商用，在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年抗战</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周年阅兵活动的军事基地防护中应用，产品经受实践检验，得 到了相关单位的好评和表彰。</w:t>
      </w:r>
    </w:p>
    <w:p>
      <w:pPr>
        <w:pStyle w:val="Style29"/>
        <w:keepNext w:val="0"/>
        <w:keepLines w:val="0"/>
        <w:widowControl w:val="0"/>
        <w:shd w:val="clear" w:color="auto" w:fill="auto"/>
        <w:bidi w:val="0"/>
        <w:spacing w:before="0" w:after="0" w:line="547" w:lineRule="auto"/>
        <w:ind w:left="0" w:right="0" w:firstLine="44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、行业实践经验优势</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公司拥有丰富的电信、金融、能源等行业和政府机构的运维管理项目实施经验，尤其是在线关键业务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运维管理的经 验和方法论。作为电信运营商的重要合作伙伴，公司积累了丰富的电信行业项目经验，多次参与电信运营商技术规范的制定， 通过对电信运营商的运维需求进行深入分析和梳理，积淀了丰富的实践经验并将其向其他行业推广，从而为其他行业的客户 提供成熟优质的产品和服务。</w:t>
      </w:r>
    </w:p>
    <w:p>
      <w:pPr>
        <w:pStyle w:val="Style29"/>
        <w:keepNext w:val="0"/>
        <w:keepLines w:val="0"/>
        <w:widowControl w:val="0"/>
        <w:shd w:val="clear" w:color="auto" w:fill="auto"/>
        <w:bidi w:val="0"/>
        <w:spacing w:before="0" w:after="260" w:line="472" w:lineRule="exact"/>
        <w:ind w:left="0" w:right="0"/>
        <w:jc w:val="left"/>
      </w:pPr>
      <w:r>
        <w:rPr>
          <w:color w:val="000000"/>
          <w:spacing w:val="0"/>
          <w:w w:val="100"/>
          <w:position w:val="0"/>
        </w:rPr>
        <w:t>公司在移动互联网运营服务方向积累了丰富的大型项目经验。飞信业务、融合通信业务、农信通业务的开发运营实践中， 公司形成了强大的互联网产品开发能力和运营能力，在技术、产品、团队、运营经验、对互联网市场的理解等诸多方面均有 着深厚的积累。这些积累为公司在互联网运营服务领域的进一步发展打下了坚实基础，有利于公司拓展面向大型组织机构的 互联网运营业务，有利于公司融合通信各相关业务的演化推进。</w:t>
      </w:r>
    </w:p>
    <w:p>
      <w:pPr>
        <w:pStyle w:val="Style29"/>
        <w:keepNext w:val="0"/>
        <w:keepLines w:val="0"/>
        <w:widowControl w:val="0"/>
        <w:shd w:val="clear" w:color="auto" w:fill="auto"/>
        <w:bidi w:val="0"/>
        <w:spacing w:before="0" w:after="0" w:line="547"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3</w:t>
      </w:r>
      <w:bookmarkEnd w:id="75"/>
      <w:r>
        <w:rPr>
          <w:b/>
          <w:bCs/>
          <w:color w:val="000000"/>
          <w:spacing w:val="0"/>
          <w:w w:val="100"/>
          <w:position w:val="0"/>
        </w:rPr>
        <w:t>、客户资源优势</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运营管理领域近二十年的业务发展过程中积累了一批以电信行业为主，兼顾金融、政府、能源、交通等行业 中的大中型企业以及政府机构的优质客户资源，主要包括：中国移动、中国联通、中国电信、人民银行、建设银行、工商银 行、中国银行、光大银行、民生银行、中国人寿、新华人寿、上海证券交易所、中国证券登记结算公司、中国海洋石油总公 司、国家电网公司、南方电网公司、中国华能、国务院办公厅、全国政协办公厅、国家地震局、国家知识专利局、北京市人 民政府、新华通讯社、中央人民广播电台等。</w:t>
      </w:r>
    </w:p>
    <w:p>
      <w:pPr>
        <w:pStyle w:val="Style29"/>
        <w:keepNext w:val="0"/>
        <w:keepLines w:val="0"/>
        <w:widowControl w:val="0"/>
        <w:shd w:val="clear" w:color="auto" w:fill="auto"/>
        <w:bidi w:val="0"/>
        <w:spacing w:before="0" w:after="260" w:line="472" w:lineRule="exact"/>
        <w:ind w:left="0" w:right="0"/>
        <w:jc w:val="both"/>
      </w:pPr>
      <w:r>
        <w:rPr>
          <w:color w:val="000000"/>
          <w:spacing w:val="0"/>
          <w:w w:val="100"/>
          <w:position w:val="0"/>
        </w:rPr>
        <w:t>公司的产品和服务在上述客户中得到了广泛应用与高度认同，在业内留下了良好的口碑。优质的客户资源，为公司进一 步拓展新的市场空间、保持稳定的增长奠定了坚实的基础，也为人工智能、物联网通讯技术等新业务板块迅速推进市场拓展 和商务落地提供了有力的支撑。</w:t>
      </w:r>
    </w:p>
    <w:p>
      <w:pPr>
        <w:pStyle w:val="Style29"/>
        <w:keepNext w:val="0"/>
        <w:keepLines w:val="0"/>
        <w:widowControl w:val="0"/>
        <w:shd w:val="clear" w:color="auto" w:fill="auto"/>
        <w:bidi w:val="0"/>
        <w:spacing w:before="0" w:after="0" w:line="547" w:lineRule="auto"/>
        <w:ind w:left="0" w:right="0"/>
        <w:jc w:val="both"/>
      </w:pPr>
      <w:bookmarkStart w:id="76" w:name="bookmark76"/>
      <w:r>
        <w:rPr>
          <w:rFonts w:ascii="Times New Roman" w:eastAsia="Times New Roman" w:hAnsi="Times New Roman" w:cs="Times New Roman"/>
          <w:b/>
          <w:bCs/>
          <w:color w:val="000000"/>
          <w:spacing w:val="0"/>
          <w:w w:val="100"/>
          <w:position w:val="0"/>
          <w:sz w:val="18"/>
          <w:szCs w:val="18"/>
        </w:rPr>
        <w:t>3</w:t>
      </w:r>
      <w:bookmarkEnd w:id="76"/>
      <w:r>
        <w:rPr>
          <w:b/>
          <w:bCs/>
          <w:color w:val="000000"/>
          <w:spacing w:val="0"/>
          <w:w w:val="100"/>
          <w:position w:val="0"/>
        </w:rPr>
        <w:t>、市场品牌优势</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公司高度重视市场品牌建设，致力于打造信息产业内知名品牌，上市以来，公司获得的部分荣誉与奖项如下：</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年，公司被中国软件行业协会评为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中国软件产业脊梁企业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年，公司被国家发展改革委、科技 部、财政部、海关总署、国家税务总局公司评为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国家企业技术中心</w:t>
      </w:r>
      <w:r>
        <w:rPr>
          <w:color w:val="000000"/>
          <w:spacing w:val="0"/>
          <w:w w:val="100"/>
          <w:position w:val="0"/>
        </w:rPr>
        <w:t>''；</w:t>
      </w:r>
      <w:r>
        <w:rPr>
          <w:color w:val="000000"/>
          <w:spacing w:val="0"/>
          <w:w w:val="100"/>
          <w:position w:val="0"/>
        </w:rPr>
        <w:t>北京中关村国际孵化软件协会评选的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年度中关 村国家自主创新示范区核心区软件行业创新示范百强企业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年，公司荣获了中国软件行业协会评选的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中国软件和信息技术服务业最有价值品牌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；赛迪网评选的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年创新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领军企业奖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；中国企业联合会评选的</w:t>
      </w:r>
      <w:r>
        <w:rPr>
          <w:rFonts w:ascii="Times New Roman" w:eastAsia="Times New Roman" w:hAnsi="Times New Roman" w:cs="Times New Roman"/>
          <w:color w:val="000000"/>
          <w:spacing w:val="0"/>
          <w:w w:val="100"/>
          <w:position w:val="0"/>
          <w:sz w:val="18"/>
          <w:szCs w:val="18"/>
        </w:rPr>
        <w:t>“2010-2011</w:t>
      </w:r>
      <w:r>
        <w:rPr>
          <w:color w:val="000000"/>
          <w:spacing w:val="0"/>
          <w:w w:val="100"/>
          <w:position w:val="0"/>
        </w:rPr>
        <w:t>年度全国企业文化优秀成果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；通信产业报社评选的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中国通 信设备技术供应商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2010-2011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；工业和信息化部评选的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中国软件业务收入前百家企业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年，公司获得北京市国税、地税局颁发的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纳税信用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；中国软件行业协会评选的</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中国十大创新软件企业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；中国电子企业协会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全国电子信息行业领军企业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；中国通信学会评选的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中国通信学会科学技 </w:t>
      </w:r>
      <w:r>
        <w:rPr>
          <w:color w:val="000000"/>
          <w:spacing w:val="0"/>
          <w:w w:val="100"/>
          <w:position w:val="0"/>
        </w:rPr>
        <w:t>术一等奖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；北京软件和信息服务业协会评选的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年度北京市诚信创建企业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年，公司获得工信部运行监测协调局颁发的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届）中国软件业务收入前百家企业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；赛迪顾问评选的 </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自主创新突出贡献企业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；壳木软件获得北京中关村高新技术企业协会评选的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中关村高成长企业 </w:t>
      </w:r>
      <w:r>
        <w:rPr>
          <w:rFonts w:ascii="Times New Roman" w:eastAsia="Times New Roman" w:hAnsi="Times New Roman" w:cs="Times New Roman"/>
          <w:color w:val="000000"/>
          <w:spacing w:val="0"/>
          <w:w w:val="100"/>
          <w:position w:val="0"/>
          <w:sz w:val="18"/>
          <w:szCs w:val="18"/>
        </w:rPr>
        <w:t>TOP100”</w:t>
      </w:r>
      <w:r>
        <w:rPr>
          <w:color w:val="000000"/>
          <w:spacing w:val="0"/>
          <w:w w:val="100"/>
          <w:position w:val="0"/>
        </w:rPr>
        <w:t>；</w:t>
      </w:r>
      <w:r>
        <w:rPr>
          <w:color w:val="000000"/>
          <w:spacing w:val="0"/>
          <w:w w:val="100"/>
          <w:position w:val="0"/>
        </w:rPr>
        <w:t>新媒传信获得中国电子信息产业发展研究院评选的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年度中国金软件互联网通信领域最具影响力企业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等重要 奖项。</w:t>
      </w:r>
    </w:p>
    <w:p>
      <w:pPr>
        <w:pStyle w:val="Style29"/>
        <w:keepNext w:val="0"/>
        <w:keepLines w:val="0"/>
        <w:widowControl w:val="0"/>
        <w:shd w:val="clear" w:color="auto" w:fill="auto"/>
        <w:bidi w:val="0"/>
        <w:spacing w:before="0" w:after="0" w:line="469" w:lineRule="exact"/>
        <w:ind w:left="0" w:right="0"/>
        <w:jc w:val="both"/>
        <w:sectPr>
          <w:footnotePr>
            <w:pos w:val="pageBottom"/>
            <w:numFmt w:val="decimal"/>
            <w:numRestart w:val="continuous"/>
          </w:footnotePr>
          <w:pgSz w:w="11900" w:h="16840"/>
          <w:pgMar w:top="1461" w:right="1030" w:bottom="1311" w:left="108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年，公司获得北京软件和信息服务业协会颁发的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年北京软协</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周年突出贡献企业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年北京市诚信 系统集成企业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中国电子信息行业联合会、中国软件行业协会共同颁发的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中国软件和信息技术服务综合竞争力百强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；中国电子信息产业发展研究院、《软件和集成电路》杂志社共同颁发的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年度中国大数据非结构化大数据创新 企业</w:t>
      </w:r>
    </w:p>
    <w:p>
      <w:pPr>
        <w:pStyle w:val="Style16"/>
        <w:keepNext/>
        <w:keepLines/>
        <w:widowControl w:val="0"/>
        <w:shd w:val="clear" w:color="auto" w:fill="auto"/>
        <w:bidi w:val="0"/>
        <w:spacing w:before="8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7"/>
        <w:keepNext/>
        <w:keepLines/>
        <w:widowControl w:val="0"/>
        <w:shd w:val="clear" w:color="auto" w:fill="auto"/>
        <w:bidi w:val="0"/>
        <w:spacing w:before="0" w:after="26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一</w:t>
      </w:r>
      <w:bookmarkEnd w:id="82"/>
      <w:r>
        <w:rPr>
          <w:color w:val="000000"/>
          <w:spacing w:val="0"/>
          <w:w w:val="100"/>
          <w:position w:val="0"/>
        </w:rPr>
        <w:t>、概述</w:t>
      </w:r>
      <w:bookmarkEnd w:id="80"/>
      <w:bookmarkEnd w:id="81"/>
      <w:bookmarkEnd w:id="83"/>
    </w:p>
    <w:p>
      <w:pPr>
        <w:pStyle w:val="Style29"/>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聚焦信息产业、多元化布局、专业化经营、扁平化运作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的经营策略，以市场需求为导向，积极创 新拓展，调整优化业务布局，正式确立了以</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运营管理、手机游戏、人工智能与大数据、物联网及通讯技术应用等四大 核心业务板块为核心的多元化战略布局。报告期内，公司积极深化</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战略模式，一方面着力加强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运营管理业务板块 的项目扩展与盈利提升、加强手机游戏业务板块的新游戏推广力度，另一方面积极推进人工智能与大数据、物联网通信技术 应用为未来的明星战略业务市场落地。</w:t>
      </w:r>
    </w:p>
    <w:p>
      <w:pPr>
        <w:pStyle w:val="Style29"/>
        <w:keepNext w:val="0"/>
        <w:keepLines w:val="0"/>
        <w:widowControl w:val="0"/>
        <w:shd w:val="clear" w:color="auto" w:fill="auto"/>
        <w:bidi w:val="0"/>
        <w:spacing w:before="0" w:after="260" w:line="470"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年度公司归属于母公司股东的净利润为</w:t>
      </w:r>
      <w:r>
        <w:rPr>
          <w:rFonts w:ascii="Times New Roman" w:eastAsia="Times New Roman" w:hAnsi="Times New Roman" w:cs="Times New Roman"/>
          <w:color w:val="000000"/>
          <w:spacing w:val="0"/>
          <w:w w:val="100"/>
          <w:position w:val="0"/>
          <w:sz w:val="18"/>
          <w:szCs w:val="18"/>
        </w:rPr>
        <w:t>507,331,705.29</w:t>
      </w:r>
      <w:r>
        <w:rPr>
          <w:color w:val="000000"/>
          <w:spacing w:val="0"/>
          <w:w w:val="100"/>
          <w:position w:val="0"/>
        </w:rPr>
        <w:t>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44.40%</w:t>
      </w:r>
      <w:r>
        <w:rPr>
          <w:color w:val="000000"/>
          <w:spacing w:val="0"/>
          <w:w w:val="100"/>
          <w:position w:val="0"/>
        </w:rPr>
        <w:t>，主要原因为手机游戏业务表 现突出，其中，公司自主研发的重度游戏《战火与秩序》整体市场表现情况良好；公司报告期内实施了关于天津壳木软件有 限责任公司的业绩承诺补偿方案，回购注销了应补偿股份数量共计为</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股，根据企业会计准则关于金融工具确认和 计量等相关规定，计入非经常性损益</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亿元（公司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年度的非经常性损益为</w:t>
      </w:r>
      <w:r>
        <w:rPr>
          <w:rFonts w:ascii="Times New Roman" w:eastAsia="Times New Roman" w:hAnsi="Times New Roman" w:cs="Times New Roman"/>
          <w:color w:val="000000"/>
          <w:spacing w:val="0"/>
          <w:w w:val="100"/>
          <w:position w:val="0"/>
          <w:sz w:val="18"/>
          <w:szCs w:val="18"/>
        </w:rPr>
        <w:t>0.96</w:t>
      </w:r>
      <w:r>
        <w:rPr>
          <w:color w:val="000000"/>
          <w:spacing w:val="0"/>
          <w:w w:val="100"/>
          <w:position w:val="0"/>
        </w:rPr>
        <w:t>亿元左右）。</w:t>
      </w:r>
    </w:p>
    <w:p>
      <w:pPr>
        <w:pStyle w:val="Style29"/>
        <w:keepNext w:val="0"/>
        <w:keepLines w:val="0"/>
        <w:widowControl w:val="0"/>
        <w:shd w:val="clear" w:color="auto" w:fill="auto"/>
        <w:bidi w:val="0"/>
        <w:spacing w:before="0" w:after="0" w:line="545" w:lineRule="auto"/>
        <w:ind w:left="0" w:right="0" w:firstLine="360"/>
        <w:jc w:val="both"/>
      </w:pPr>
      <w:bookmarkStart w:id="84" w:name="bookmark84"/>
      <w:r>
        <w:rPr>
          <w:rFonts w:ascii="Times New Roman" w:eastAsia="Times New Roman" w:hAnsi="Times New Roman" w:cs="Times New Roman"/>
          <w:b/>
          <w:bCs/>
          <w:color w:val="000000"/>
          <w:spacing w:val="0"/>
          <w:w w:val="100"/>
          <w:position w:val="0"/>
          <w:sz w:val="18"/>
          <w:szCs w:val="18"/>
        </w:rPr>
        <w:t>1</w:t>
      </w:r>
      <w:bookmarkEnd w:id="84"/>
      <w:r>
        <w:rPr>
          <w:b/>
          <w:bCs/>
          <w:color w:val="000000"/>
          <w:spacing w:val="0"/>
          <w:w w:val="100"/>
          <w:position w:val="0"/>
        </w:rPr>
        <w:t>、业务经营整体情况</w:t>
      </w:r>
    </w:p>
    <w:p>
      <w:pPr>
        <w:pStyle w:val="Style29"/>
        <w:keepNext w:val="0"/>
        <w:keepLines w:val="0"/>
        <w:widowControl w:val="0"/>
        <w:shd w:val="clear" w:color="auto" w:fill="auto"/>
        <w:bidi w:val="0"/>
        <w:spacing w:before="0" w:after="40" w:line="470" w:lineRule="exact"/>
        <w:ind w:left="0" w:right="0" w:firstLine="360"/>
        <w:jc w:val="both"/>
      </w:pPr>
      <w:bookmarkStart w:id="85" w:name="bookmark85"/>
      <w:r>
        <w:rPr>
          <w:b/>
          <w:bCs/>
          <w:color w:val="000000"/>
          <w:spacing w:val="0"/>
          <w:w w:val="100"/>
          <w:position w:val="0"/>
        </w:rPr>
        <w:t>（</w:t>
      </w:r>
      <w:bookmarkEnd w:id="85"/>
      <w:r>
        <w:rPr>
          <w:b/>
          <w:bCs/>
          <w:color w:val="000000"/>
          <w:spacing w:val="0"/>
          <w:w w:val="100"/>
          <w:position w:val="0"/>
        </w:rPr>
        <w:t>一）在</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运营管理领域</w:t>
      </w:r>
    </w:p>
    <w:p>
      <w:pPr>
        <w:pStyle w:val="Style29"/>
        <w:keepNext w:val="0"/>
        <w:keepLines w:val="0"/>
        <w:widowControl w:val="0"/>
        <w:shd w:val="clear" w:color="auto" w:fill="auto"/>
        <w:bidi w:val="0"/>
        <w:spacing w:before="0" w:after="40" w:line="46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运营管理业务包括运维管理</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运维管理、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运维管理、无线网优、拨打测试等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，信息安全管理，移动互联网 运营，以及系统集成等条线。客户资源主要集中在三大电信运营商总部、各省公司和专业子公司，以及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技术密集型的大中 型企业、政府机构。随着</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技术应用的日益广泛、</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融合技术架构的颠覆性演进，对运营管理软件和服务的需求越来越 刚性、业务粘性越来越强、需求范围越来越广，</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运营管理软件和服务市场空间会保持持续、稳定、并不断扩大。</w:t>
      </w:r>
    </w:p>
    <w:p>
      <w:pPr>
        <w:pStyle w:val="Style29"/>
        <w:keepNext w:val="0"/>
        <w:keepLines w:val="0"/>
        <w:widowControl w:val="0"/>
        <w:shd w:val="clear" w:color="auto" w:fill="auto"/>
        <w:bidi w:val="0"/>
        <w:spacing w:before="0" w:after="260" w:line="468" w:lineRule="exact"/>
        <w:ind w:left="0" w:right="0" w:firstLine="36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）运维管理是公司经营时间最长、客户规模最大、项目粘性最强、技术积累最多、市场占有最高的主营业务之一。 报告期内，公司荣获了互联网周刊举办的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排行榜之首、赛迪顾问主办的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市场年会 的</w:t>
      </w:r>
      <w:r>
        <w:rPr>
          <w:rFonts w:ascii="Times New Roman" w:eastAsia="Times New Roman" w:hAnsi="Times New Roman" w:cs="Times New Roman"/>
          <w:color w:val="000000"/>
          <w:spacing w:val="0"/>
          <w:w w:val="100"/>
          <w:position w:val="0"/>
          <w:sz w:val="18"/>
          <w:szCs w:val="18"/>
        </w:rPr>
        <w:t>“2015-2016</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运维管理市场占有率第一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等多项荣誉。运维管理业务的发展策略是在不断加强和拓展既有产品线和客 户群、不断提升产品性能与功能、不断推进项目滚动建设的同时，重点研究、研发和试点以云计算、大数据、</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NFV </w:t>
      </w:r>
      <w:r>
        <w:rPr>
          <w:color w:val="000000"/>
          <w:spacing w:val="0"/>
          <w:w w:val="100"/>
          <w:position w:val="0"/>
        </w:rPr>
        <w:t>为特征的新型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环境下的新一代综合</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综合运营管理平台。公司长期承建的知识管理、需求管理、智能网管等运营商总 部主导、覆盖全国的重点系统，功能和理念上不断融入智能化、综合化、扁平化、社交化和社区元素，服务方式从基于功能 需求的建设模式全面转向基于使用成效的运营模式，在客户运维运营理念演进过程中，体现出更大价值和更强生命力，为</w:t>
      </w: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运营管理赢得了更为广阔和持续的发展空间。在跟踪研究</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融合新技术、新架构的同时，公司</w:t>
      </w:r>
      <w:r>
        <w:rPr>
          <w:rFonts w:ascii="Times New Roman" w:eastAsia="Times New Roman" w:hAnsi="Times New Roman" w:cs="Times New Roman"/>
          <w:color w:val="000000"/>
          <w:spacing w:val="0"/>
          <w:w w:val="100"/>
          <w:position w:val="0"/>
          <w:sz w:val="18"/>
          <w:szCs w:val="18"/>
        </w:rPr>
        <w:t>Sigma-M</w:t>
      </w:r>
      <w:r>
        <w:rPr>
          <w:color w:val="000000"/>
          <w:spacing w:val="0"/>
          <w:w w:val="100"/>
          <w:position w:val="0"/>
        </w:rPr>
        <w:t>等核心产品已全面 采用分布式计算和存储技术、完成云化改造和重构、适合云计算环境以及缩扩容等动态调整。报告期内，公司承建了辽宁移 动、中信证券、民生银行等客户的大数据平台，形成了大数据管理解决方案和技术储备；公司研发了适应大规模云计算环境 的带外管理、云管平台、日志管理等产品，在运营商和企业客户项目中得到认可。</w:t>
      </w:r>
    </w:p>
    <w:p>
      <w:pPr>
        <w:pStyle w:val="Style29"/>
        <w:keepNext w:val="0"/>
        <w:keepLines w:val="0"/>
        <w:widowControl w:val="0"/>
        <w:numPr>
          <w:ilvl w:val="0"/>
          <w:numId w:val="1"/>
        </w:numPr>
        <w:shd w:val="clear" w:color="auto" w:fill="auto"/>
        <w:tabs>
          <w:tab w:pos="846" w:val="left"/>
        </w:tabs>
        <w:bidi w:val="0"/>
        <w:spacing w:before="0" w:after="0" w:line="469" w:lineRule="exact"/>
        <w:ind w:left="0" w:right="0"/>
        <w:jc w:val="both"/>
      </w:pPr>
      <w:bookmarkStart w:id="87" w:name="bookmark87"/>
      <w:bookmarkEnd w:id="87"/>
      <w:r>
        <w:rPr>
          <w:color w:val="000000"/>
          <w:spacing w:val="0"/>
          <w:w w:val="100"/>
          <w:position w:val="0"/>
        </w:rPr>
        <w:t>信息安全管理业务是公司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运营管理业务板块的重要组成部分，公司在信息安全管理领域拥有十五年以上的产 品研发和项目实施经验，拥有一支精于企业安全管理的专家团队，是国内领先的企业安全架构设计思想的提出者和践行者。 报告期内，公司围绕企业管理活动中基础的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人、事、物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要素继续夯实三大类传统重点业务：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类业务：公司继续依 托</w:t>
      </w:r>
      <w:r>
        <w:rPr>
          <w:rFonts w:ascii="Times New Roman" w:eastAsia="Times New Roman" w:hAnsi="Times New Roman" w:cs="Times New Roman"/>
          <w:color w:val="000000"/>
          <w:spacing w:val="0"/>
          <w:w w:val="100"/>
          <w:position w:val="0"/>
          <w:sz w:val="18"/>
          <w:szCs w:val="18"/>
        </w:rPr>
        <w:t>Ultra-SOMC</w:t>
      </w:r>
      <w:r>
        <w:rPr>
          <w:color w:val="000000"/>
          <w:spacing w:val="0"/>
          <w:w w:val="100"/>
          <w:position w:val="0"/>
        </w:rPr>
        <w:t>产品，推进</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类业务的技术革新，大数据化、云服务化的新一代</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产品在企业安全管理领域凸显更大的 安全管理价值；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类业务：公司依托</w:t>
      </w:r>
      <w:r>
        <w:rPr>
          <w:rFonts w:ascii="Times New Roman" w:eastAsia="Times New Roman" w:hAnsi="Times New Roman" w:cs="Times New Roman"/>
          <w:color w:val="000000"/>
          <w:spacing w:val="0"/>
          <w:w w:val="100"/>
          <w:position w:val="0"/>
          <w:sz w:val="18"/>
          <w:szCs w:val="18"/>
        </w:rPr>
        <w:t>Ultra-IAM</w:t>
      </w:r>
      <w:r>
        <w:rPr>
          <w:color w:val="000000"/>
          <w:spacing w:val="0"/>
          <w:w w:val="100"/>
          <w:position w:val="0"/>
        </w:rPr>
        <w:t>核心产品，面向企业提供账号管理、认证管理、授权管理、审计管理、 访问控制管理等管理能力，在电信、金融等领域不断收获新的用户市场，市场份额持续扩大；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)合规管理类业务：公司依 托拳头产品</w:t>
      </w:r>
      <w:r>
        <w:rPr>
          <w:rFonts w:ascii="Times New Roman" w:eastAsia="Times New Roman" w:hAnsi="Times New Roman" w:cs="Times New Roman"/>
          <w:color w:val="000000"/>
          <w:spacing w:val="0"/>
          <w:w w:val="100"/>
          <w:position w:val="0"/>
          <w:sz w:val="18"/>
          <w:szCs w:val="18"/>
        </w:rPr>
        <w:t>Ultra-BMS</w:t>
      </w:r>
      <w:r>
        <w:rPr>
          <w:color w:val="000000"/>
          <w:spacing w:val="0"/>
          <w:w w:val="100"/>
          <w:position w:val="0"/>
        </w:rPr>
        <w:t>,</w:t>
      </w:r>
      <w:r>
        <w:rPr>
          <w:color w:val="000000"/>
          <w:spacing w:val="0"/>
          <w:w w:val="100"/>
          <w:position w:val="0"/>
        </w:rPr>
        <w:t>帮助企业实现精细化的企业安全配置管理，孵化了弱口令专项核查、防火墙策略专项核查、安全域 划分专项核查、等级保护专项核查等多种深度的安全专项核查能力。在报告期内，公司还发布了面向渠道合作伙伴的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小盒 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系列标准化信息安全产品计划，推出了适用于更多行业市场的标准化</w:t>
      </w:r>
      <w:r>
        <w:rPr>
          <w:rFonts w:ascii="Times New Roman" w:eastAsia="Times New Roman" w:hAnsi="Times New Roman" w:cs="Times New Roman"/>
          <w:color w:val="000000"/>
          <w:spacing w:val="0"/>
          <w:w w:val="100"/>
          <w:position w:val="0"/>
          <w:sz w:val="18"/>
          <w:szCs w:val="18"/>
        </w:rPr>
        <w:t>Ultra-IAM</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Ultra-BM S</w:t>
      </w:r>
      <w:r>
        <w:rPr>
          <w:color w:val="000000"/>
          <w:spacing w:val="0"/>
          <w:w w:val="100"/>
          <w:position w:val="0"/>
        </w:rPr>
        <w:t>硬件安全产品。在报告期内， 公司为全面迎接云计算、大数据和移动化等企业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架构变革在信息安全领域带来新趋势，公司还明确和加大了安全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砸盒子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系列创新安全管理产品计划的投入，</w:t>
      </w:r>
      <w:r>
        <w:rPr>
          <w:rFonts w:ascii="Times New Roman" w:eastAsia="Times New Roman" w:hAnsi="Times New Roman" w:cs="Times New Roman"/>
          <w:color w:val="000000"/>
          <w:spacing w:val="0"/>
          <w:w w:val="100"/>
          <w:position w:val="0"/>
          <w:sz w:val="18"/>
          <w:szCs w:val="18"/>
        </w:rPr>
        <w:t>SecCloud</w:t>
      </w:r>
      <w:r>
        <w:rPr>
          <w:color w:val="000000"/>
          <w:spacing w:val="0"/>
          <w:w w:val="100"/>
          <w:position w:val="0"/>
        </w:rPr>
        <w:t>企业信息安全云服务平台、</w:t>
      </w:r>
      <w:r>
        <w:rPr>
          <w:rFonts w:ascii="Times New Roman" w:eastAsia="Times New Roman" w:hAnsi="Times New Roman" w:cs="Times New Roman"/>
          <w:color w:val="000000"/>
          <w:spacing w:val="0"/>
          <w:w w:val="100"/>
          <w:position w:val="0"/>
          <w:sz w:val="18"/>
          <w:szCs w:val="18"/>
        </w:rPr>
        <w:t>SecStack</w:t>
      </w:r>
      <w:r>
        <w:rPr>
          <w:color w:val="000000"/>
          <w:spacing w:val="0"/>
          <w:w w:val="100"/>
          <w:position w:val="0"/>
        </w:rPr>
        <w:t>企业云计算环境的安全管控方案、</w:t>
      </w:r>
      <w:r>
        <w:rPr>
          <w:rFonts w:ascii="Times New Roman" w:eastAsia="Times New Roman" w:hAnsi="Times New Roman" w:cs="Times New Roman"/>
          <w:color w:val="000000"/>
          <w:spacing w:val="0"/>
          <w:w w:val="100"/>
          <w:position w:val="0"/>
          <w:sz w:val="18"/>
          <w:szCs w:val="18"/>
        </w:rPr>
        <w:t xml:space="preserve">SecTouch </w:t>
      </w:r>
      <w:r>
        <w:rPr>
          <w:color w:val="000000"/>
          <w:spacing w:val="0"/>
          <w:w w:val="100"/>
          <w:position w:val="0"/>
        </w:rPr>
        <w:t>企业移动安全管理解决方案以及</w:t>
      </w:r>
      <w:r>
        <w:rPr>
          <w:rFonts w:ascii="Times New Roman" w:eastAsia="Times New Roman" w:hAnsi="Times New Roman" w:cs="Times New Roman"/>
          <w:color w:val="000000"/>
          <w:spacing w:val="0"/>
          <w:w w:val="100"/>
          <w:position w:val="0"/>
          <w:sz w:val="18"/>
          <w:szCs w:val="18"/>
        </w:rPr>
        <w:t>S ecSight</w:t>
      </w:r>
      <w:r>
        <w:rPr>
          <w:color w:val="000000"/>
          <w:spacing w:val="0"/>
          <w:w w:val="100"/>
          <w:position w:val="0"/>
        </w:rPr>
        <w:t>企业信息安全大数据分析和态势感知方案等四大创新解决方案已经在电信和金融 领域显现出很强的市场竞争力，有着广泛的市场需求前景。</w:t>
      </w:r>
    </w:p>
    <w:p>
      <w:pPr>
        <w:pStyle w:val="Style29"/>
        <w:keepNext w:val="0"/>
        <w:keepLines w:val="0"/>
        <w:widowControl w:val="0"/>
        <w:numPr>
          <w:ilvl w:val="0"/>
          <w:numId w:val="1"/>
        </w:numPr>
        <w:shd w:val="clear" w:color="auto" w:fill="auto"/>
        <w:bidi w:val="0"/>
        <w:spacing w:before="0" w:after="0" w:line="469" w:lineRule="exact"/>
        <w:ind w:left="0" w:right="0"/>
        <w:jc w:val="both"/>
      </w:pPr>
      <w:bookmarkStart w:id="88" w:name="bookmark88"/>
      <w:bookmarkEnd w:id="88"/>
      <w:r>
        <w:rPr>
          <w:color w:val="000000"/>
          <w:spacing w:val="0"/>
          <w:w w:val="100"/>
          <w:position w:val="0"/>
        </w:rPr>
        <w:t xml:space="preserve"> 在移动互联网运营领域，报告期内公司重点推进中国移动融合通信业务进展，积极配合中国移动的融合通信战略， 为中国移动提供个人融合通信与飞信融合北方节点和</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客户端定制软件项目技术服务，为其融合通信平台提供高质量的技 术服务，提升用户体验、促进融合通信项目健康、稳定的发展。中国移动融合通信业务是中国移动的重要战略产品，中国移 动表示将大力发展融合通信业务，公司将密切跟踪需求、积极拓展，全力提供相关服务。与此同时，基于融合通信的长期实 践案例，公司在工商银行、招商银行、兴业银行、农行等金融机构的定制融合通信项目的进展顺利。</w:t>
      </w:r>
    </w:p>
    <w:p>
      <w:pPr>
        <w:pStyle w:val="Style29"/>
        <w:keepNext w:val="0"/>
        <w:keepLines w:val="0"/>
        <w:widowControl w:val="0"/>
        <w:numPr>
          <w:ilvl w:val="0"/>
          <w:numId w:val="3"/>
        </w:numPr>
        <w:shd w:val="clear" w:color="auto" w:fill="auto"/>
        <w:tabs>
          <w:tab w:pos="861" w:val="left"/>
        </w:tabs>
        <w:bidi w:val="0"/>
        <w:spacing w:before="0" w:after="0" w:line="469" w:lineRule="exact"/>
        <w:ind w:left="0" w:right="0"/>
        <w:jc w:val="both"/>
      </w:pPr>
      <w:bookmarkStart w:id="89" w:name="bookmark89"/>
      <w:bookmarkEnd w:id="89"/>
      <w:r>
        <w:rPr>
          <w:b/>
          <w:bCs/>
          <w:color w:val="000000"/>
          <w:spacing w:val="0"/>
          <w:w w:val="100"/>
          <w:position w:val="0"/>
        </w:rPr>
        <w:t>手机游戏业务领域</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报告期内，公司依托技术、人才和市场的积累，重新聚焦海外策略类</w:t>
      </w:r>
      <w:r>
        <w:rPr>
          <w:rFonts w:ascii="Times New Roman" w:eastAsia="Times New Roman" w:hAnsi="Times New Roman" w:cs="Times New Roman"/>
          <w:color w:val="000000"/>
          <w:spacing w:val="0"/>
          <w:w w:val="100"/>
          <w:position w:val="0"/>
          <w:sz w:val="18"/>
          <w:szCs w:val="18"/>
        </w:rPr>
        <w:t>(SLG</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游戏的研发和发行，着力打造数款有竞争力、 受用户欢迎的手机游戏，上半年推出了新款重度游戏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(国内名称：《战火与秩序》)。《战火与秩序》是 一款纯</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游戏，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月份开始在海外上线，上线至今已获得多次谷歌全球精选游戏首页推荐，目前已在国内上线， 整体流水情况表现出色，全球流水快速增长。截止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月末，《战火与秩序》单月流水超</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万人民币。</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与此同时，优化游戏发行团队，与国内外游戏发行渠道广泛建立的深度合作关系，采取多种方式、积极开展新的游戏内 容引进。</w:t>
      </w:r>
    </w:p>
    <w:p>
      <w:pPr>
        <w:pStyle w:val="Style29"/>
        <w:keepNext w:val="0"/>
        <w:keepLines w:val="0"/>
        <w:widowControl w:val="0"/>
        <w:numPr>
          <w:ilvl w:val="0"/>
          <w:numId w:val="3"/>
        </w:numPr>
        <w:shd w:val="clear" w:color="auto" w:fill="auto"/>
        <w:tabs>
          <w:tab w:pos="861" w:val="left"/>
        </w:tabs>
        <w:bidi w:val="0"/>
        <w:spacing w:before="0" w:after="0" w:line="469" w:lineRule="exact"/>
        <w:ind w:left="0" w:right="0"/>
        <w:jc w:val="both"/>
      </w:pPr>
      <w:bookmarkStart w:id="90" w:name="bookmark90"/>
      <w:bookmarkEnd w:id="90"/>
      <w:r>
        <w:rPr>
          <w:b/>
          <w:bCs/>
          <w:color w:val="000000"/>
          <w:spacing w:val="0"/>
          <w:w w:val="100"/>
          <w:position w:val="0"/>
        </w:rPr>
        <w:t>人工智能与大数据领域</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人工智能与大数据是神州泰岳基于多年信息化数据及技术、智能生产生活技术积累所形成的创新业务之一。公司在大数 据行业技术和业务方面进行了深入研究和长期储备，汇集了互联网、运营商、政府、各行业数据机构的海量数据资源，依托 多年积累的深度解析用户行为能力，基于自然人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社交关系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互联网行为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位置四维关联分析技术，建立了泰岳大数据应用平 台，广泛服务于精准营销和风控领域的众多合作伙伴。</w:t>
      </w:r>
    </w:p>
    <w:p>
      <w:pPr>
        <w:pStyle w:val="Style29"/>
        <w:keepNext w:val="0"/>
        <w:keepLines w:val="0"/>
        <w:widowControl w:val="0"/>
        <w:shd w:val="clear" w:color="auto" w:fill="auto"/>
        <w:bidi w:val="0"/>
        <w:spacing w:before="0" w:after="0" w:line="478" w:lineRule="exact"/>
        <w:ind w:left="0" w:right="0"/>
        <w:jc w:val="both"/>
      </w:pPr>
      <w:r>
        <w:rPr>
          <w:color w:val="000000"/>
          <w:spacing w:val="0"/>
          <w:w w:val="100"/>
          <w:position w:val="0"/>
        </w:rPr>
        <w:t>报告期内，神州泰岳斥资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亿元人民币全资收购中科鼎富（北京）科技发展有限公司（简称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鼎富科技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），为公司大数据 和人工智能布局再添核心技术企业。公司将以鼎富科技团队全面引领并优化人工智能与大数据板块发展，</w:t>
      </w:r>
      <w:r>
        <w:rPr>
          <w:b/>
          <w:bCs/>
          <w:color w:val="000000"/>
          <w:spacing w:val="0"/>
          <w:w w:val="100"/>
          <w:position w:val="0"/>
        </w:rPr>
        <w:t>以自然语言语义理 解技术为核心大举进军人工智能领域</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人工智能的核心是认知，认知的核心是语义理解技术。鼎富科技基于概念计算的智慧语义认知技术，研发了</w:t>
      </w:r>
      <w:r>
        <w:rPr>
          <w:rFonts w:ascii="Times New Roman" w:eastAsia="Times New Roman" w:hAnsi="Times New Roman" w:cs="Times New Roman"/>
          <w:color w:val="000000"/>
          <w:spacing w:val="0"/>
          <w:w w:val="100"/>
          <w:position w:val="0"/>
          <w:sz w:val="18"/>
          <w:szCs w:val="18"/>
        </w:rPr>
        <w:t xml:space="preserve">DINFO-OEC </w:t>
      </w:r>
      <w:r>
        <w:rPr>
          <w:color w:val="000000"/>
          <w:spacing w:val="0"/>
          <w:w w:val="100"/>
          <w:position w:val="0"/>
        </w:rPr>
        <w:t>非结构化大数据分析挖掘平台。该平台完全面向业务建模，解决了业务的规范表达与自然语言表达的复杂性及多样性之间的 矛盾，更好地解决了自然语言分析歧义性这一行业难题，</w:t>
      </w:r>
      <w:r>
        <w:rPr>
          <w:b/>
          <w:bCs/>
          <w:color w:val="000000"/>
          <w:spacing w:val="0"/>
          <w:w w:val="100"/>
          <w:position w:val="0"/>
        </w:rPr>
        <w:t>在自然语言处理（</w:t>
      </w:r>
      <w:r>
        <w:rPr>
          <w:rFonts w:ascii="Times New Roman" w:eastAsia="Times New Roman" w:hAnsi="Times New Roman" w:cs="Times New Roman"/>
          <w:b/>
          <w:bCs/>
          <w:color w:val="000000"/>
          <w:spacing w:val="0"/>
          <w:w w:val="100"/>
          <w:position w:val="0"/>
          <w:sz w:val="18"/>
          <w:szCs w:val="18"/>
        </w:rPr>
        <w:t>NLP</w:t>
      </w:r>
      <w:r>
        <w:rPr>
          <w:b/>
          <w:bCs/>
          <w:color w:val="000000"/>
          <w:spacing w:val="0"/>
          <w:w w:val="100"/>
          <w:position w:val="0"/>
        </w:rPr>
        <w:t>）领域处于业界领先水平</w:t>
      </w:r>
      <w:r>
        <w:rPr>
          <w:color w:val="000000"/>
          <w:spacing w:val="0"/>
          <w:w w:val="100"/>
          <w:position w:val="0"/>
        </w:rPr>
        <w:t>。人工智能是公 司未来重点布局的两大创新业务之一，公司将集中优势资源打造泰岳人工智能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品牌，制定人工智能战略的三条主线 </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语义云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报告期内，公司依托领先的语义理解技术，公司重点推出两款人工智能产品一</w:t>
      </w:r>
      <w:r>
        <w:rPr>
          <w:b/>
          <w:bCs/>
          <w:color w:val="000000"/>
          <w:spacing w:val="0"/>
          <w:w w:val="100"/>
          <w:position w:val="0"/>
        </w:rPr>
        <w:t>统一业务知识库和小富机器人以及行 业定向的产品及服务</w:t>
      </w:r>
      <w:r>
        <w:rPr>
          <w:color w:val="000000"/>
          <w:spacing w:val="0"/>
          <w:w w:val="100"/>
          <w:position w:val="0"/>
        </w:rPr>
        <w:t>，在银行、政府、税务、公安等领域得到了广泛应用。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月公司中标</w:t>
      </w:r>
      <w:r>
        <w:rPr>
          <w:b/>
          <w:bCs/>
          <w:color w:val="000000"/>
          <w:spacing w:val="0"/>
          <w:w w:val="100"/>
          <w:position w:val="0"/>
        </w:rPr>
        <w:t>中国建设银行</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新一代核心 系统文本分析与互联网信息采集工具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项目</w:t>
      </w:r>
      <w:r>
        <w:rPr>
          <w:color w:val="000000"/>
          <w:spacing w:val="0"/>
          <w:w w:val="100"/>
          <w:position w:val="0"/>
        </w:rPr>
        <w:t>，中国建设银行采用</w:t>
      </w:r>
      <w:r>
        <w:rPr>
          <w:rFonts w:ascii="Times New Roman" w:eastAsia="Times New Roman" w:hAnsi="Times New Roman" w:cs="Times New Roman"/>
          <w:color w:val="000000"/>
          <w:spacing w:val="0"/>
          <w:w w:val="100"/>
          <w:position w:val="0"/>
          <w:sz w:val="18"/>
          <w:szCs w:val="18"/>
        </w:rPr>
        <w:t>DINFO-OEC</w:t>
      </w:r>
      <w:r>
        <w:rPr>
          <w:color w:val="000000"/>
          <w:spacing w:val="0"/>
          <w:w w:val="100"/>
          <w:position w:val="0"/>
        </w:rPr>
        <w:t>平台，通过新一代核心系统文本挖掘和互联网采 集工具，形成多渠道、多维度采集和分析非结构化数据，输出的结构化数据可帮助银行更全面、实时、准确的掌握市场信息， 促进其业务驱动，构建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人工、自助、智能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三位一体的客户服务模式，</w:t>
      </w:r>
      <w:r>
        <w:rPr>
          <w:b/>
          <w:bCs/>
          <w:color w:val="000000"/>
          <w:spacing w:val="0"/>
          <w:w w:val="100"/>
          <w:position w:val="0"/>
        </w:rPr>
        <w:t>截止目前，公司已为四大国有银行中的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中、工、建</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三大行提供语义分析技术和平台</w:t>
      </w:r>
      <w:r>
        <w:rPr>
          <w:color w:val="000000"/>
          <w:spacing w:val="0"/>
          <w:w w:val="100"/>
          <w:position w:val="0"/>
        </w:rPr>
        <w:t>。此外，中国光大银行、中国民生银行、北京银行、广东华兴银行、攀枝花银行、长沙银 行等多家股份制银行和城商行都应用了神州泰岳的语义认知技术。</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年初，公司</w:t>
      </w:r>
      <w:r>
        <w:rPr>
          <w:b/>
          <w:bCs/>
          <w:color w:val="000000"/>
          <w:spacing w:val="0"/>
          <w:w w:val="100"/>
          <w:position w:val="0"/>
        </w:rPr>
        <w:t>与北京市公安局刑侦总队签订《关于开展人工智能语义分析应用研究的合作协议》</w:t>
      </w:r>
      <w:r>
        <w:rPr>
          <w:color w:val="000000"/>
          <w:spacing w:val="0"/>
          <w:w w:val="100"/>
          <w:position w:val="0"/>
        </w:rPr>
        <w:t>，为其研发打造人工 智能创新产品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智脑公安案情系统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，为公司人工智能技术在公安系统进一步创新应用提供了合作创新的机会，是公司人工 智能技术应用场景创新的重要体现。</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报告期内，公司正式成立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神州泰岳人工智能研究院</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，该研究院将运用神州泰岳一直以来在智慧语义认知技术、数据挖 掘采集技术等方面的优势，从事人工智能领域的基础研究，为公司在人工智能和大数据业务的拓展提供更强大、持续的技术 支撑，夯实神州泰岳在人工智能领域的核心优势，带动行业的发展。公司还</w:t>
      </w:r>
      <w:r>
        <w:rPr>
          <w:b/>
          <w:bCs/>
          <w:color w:val="000000"/>
          <w:spacing w:val="0"/>
          <w:w w:val="100"/>
          <w:position w:val="0"/>
        </w:rPr>
        <w:t>与北京师范大学中文信息处理研究所共同建立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 工智能联合实验室</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，开展人工智能及智能机器人的研究；成为中国电子信息产业发展研究院发起成立的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中国大数据产业 生态联盟</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理事成员单位</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四）物联网及通讯技术应用领域</w:t>
      </w:r>
    </w:p>
    <w:p>
      <w:pPr>
        <w:pStyle w:val="Style29"/>
        <w:keepNext w:val="0"/>
        <w:keepLines w:val="0"/>
        <w:widowControl w:val="0"/>
        <w:shd w:val="clear" w:color="auto" w:fill="auto"/>
        <w:bidi w:val="0"/>
        <w:spacing w:before="0" w:after="140" w:line="468"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'技术为核心的系列产品聚焦物联网应用领域，使得特殊领域的通信、精准定位、周界安防进一步智能化、 智慧化。报告期内，围绕智慧线物联网的核心技术能力，公司着力开展两个方向的业务拓展：一、专业场景下的工业物联网 智能化建设；二、提升国产周界安防技术水平，推动周界安防产业向智能化发展。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在核电核岛、石油炼化、地下管 廊、矿山巷道、化工、机场、国境线及其他军事设施等诸多领域研究并推出了相应方向的产品，</w:t>
      </w:r>
      <w:r>
        <w:rPr>
          <w:b/>
          <w:bCs/>
          <w:color w:val="000000"/>
          <w:spacing w:val="0"/>
          <w:w w:val="100"/>
          <w:position w:val="0"/>
        </w:rPr>
        <w:t>打造了智慧矿山、智慧石 油、智慧核电、智慧管廊、智慧安防、智慧边防等行业整体解决方案</w:t>
      </w:r>
      <w:r>
        <w:rPr>
          <w:color w:val="000000"/>
          <w:spacing w:val="0"/>
          <w:w w:val="100"/>
          <w:position w:val="0"/>
        </w:rPr>
        <w:t xml:space="preserve">，实现无缝覆盖、低功耗实时综合传感、远程控制、 </w:t>
      </w:r>
      <w:r>
        <w:rPr>
          <w:color w:val="000000"/>
          <w:spacing w:val="0"/>
          <w:w w:val="100"/>
          <w:position w:val="0"/>
        </w:rPr>
        <w:t>信息联动等各项行业前瞻性示范功能。</w:t>
      </w:r>
    </w:p>
    <w:p>
      <w:pPr>
        <w:pStyle w:val="Style29"/>
        <w:keepNext w:val="0"/>
        <w:keepLines w:val="0"/>
        <w:widowControl w:val="0"/>
        <w:shd w:val="clear" w:color="auto" w:fill="auto"/>
        <w:bidi w:val="0"/>
        <w:spacing w:before="0" w:after="240" w:line="469" w:lineRule="exact"/>
        <w:ind w:left="0" w:right="0"/>
        <w:jc w:val="both"/>
      </w:pPr>
      <w:r>
        <w:rPr>
          <w:color w:val="000000"/>
          <w:spacing w:val="0"/>
          <w:w w:val="100"/>
          <w:position w:val="0"/>
        </w:rPr>
        <w:t>同时，为更加有效推进物联网业务的迅速成长，本着专业化布局、市场化运营的原则，公司设立了四家物联网专业化行 业整体解决方案公司，分别聚焦于核电、机场、高铁与监狱管理、石油石化等行业，积极推进公司在物联网智慧线领域的整 体解决方案的能力和市场落地。</w:t>
      </w:r>
    </w:p>
    <w:p>
      <w:pPr>
        <w:pStyle w:val="Style29"/>
        <w:keepNext w:val="0"/>
        <w:keepLines w:val="0"/>
        <w:widowControl w:val="0"/>
        <w:shd w:val="clear" w:color="auto" w:fill="auto"/>
        <w:bidi w:val="0"/>
        <w:spacing w:before="0" w:after="0" w:line="545" w:lineRule="auto"/>
        <w:ind w:left="0" w:right="0"/>
        <w:jc w:val="both"/>
      </w:pPr>
      <w:bookmarkStart w:id="92" w:name="bookmark92"/>
      <w:r>
        <w:rPr>
          <w:rFonts w:ascii="Times New Roman" w:eastAsia="Times New Roman" w:hAnsi="Times New Roman" w:cs="Times New Roman"/>
          <w:b/>
          <w:bCs/>
          <w:color w:val="000000"/>
          <w:spacing w:val="0"/>
          <w:w w:val="100"/>
          <w:position w:val="0"/>
          <w:sz w:val="18"/>
          <w:szCs w:val="18"/>
        </w:rPr>
        <w:t>2</w:t>
      </w:r>
      <w:bookmarkEnd w:id="92"/>
      <w:r>
        <w:rPr>
          <w:b/>
          <w:bCs/>
          <w:color w:val="000000"/>
          <w:spacing w:val="0"/>
          <w:w w:val="100"/>
          <w:position w:val="0"/>
        </w:rPr>
        <w:t>、技术创新情况</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报告期内，公司继续加强技术创新的力度，优化研发管理模式，提升产品开发效率，不断推出新产品以满足用户的需要， 共投入研发经费</w:t>
      </w:r>
      <w:r>
        <w:rPr>
          <w:rFonts w:ascii="Times New Roman" w:eastAsia="Times New Roman" w:hAnsi="Times New Roman" w:cs="Times New Roman"/>
          <w:color w:val="000000"/>
          <w:spacing w:val="0"/>
          <w:w w:val="100"/>
          <w:position w:val="0"/>
          <w:sz w:val="18"/>
          <w:szCs w:val="18"/>
        </w:rPr>
        <w:t>19,605.54</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报告期内，公司新取得</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项软件著作权、新获专利授权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融合通信产品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获得北京软件和信息服务业协会颁发的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年北京软协</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周年突出贡献产品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小富机器人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ITValue</w:t>
      </w:r>
      <w:r>
        <w:rPr>
          <w:color w:val="000000"/>
          <w:spacing w:val="0"/>
          <w:w w:val="100"/>
          <w:position w:val="0"/>
        </w:rPr>
        <w:t>联合《商业价值》杂志、钛媒体共同发起的中国好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第 一季决赛中荣获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最具价值</w:t>
      </w:r>
      <w:r>
        <w:rPr>
          <w:rFonts w:ascii="Times New Roman" w:eastAsia="Times New Roman" w:hAnsi="Times New Roman" w:cs="Times New Roman"/>
          <w:color w:val="000000"/>
          <w:spacing w:val="0"/>
          <w:w w:val="100"/>
          <w:position w:val="0"/>
          <w:sz w:val="18"/>
          <w:szCs w:val="18"/>
        </w:rPr>
        <w:t>Saa S</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TOP2”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最具投资价值</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团队</w:t>
      </w:r>
      <w:r>
        <w:rPr>
          <w:rFonts w:ascii="Times New Roman" w:eastAsia="Times New Roman" w:hAnsi="Times New Roman" w:cs="Times New Roman"/>
          <w:color w:val="000000"/>
          <w:spacing w:val="0"/>
          <w:w w:val="100"/>
          <w:position w:val="0"/>
          <w:sz w:val="18"/>
          <w:szCs w:val="18"/>
        </w:rPr>
        <w:t>TOP3”</w:t>
      </w:r>
      <w:r>
        <w:rPr>
          <w:color w:val="000000"/>
          <w:spacing w:val="0"/>
          <w:w w:val="100"/>
          <w:position w:val="0"/>
        </w:rPr>
        <w:t>。</w:t>
      </w:r>
    </w:p>
    <w:p>
      <w:pPr>
        <w:pStyle w:val="Style29"/>
        <w:keepNext w:val="0"/>
        <w:keepLines w:val="0"/>
        <w:widowControl w:val="0"/>
        <w:shd w:val="clear" w:color="auto" w:fill="auto"/>
        <w:bidi w:val="0"/>
        <w:spacing w:before="0" w:after="540" w:line="469"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年末，公司及其控股子公司合计拥有</w:t>
      </w:r>
      <w:r>
        <w:rPr>
          <w:rFonts w:ascii="Times New Roman" w:eastAsia="Times New Roman" w:hAnsi="Times New Roman" w:cs="Times New Roman"/>
          <w:color w:val="000000"/>
          <w:spacing w:val="0"/>
          <w:w w:val="100"/>
          <w:position w:val="0"/>
          <w:sz w:val="18"/>
          <w:szCs w:val="18"/>
        </w:rPr>
        <w:t>1181</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项产品登记证、</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项受 理中专利。</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年度公司被评为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；公司及新媒传信连续多年被认定国家规划布局内重点软件企业等，综 合体现了公司的技术创新能力、研发实力、市场拓展能力、企业经营能力，成为企业长期持续健康发展的有力支撑。</w:t>
      </w:r>
    </w:p>
    <w:p>
      <w:pPr>
        <w:pStyle w:val="Style29"/>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公司需遵守《深圳证券交易所创业板行业信息披露指引第</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540" w:line="470" w:lineRule="exact"/>
        <w:ind w:left="0" w:right="0"/>
        <w:jc w:val="both"/>
      </w:pPr>
      <w:r>
        <w:rPr>
          <w:color w:val="000000"/>
          <w:spacing w:val="0"/>
          <w:w w:val="100"/>
          <w:position w:val="0"/>
        </w:rPr>
        <w:t>公司报告期内发行的新款重度游戏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War and Order</w:t>
      </w:r>
      <w:r>
        <w:rPr>
          <w:color w:val="000000"/>
          <w:spacing w:val="0"/>
          <w:w w:val="100"/>
          <w:position w:val="0"/>
        </w:rPr>
        <w:t>》</w:t>
      </w:r>
      <w:r>
        <w:rPr>
          <w:color w:val="000000"/>
          <w:spacing w:val="0"/>
          <w:w w:val="100"/>
          <w:position w:val="0"/>
        </w:rPr>
        <w:t>（国内名称：《战火与秩序》），是公司手游业务的主要游戏，其 开发及运营收入占游戏业务总收入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以上。《战火与秩序》是一款纯</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SLG</w:t>
      </w:r>
      <w:r>
        <w:rPr>
          <w:color w:val="000000"/>
          <w:spacing w:val="0"/>
          <w:w w:val="100"/>
          <w:position w:val="0"/>
        </w:rPr>
        <w:t>手机游戏，采取自主运营模式、道具收 费方式。报告期内《战火与秩序》实现收入</w:t>
      </w:r>
      <w:r>
        <w:rPr>
          <w:rFonts w:ascii="Times New Roman" w:eastAsia="Times New Roman" w:hAnsi="Times New Roman" w:cs="Times New Roman"/>
          <w:color w:val="000000"/>
          <w:spacing w:val="0"/>
          <w:w w:val="100"/>
          <w:position w:val="0"/>
          <w:sz w:val="18"/>
          <w:szCs w:val="18"/>
        </w:rPr>
        <w:t>21,810.49</w:t>
      </w:r>
      <w:r>
        <w:rPr>
          <w:color w:val="000000"/>
          <w:spacing w:val="0"/>
          <w:w w:val="100"/>
          <w:position w:val="0"/>
        </w:rPr>
        <w:t>万元，占公司游戏业务收入的比例</w:t>
      </w:r>
      <w:r>
        <w:rPr>
          <w:rFonts w:ascii="Times New Roman" w:eastAsia="Times New Roman" w:hAnsi="Times New Roman" w:cs="Times New Roman"/>
          <w:color w:val="000000"/>
          <w:spacing w:val="0"/>
          <w:w w:val="100"/>
          <w:position w:val="0"/>
          <w:sz w:val="18"/>
          <w:szCs w:val="18"/>
        </w:rPr>
        <w:t>61.55%</w:t>
      </w:r>
      <w:r>
        <w:rPr>
          <w:color w:val="000000"/>
          <w:spacing w:val="0"/>
          <w:w w:val="100"/>
          <w:position w:val="0"/>
        </w:rPr>
        <w:t>。</w:t>
      </w:r>
    </w:p>
    <w:p>
      <w:pPr>
        <w:pStyle w:val="Style27"/>
        <w:keepNext/>
        <w:keepLines/>
        <w:widowControl w:val="0"/>
        <w:shd w:val="clear" w:color="auto" w:fill="auto"/>
        <w:bidi w:val="0"/>
        <w:spacing w:before="0" w:after="54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、主营业务分析</w:t>
      </w:r>
      <w:bookmarkEnd w:id="93"/>
      <w:bookmarkEnd w:id="94"/>
      <w:bookmarkEnd w:id="96"/>
    </w:p>
    <w:p>
      <w:pPr>
        <w:pStyle w:val="Style39"/>
        <w:keepNext/>
        <w:keepLines/>
        <w:widowControl w:val="0"/>
        <w:shd w:val="clear" w:color="auto" w:fill="auto"/>
        <w:tabs>
          <w:tab w:pos="368" w:val="left"/>
        </w:tabs>
        <w:bidi w:val="0"/>
        <w:spacing w:before="0" w:after="24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9"/>
        <w:keepNext w:val="0"/>
        <w:keepLines w:val="0"/>
        <w:widowControl w:val="0"/>
        <w:shd w:val="clear" w:color="auto" w:fill="auto"/>
        <w:bidi w:val="0"/>
        <w:spacing w:before="0" w:after="480" w:line="469"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9"/>
        <w:keepNext/>
        <w:keepLines/>
        <w:widowControl w:val="0"/>
        <w:shd w:val="clear" w:color="auto" w:fill="auto"/>
        <w:tabs>
          <w:tab w:pos="378" w:val="left"/>
        </w:tabs>
        <w:bidi w:val="0"/>
        <w:spacing w:before="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7"/>
        <w:keepNext/>
        <w:keepLines/>
        <w:widowControl w:val="0"/>
        <w:shd w:val="clear" w:color="auto" w:fill="auto"/>
        <w:bidi w:val="0"/>
        <w:spacing w:before="0" w:after="24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9"/>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b/>
          <w:bCs/>
          <w:color w:val="000000"/>
          <w:spacing w:val="0"/>
          <w:w w:val="100"/>
          <w:position w:val="0"/>
        </w:rPr>
        <w:t>是</w:t>
      </w:r>
    </w:p>
    <w:p>
      <w:pPr>
        <w:pStyle w:val="Style29"/>
        <w:keepNext w:val="0"/>
        <w:keepLines w:val="0"/>
        <w:widowControl w:val="0"/>
        <w:shd w:val="clear" w:color="auto" w:fill="auto"/>
        <w:bidi w:val="0"/>
        <w:spacing w:before="0" w:after="0" w:line="365" w:lineRule="exact"/>
        <w:ind w:left="0" w:right="0" w:firstLine="0"/>
        <w:jc w:val="both"/>
      </w:pPr>
      <w:r>
        <w:rPr>
          <w:b/>
          <w:bCs/>
          <w:color w:val="000000"/>
          <w:spacing w:val="0"/>
          <w:w w:val="100"/>
          <w:position w:val="0"/>
        </w:rPr>
        <w:t>主要游戏基本情况</w:t>
      </w:r>
    </w:p>
    <w:p>
      <w:pPr>
        <w:pStyle w:val="Style29"/>
        <w:keepNext w:val="0"/>
        <w:keepLines w:val="0"/>
        <w:widowControl w:val="0"/>
        <w:shd w:val="clear" w:color="auto" w:fill="auto"/>
        <w:bidi w:val="0"/>
        <w:spacing w:before="0" w:after="80" w:line="365" w:lineRule="exact"/>
        <w:ind w:left="0" w:right="0" w:firstLine="0"/>
        <w:jc w:val="right"/>
      </w:pPr>
      <w:r>
        <w:rPr>
          <w:color w:val="000000"/>
          <w:spacing w:val="0"/>
          <w:w w:val="100"/>
          <w:position w:val="0"/>
        </w:rPr>
        <w:t>单位：元</w:t>
      </w:r>
    </w:p>
    <w:tbl>
      <w:tblPr>
        <w:tblOverlap w:val="never"/>
        <w:jc w:val="center"/>
        <w:tblLayout w:type="fixed"/>
      </w:tblPr>
      <w:tblGrid>
        <w:gridCol w:w="1310"/>
        <w:gridCol w:w="1138"/>
        <w:gridCol w:w="1003"/>
        <w:gridCol w:w="960"/>
        <w:gridCol w:w="1339"/>
        <w:gridCol w:w="869"/>
        <w:gridCol w:w="1142"/>
        <w:gridCol w:w="912"/>
        <w:gridCol w:w="103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收费方式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收入占游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推广营销费用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推广营销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推广营销费</w:t>
            </w:r>
          </w:p>
        </w:tc>
      </w:tr>
    </w:tbl>
    <w:p>
      <w:pPr>
        <w:widowControl w:val="0"/>
        <w:spacing w:line="1" w:lineRule="exact"/>
      </w:pPr>
      <w:r>
        <w:br w:type="page"/>
      </w:r>
    </w:p>
    <w:tbl>
      <w:tblPr>
        <w:tblOverlap w:val="never"/>
        <w:jc w:val="center"/>
        <w:tblLayout w:type="fixed"/>
      </w:tblPr>
      <w:tblGrid>
        <w:gridCol w:w="1310"/>
        <w:gridCol w:w="1138"/>
        <w:gridCol w:w="1003"/>
        <w:gridCol w:w="960"/>
        <w:gridCol w:w="1344"/>
        <w:gridCol w:w="864"/>
        <w:gridCol w:w="1142"/>
        <w:gridCol w:w="912"/>
        <w:gridCol w:w="1037"/>
      </w:tblGrid>
      <w:tr>
        <w:trPr>
          <w:trHeight w:val="13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120" w:line="240" w:lineRule="auto"/>
              <w:ind w:left="0" w:right="0" w:firstLine="0"/>
              <w:jc w:val="right"/>
              <w:rPr>
                <w:sz w:val="17"/>
                <w:szCs w:val="17"/>
              </w:rPr>
            </w:pPr>
            <w:r>
              <w:rPr>
                <w:color w:val="000000"/>
                <w:spacing w:val="0"/>
                <w:w w:val="100"/>
                <w:position w:val="0"/>
                <w:sz w:val="17"/>
                <w:szCs w:val="17"/>
              </w:rPr>
              <w:t>戏业务收</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入的比例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费用占游 戏推广营 销费用总 额的比例</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用占主要游 戏收入总额 的比例</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战火与秩序</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策略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道具收费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218,104,867.05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55,776,597.26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w:t>
            </w:r>
          </w:p>
        </w:tc>
      </w:tr>
    </w:tbl>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主要游戏分季度运营数据</w:t>
      </w:r>
    </w:p>
    <w:p>
      <w:pPr>
        <w:widowControl w:val="0"/>
        <w:spacing w:after="1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334"/>
        <w:gridCol w:w="1382"/>
        <w:gridCol w:w="1387"/>
        <w:gridCol w:w="1382"/>
        <w:gridCol w:w="1382"/>
        <w:gridCol w:w="13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游戏名称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用户数量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活跃用户数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付费用户数量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 xml:space="preserve">ARPU </w:t>
            </w:r>
            <w:r>
              <w:rPr>
                <w:color w:val="000000"/>
                <w:spacing w:val="0"/>
                <w:w w:val="100"/>
                <w:position w:val="0"/>
                <w:sz w:val="17"/>
                <w:szCs w:val="17"/>
              </w:rPr>
              <w:t>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充值流水</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战火与秩序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517,993.38</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战火与秩序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1,443,554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38,331,969.94</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战火与秩序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104,732,892.23</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War and Order</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战火与秩序</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2,271,764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175,826,555.90</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440"/>
        <w:gridCol w:w="1397"/>
        <w:gridCol w:w="1618"/>
        <w:gridCol w:w="1613"/>
        <w:gridCol w:w="1627"/>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2,936,581,930.55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2,773,487,308.85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5.88%</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sz w:val="17"/>
                <w:szCs w:val="17"/>
              </w:rPr>
              <w:t>运营管理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2,370,302,534.34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2,359,560,428.61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0.46%</w:t>
            </w:r>
          </w:p>
        </w:tc>
      </w:tr>
      <w:tr>
        <w:trPr>
          <w:trHeight w:val="7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运维管理解决方案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657,200,843.90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624,760,105.38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1,426,386,803.36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1,425,746,164.94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移动互联网运营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286,714,887.08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309,054,158.29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354,372,300.85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159,123,066.60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122.70%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物联网技术应用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4,541,387.11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10,529,513.80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创新孵化业务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171,039,723.59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211,499,470.33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32,774,829.51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10.84%</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215,294,770.66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340,736,030.53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1,166,098,348.69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793,570,603.36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1,518,862,826.54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1,488,729,159.37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bl>
    <w:p>
      <w:pPr>
        <w:widowControl w:val="0"/>
        <w:spacing w:line="1" w:lineRule="exact"/>
      </w:pPr>
      <w:r>
        <w:br w:type="page"/>
      </w:r>
    </w:p>
    <w:tbl>
      <w:tblPr>
        <w:tblOverlap w:val="never"/>
        <w:jc w:val="center"/>
        <w:tblLayout w:type="fixed"/>
      </w:tblPr>
      <w:tblGrid>
        <w:gridCol w:w="2016"/>
        <w:gridCol w:w="1440"/>
        <w:gridCol w:w="1397"/>
        <w:gridCol w:w="1613"/>
        <w:gridCol w:w="1618"/>
        <w:gridCol w:w="162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117,676,686.08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32,774,829.51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2,562,652,090.00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2,580,393,972.31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32,774,829.51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337,603,855.89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160,318,507.03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110.58%</w:t>
            </w:r>
          </w:p>
        </w:tc>
      </w:tr>
    </w:tbl>
    <w:p>
      <w:pPr>
        <w:widowControl w:val="0"/>
        <w:spacing w:after="299" w:line="1" w:lineRule="exact"/>
      </w:pPr>
    </w:p>
    <w:p>
      <w:pPr>
        <w:pStyle w:val="Style47"/>
        <w:keepNext/>
        <w:keepLines/>
        <w:widowControl w:val="0"/>
        <w:numPr>
          <w:ilvl w:val="0"/>
          <w:numId w:val="5"/>
        </w:numPr>
        <w:shd w:val="clear" w:color="auto" w:fill="auto"/>
        <w:bidi w:val="0"/>
        <w:spacing w:before="0" w:after="46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互联网游戏业</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1440"/>
        <w:gridCol w:w="139"/>
        <w:gridCol w:w="1584"/>
        <w:gridCol w:w="1200"/>
        <w:gridCol w:w="1205"/>
        <w:gridCol w:w="1205"/>
        <w:gridCol w:w="12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sz w:val="17"/>
                <w:szCs w:val="17"/>
              </w:rPr>
              <w:t>运营管理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2,370,302,534.34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1,565,141,448.54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-0.23%</w:t>
            </w:r>
          </w:p>
        </w:tc>
      </w:tr>
      <w:tr>
        <w:trPr>
          <w:trHeight w:val="7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运维管理解决方案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657,200,843.90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122,645,925.91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系统集成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1,426,386,803.36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1,358,023,712.24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移动互联网运营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286,714,887.08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84,471,810.39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354,372,300.85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75,166,898.46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物联网技术应用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4,541,387.11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2,085,345.45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创新孵化业务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171,039,723.59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66,257,596.71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2,936,581,930.55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1,713,331,012.59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4.93%</w:t>
            </w: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215,294,770.66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49,025,885.73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1,166,098,348.69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226,634,227.00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1,518,862,826.54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1,432,991,176.43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电子商务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36,325,984.66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2,936,581,930.55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1,713,331,012.59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4.93%</w:t>
            </w:r>
          </w:p>
        </w:tc>
      </w:tr>
    </w:tbl>
    <w:p>
      <w:pPr>
        <w:widowControl w:val="0"/>
        <w:spacing w:line="1" w:lineRule="exact"/>
      </w:pPr>
      <w:r>
        <w:br w:type="page"/>
      </w:r>
    </w:p>
    <w:tbl>
      <w:tblPr>
        <w:tblOverlap w:val="never"/>
        <w:jc w:val="center"/>
        <w:tblLayout w:type="fixed"/>
      </w:tblPr>
      <w:tblGrid>
        <w:gridCol w:w="1728"/>
        <w:gridCol w:w="1440"/>
        <w:gridCol w:w="1723"/>
        <w:gridCol w:w="1200"/>
        <w:gridCol w:w="1205"/>
        <w:gridCol w:w="1205"/>
        <w:gridCol w:w="1210"/>
      </w:tblGrid>
      <w:tr>
        <w:trPr>
          <w:trHeight w:val="4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主营业务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2,562,652,090.00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1,643,920,184.88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大陆地区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其他业务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337,603,855.89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64,731,104.28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2,936,581,930.55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1,713,331,012.59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4.93%</w:t>
            </w:r>
          </w:p>
        </w:tc>
      </w:tr>
    </w:tbl>
    <w:p>
      <w:pPr>
        <w:widowControl w:val="0"/>
        <w:spacing w:after="1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3"/>
      <w:bookmarkEnd w:id="114"/>
      <w:bookmarkEnd w:id="11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否</w:t>
      </w:r>
    </w:p>
    <w:p>
      <w:pPr>
        <w:pStyle w:val="Style47"/>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截至报告期末，公司及控股子公司已签约尚未结转收入的合同余额约为</w:t>
      </w:r>
      <w:r>
        <w:rPr>
          <w:rFonts w:ascii="Times New Roman" w:eastAsia="Times New Roman" w:hAnsi="Times New Roman" w:cs="Times New Roman"/>
          <w:color w:val="000000"/>
          <w:spacing w:val="0"/>
          <w:w w:val="100"/>
          <w:position w:val="0"/>
          <w:sz w:val="18"/>
          <w:szCs w:val="18"/>
        </w:rPr>
        <w:t>9.66</w:t>
      </w:r>
      <w:r>
        <w:rPr>
          <w:color w:val="000000"/>
          <w:spacing w:val="0"/>
          <w:w w:val="100"/>
          <w:position w:val="0"/>
        </w:rPr>
        <w:t>亿元，较年初已签约尚未结转收入余额下降</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16.43%</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运营管理业务合同</w:t>
      </w:r>
      <w:r>
        <w:rPr>
          <w:rFonts w:ascii="Times New Roman" w:eastAsia="Times New Roman" w:hAnsi="Times New Roman" w:cs="Times New Roman"/>
          <w:color w:val="000000"/>
          <w:spacing w:val="0"/>
          <w:w w:val="100"/>
          <w:position w:val="0"/>
          <w:sz w:val="18"/>
          <w:szCs w:val="18"/>
        </w:rPr>
        <w:t>9.3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p>
    <w:p>
      <w:pPr>
        <w:pStyle w:val="Style47"/>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1"/>
      <w:bookmarkEnd w:id="122"/>
      <w:bookmarkEnd w:id="124"/>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行业分类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997"/>
        <w:gridCol w:w="1699"/>
        <w:gridCol w:w="994"/>
        <w:gridCol w:w="1416"/>
        <w:gridCol w:w="994"/>
        <w:gridCol w:w="103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同比增减</w:t>
            </w:r>
          </w:p>
        </w:tc>
      </w:tr>
      <w:tr>
        <w:trPr>
          <w:trHeight w:val="75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占营业成本</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占营业成本</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sz w:val="17"/>
                <w:szCs w:val="17"/>
              </w:rPr>
              <w:t>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1,565,141,448.54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1,552,661,062.58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0.80%</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运维管理解决方案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成本主要为外购软硬件 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122,645,925.91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108,265,847.47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成本主要为外购软硬件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1,358,023,712.24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1,367,321,414.13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移动互联网运营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成本主要为外购软硬件、 服务、流量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84,471,810.39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77,073,800.98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成本主要为版权金摊销 及渠道分成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75,166,898.46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45,831,838.14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物联网技术应用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成本主要为外购原材料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2,085,345.45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2,295,977.22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创新孵化业务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成本主要为外购软硬件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66,257,596.71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149,914,947.76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-55.80%</w:t>
            </w:r>
          </w:p>
        </w:tc>
      </w:tr>
    </w:tbl>
    <w:p>
      <w:pPr>
        <w:widowControl w:val="0"/>
        <w:spacing w:line="1" w:lineRule="exact"/>
      </w:pPr>
      <w:r>
        <w:br w:type="page"/>
      </w:r>
    </w:p>
    <w:tbl>
      <w:tblPr>
        <w:tblOverlap w:val="never"/>
        <w:jc w:val="center"/>
        <w:tblLayout w:type="fixed"/>
      </w:tblPr>
      <w:tblGrid>
        <w:gridCol w:w="1579"/>
        <w:gridCol w:w="1997"/>
        <w:gridCol w:w="1699"/>
        <w:gridCol w:w="994"/>
        <w:gridCol w:w="1416"/>
        <w:gridCol w:w="994"/>
        <w:gridCol w:w="1032"/>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成本主要为投资性房地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4,081,462.20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1,713,331,012.59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1,754,785,287.90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w:t>
            </w:r>
          </w:p>
        </w:tc>
      </w:tr>
    </w:tbl>
    <w:p>
      <w:pPr>
        <w:widowControl w:val="0"/>
        <w:spacing w:after="6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440" w:line="475" w:lineRule="exact"/>
        <w:ind w:left="0" w:right="0" w:firstLine="0"/>
        <w:jc w:val="left"/>
      </w:pPr>
      <w:r>
        <w:rPr>
          <w:color w:val="000000"/>
          <w:spacing w:val="0"/>
          <w:w w:val="100"/>
          <w:position w:val="0"/>
        </w:rPr>
        <w:t>本报告期合并范围的变动主要为收购、投资、新设、清算子公司，具体详见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第五节七、与上年度财务报告相比，合并报表 范围发生变化的情况说明</w:t>
      </w:r>
    </w:p>
    <w:p>
      <w:pPr>
        <w:pStyle w:val="Style47"/>
        <w:keepNext/>
        <w:keepLines/>
        <w:widowControl w:val="0"/>
        <w:shd w:val="clear" w:color="auto" w:fill="auto"/>
        <w:tabs>
          <w:tab w:pos="493" w:val="left"/>
        </w:tabs>
        <w:bidi w:val="0"/>
        <w:spacing w:before="0" w:after="1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29"/>
        <w:keepNext w:val="0"/>
        <w:keepLines w:val="0"/>
        <w:widowControl w:val="0"/>
        <w:shd w:val="clear" w:color="auto" w:fill="auto"/>
        <w:bidi w:val="0"/>
        <w:spacing w:before="0" w:after="38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47"/>
        <w:keepNext/>
        <w:keepLines/>
        <w:widowControl w:val="0"/>
        <w:shd w:val="clear" w:color="auto" w:fill="auto"/>
        <w:tabs>
          <w:tab w:pos="493" w:val="left"/>
        </w:tabs>
        <w:bidi w:val="0"/>
        <w:spacing w:before="0" w:after="2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29"/>
        <w:keepNext w:val="0"/>
        <w:keepLines w:val="0"/>
        <w:widowControl w:val="0"/>
        <w:shd w:val="clear" w:color="auto" w:fill="auto"/>
        <w:bidi w:val="0"/>
        <w:spacing w:before="0" w:after="140" w:line="475" w:lineRule="exact"/>
        <w:ind w:left="0" w:right="0" w:firstLine="0"/>
        <w:jc w:val="left"/>
      </w:pPr>
      <w:r>
        <w:rPr>
          <w:b/>
          <w:bCs/>
          <w:color w:val="000000"/>
          <w:spacing w:val="0"/>
          <w:w w:val="100"/>
          <w:position w:val="0"/>
        </w:rPr>
        <w:t>公司主要销售客户情况</w:t>
      </w:r>
    </w:p>
    <w:tbl>
      <w:tblPr>
        <w:tblOverlap w:val="never"/>
        <w:jc w:val="center"/>
        <w:tblLayout w:type="fixed"/>
      </w:tblPr>
      <w:tblGrid>
        <w:gridCol w:w="4598"/>
        <w:gridCol w:w="51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1,161,975,943.58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大客户资料</w:t>
      </w:r>
    </w:p>
    <w:p>
      <w:pPr>
        <w:widowControl w:val="0"/>
        <w:spacing w:after="139" w:line="1" w:lineRule="exact"/>
      </w:pPr>
    </w:p>
    <w:p>
      <w:pPr>
        <w:widowControl w:val="0"/>
        <w:spacing w:line="1" w:lineRule="exact"/>
      </w:pPr>
    </w:p>
    <w:tbl>
      <w:tblPr>
        <w:tblOverlap w:val="never"/>
        <w:jc w:val="center"/>
        <w:tblLayout w:type="fixed"/>
      </w:tblPr>
      <w:tblGrid>
        <w:gridCol w:w="816"/>
        <w:gridCol w:w="3346"/>
        <w:gridCol w:w="235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432,390,124.80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299,711,204.27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146,140,289.05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142,987,316.45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140,747,009.01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1,161,975,943.58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40.06%</w:t>
            </w:r>
          </w:p>
        </w:tc>
      </w:tr>
    </w:tbl>
    <w:p>
      <w:pPr>
        <w:widowControl w:val="0"/>
        <w:spacing w:after="19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747"/>
        <w:gridCol w:w="496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1,132,329,405.82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bl>
    <w:p>
      <w:pPr>
        <w:spacing w:lineRule="exact" w:line="1"/>
        <w:rPr>
          <w:sz w:val="2"/>
          <w:szCs w:val="2"/>
        </w:rPr>
      </w:pPr>
      <w:r>
        <w:br w:type="page"/>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6515735</wp:posOffset>
                </wp:positionH>
                <wp:positionV relativeFrom="paragraph">
                  <wp:posOffset>12700</wp:posOffset>
                </wp:positionV>
                <wp:extent cx="326390" cy="143510"/>
                <wp:wrapSquare wrapText="left"/>
                <wp:docPr id="27" name="Shape 27"/>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xbxContent>
                      </wps:txbx>
                      <wps:bodyPr wrap="none" lIns="0" tIns="0" rIns="0" bIns="0">
                        <a:noAutoFit/>
                      </wps:bodyPr>
                    </wps:wsp>
                  </a:graphicData>
                </a:graphic>
              </wp:anchor>
            </w:drawing>
          </mc:Choice>
          <mc:Fallback>
            <w:pict>
              <v:shape id="_x0000_s1053" type="#_x0000_t202" style="position:absolute;margin-left:513.04999999999995pt;margin-top:1.pt;width:25.699999999999999pt;height:11.3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xbxContent>
                </v:textbox>
                <w10:wrap type="square" side="left" anchorx="page"/>
              </v:shape>
            </w:pict>
          </mc:Fallback>
        </mc:AlternateContent>
      </w:r>
      <w:r>
        <w:rPr>
          <w:color w:val="000000"/>
          <w:spacing w:val="0"/>
          <w:w w:val="100"/>
          <w:position w:val="0"/>
        </w:rPr>
        <w:t>前五名供应商采购额中关联方采购额占年度采购总额比例</w:t>
      </w:r>
    </w:p>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名供应商资料</w:t>
      </w:r>
    </w:p>
    <w:tbl>
      <w:tblPr>
        <w:tblOverlap w:val="never"/>
        <w:jc w:val="center"/>
        <w:tblLayout w:type="fixed"/>
      </w:tblPr>
      <w:tblGrid>
        <w:gridCol w:w="950"/>
        <w:gridCol w:w="3211"/>
        <w:gridCol w:w="235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894,754,935.34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79,141,074.97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55,618,108.88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53,035,429.16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49,779,857.47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1,132,329,405.82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bl>
    <w:p>
      <w:pPr>
        <w:pStyle w:val="Style35"/>
        <w:keepNext w:val="0"/>
        <w:keepLines w:val="0"/>
        <w:widowControl w:val="0"/>
        <w:shd w:val="clear" w:color="auto" w:fill="auto"/>
        <w:bidi w:val="0"/>
        <w:spacing w:before="0" w:after="0" w:line="240" w:lineRule="auto"/>
        <w:ind w:left="19" w:right="0" w:firstLine="0"/>
        <w:jc w:val="left"/>
      </w:pPr>
      <w:r>
        <w:rPr>
          <w:color w:val="000000"/>
          <w:spacing w:val="0"/>
          <w:w w:val="100"/>
          <w:position w:val="0"/>
        </w:rPr>
        <w:t>主要供应商其他情况说明</w:t>
      </w:r>
    </w:p>
    <w:p>
      <w:pPr>
        <w:widowControl w:val="0"/>
        <w:spacing w:after="259" w:line="1" w:lineRule="exact"/>
      </w:pP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656"/>
        <w:gridCol w:w="1656"/>
        <w:gridCol w:w="1483"/>
        <w:gridCol w:w="296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175,401,170.69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163,190,854.25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669,394,532.10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588,987,655.44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8,726,708.12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-12,690,219.15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主要系公司业务发展和对外投资而导 致短期借款增加和发行超短期融资券 和中期票据进行融资。</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jc w:val="left"/>
      </w:pPr>
      <w:r>
        <w:rPr>
          <w:color w:val="000000"/>
          <w:spacing w:val="0"/>
          <w:w w:val="100"/>
          <w:position w:val="0"/>
        </w:rPr>
        <w:t xml:space="preserve">持续的自主创新能力是市场竞争力的核心要素，公司自成立以来一直高度重视研发投入力度，近几年研发投入一直都保 </w:t>
      </w:r>
      <w:r>
        <w:rPr>
          <w:color w:val="000000"/>
          <w:spacing w:val="0"/>
          <w:w w:val="100"/>
          <w:position w:val="0"/>
        </w:rPr>
        <w:t>持在一定规模，持续的研发投入为公司巩固和进一步提高技术竞争优势提供了有力的物质保障。</w:t>
      </w:r>
    </w:p>
    <w:p>
      <w:pPr>
        <w:pStyle w:val="Style29"/>
        <w:keepNext w:val="0"/>
        <w:keepLines w:val="0"/>
        <w:widowControl w:val="0"/>
        <w:shd w:val="clear" w:color="auto" w:fill="auto"/>
        <w:bidi w:val="0"/>
        <w:spacing w:before="0" w:after="320" w:line="240" w:lineRule="auto"/>
        <w:ind w:left="0" w:right="0"/>
        <w:jc w:val="left"/>
      </w:pPr>
      <w:r>
        <w:rPr>
          <w:color w:val="000000"/>
          <w:spacing w:val="0"/>
          <w:w w:val="100"/>
          <w:position w:val="0"/>
        </w:rPr>
        <w:t xml:space="preserve">报告期内，公司持续加强运维管理和融合通信业务线的产品开发，提升性能与功能；进一步推进新游戏产品的开发；同 </w:t>
      </w:r>
      <w:r>
        <w:rPr>
          <w:color w:val="000000"/>
          <w:spacing w:val="0"/>
          <w:w w:val="100"/>
          <w:position w:val="0"/>
        </w:rPr>
        <w:t>时积极开展物联网技术的研发工作。另外，报告期内，公司全资收购中科鼎富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科技发展有限公司后，公司高度重视其 </w:t>
      </w:r>
      <w:r>
        <w:rPr>
          <w:color w:val="000000"/>
          <w:spacing w:val="0"/>
          <w:w w:val="100"/>
          <w:position w:val="0"/>
        </w:rPr>
        <w:t xml:space="preserve">在人工智能和大数据领域的领先技术与公司现有技术积累的融合，成立了人工智能研究院，专注地研究自然语言语义技术, </w:t>
      </w:r>
      <w:r>
        <w:rPr>
          <w:color w:val="000000"/>
          <w:spacing w:val="0"/>
          <w:w w:val="100"/>
          <w:position w:val="0"/>
        </w:rPr>
        <w:t xml:space="preserve">开发人工智能相关产品。与此同时，公司还与北京师范大学中文信息处理研究所正式签署协议，共同建立人工智能联合实验 </w:t>
      </w:r>
      <w:r>
        <w:rPr>
          <w:color w:val="000000"/>
          <w:spacing w:val="0"/>
          <w:w w:val="100"/>
          <w:position w:val="0"/>
        </w:rPr>
        <w:t xml:space="preserve">室。双方将围绕国家十三五规划纲要中关于大数据和人工智能技术的要求，开展人工智能及智能机器人的研究，并推动研究 </w:t>
      </w:r>
      <w:r>
        <w:rPr>
          <w:color w:val="000000"/>
          <w:spacing w:val="0"/>
          <w:w w:val="100"/>
          <w:position w:val="0"/>
        </w:rPr>
        <w:t>成果转化。</w:t>
      </w:r>
    </w:p>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近三年公司研发投入金额及占营业收入的比例</w:t>
      </w:r>
      <w:r>
        <w:br w:type="page"/>
      </w:r>
    </w:p>
    <w:tbl>
      <w:tblPr>
        <w:tblOverlap w:val="never"/>
        <w:jc w:val="center"/>
        <w:tblLayout w:type="fixed"/>
      </w:tblPr>
      <w:tblGrid>
        <w:gridCol w:w="3293"/>
        <w:gridCol w:w="2270"/>
        <w:gridCol w:w="2126"/>
        <w:gridCol w:w="2021"/>
      </w:tblGrid>
      <w:tr>
        <w:trPr>
          <w:trHeight w:val="4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196,055,419.98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217,190,807.07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260,550,982.56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128,561,514.99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124,340,356.19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92,639,859.49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r>
    </w:tbl>
    <w:p>
      <w:pPr>
        <w:widowControl w:val="0"/>
        <w:spacing w:after="579" w:line="1" w:lineRule="exact"/>
      </w:pPr>
    </w:p>
    <w:p>
      <w:pPr>
        <w:pStyle w:val="Style2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公司本年度所进行研发项目的目的、项目进展、拟达到的目标及其对公司生产经营的影响</w:t>
      </w:r>
    </w:p>
    <w:tbl>
      <w:tblPr>
        <w:tblOverlap w:val="never"/>
        <w:jc w:val="center"/>
        <w:tblLayout w:type="fixed"/>
      </w:tblPr>
      <w:tblGrid>
        <w:gridCol w:w="1752"/>
        <w:gridCol w:w="3840"/>
        <w:gridCol w:w="806"/>
        <w:gridCol w:w="1747"/>
        <w:gridCol w:w="1723"/>
      </w:tblGrid>
      <w:tr>
        <w:trPr>
          <w:trHeight w:val="72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项目进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对公司生产经营的影</w:t>
            </w:r>
          </w:p>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响</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漏洞深度检测系统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 DeepScanner</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通过全网漏洞采集、全量漏洞核查、多维度统计报表、 系统管理产品技术的实现，克服传统的漏洞扫描中误 报率高、检查范围有限等缺点，通过高频次的系统漏 洞扫描，及时掌握系统面临的漏洞风险并迅速修复， 为保障信息系统的安全打下坚实基础-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采用类搜索引擎提高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信息系统的安全性-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该项目可夯实公司在 运维管理解决方案方 面的业务，巩固公司 在该领域的地位-</w:t>
            </w:r>
          </w:p>
        </w:tc>
      </w:tr>
      <w:tr>
        <w:trPr>
          <w:trHeight w:val="16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掌上优化助手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Ultra-Optipal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提升考察</w:t>
            </w:r>
            <w:r>
              <w:rPr>
                <w:rFonts w:ascii="Times New Roman" w:eastAsia="Times New Roman" w:hAnsi="Times New Roman" w:cs="Times New Roman"/>
                <w:color w:val="000000"/>
                <w:spacing w:val="0"/>
                <w:w w:val="100"/>
                <w:position w:val="0"/>
                <w:sz w:val="16"/>
                <w:szCs w:val="16"/>
              </w:rPr>
              <w:t>4G</w:t>
            </w:r>
            <w:r>
              <w:rPr>
                <w:color w:val="000000"/>
                <w:spacing w:val="0"/>
                <w:w w:val="100"/>
                <w:position w:val="0"/>
              </w:rPr>
              <w:t>网络运行情况的全面性；为网优工程项 目、日常运维工作提供技术支持；丰富网优软件在手 机应用相关领域的产品多样性-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开发一款能够帮助网 优、维护人员以及管理 层查看基站关键指标 趋势，掌握网络情况提 高工作效率的产品-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该项目可夯实公司在 运维管理解决方案方 面的业务，巩固公司 在该领域的地位-</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日志监控分析平台</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Ultra-SmartLog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借助工具帮助企业进行线上业务状态实时监控、业务 异常原因定位、业务日志数据统计分析以及安全与合 规审计，用于系统运维或市场营销等，最终为客户创 造价值-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开发配置简单、功能强</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大、易于使用的日志管</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理系统-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该项目可夯实公司在 运维管理解决方案方 面的业务，巩固公司 在该领域的地位-</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带外网络管理产品开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发项目</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 OutManager</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管理员通过本系统对各分布机房设备进行远程统一 管理和维护，更加高效地处理网络中各类设备故障， 为各业务平台提供服务支撑，从而节约成本提高网络 工作效率-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建立一套集网络集中 监控、事故预警、管理、 维护功能于一体的高 效专用运维管理网络 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该项目可夯实公司在 运维管理解决方案方 面的业务，巩固公司 在该领域的地位-</w:t>
            </w: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神州泰岳容器云平台</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Ultra-Uapm 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为客户提供及时高效的服务体验，提高故障的处理效 率，降低企业运维成本，形成更加具有竞争力的容器 云下的大数据集群解决方案-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搭建一个可靠稳定、访 问环境高效安全的云 运维平台-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该项目可夯实公司在 运维管理解决方案方 面的业务，巩固公司 在该领域的地位-</w:t>
            </w:r>
          </w:p>
        </w:tc>
      </w:tr>
    </w:tbl>
    <w:p>
      <w:pPr>
        <w:widowControl w:val="0"/>
        <w:spacing w:line="1" w:lineRule="exact"/>
      </w:pPr>
      <w:r>
        <w:br w:type="page"/>
      </w:r>
    </w:p>
    <w:tbl>
      <w:tblPr>
        <w:tblOverlap w:val="never"/>
        <w:jc w:val="center"/>
        <w:tblLayout w:type="fixed"/>
      </w:tblPr>
      <w:tblGrid>
        <w:gridCol w:w="1752"/>
        <w:gridCol w:w="3840"/>
        <w:gridCol w:w="806"/>
        <w:gridCol w:w="1747"/>
        <w:gridCol w:w="1723"/>
      </w:tblGrid>
      <w:tr>
        <w:trPr>
          <w:trHeight w:val="7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项目进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对公司生产经营的影</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6"/>
                <w:szCs w:val="16"/>
              </w:rPr>
              <w:t>4G</w:t>
            </w:r>
            <w:r>
              <w:rPr>
                <w:color w:val="000000"/>
                <w:spacing w:val="0"/>
                <w:w w:val="100"/>
                <w:position w:val="0"/>
              </w:rPr>
              <w:t>的融合通信加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打造提供增强型融合通信解决方案的能力；实现提供 语音通话、视频通话、富媒体消息、公众帐号、表情 商店等全方面的融合通信服务；注重社交、开放平台 能力以及可商业化的平台建设；可模块化、定制化设 计，针对运营商等客户提供一站式解决方案-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关注新消息与新通话 的</w:t>
            </w:r>
            <w:r>
              <w:rPr>
                <w:rFonts w:ascii="Times New Roman" w:eastAsia="Times New Roman" w:hAnsi="Times New Roman" w:cs="Times New Roman"/>
                <w:color w:val="000000"/>
                <w:spacing w:val="0"/>
                <w:w w:val="100"/>
                <w:position w:val="0"/>
                <w:sz w:val="16"/>
                <w:szCs w:val="16"/>
              </w:rPr>
              <w:t>VoWifi</w:t>
            </w:r>
            <w:r>
              <w:rPr>
                <w:color w:val="000000"/>
                <w:spacing w:val="0"/>
                <w:w w:val="100"/>
                <w:position w:val="0"/>
              </w:rPr>
              <w:t>部分，提供 增强型融合通信解决 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移动互联网运营业务 作为公司传统核心业 务的一部分，公司在 该领域一直处于领先 水平，该项目可提高 技术水平，同时加强 市场地位-</w:t>
            </w:r>
          </w:p>
        </w:tc>
      </w:tr>
      <w:tr>
        <w:trPr>
          <w:trHeight w:val="22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6"/>
                <w:szCs w:val="16"/>
              </w:rPr>
              <w:t>Python</w:t>
            </w:r>
            <w:r>
              <w:rPr>
                <w:color w:val="000000"/>
                <w:spacing w:val="0"/>
                <w:w w:val="100"/>
                <w:position w:val="0"/>
              </w:rPr>
              <w:t>的数据库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集群管理系统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为数据库管理提供一个简单易操作的环境，可以实现 </w:t>
            </w:r>
            <w:r>
              <w:rPr>
                <w:rFonts w:ascii="Times New Roman" w:eastAsia="Times New Roman" w:hAnsi="Times New Roman" w:cs="Times New Roman"/>
                <w:color w:val="000000"/>
                <w:spacing w:val="0"/>
                <w:w w:val="100"/>
                <w:position w:val="0"/>
                <w:sz w:val="16"/>
                <w:szCs w:val="16"/>
              </w:rPr>
              <w:t>MySQL</w:t>
            </w:r>
            <w:r>
              <w:rPr>
                <w:color w:val="000000"/>
                <w:spacing w:val="0"/>
                <w:w w:val="100"/>
                <w:position w:val="0"/>
              </w:rPr>
              <w:t>数据库在</w:t>
            </w:r>
            <w:r>
              <w:rPr>
                <w:rFonts w:ascii="Times New Roman" w:eastAsia="Times New Roman" w:hAnsi="Times New Roman" w:cs="Times New Roman"/>
                <w:color w:val="000000"/>
                <w:spacing w:val="0"/>
                <w:w w:val="100"/>
                <w:position w:val="0"/>
                <w:sz w:val="16"/>
                <w:szCs w:val="16"/>
              </w:rPr>
              <w:t>Linux</w:t>
            </w:r>
            <w:r>
              <w:rPr>
                <w:color w:val="000000"/>
                <w:spacing w:val="0"/>
                <w:w w:val="100"/>
                <w:position w:val="0"/>
              </w:rPr>
              <w:t>系统中的批量快速安装，实 现数据实例的快速创建和集群化管理，查看实现运行 状态，启停实现，创建库，账号权限管理-当数据库 状态异常时，管理系统可以自动处理，降低业务受影 响的时间，提高解决故障的效率。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针对</w:t>
            </w:r>
            <w:r>
              <w:rPr>
                <w:rFonts w:ascii="Times New Roman" w:eastAsia="Times New Roman" w:hAnsi="Times New Roman" w:cs="Times New Roman"/>
                <w:color w:val="000000"/>
                <w:spacing w:val="0"/>
                <w:w w:val="100"/>
                <w:position w:val="0"/>
                <w:sz w:val="16"/>
                <w:szCs w:val="16"/>
              </w:rPr>
              <w:t>MySQL</w:t>
            </w:r>
            <w:r>
              <w:rPr>
                <w:color w:val="000000"/>
                <w:spacing w:val="0"/>
                <w:w w:val="100"/>
                <w:position w:val="0"/>
              </w:rPr>
              <w:t>数据库提 供一个简单易操作的 数据库管理环境-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移动互联网运营业务 作为公司传统核心业 务的一部分，公司在 该领域一直处于领先 水平，该项目可提高 技术水平，同时加强 市场地位-</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智能化内容审核平台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通过基于中文分词和语义分析的高效快捷的关键字 过滤服务，对在线视频和直播类视频进行有效过滤， 并结合用户行为分析和用户信用体系对视频中包含 的热点事件、违规违法信息进行监控-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打造一站式反垃圾信 息的云服务的互联网 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移动互联网运营业务 作为公司传统核心业 务的一部分，公司在 该领域一直处于领先 水平，该项目可提高 技术水平，同时加强 市场地位-</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面向金融行业的基础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为企业和个人开发者提供开放融合的即时通讯平台； 为金融机构提供公众服务平台；为金融机构提供系统 管理平台，更好的了解自有平台的运行和运营状况并 能指定运营方案和策略-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为银行提供入驻式的</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部署方案，帮助其建立</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专属的通信能力平台-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移动互联网运营业务 作为公司传统核心业 务的一部分，公司在 该领域一直处于领先 水平，该项目可提高 技术水平，同时加强 市场地位-</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社交化融合通信终端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提升通信系统各项性能，保证用户的极致体验-在提 供了能够满足不同的企业和个人用户需要的多种社 交能力的前提下，引导用户使用习惯，培养用户粘性-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正在研 发中，预 计</w:t>
            </w:r>
            <w:r>
              <w:rPr>
                <w:rFonts w:ascii="Times New Roman" w:eastAsia="Times New Roman" w:hAnsi="Times New Roman" w:cs="Times New Roman"/>
                <w:color w:val="000000"/>
                <w:spacing w:val="0"/>
                <w:w w:val="100"/>
                <w:position w:val="0"/>
                <w:sz w:val="16"/>
                <w:szCs w:val="16"/>
              </w:rPr>
              <w:t>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6"/>
                <w:szCs w:val="16"/>
              </w:rPr>
              <w:t>6</w:t>
            </w:r>
            <w:r>
              <w:rPr>
                <w:color w:val="000000"/>
                <w:spacing w:val="0"/>
                <w:w w:val="100"/>
                <w:position w:val="0"/>
              </w:rPr>
              <w:t>月结项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在继承</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三新</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（新消 息、新联系、新通话） 基础上，构建更多通信 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移动互联网运营业务 作为公司传统核心业 务的一部分，公司在 该领域一直处于领先 水平，该项目可提高 技术水平，同时加强 市场地位-</w:t>
            </w:r>
          </w:p>
        </w:tc>
      </w:tr>
      <w:tr>
        <w:trPr>
          <w:trHeight w:val="161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多人音视频平台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面向企业和个人开发者，提供整套成熟的音视频通话 解决方案，包含一对一语音、一对一视频、多方语音、 多方视频、涂鸦等功能-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面向企业和个人开发 者，提供整套成熟的音 视频通话解决方案-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移动互联网运营业务 作为公司传统核心业 务的一部分，公司在 该领域一直处于领先 水平，该项目可提高</w:t>
            </w:r>
          </w:p>
        </w:tc>
      </w:tr>
    </w:tbl>
    <w:p>
      <w:pPr>
        <w:widowControl w:val="0"/>
        <w:spacing w:line="1" w:lineRule="exact"/>
      </w:pPr>
      <w:r>
        <w:br w:type="page"/>
      </w:r>
    </w:p>
    <w:tbl>
      <w:tblPr>
        <w:tblOverlap w:val="never"/>
        <w:jc w:val="center"/>
        <w:tblLayout w:type="fixed"/>
      </w:tblPr>
      <w:tblGrid>
        <w:gridCol w:w="1752"/>
        <w:gridCol w:w="3840"/>
        <w:gridCol w:w="806"/>
        <w:gridCol w:w="1747"/>
        <w:gridCol w:w="1723"/>
      </w:tblGrid>
      <w:tr>
        <w:trPr>
          <w:trHeight w:val="7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项目进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对公司生产经营的影</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w:t>
            </w:r>
          </w:p>
        </w:tc>
      </w:tr>
      <w:tr>
        <w:trPr>
          <w:trHeight w:val="1075"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技术水平，同时加强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市场地位-</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战火与秩序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把实时的战斗表现加入到具有丰富策略玩法的</w:t>
            </w:r>
            <w:r>
              <w:rPr>
                <w:rFonts w:ascii="Times New Roman" w:eastAsia="Times New Roman" w:hAnsi="Times New Roman" w:cs="Times New Roman"/>
                <w:color w:val="000000"/>
                <w:spacing w:val="0"/>
                <w:w w:val="100"/>
                <w:position w:val="0"/>
                <w:sz w:val="16"/>
                <w:szCs w:val="16"/>
              </w:rPr>
              <w:t xml:space="preserve">SLG </w:t>
            </w:r>
            <w:r>
              <w:rPr>
                <w:color w:val="000000"/>
                <w:spacing w:val="0"/>
                <w:w w:val="100"/>
                <w:position w:val="0"/>
              </w:rPr>
              <w:t>产品中，创造更生动更丰富的游戏趣味性，带来更好 的游戏体验-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一款根据欧洲中世纪</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的历史背景进行创作</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的策略类手机游戏-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手机游戏业务是公司 重点业务方向之一， 该项目可为公司在手 游方向带来新的利润 增长点-</w:t>
            </w:r>
          </w:p>
        </w:tc>
      </w:tr>
      <w:tr>
        <w:trPr>
          <w:trHeight w:val="22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小小帝国</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全新的玩家主城以及战斗场景的地貌，实现单位 </w:t>
            </w:r>
            <w:r>
              <w:rPr>
                <w:rFonts w:ascii="Times New Roman" w:eastAsia="Times New Roman" w:hAnsi="Times New Roman" w:cs="Times New Roman"/>
                <w:color w:val="000000"/>
                <w:spacing w:val="0"/>
                <w:w w:val="100"/>
                <w:position w:val="0"/>
                <w:sz w:val="16"/>
                <w:szCs w:val="16"/>
              </w:rPr>
              <w:t>avatar</w:t>
            </w:r>
            <w:r>
              <w:rPr>
                <w:color w:val="000000"/>
                <w:spacing w:val="0"/>
                <w:w w:val="100"/>
                <w:position w:val="0"/>
              </w:rPr>
              <w:t>换装效果，全新数值体系，使游戏数值平稳健 康；全新的前端开发引擎，使得新游戏更新方式更加 快捷和方便，更加快速和及时地对玩家提出的问题进 行反馈；强大的服务器开发团队使游戏数据交换迅 速，缩短了游戏时间流畅度大为提高，节约玩家数据 流量，为玩家提供新的小小帝国的体验-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正在研 发中，预 计</w:t>
            </w:r>
            <w:r>
              <w:rPr>
                <w:rFonts w:ascii="Times New Roman" w:eastAsia="Times New Roman" w:hAnsi="Times New Roman" w:cs="Times New Roman"/>
                <w:color w:val="000000"/>
                <w:spacing w:val="0"/>
                <w:w w:val="100"/>
                <w:position w:val="0"/>
                <w:sz w:val="16"/>
                <w:szCs w:val="16"/>
              </w:rPr>
              <w:t>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6"/>
                <w:szCs w:val="16"/>
              </w:rPr>
              <w:t>9</w:t>
            </w:r>
            <w:r>
              <w:rPr>
                <w:color w:val="000000"/>
                <w:spacing w:val="0"/>
                <w:w w:val="100"/>
                <w:position w:val="0"/>
              </w:rPr>
              <w:t>月结项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继承《小小帝国》的基 础玩法，添加全新的游 戏内容，并利用全新的 游戏引擎带给玩家一 个熟悉而又全新的小 小帝国-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手机游戏业务是公司 重点业务方向之一， 该项目可为公司在手 游方向带来新的利润 增长点-</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风暴传说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运用</w:t>
            </w:r>
            <w:r>
              <w:rPr>
                <w:rFonts w:ascii="Times New Roman" w:eastAsia="Times New Roman" w:hAnsi="Times New Roman" w:cs="Times New Roman"/>
                <w:color w:val="000000"/>
                <w:spacing w:val="0"/>
                <w:w w:val="100"/>
                <w:position w:val="0"/>
                <w:sz w:val="16"/>
                <w:szCs w:val="16"/>
              </w:rPr>
              <w:t>unity3D 5.1.2</w:t>
            </w:r>
            <w:r>
              <w:rPr>
                <w:color w:val="000000"/>
                <w:spacing w:val="0"/>
                <w:w w:val="100"/>
                <w:position w:val="0"/>
              </w:rPr>
              <w:t xml:space="preserve">引擎开发，从角色到场景均为全 </w:t>
            </w:r>
            <w:r>
              <w:rPr>
                <w:rFonts w:ascii="Times New Roman" w:eastAsia="Times New Roman" w:hAnsi="Times New Roman" w:cs="Times New Roman"/>
                <w:color w:val="000000"/>
                <w:spacing w:val="0"/>
                <w:w w:val="100"/>
                <w:position w:val="0"/>
                <w:sz w:val="16"/>
                <w:szCs w:val="16"/>
              </w:rPr>
              <w:t>3D</w:t>
            </w:r>
            <w:r>
              <w:rPr>
                <w:color w:val="000000"/>
                <w:spacing w:val="0"/>
                <w:w w:val="100"/>
                <w:position w:val="0"/>
              </w:rPr>
              <w:t>效果，加上已经过长期积累和验证的动作和特效 制作技术，带来较好的游戏效果，在欧美市场抢占先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开发一款以架空的风 暴大陆为背景，结合欧 美魔兽题材世界观和 故事背景的游戏-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手机游戏业务是公司 重点业务方向之一， 该项目可为公司在手 游方向带来新的利润 增长点-</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Y-game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把实时的战斗表现加入到产品当中，创造出更生动更 丰富的游戏趣味性，带来更好的游戏体验-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正在研 发中，预 计</w:t>
            </w:r>
            <w:r>
              <w:rPr>
                <w:rFonts w:ascii="Times New Roman" w:eastAsia="Times New Roman" w:hAnsi="Times New Roman" w:cs="Times New Roman"/>
                <w:color w:val="000000"/>
                <w:spacing w:val="0"/>
                <w:w w:val="100"/>
                <w:position w:val="0"/>
                <w:sz w:val="16"/>
                <w:szCs w:val="16"/>
              </w:rPr>
              <w:t>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6"/>
                <w:szCs w:val="16"/>
              </w:rPr>
              <w:t>10</w:t>
            </w:r>
            <w:r>
              <w:rPr>
                <w:color w:val="000000"/>
                <w:spacing w:val="0"/>
                <w:w w:val="100"/>
                <w:position w:val="0"/>
              </w:rPr>
              <w:t>月结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开发一款以奇幻世界 为背景，结合已经成为 幻想文化一部分的各 种怪物兵种和文明上 各种耳熟能详的英雄 的游戏-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手机游戏业务是公司 重点业务方向之一， 该项目可为公司在手 游方向带来新的利润 增长点-</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LinksDSP</w:t>
            </w:r>
            <w:r>
              <w:rPr>
                <w:color w:val="000000"/>
                <w:spacing w:val="0"/>
                <w:w w:val="100"/>
                <w:position w:val="0"/>
                <w:sz w:val="15"/>
                <w:szCs w:val="15"/>
              </w:rPr>
              <w:t xml:space="preserve">广告投放平 台 </w:t>
            </w:r>
            <w:r>
              <w:rPr>
                <w:rFonts w:ascii="Times New Roman" w:eastAsia="Times New Roman" w:hAnsi="Times New Roman" w:cs="Times New Roman"/>
                <w:color w:val="000000"/>
                <w:spacing w:val="0"/>
                <w:w w:val="100"/>
                <w:position w:val="0"/>
                <w:sz w:val="16"/>
                <w:szCs w:val="16"/>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利用精准的大数据分析技术，为广告主提供跨媒介、 跨平台、跨终端的广告投放平台服务，通过数据整合、 分析实现基于受众的精准投放，开发实时监控、持续 优化的广告投放解决方案-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做跨媒介、跨平台、跨 终端的广告投放平台-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在大数据时代来临的 趋势下，将会最大化 满足广告主需求，为 公司的大数据业务打 下基础-</w:t>
            </w:r>
          </w:p>
        </w:tc>
      </w:tr>
      <w:tr>
        <w:trPr>
          <w:trHeight w:val="19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智慧线</w:t>
            </w:r>
            <w:r>
              <w:rPr>
                <w:rFonts w:ascii="Times New Roman" w:eastAsia="Times New Roman" w:hAnsi="Times New Roman" w:cs="Times New Roman"/>
                <w:color w:val="000000"/>
                <w:spacing w:val="0"/>
                <w:w w:val="100"/>
                <w:position w:val="0"/>
                <w:sz w:val="16"/>
                <w:szCs w:val="16"/>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智慧线</w:t>
            </w:r>
            <w:r>
              <w:rPr>
                <w:rFonts w:ascii="Times New Roman" w:eastAsia="Times New Roman" w:hAnsi="Times New Roman" w:cs="Times New Roman"/>
                <w:color w:val="000000"/>
                <w:spacing w:val="0"/>
                <w:w w:val="100"/>
                <w:position w:val="0"/>
                <w:sz w:val="16"/>
                <w:szCs w:val="16"/>
              </w:rPr>
              <w:t>2.5.1</w:t>
            </w:r>
            <w:r>
              <w:rPr>
                <w:color w:val="000000"/>
                <w:spacing w:val="0"/>
                <w:w w:val="100"/>
                <w:position w:val="0"/>
              </w:rPr>
              <w:t>设计为针对提升产品通信能力，维护管 理能力和第三方产品标准协议接入能力-达到以下目 标：标识卡寿命达到</w:t>
            </w:r>
            <w:r>
              <w:rPr>
                <w:rFonts w:ascii="Times New Roman" w:eastAsia="Times New Roman" w:hAnsi="Times New Roman" w:cs="Times New Roman"/>
                <w:color w:val="000000"/>
                <w:spacing w:val="0"/>
                <w:w w:val="100"/>
                <w:position w:val="0"/>
                <w:sz w:val="16"/>
                <w:szCs w:val="16"/>
              </w:rPr>
              <w:t>5</w:t>
            </w:r>
            <w:r>
              <w:rPr>
                <w:color w:val="000000"/>
                <w:spacing w:val="0"/>
                <w:w w:val="100"/>
                <w:position w:val="0"/>
              </w:rPr>
              <w:t>年；增加矿用手机设备；提升 信息转换器的管理维护功能；优化系统</w:t>
            </w:r>
            <w:r>
              <w:rPr>
                <w:rFonts w:ascii="Times New Roman" w:eastAsia="Times New Roman" w:hAnsi="Times New Roman" w:cs="Times New Roman"/>
                <w:color w:val="000000"/>
                <w:spacing w:val="0"/>
                <w:w w:val="100"/>
                <w:position w:val="0"/>
                <w:sz w:val="16"/>
                <w:szCs w:val="16"/>
              </w:rPr>
              <w:t>web</w:t>
            </w:r>
            <w:r>
              <w:rPr>
                <w:color w:val="000000"/>
                <w:spacing w:val="0"/>
                <w:w w:val="100"/>
                <w:position w:val="0"/>
              </w:rPr>
              <w:t>管理平 台的操作维护功能；增加井上通信基站；完成</w:t>
            </w:r>
            <w:r>
              <w:rPr>
                <w:rFonts w:ascii="Times New Roman" w:eastAsia="Times New Roman" w:hAnsi="Times New Roman" w:cs="Times New Roman"/>
                <w:color w:val="000000"/>
                <w:spacing w:val="0"/>
                <w:w w:val="100"/>
                <w:position w:val="0"/>
                <w:sz w:val="16"/>
                <w:szCs w:val="16"/>
              </w:rPr>
              <w:t xml:space="preserve">TSM </w:t>
            </w:r>
            <w:r>
              <w:rPr>
                <w:color w:val="000000"/>
                <w:spacing w:val="0"/>
                <w:w w:val="100"/>
                <w:position w:val="0"/>
              </w:rPr>
              <w:t>标准接入模块开发-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建立一个能够融合现 有安全生产系统的、具 有高度精确定位的高 带宽无线通信网络的 智能矿山安全生产业 务体系-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丰富公司在物联网及 通讯技术应用方面的 产品，完善产品功能， 为该领域的业务打下 坚实的基础-</w:t>
            </w:r>
          </w:p>
        </w:tc>
      </w:tr>
      <w:tr>
        <w:trPr>
          <w:trHeight w:val="99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智慧线</w:t>
            </w:r>
            <w:r>
              <w:rPr>
                <w:rFonts w:ascii="Times New Roman" w:eastAsia="Times New Roman" w:hAnsi="Times New Roman" w:cs="Times New Roman"/>
                <w:color w:val="000000"/>
                <w:spacing w:val="0"/>
                <w:w w:val="100"/>
                <w:position w:val="0"/>
                <w:sz w:val="16"/>
                <w:szCs w:val="16"/>
              </w:rPr>
              <w:t>TSM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6"/>
                <w:szCs w:val="16"/>
              </w:rPr>
              <w:t>TSM</w:t>
            </w:r>
            <w:r>
              <w:rPr>
                <w:color w:val="000000"/>
                <w:spacing w:val="0"/>
                <w:w w:val="100"/>
                <w:position w:val="0"/>
              </w:rPr>
              <w:t>设计为针对矿井下应用的综合通信接入设备， 提供高精度连续实时定位、语音通信、短消息发送、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末已经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实现系统稳定性更高、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定位精准度更高、信号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丰富公司在物联网及 通讯技术应用方面的 产品，完善产品功能，</w:t>
            </w:r>
          </w:p>
        </w:tc>
      </w:tr>
    </w:tbl>
    <w:p>
      <w:pPr>
        <w:widowControl w:val="0"/>
        <w:spacing w:line="1" w:lineRule="exact"/>
      </w:pPr>
      <w:r>
        <w:br w:type="page"/>
      </w:r>
    </w:p>
    <w:tbl>
      <w:tblPr>
        <w:tblOverlap w:val="never"/>
        <w:jc w:val="center"/>
        <w:tblLayout w:type="fixed"/>
      </w:tblPr>
      <w:tblGrid>
        <w:gridCol w:w="1752"/>
        <w:gridCol w:w="3840"/>
        <w:gridCol w:w="806"/>
        <w:gridCol w:w="1747"/>
        <w:gridCol w:w="1723"/>
      </w:tblGrid>
      <w:tr>
        <w:trPr>
          <w:trHeight w:val="7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项目进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对公司生产经营的影</w:t>
            </w:r>
          </w:p>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响</w:t>
            </w:r>
          </w:p>
        </w:tc>
      </w:tr>
      <w:tr>
        <w:trPr>
          <w:trHeight w:val="864"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传感数据汇聚等功能-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更加均匀等目标-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为该领域的业务打下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坚实的基础-</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rPr>
              <w:t>SmartWater</w:t>
            </w:r>
            <w:r>
              <w:rPr>
                <w:color w:val="000000"/>
                <w:spacing w:val="0"/>
                <w:w w:val="100"/>
                <w:position w:val="0"/>
              </w:rPr>
              <w:t>智能硬件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智能净水设备通过智能硬件，可以远程监控设备状 态，通过</w:t>
            </w:r>
            <w:r>
              <w:rPr>
                <w:rFonts w:ascii="Times New Roman" w:eastAsia="Times New Roman" w:hAnsi="Times New Roman" w:cs="Times New Roman"/>
                <w:color w:val="000000"/>
                <w:spacing w:val="0"/>
                <w:w w:val="100"/>
                <w:position w:val="0"/>
                <w:sz w:val="16"/>
                <w:szCs w:val="16"/>
              </w:rPr>
              <w:t>APP</w:t>
            </w:r>
            <w:r>
              <w:rPr>
                <w:color w:val="000000"/>
                <w:spacing w:val="0"/>
                <w:w w:val="100"/>
                <w:position w:val="0"/>
              </w:rPr>
              <w:t>或者短信方式通知用户-厂家通过后 台的管理系统，能够管理分析所有在线设备-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设计开发一款远程可 查看，远程可管理，远 程可分析，产品可优化 的智能净水设备-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丰富公司在物联网及 通讯技术应用方面的 产品，完善产品功能， 为该领域的业务打下 坚实的基础-</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智慧芯模块设计为针对物联网领域的公网接入的适 配模块，可配合综合平台系统完成数据传输、告警、 定位数据上报、设备管理、资源调度、用户管理、计 费等系统功能-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建立一个能够解决物 联网系统的公网接入 问题的系统-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丰富公司在物联网及 通讯技术应用方面的 产品，完善产品功能， 为该领域的业务打下 坚实的基础-</w:t>
            </w:r>
          </w:p>
        </w:tc>
      </w:tr>
      <w:tr>
        <w:trPr>
          <w:trHeight w:val="21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迷你周界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在无互联网接入的情况下，实现支持客户端在局域网 使用系统、支持室内局域网接收实时入侵告警和实时 监控录像、室外设备支持对感应雷的防护等目标-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设计一个小型的周界 安防系统。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丰富公司在物联网及 通讯技术应用方面的 产品，完善产品功能， 为该领域的业务打下 坚实的基础-</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互联网安全攻防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pPr>
            <w:r>
              <w:rPr>
                <w:color w:val="000000"/>
                <w:spacing w:val="0"/>
                <w:w w:val="100"/>
                <w:position w:val="0"/>
              </w:rPr>
              <w:t>使学生了解最新的安全技术，培养起对互联网安全攻 防、企业应急响应等方面的兴趣；通过各类项目对学 生所学知识进行实战，在实际环境和事件处理中锻炼 学生能力-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做一款互联网安全攻 防方面的实训产品-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拓展公司职业教育领 域的产品，为公司的 创新业务贡献力量-</w:t>
            </w:r>
          </w:p>
        </w:tc>
      </w:tr>
      <w:tr>
        <w:trPr>
          <w:trHeight w:val="12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移动互联全智能项目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提供整体实训解决方案，包含硬件平台、软件平台和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教学资源-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做一款面向职业教育 院校师生的移动互联 教学实训的产品-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拓展公司职业教育领 域的产品，为公司的 创新业务贡献力量-</w:t>
            </w:r>
          </w:p>
        </w:tc>
      </w:tr>
      <w:tr>
        <w:trPr>
          <w:trHeight w:val="10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智能产品创新平台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面向职业教育或应用型本科的电子信息类专业，培训 学生应用电子模块进行智能产品开发和创新创意活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做一款培训学生应用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电子模块的产品-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拓展公司职业教育领 域的产品，为公司的 创新业务贡献力量-</w:t>
            </w:r>
          </w:p>
        </w:tc>
      </w:tr>
      <w:tr>
        <w:trPr>
          <w:trHeight w:val="149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智能节能及环保微课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通过观看智能节能与环保系列微课视频，让学生夯实 最基础的物联网技术，促进学生对物联网技术应用的 认识，了解智能环保行业领域的职业技能与应用范 围，扩展学生的思维能力-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面向职业教育院校的 相关专业提供微课程 的教学资源-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拓展公司职业教育领 域的产品，为公司的 创新业务贡献力量-</w:t>
            </w: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互联网渗透测试教学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重点培养学生在网络渗透测试岗位的强化技能，使课 程更契合当前的企业用人需求，增强学生的就业竞争 力，让学生今后从事本行业或类似行业能真正做的 </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零距离</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上岗-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做一款互联网渗透测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试教学实训平台-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拓展公司职业教育领 域的产品，为公司的 创新业务贡献力量-</w:t>
            </w:r>
          </w:p>
        </w:tc>
      </w:tr>
    </w:tbl>
    <w:p>
      <w:pPr>
        <w:widowControl w:val="0"/>
        <w:spacing w:line="1" w:lineRule="exact"/>
        <w:sectPr>
          <w:footnotePr>
            <w:pos w:val="pageBottom"/>
            <w:numFmt w:val="decimal"/>
            <w:numRestart w:val="continuous"/>
          </w:footnotePr>
          <w:pgSz w:w="11900" w:h="16840"/>
          <w:pgMar w:top="1470" w:right="1006" w:bottom="1412" w:left="1026" w:header="0" w:footer="3" w:gutter="0"/>
          <w:cols w:space="720"/>
          <w:noEndnote/>
          <w:rtlGutter w:val="0"/>
          <w:docGrid w:linePitch="360"/>
        </w:sectPr>
      </w:pPr>
    </w:p>
    <w:tbl>
      <w:tblPr>
        <w:tblOverlap w:val="never"/>
        <w:jc w:val="center"/>
        <w:tblLayout w:type="fixed"/>
      </w:tblPr>
      <w:tblGrid>
        <w:gridCol w:w="1752"/>
        <w:gridCol w:w="3840"/>
        <w:gridCol w:w="806"/>
        <w:gridCol w:w="1747"/>
        <w:gridCol w:w="1723"/>
      </w:tblGrid>
      <w:tr>
        <w:trPr>
          <w:trHeight w:val="7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项目进</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拟达到的目标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对公司生产经营的影</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软件安全开发教学实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训系统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旨在设计软件安全开发教学系统硬件平台与创建软 件安全开发教学课程资源，帮助高校解决现阶段软件 技术相关专业暂无相应的课程内容和实验环境来完 成网络安全尤其软件安全人才培养的问题-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做一款能够为软件安 全开发人才的培养提 供硬件平台和课程资 源的教学培训产品-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拓展公司职业教育领 域的产品，为公司的 创新业务贡献力量-</w:t>
            </w:r>
          </w:p>
        </w:tc>
      </w:tr>
      <w:tr>
        <w:trPr>
          <w:trHeight w:val="16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气象综合观测业务一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通过建设</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气象综合观测业务一体化平台</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，设计新的 业务流程顶层框架，运用</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物联网</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互联网</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技术， 对原有分散的各观测业务系统进行整合，建设一体化 的综合观测业务平台，形成基于统一平台的业务系统 应用，实现国省信息充分共享-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建设集气象台站数据 管理、雷达运行监控以 及雷达数据加工处理 等功能于一身的一体 化综合观测业务平台-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气象业务为公司创新 孵化业务的一部分， 该项目可为公司在该 领域的业务发展提供 基础-</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气象资料加工处理系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统 </w:t>
            </w:r>
            <w:r>
              <w:rPr>
                <w:rFonts w:ascii="Times New Roman" w:eastAsia="Times New Roman" w:hAnsi="Times New Roman" w:cs="Times New Roman"/>
                <w:color w:val="000000"/>
                <w:spacing w:val="0"/>
                <w:w w:val="100"/>
                <w:position w:val="0"/>
                <w:sz w:val="16"/>
                <w:szCs w:val="16"/>
              </w:rPr>
              <w:t>YH-2016-2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基于国家级</w:t>
            </w:r>
            <w:r>
              <w:rPr>
                <w:rFonts w:ascii="Times New Roman" w:eastAsia="Times New Roman" w:hAnsi="Times New Roman" w:cs="Times New Roman"/>
                <w:color w:val="000000"/>
                <w:spacing w:val="0"/>
                <w:w w:val="100"/>
                <w:position w:val="0"/>
                <w:sz w:val="16"/>
                <w:szCs w:val="16"/>
              </w:rPr>
              <w:t>CIMISS</w:t>
            </w:r>
            <w:r>
              <w:rPr>
                <w:color w:val="000000"/>
                <w:spacing w:val="0"/>
                <w:w w:val="100"/>
                <w:position w:val="0"/>
              </w:rPr>
              <w:t>数据环境，建设高效、易扩展的 气象资料加工处理平台，完成气象资料的实时统计、 质量控制和评估业务，满足</w:t>
            </w:r>
            <w:r>
              <w:rPr>
                <w:rFonts w:ascii="Times New Roman" w:eastAsia="Times New Roman" w:hAnsi="Times New Roman" w:cs="Times New Roman"/>
                <w:color w:val="000000"/>
                <w:spacing w:val="0"/>
                <w:w w:val="100"/>
                <w:position w:val="0"/>
                <w:sz w:val="16"/>
                <w:szCs w:val="16"/>
              </w:rPr>
              <w:t>3-5</w:t>
            </w:r>
            <w:r>
              <w:rPr>
                <w:color w:val="000000"/>
                <w:spacing w:val="0"/>
                <w:w w:val="100"/>
                <w:position w:val="0"/>
              </w:rPr>
              <w:t>年内的气象资料加工 处理需求-优化气象数据处理的业务流程，并容纳和 支持未来所有气象观测统计、质量控制和评估业务， 建设一个技术先进、易于部署、方便扩展的全新气象 资料加工处理平台-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末已经</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建设一个技术先进、易 于部署、方便扩展的全 新气象资料加工处理 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气象业务为公司创新 孵化业务的一部分， 该项目可为公司在该 领域的业务发展提供 基础-</w:t>
            </w:r>
          </w:p>
        </w:tc>
      </w:tr>
      <w:tr>
        <w:trPr>
          <w:trHeight w:val="1661"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农业气象服务产品制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作 </w:t>
            </w:r>
            <w:r>
              <w:rPr>
                <w:rFonts w:ascii="Times New Roman" w:eastAsia="Times New Roman" w:hAnsi="Times New Roman" w:cs="Times New Roman"/>
                <w:color w:val="000000"/>
                <w:spacing w:val="0"/>
                <w:w w:val="100"/>
                <w:position w:val="0"/>
                <w:sz w:val="16"/>
                <w:szCs w:val="16"/>
              </w:rPr>
              <w:t>YH-2016-3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在已经掌握的农作物种植区划、农作物气象指标及农 作物种植管理文字服务内容的基础上，实现富媒体内 容库、中央信息库、内容编辑平台、信息员管理平台 的建设，实现产品制作及展示渠道的全面扩展和服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开展移动互联网渠道 的富媒体服务内容，建 立完善的农业后台支 撑系统-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气象业务为公司创新 孵化业务的一部分， 该项目可为公司在该 领域的业务发展提供 基础-</w:t>
            </w:r>
          </w:p>
        </w:tc>
      </w:tr>
    </w:tbl>
    <w:p>
      <w:pPr>
        <w:widowControl w:val="0"/>
        <w:spacing w:after="6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sz w:val="19"/>
          <w:szCs w:val="19"/>
        </w:rPr>
        <w:t>寸</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sz w:val="19"/>
          <w:szCs w:val="19"/>
        </w:rPr>
        <w:t>寸</w:t>
      </w:r>
      <w:r>
        <w:rPr>
          <w:b/>
          <w:bCs/>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549"/>
        <w:gridCol w:w="2410"/>
        <w:gridCol w:w="178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2,904,653,452.84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3,295,323,180.57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2,813,362,075.29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3,231,083,717.77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91,291,377.55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64,239,462.80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676,874,904.27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53,577,046.02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1,585,939,505.36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314,500,665.08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404.27%</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70" w:right="1006" w:bottom="1412" w:left="1026" w:header="0" w:footer="3" w:gutter="0"/>
          <w:cols w:space="720"/>
          <w:noEndnote/>
          <w:rtlGutter w:val="0"/>
          <w:docGrid w:linePitch="360"/>
        </w:sectPr>
      </w:pPr>
    </w:p>
    <w:tbl>
      <w:tblPr>
        <w:tblOverlap w:val="never"/>
        <w:jc w:val="left"/>
        <w:tblLayout w:type="fixed"/>
      </w:tblPr>
      <w:tblGrid>
        <w:gridCol w:w="2842"/>
        <w:gridCol w:w="2549"/>
        <w:gridCol w:w="2410"/>
        <w:gridCol w:w="1781"/>
      </w:tblGrid>
      <w:tr>
        <w:trPr>
          <w:trHeight w:val="422" w:hRule="exact"/>
        </w:trPr>
        <w:tc>
          <w:tcPr>
            <w:tcBorders>
              <w:top w:val="single" w:sz="4"/>
              <w:left w:val="single" w:sz="4"/>
            </w:tcBorders>
            <w:shd w:val="clear" w:color="auto" w:fill="D4D4D4"/>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-909,064,601.09</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-260,923,619.06</w:t>
            </w:r>
          </w:p>
        </w:tc>
        <w:tc>
          <w:tcPr>
            <w:tcBorders>
              <w:top w:val="single" w:sz="4"/>
              <w:left w:val="single" w:sz="4"/>
              <w:righ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w:t>
            </w:r>
          </w:p>
        </w:tc>
      </w:tr>
      <w:tr>
        <w:trPr>
          <w:trHeight w:val="403" w:hRule="exact"/>
        </w:trPr>
        <w:tc>
          <w:tcPr>
            <w:tcBorders>
              <w:top w:val="single" w:sz="4"/>
              <w:left w:val="single" w:sz="4"/>
            </w:tcBorders>
            <w:shd w:val="clear" w:color="auto" w:fill="D4D4D4"/>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1,266,704,315.97</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295,059,410.93</w:t>
            </w:r>
          </w:p>
        </w:tc>
        <w:tc>
          <w:tcPr>
            <w:tcBorders>
              <w:top w:val="single" w:sz="4"/>
              <w:left w:val="single" w:sz="4"/>
              <w:righ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w:t>
            </w:r>
          </w:p>
        </w:tc>
      </w:tr>
      <w:tr>
        <w:trPr>
          <w:trHeight w:val="398" w:hRule="exact"/>
        </w:trPr>
        <w:tc>
          <w:tcPr>
            <w:tcBorders>
              <w:top w:val="single" w:sz="4"/>
              <w:left w:val="single" w:sz="4"/>
            </w:tcBorders>
            <w:shd w:val="clear" w:color="auto" w:fill="D4D4D4"/>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302,247,779.61</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683,954,348.23</w:t>
            </w:r>
          </w:p>
        </w:tc>
        <w:tc>
          <w:tcPr>
            <w:tcBorders>
              <w:top w:val="single" w:sz="4"/>
              <w:left w:val="single" w:sz="4"/>
              <w:righ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w:t>
            </w:r>
          </w:p>
        </w:tc>
      </w:tr>
      <w:tr>
        <w:trPr>
          <w:trHeight w:val="403" w:hRule="exact"/>
        </w:trPr>
        <w:tc>
          <w:tcPr>
            <w:tcBorders>
              <w:top w:val="single" w:sz="4"/>
              <w:left w:val="single" w:sz="4"/>
            </w:tcBorders>
            <w:shd w:val="clear" w:color="auto" w:fill="D4D4D4"/>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964,456,536.36</w:t>
            </w:r>
          </w:p>
        </w:tc>
        <w:tc>
          <w:tcPr>
            <w:tcBorders>
              <w:top w:val="single" w:sz="4"/>
              <w:lef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-388,894,937.30</w:t>
            </w:r>
          </w:p>
        </w:tc>
        <w:tc>
          <w:tcPr>
            <w:tcBorders>
              <w:top w:val="single" w:sz="4"/>
              <w:left w:val="single" w:sz="4"/>
              <w:righ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161,238,732.74</w:t>
            </w:r>
          </w:p>
        </w:tc>
        <w:tc>
          <w:tcPr>
            <w:tcBorders>
              <w:top w:val="single" w:sz="4"/>
              <w:left w:val="single" w:sz="4"/>
              <w:bottom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-575,576,076.96</w:t>
            </w:r>
          </w:p>
        </w:tc>
        <w:tc>
          <w:tcPr>
            <w:tcBorders>
              <w:top w:val="single" w:sz="4"/>
              <w:left w:val="single" w:sz="4"/>
              <w:bottom w:val="single" w:sz="4"/>
              <w:right w:val="single" w:sz="4"/>
            </w:tcBorders>
            <w:shd w:val="clear" w:color="auto" w:fill="FFFFFF"/>
            <w:vAlign w:val="center"/>
          </w:tcPr>
          <w:p>
            <w:pPr>
              <w:pStyle w:val="Style2"/>
              <w:keepNext w:val="0"/>
              <w:keepLines w:val="0"/>
              <w:framePr w:w="9581" w:h="2040" w:hSpace="14" w:vSpace="283" w:wrap="none" w:hAnchor="page" w:x="1124" w:y="-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-128.01%</w:t>
            </w:r>
          </w:p>
        </w:tc>
      </w:tr>
    </w:tbl>
    <w:p>
      <w:pPr>
        <w:framePr w:w="9581" w:h="2040" w:hSpace="14" w:vSpace="283" w:wrap="none" w:hAnchor="page" w:x="1124" w:y="-46"/>
        <w:widowControl w:val="0"/>
        <w:spacing w:line="1" w:lineRule="exact"/>
      </w:pPr>
    </w:p>
    <w:p>
      <w:pPr>
        <w:pStyle w:val="Style35"/>
        <w:keepNext w:val="0"/>
        <w:keepLines w:val="0"/>
        <w:framePr w:w="850" w:h="259" w:wrap="none" w:hAnchor="page" w:x="2002" w:y="-3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378AC4"/>
          <w:spacing w:val="0"/>
          <w:w w:val="100"/>
          <w:position w:val="0"/>
          <w:sz w:val="20"/>
          <w:szCs w:val="20"/>
        </w:rPr>
        <w:t>神州泰岳</w:t>
      </w:r>
    </w:p>
    <w:p>
      <w:pPr>
        <w:pStyle w:val="Style35"/>
        <w:keepNext w:val="0"/>
        <w:keepLines w:val="0"/>
        <w:framePr w:w="3821" w:h="235" w:wrap="none" w:hAnchor="page" w:x="1110" w:y="2114"/>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framePr w:w="1421" w:h="259" w:wrap="none" w:hAnchor="page" w:x="1110" w:y="2560"/>
        <w:widowControl w:val="0"/>
        <w:shd w:val="clear" w:color="auto" w:fill="auto"/>
        <w:bidi w:val="0"/>
        <w:spacing w:before="0" w:after="0" w:line="240" w:lineRule="auto"/>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framePr w:w="350" w:h="226" w:wrap="none" w:hAnchor="page" w:x="1566" w:y="306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9"/>
        <w:keepNext w:val="0"/>
        <w:keepLines w:val="0"/>
        <w:framePr w:w="7954" w:h="230" w:wrap="none" w:hAnchor="page" w:x="1926" w:y="3050"/>
        <w:widowControl w:val="0"/>
        <w:shd w:val="clear" w:color="auto" w:fill="auto"/>
        <w:bidi w:val="0"/>
        <w:spacing w:before="0" w:after="0" w:line="240" w:lineRule="auto"/>
        <w:ind w:left="0" w:right="0" w:firstLine="0"/>
        <w:jc w:val="center"/>
      </w:pPr>
      <w:r>
        <w:rPr>
          <w:color w:val="000000"/>
          <w:spacing w:val="0"/>
          <w:w w:val="100"/>
          <w:position w:val="0"/>
        </w:rPr>
        <w:t>公司经营活动现金净流量较上年同期增长，主要系游戏业务经营活动现金流入较上年同期增长所致。</w:t>
      </w:r>
    </w:p>
    <w:p>
      <w:pPr>
        <w:pStyle w:val="Style29"/>
        <w:keepNext w:val="0"/>
        <w:keepLines w:val="0"/>
        <w:framePr w:w="350" w:h="226" w:wrap="none" w:hAnchor="page" w:x="1566" w:y="352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9"/>
        <w:keepNext w:val="0"/>
        <w:keepLines w:val="0"/>
        <w:framePr w:w="6701" w:h="235" w:wrap="none" w:hAnchor="page" w:x="1921" w:y="3515"/>
        <w:widowControl w:val="0"/>
        <w:shd w:val="clear" w:color="auto" w:fill="auto"/>
        <w:bidi w:val="0"/>
        <w:spacing w:before="0" w:after="0" w:line="240" w:lineRule="auto"/>
        <w:ind w:left="0" w:right="0" w:firstLine="0"/>
        <w:jc w:val="left"/>
      </w:pPr>
      <w:r>
        <w:rPr>
          <w:color w:val="000000"/>
          <w:spacing w:val="0"/>
          <w:w w:val="100"/>
          <w:position w:val="0"/>
        </w:rPr>
        <w:t>投资活动现金流入较上期增加，主要系本期购买保本理财产品收回本金和投资收益。</w:t>
      </w:r>
    </w:p>
    <w:p>
      <w:pPr>
        <w:pStyle w:val="Style29"/>
        <w:keepNext w:val="0"/>
        <w:keepLines w:val="0"/>
        <w:framePr w:w="350" w:h="226" w:wrap="none" w:hAnchor="page" w:x="1566" w:y="399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framePr w:w="8866" w:h="250" w:wrap="none" w:hAnchor="page" w:x="1926" w:y="3986"/>
        <w:widowControl w:val="0"/>
        <w:shd w:val="clear" w:color="auto" w:fill="auto"/>
        <w:bidi w:val="0"/>
        <w:spacing w:before="0" w:after="0" w:line="240" w:lineRule="auto"/>
        <w:ind w:left="0" w:right="0" w:firstLine="0"/>
        <w:jc w:val="left"/>
      </w:pPr>
      <w:r>
        <w:rPr>
          <w:color w:val="000000"/>
          <w:spacing w:val="0"/>
          <w:w w:val="100"/>
          <w:position w:val="0"/>
        </w:rPr>
        <w:t>投资活动现金流出和投资活动产生的现金流量净流量较上期增加，主要系公司本期现金收购中科鼎富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w:t>
      </w:r>
    </w:p>
    <w:p>
      <w:pPr>
        <w:pStyle w:val="Style29"/>
        <w:keepNext w:val="0"/>
        <w:keepLines w:val="0"/>
        <w:framePr w:w="5438" w:h="230" w:wrap="none" w:hAnchor="page" w:x="1110" w:y="4451"/>
        <w:widowControl w:val="0"/>
        <w:shd w:val="clear" w:color="auto" w:fill="auto"/>
        <w:bidi w:val="0"/>
        <w:spacing w:before="0" w:after="0" w:line="240" w:lineRule="auto"/>
        <w:ind w:left="0" w:right="0" w:firstLine="0"/>
        <w:jc w:val="left"/>
      </w:pPr>
      <w:r>
        <w:rPr>
          <w:color w:val="000000"/>
          <w:spacing w:val="0"/>
          <w:w w:val="100"/>
          <w:position w:val="0"/>
        </w:rPr>
        <w:t>发展有限公司和投资蓝鸥科技有限公司以及购买保本理财产品所致。</w:t>
      </w:r>
    </w:p>
    <w:p>
      <w:pPr>
        <w:pStyle w:val="Style29"/>
        <w:keepNext w:val="0"/>
        <w:keepLines w:val="0"/>
        <w:framePr w:w="9226" w:h="235" w:wrap="none" w:hAnchor="page" w:x="1566" w:y="49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）筹资活动现金流入、筹资活动产生的现金净流量较上期增长，主要系本期由于业务发展和对外投资需要而扩大融</w:t>
      </w:r>
    </w:p>
    <w:p>
      <w:pPr>
        <w:pStyle w:val="Style29"/>
        <w:keepNext w:val="0"/>
        <w:keepLines w:val="0"/>
        <w:framePr w:w="4354" w:h="235" w:wrap="none" w:hAnchor="page" w:x="1115" w:y="5387"/>
        <w:widowControl w:val="0"/>
        <w:shd w:val="clear" w:color="auto" w:fill="auto"/>
        <w:bidi w:val="0"/>
        <w:spacing w:before="0" w:after="0" w:line="240" w:lineRule="auto"/>
        <w:ind w:left="0" w:right="0" w:firstLine="0"/>
        <w:jc w:val="left"/>
      </w:pPr>
      <w:r>
        <w:rPr>
          <w:color w:val="000000"/>
          <w:spacing w:val="0"/>
          <w:w w:val="100"/>
          <w:position w:val="0"/>
        </w:rPr>
        <w:t>资规模，包括短期借款、超短期融资券、中期票据等。</w:t>
      </w:r>
    </w:p>
    <w:p>
      <w:pPr>
        <w:pStyle w:val="Style29"/>
        <w:keepNext w:val="0"/>
        <w:keepLines w:val="0"/>
        <w:framePr w:w="9221" w:h="235" w:wrap="none" w:hAnchor="page" w:x="1566" w:y="585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）筹资活动流出较上期减少主要系本期非同一控制下企业合并支付以前年度已纳入合并范围的天津壳木软件有限责</w:t>
      </w:r>
    </w:p>
    <w:p>
      <w:pPr>
        <w:pStyle w:val="Style29"/>
        <w:keepNext w:val="0"/>
        <w:keepLines w:val="0"/>
        <w:framePr w:w="9043" w:h="230" w:wrap="none" w:hAnchor="page" w:x="1105" w:y="6323"/>
        <w:widowControl w:val="0"/>
        <w:shd w:val="clear" w:color="auto" w:fill="auto"/>
        <w:bidi w:val="0"/>
        <w:spacing w:before="0" w:after="0" w:line="240" w:lineRule="auto"/>
        <w:ind w:left="0" w:right="0" w:firstLine="0"/>
        <w:jc w:val="left"/>
      </w:pPr>
      <w:r>
        <w:rPr>
          <w:color w:val="000000"/>
          <w:spacing w:val="0"/>
          <w:w w:val="100"/>
          <w:position w:val="0"/>
        </w:rPr>
        <w:t>任公司原股东股权收购款、支付同一控制企业合并子公司北京神州祥升软件有限公司股权转让款较上期减少所致。</w:t>
      </w:r>
    </w:p>
    <w:p>
      <w:pPr>
        <w:pStyle w:val="Style29"/>
        <w:keepNext w:val="0"/>
        <w:keepLines w:val="0"/>
        <w:framePr w:w="9312" w:h="240" w:wrap="none" w:hAnchor="page" w:x="1566" w:y="67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）现金及现金等价物净增加额较上期增加，主要系对外融资规模扩大，包括短期借款、超短期融资券、中期票据等。</w:t>
      </w:r>
    </w:p>
    <w:p>
      <w:pPr>
        <w:pStyle w:val="Style29"/>
        <w:keepNext w:val="0"/>
        <w:keepLines w:val="0"/>
        <w:framePr w:w="6518" w:h="235" w:wrap="none" w:hAnchor="page" w:x="1110" w:y="7259"/>
        <w:widowControl w:val="0"/>
        <w:shd w:val="clear" w:color="auto" w:fill="auto"/>
        <w:bidi w:val="0"/>
        <w:spacing w:before="0" w:after="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framePr w:w="1421" w:h="254" w:wrap="none" w:hAnchor="page" w:x="1110" w:y="7711"/>
        <w:widowControl w:val="0"/>
        <w:shd w:val="clear" w:color="auto" w:fill="auto"/>
        <w:bidi w:val="0"/>
        <w:spacing w:before="0" w:after="0" w:line="240" w:lineRule="auto"/>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framePr w:w="9317" w:h="240" w:wrap="none" w:hAnchor="page" w:x="1470" w:y="8195"/>
        <w:widowControl w:val="0"/>
        <w:shd w:val="clear" w:color="auto" w:fill="auto"/>
        <w:bidi w:val="0"/>
        <w:spacing w:before="0" w:after="0" w:line="240" w:lineRule="auto"/>
        <w:ind w:left="0" w:right="0" w:firstLine="0"/>
        <w:jc w:val="left"/>
      </w:pPr>
      <w:r>
        <w:rPr>
          <w:color w:val="000000"/>
          <w:spacing w:val="0"/>
          <w:w w:val="100"/>
          <w:position w:val="0"/>
        </w:rPr>
        <w:t>经营活动净现金流量与本年净利润差异的主要原因系公司因壳木软件</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年度业绩未达标回购注销部分股份而相应确</w:t>
      </w:r>
    </w:p>
    <w:p>
      <w:pPr>
        <w:pStyle w:val="Style29"/>
        <w:keepNext w:val="0"/>
        <w:keepLines w:val="0"/>
        <w:framePr w:w="4358" w:h="230" w:wrap="none" w:hAnchor="page" w:x="1110" w:y="8666"/>
        <w:widowControl w:val="0"/>
        <w:shd w:val="clear" w:color="auto" w:fill="auto"/>
        <w:bidi w:val="0"/>
        <w:spacing w:before="0" w:after="0" w:line="240" w:lineRule="auto"/>
        <w:ind w:left="0" w:right="0" w:firstLine="0"/>
        <w:jc w:val="left"/>
      </w:pPr>
      <w:r>
        <w:rPr>
          <w:color w:val="000000"/>
          <w:spacing w:val="0"/>
          <w:w w:val="100"/>
          <w:position w:val="0"/>
        </w:rPr>
        <w:t>认权益工具形成的收益和系统集成业务赊销政策所致。</w:t>
      </w:r>
    </w:p>
    <w:p>
      <w:pPr>
        <w:pStyle w:val="Style27"/>
        <w:keepNext/>
        <w:keepLines/>
        <w:framePr w:w="2208" w:h="288" w:wrap="none" w:hAnchor="page" w:x="1110" w:y="9323"/>
        <w:widowControl w:val="0"/>
        <w:shd w:val="clear" w:color="auto" w:fill="auto"/>
        <w:bidi w:val="0"/>
        <w:spacing w:before="0" w:after="0" w:line="240" w:lineRule="auto"/>
        <w:ind w:left="0" w:right="0" w:firstLine="0"/>
        <w:jc w:val="left"/>
      </w:pPr>
      <w:bookmarkStart w:id="149" w:name="bookmark149"/>
      <w:bookmarkStart w:id="150" w:name="bookmark150"/>
      <w:bookmarkStart w:id="151" w:name="bookmark151"/>
      <w:r>
        <w:rPr>
          <w:color w:val="000000"/>
          <w:spacing w:val="0"/>
          <w:w w:val="100"/>
          <w:position w:val="0"/>
        </w:rPr>
        <w:t>三、非主营业务情况</w:t>
      </w:r>
      <w:bookmarkEnd w:id="149"/>
      <w:bookmarkEnd w:id="150"/>
      <w:bookmarkEnd w:id="151"/>
    </w:p>
    <w:p>
      <w:pPr>
        <w:pStyle w:val="Style29"/>
        <w:keepNext w:val="0"/>
        <w:keepLines w:val="0"/>
        <w:framePr w:w="1421" w:h="259" w:wrap="none" w:hAnchor="page" w:x="1110" w:y="9947"/>
        <w:widowControl w:val="0"/>
        <w:shd w:val="clear" w:color="auto" w:fill="auto"/>
        <w:bidi w:val="0"/>
        <w:spacing w:before="0" w:after="0" w:line="240" w:lineRule="auto"/>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166"/>
        <w:gridCol w:w="1421"/>
        <w:gridCol w:w="1555"/>
        <w:gridCol w:w="3547"/>
        <w:gridCol w:w="2021"/>
      </w:tblGrid>
      <w:tr>
        <w:trPr>
          <w:trHeight w:val="408" w:hRule="exact"/>
        </w:trPr>
        <w:tc>
          <w:tcPr>
            <w:tcBorders>
              <w:top w:val="single" w:sz="4"/>
              <w:left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2870" w:hRule="exact"/>
        </w:trPr>
        <w:tc>
          <w:tcPr>
            <w:tcBorders>
              <w:top w:val="single" w:sz="4"/>
              <w:left w:val="single" w:sz="4"/>
              <w:bottom w:val="single" w:sz="4"/>
            </w:tcBorders>
            <w:shd w:val="clear" w:color="auto" w:fill="D4D4D4"/>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190,512,046.31</w:t>
            </w:r>
          </w:p>
        </w:tc>
        <w:tc>
          <w:tcPr>
            <w:tcBorders>
              <w:top w:val="single" w:sz="4"/>
              <w:left w:val="single" w:sz="4"/>
              <w:bottom w:val="single" w:sz="4"/>
            </w:tcBorders>
            <w:shd w:val="clear" w:color="auto" w:fill="FFFFFF"/>
            <w:vAlign w:val="center"/>
          </w:tcPr>
          <w:p>
            <w:pPr>
              <w:pStyle w:val="Style2"/>
              <w:keepNext w:val="0"/>
              <w:keepLines w:val="0"/>
              <w:framePr w:w="9710" w:h="3278" w:vSpace="302" w:wrap="none" w:hAnchor="page" w:x="1096" w:y="1062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bottom w:val="single" w:sz="4"/>
            </w:tcBorders>
            <w:shd w:val="clear" w:color="auto" w:fill="FFFFFF"/>
            <w:vAlign w:val="center"/>
          </w:tcPr>
          <w:p>
            <w:pPr>
              <w:pStyle w:val="Style2"/>
              <w:keepNext w:val="0"/>
              <w:keepLines w:val="0"/>
              <w:framePr w:w="9710" w:h="3278" w:vSpace="302" w:wrap="none" w:hAnchor="page" w:x="1096" w:y="10624"/>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主要来自于（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）天津壳木软件有限公司股份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年没有完成业绩承诺而注销确认权益工具 形成收益（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）北京神州泰岳教育科技有限公 司和北京裂变科技有限公司转让股权并引入 新股东后剩余股权按公允价值重新计量产生 的利得（</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）企业取得子公司北京华泰德丰技 术有限公司成本大于取得投资时应享有被投 资单位可辨认净资产公允价值产生的损失</w:t>
            </w:r>
          </w:p>
          <w:p>
            <w:pPr>
              <w:pStyle w:val="Style2"/>
              <w:keepNext w:val="0"/>
              <w:keepLines w:val="0"/>
              <w:framePr w:w="9710" w:h="3278" w:vSpace="302" w:wrap="none" w:hAnchor="page" w:x="1096" w:y="10624"/>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）可供出售金融资产的分红（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）按权益</w:t>
            </w:r>
          </w:p>
        </w:tc>
        <w:tc>
          <w:tcPr>
            <w:tcBorders>
              <w:top w:val="single" w:sz="4"/>
              <w:left w:val="single" w:sz="4"/>
              <w:bottom w:val="single" w:sz="4"/>
              <w:right w:val="single" w:sz="4"/>
            </w:tcBorders>
            <w:shd w:val="clear" w:color="auto" w:fill="FFFFFF"/>
            <w:vAlign w:val="center"/>
          </w:tcPr>
          <w:p>
            <w:pPr>
              <w:pStyle w:val="Style2"/>
              <w:keepNext w:val="0"/>
              <w:keepLines w:val="0"/>
              <w:framePr w:w="9710" w:h="3278" w:vSpace="302" w:wrap="none" w:hAnchor="page" w:x="1096" w:y="10624"/>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可供出售金融资产的分 红以及按权益法核算的 投资收益具备持续性。</w:t>
            </w:r>
          </w:p>
        </w:tc>
      </w:tr>
    </w:tbl>
    <w:p>
      <w:pPr>
        <w:framePr w:w="9710" w:h="3278" w:vSpace="302" w:wrap="none" w:hAnchor="page" w:x="1096" w:y="10624"/>
        <w:widowControl w:val="0"/>
        <w:spacing w:line="1" w:lineRule="exact"/>
      </w:pPr>
    </w:p>
    <w:p>
      <w:pPr>
        <w:pStyle w:val="Style35"/>
        <w:keepNext w:val="0"/>
        <w:keepLines w:val="0"/>
        <w:framePr w:w="758" w:h="240" w:wrap="none" w:hAnchor="page" w:x="10034" w:y="10322"/>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1" w:line="1" w:lineRule="exact"/>
      </w:pPr>
    </w:p>
    <w:p>
      <w:pPr>
        <w:widowControl w:val="0"/>
        <w:spacing w:line="1" w:lineRule="exact"/>
        <w:sectPr>
          <w:footnotePr>
            <w:pos w:val="pageBottom"/>
            <w:numFmt w:val="decimal"/>
            <w:numRestart w:val="continuous"/>
          </w:footnotePr>
          <w:pgSz w:w="11900" w:h="16840"/>
          <w:pgMar w:top="1474" w:right="1023" w:bottom="1263" w:left="1095" w:header="0" w:footer="3" w:gutter="0"/>
          <w:cols w:space="720"/>
          <w:noEndnote/>
          <w:rtlGutter w:val="0"/>
          <w:docGrid w:linePitch="360"/>
        </w:sectPr>
      </w:pPr>
    </w:p>
    <w:tbl>
      <w:tblPr>
        <w:tblOverlap w:val="never"/>
        <w:jc w:val="center"/>
        <w:tblLayout w:type="fixed"/>
      </w:tblPr>
      <w:tblGrid>
        <w:gridCol w:w="1166"/>
        <w:gridCol w:w="1421"/>
        <w:gridCol w:w="1555"/>
        <w:gridCol w:w="3547"/>
        <w:gridCol w:w="2021"/>
      </w:tblGrid>
      <w:tr>
        <w:trPr>
          <w:trHeight w:val="38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法核算的投资收益。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71,788,683.37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主要来自于坏账计提、天津壳木软件有限责 任公司无形资产的减值、北京广通神州网络 技术有限公司商誉和库存的减值。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坏账计提具有持续性。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41,776,458.70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主要来自增值税退税和政府补助。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增值税退税具有持续性。</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18,894,264.70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主要来自于处置无形资产的损失。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不具有可持续性。</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四</w:t>
      </w:r>
      <w:bookmarkEnd w:id="154"/>
      <w:r>
        <w:rPr>
          <w:color w:val="000000"/>
          <w:spacing w:val="0"/>
          <w:w w:val="100"/>
          <w:position w:val="0"/>
        </w:rPr>
        <w:t>、资产及负债状况</w:t>
      </w:r>
      <w:bookmarkEnd w:id="152"/>
      <w:bookmarkEnd w:id="153"/>
      <w:bookmarkEnd w:id="155"/>
    </w:p>
    <w:p>
      <w:pPr>
        <w:pStyle w:val="Style3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478"/>
        <w:gridCol w:w="869"/>
        <w:gridCol w:w="1291"/>
        <w:gridCol w:w="902"/>
        <w:gridCol w:w="1253"/>
        <w:gridCol w:w="25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855,390,068.14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708,865,243.77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1,116,607,697.35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891,983,364.90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326,386,971.29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348,054,144.14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164,062,029.92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168,143,492.12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333,597,917.93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455,612,834.79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431,072,690.73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343,239,077.07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87,960,565.87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较期初下降</w:t>
            </w:r>
            <w:r>
              <w:rPr>
                <w:rFonts w:ascii="Times New Roman" w:eastAsia="Times New Roman" w:hAnsi="Times New Roman" w:cs="Times New Roman"/>
                <w:color w:val="000000"/>
                <w:spacing w:val="0"/>
                <w:w w:val="100"/>
                <w:position w:val="0"/>
                <w:sz w:val="18"/>
                <w:szCs w:val="18"/>
              </w:rPr>
              <w:t>98.17%</w:t>
            </w:r>
            <w:r>
              <w:rPr>
                <w:color w:val="000000"/>
                <w:spacing w:val="0"/>
                <w:w w:val="100"/>
                <w:position w:val="0"/>
                <w:sz w:val="17"/>
                <w:szCs w:val="17"/>
              </w:rPr>
              <w:t>，主要系重 庆农信茶园新媒软件园建造工 程于本报告期项目已竣工，转入 固定资产所致。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414,686,106.00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109,913,814.00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较期初增长</w:t>
            </w:r>
            <w:r>
              <w:rPr>
                <w:rFonts w:ascii="Times New Roman" w:eastAsia="Times New Roman" w:hAnsi="Times New Roman" w:cs="Times New Roman"/>
                <w:color w:val="000000"/>
                <w:spacing w:val="0"/>
                <w:w w:val="100"/>
                <w:position w:val="0"/>
                <w:sz w:val="18"/>
                <w:szCs w:val="18"/>
              </w:rPr>
              <w:t>277.28%</w:t>
            </w:r>
            <w:r>
              <w:rPr>
                <w:color w:val="000000"/>
                <w:spacing w:val="0"/>
                <w:w w:val="100"/>
                <w:position w:val="0"/>
                <w:sz w:val="17"/>
                <w:szCs w:val="17"/>
              </w:rPr>
              <w:t>,主要系银 行借款增长所致。</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以公允价值计量的资产和负债</w:t>
      </w:r>
      <w:bookmarkEnd w:id="160"/>
      <w:bookmarkEnd w:id="161"/>
      <w:bookmarkEnd w:id="16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t>截至报告期末的资产权利受限情况</w:t>
      </w:r>
      <w:bookmarkEnd w:id="164"/>
      <w:bookmarkEnd w:id="165"/>
      <w:bookmarkEnd w:id="16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五</w:t>
      </w:r>
      <w:bookmarkEnd w:id="170"/>
      <w:r>
        <w:rPr>
          <w:color w:val="000000"/>
          <w:spacing w:val="0"/>
          <w:w w:val="100"/>
          <w:position w:val="0"/>
        </w:rPr>
        <w:t>、投资状况分析</w:t>
      </w:r>
      <w:bookmarkEnd w:id="168"/>
      <w:bookmarkEnd w:id="169"/>
      <w:bookmarkEnd w:id="171"/>
    </w:p>
    <w:p>
      <w:pPr>
        <w:pStyle w:val="Style39"/>
        <w:keepNext/>
        <w:keepLines/>
        <w:widowControl w:val="0"/>
        <w:shd w:val="clear" w:color="auto" w:fill="auto"/>
        <w:bidi w:val="0"/>
        <w:spacing w:before="0" w:after="44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850,609,836.88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128.89%</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67"/>
        <w:gridCol w:w="634"/>
        <w:gridCol w:w="998"/>
        <w:gridCol w:w="634"/>
        <w:gridCol w:w="394"/>
        <w:gridCol w:w="1138"/>
        <w:gridCol w:w="365"/>
        <w:gridCol w:w="634"/>
        <w:gridCol w:w="418"/>
        <w:gridCol w:w="1027"/>
        <w:gridCol w:w="710"/>
        <w:gridCol w:w="710"/>
        <w:gridCol w:w="710"/>
      </w:tblGrid>
      <w:tr>
        <w:trPr>
          <w:trHeight w:val="7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被投资公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80" w:line="240" w:lineRule="auto"/>
              <w:ind w:left="0" w:right="0" w:firstLine="160"/>
              <w:jc w:val="left"/>
              <w:rPr>
                <w:sz w:val="14"/>
                <w:szCs w:val="14"/>
              </w:rPr>
            </w:pPr>
            <w:r>
              <w:rPr>
                <w:color w:val="000000"/>
                <w:spacing w:val="0"/>
                <w:w w:val="100"/>
                <w:position w:val="0"/>
                <w:sz w:val="14"/>
                <w:szCs w:val="14"/>
              </w:rPr>
              <w:t>投资</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持股比</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资金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投资</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产品</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预计</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本期投资盈亏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是否涉诉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披露日期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（如有）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披露索引</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（如有）</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中科鼎富</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（北京）</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科技发展</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人工智能</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及大数据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自有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人工智</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2016-054</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蓝鸥科技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职前教育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收购及</w:t>
            </w:r>
          </w:p>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自有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深圳市前海泰岳</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梧桐投资基金管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职前教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育产品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7,870,625.14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2016-018</w:t>
            </w:r>
          </w:p>
        </w:tc>
      </w:tr>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730,560,000.00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7,631,257.35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378" w:val="left"/>
        </w:tabs>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83"/>
        <w:gridCol w:w="883"/>
        <w:gridCol w:w="878"/>
        <w:gridCol w:w="883"/>
        <w:gridCol w:w="883"/>
        <w:gridCol w:w="878"/>
        <w:gridCol w:w="883"/>
        <w:gridCol w:w="883"/>
        <w:gridCol w:w="883"/>
        <w:gridCol w:w="878"/>
        <w:gridCol w:w="893"/>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本期已使 用募集资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已累计使 用募集资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 变更用途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累计变更 用途的募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累计变更 用途的募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 募集资金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 募集资金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闲置两年 以上募集</w:t>
            </w:r>
          </w:p>
        </w:tc>
      </w:tr>
    </w:tbl>
    <w:p>
      <w:pPr>
        <w:widowControl w:val="0"/>
        <w:spacing w:line="1" w:lineRule="exact"/>
      </w:pPr>
      <w:r>
        <w:br w:type="page"/>
      </w:r>
    </w:p>
    <w:tbl>
      <w:tblPr>
        <w:tblOverlap w:val="never"/>
        <w:jc w:val="center"/>
        <w:tblLayout w:type="fixed"/>
      </w:tblPr>
      <w:tblGrid>
        <w:gridCol w:w="883"/>
        <w:gridCol w:w="883"/>
        <w:gridCol w:w="878"/>
        <w:gridCol w:w="883"/>
        <w:gridCol w:w="883"/>
        <w:gridCol w:w="878"/>
        <w:gridCol w:w="883"/>
        <w:gridCol w:w="893"/>
        <w:gridCol w:w="874"/>
        <w:gridCol w:w="878"/>
        <w:gridCol w:w="893"/>
      </w:tblGrid>
      <w:tr>
        <w:trPr>
          <w:trHeight w:val="69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用途及去</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已经全部 规划完毕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170,336.31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6,358.05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175,411.52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7,362.87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公司募集资金净额为</w:t>
            </w:r>
            <w:r>
              <w:rPr>
                <w:rFonts w:ascii="Times New Roman" w:eastAsia="Times New Roman" w:hAnsi="Times New Roman" w:cs="Times New Roman"/>
                <w:color w:val="000000"/>
                <w:spacing w:val="0"/>
                <w:w w:val="100"/>
                <w:position w:val="0"/>
                <w:sz w:val="18"/>
                <w:szCs w:val="18"/>
              </w:rPr>
              <w:t>170,336.31</w:t>
            </w:r>
            <w:r>
              <w:rPr>
                <w:color w:val="000000"/>
                <w:spacing w:val="0"/>
                <w:w w:val="100"/>
                <w:position w:val="0"/>
                <w:sz w:val="17"/>
                <w:szCs w:val="17"/>
              </w:rPr>
              <w:t>万元，其中：招股说明书所列的六个募集资金适用项目计划金额</w:t>
            </w:r>
            <w:r>
              <w:rPr>
                <w:rFonts w:ascii="Times New Roman" w:eastAsia="Times New Roman" w:hAnsi="Times New Roman" w:cs="Times New Roman"/>
                <w:color w:val="000000"/>
                <w:spacing w:val="0"/>
                <w:w w:val="100"/>
                <w:position w:val="0"/>
                <w:sz w:val="18"/>
                <w:szCs w:val="18"/>
              </w:rPr>
              <w:t>50,252.80</w:t>
            </w:r>
            <w:r>
              <w:rPr>
                <w:color w:val="000000"/>
                <w:spacing w:val="0"/>
                <w:w w:val="100"/>
                <w:position w:val="0"/>
                <w:sz w:val="17"/>
                <w:szCs w:val="17"/>
              </w:rPr>
              <w:t>万元、超募资金 总额为</w:t>
            </w:r>
            <w:r>
              <w:rPr>
                <w:rFonts w:ascii="Times New Roman" w:eastAsia="Times New Roman" w:hAnsi="Times New Roman" w:cs="Times New Roman"/>
                <w:color w:val="000000"/>
                <w:spacing w:val="0"/>
                <w:w w:val="100"/>
                <w:position w:val="0"/>
                <w:sz w:val="18"/>
                <w:szCs w:val="18"/>
              </w:rPr>
              <w:t>120,083.51</w:t>
            </w:r>
            <w:r>
              <w:rPr>
                <w:color w:val="000000"/>
                <w:spacing w:val="0"/>
                <w:w w:val="100"/>
                <w:position w:val="0"/>
                <w:sz w:val="17"/>
                <w:szCs w:val="17"/>
              </w:rPr>
              <w:t>万元。总体使用情况如下：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年末，招股说明书所列募集资金项目已经实施完毕，实际使用 </w:t>
            </w:r>
            <w:r>
              <w:rPr>
                <w:rFonts w:ascii="Times New Roman" w:eastAsia="Times New Roman" w:hAnsi="Times New Roman" w:cs="Times New Roman"/>
                <w:color w:val="000000"/>
                <w:spacing w:val="0"/>
                <w:w w:val="100"/>
                <w:position w:val="0"/>
                <w:sz w:val="18"/>
                <w:szCs w:val="18"/>
              </w:rPr>
              <w:t>29,521.39</w:t>
            </w:r>
            <w:r>
              <w:rPr>
                <w:color w:val="000000"/>
                <w:spacing w:val="0"/>
                <w:w w:val="100"/>
                <w:position w:val="0"/>
                <w:sz w:val="17"/>
                <w:szCs w:val="17"/>
              </w:rPr>
              <w:t>万元，节余</w:t>
            </w:r>
            <w:r>
              <w:rPr>
                <w:rFonts w:ascii="Times New Roman" w:eastAsia="Times New Roman" w:hAnsi="Times New Roman" w:cs="Times New Roman"/>
                <w:color w:val="000000"/>
                <w:spacing w:val="0"/>
                <w:w w:val="100"/>
                <w:position w:val="0"/>
                <w:sz w:val="18"/>
                <w:szCs w:val="18"/>
              </w:rPr>
              <w:t>20,731.41</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、超募资金全部规划完毕，截止报告期末已经使用</w:t>
            </w:r>
            <w:r>
              <w:rPr>
                <w:rFonts w:ascii="Times New Roman" w:eastAsia="Times New Roman" w:hAnsi="Times New Roman" w:cs="Times New Roman"/>
                <w:color w:val="000000"/>
                <w:spacing w:val="0"/>
                <w:w w:val="100"/>
                <w:position w:val="0"/>
                <w:sz w:val="18"/>
                <w:szCs w:val="18"/>
              </w:rPr>
              <w:t>112,162.35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、募集及超募 资金节余实际使用</w:t>
            </w:r>
            <w:r>
              <w:rPr>
                <w:rFonts w:ascii="Times New Roman" w:eastAsia="Times New Roman" w:hAnsi="Times New Roman" w:cs="Times New Roman"/>
                <w:color w:val="000000"/>
                <w:spacing w:val="0"/>
                <w:w w:val="100"/>
                <w:position w:val="0"/>
                <w:sz w:val="18"/>
                <w:szCs w:val="18"/>
              </w:rPr>
              <w:t>33,727.78</w:t>
            </w:r>
            <w:r>
              <w:rPr>
                <w:color w:val="000000"/>
                <w:spacing w:val="0"/>
                <w:w w:val="100"/>
                <w:position w:val="0"/>
                <w:sz w:val="17"/>
                <w:szCs w:val="17"/>
              </w:rPr>
              <w:t>万元。</w:t>
            </w:r>
          </w:p>
        </w:tc>
      </w:tr>
    </w:tbl>
    <w:p>
      <w:pPr>
        <w:widowControl w:val="0"/>
        <w:spacing w:after="319" w:line="1" w:lineRule="exact"/>
      </w:pPr>
    </w:p>
    <w:p>
      <w:pPr>
        <w:pStyle w:val="Style47"/>
        <w:keepNext/>
        <w:keepLines/>
        <w:widowControl w:val="0"/>
        <w:numPr>
          <w:ilvl w:val="0"/>
          <w:numId w:val="7"/>
        </w:numPr>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募集资金承诺项目情况</w:t>
      </w:r>
      <w:bookmarkEnd w:id="196"/>
      <w:bookmarkEnd w:id="197"/>
      <w:bookmarkEnd w:id="19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771"/>
        <w:gridCol w:w="758"/>
        <w:gridCol w:w="869"/>
        <w:gridCol w:w="864"/>
        <w:gridCol w:w="763"/>
        <w:gridCol w:w="864"/>
        <w:gridCol w:w="763"/>
        <w:gridCol w:w="763"/>
        <w:gridCol w:w="778"/>
        <w:gridCol w:w="749"/>
        <w:gridCol w:w="768"/>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进度⑶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2" w:lineRule="exact"/>
              <w:ind w:left="0" w:right="280" w:firstLine="0"/>
              <w:jc w:val="right"/>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、飞信平台大规模改 造升级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、电信综合网管产品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Ultra-TIMP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、无线网络优化平台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Ultra-WOSS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监控管理平台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Ultra-SM</w:t>
            </w:r>
            <w:r>
              <w:rPr>
                <w:color w:val="000000"/>
                <w:spacing w:val="0"/>
                <w:w w:val="100"/>
                <w:position w:val="0"/>
                <w:sz w:val="17"/>
                <w:szCs w:val="17"/>
              </w:rPr>
              <w:t>系列软件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、运维服务流程管理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、新一代安全运行管 理中心</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Ultra-SOMC3.0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50,252.8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29,521.39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9,749.66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771"/>
        <w:gridCol w:w="758"/>
        <w:gridCol w:w="869"/>
        <w:gridCol w:w="864"/>
        <w:gridCol w:w="763"/>
        <w:gridCol w:w="864"/>
        <w:gridCol w:w="763"/>
        <w:gridCol w:w="763"/>
        <w:gridCol w:w="778"/>
        <w:gridCol w:w="749"/>
        <w:gridCol w:w="768"/>
      </w:tblGrid>
      <w:tr>
        <w:trPr>
          <w:trHeight w:val="422"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超募</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、研发及办公 用房的建设（北辰首 作大厦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、收购大连华 信计算机技术股份有 限公司部分股权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、对外投资设 立重庆新媒农信科技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、收购友联创 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年更名为北 京神州泰岳系统集成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、收购及增资 奇点新源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、收购宁波普 天通信技术有限公司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、设立香港全 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、对外投资设 立北京神州泰岳良品 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超募一</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、收购北京广 通神州网络技术股份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 xml:space="preserve">超募一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、收购</w:t>
            </w:r>
            <w:r>
              <w:rPr>
                <w:rFonts w:ascii="Times New Roman" w:eastAsia="Times New Roman" w:hAnsi="Times New Roman" w:cs="Times New Roman"/>
                <w:color w:val="000000"/>
                <w:spacing w:val="0"/>
                <w:w w:val="100"/>
                <w:position w:val="0"/>
                <w:sz w:val="18"/>
                <w:szCs w:val="18"/>
              </w:rPr>
              <w:t>Bridge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Minds Consulting Pte</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Ltd </w:t>
            </w:r>
            <w:r>
              <w:rPr>
                <w:color w:val="000000"/>
                <w:spacing w:val="0"/>
                <w:w w:val="100"/>
                <w:position w:val="0"/>
                <w:sz w:val="17"/>
                <w:szCs w:val="17"/>
              </w:rPr>
              <w:t>（智桥资讯公司）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超募一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、收购天津壳 木软件有限责任公司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节余募集资金投向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、收购天津壳木软件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补充流动资金（如有）</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12,647.06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12,647.06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12,647.06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747"/>
        <w:gridCol w:w="768"/>
        <w:gridCol w:w="869"/>
        <w:gridCol w:w="864"/>
        <w:gridCol w:w="763"/>
        <w:gridCol w:w="864"/>
        <w:gridCol w:w="763"/>
        <w:gridCol w:w="763"/>
        <w:gridCol w:w="778"/>
        <w:gridCol w:w="749"/>
        <w:gridCol w:w="754"/>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153,811.29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153,811.29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6,358.05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145,890.13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16,926.01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204,064.09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204,064.09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6,358.05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175,411.52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26,675.67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70" w:hRule="exact"/>
        </w:trPr>
        <w:tc>
          <w:tcPr>
            <w:tcBorders>
              <w:top w:val="single" w:sz="4"/>
              <w:left w:val="single" w:sz="4"/>
            </w:tcBorders>
            <w:shd w:val="clear" w:color="auto" w:fill="D4D4D4"/>
            <w:vAlign w:val="top"/>
          </w:tcPr>
          <w:p>
            <w:pPr>
              <w:widowControl w:val="0"/>
              <w:rPr>
                <w:sz w:val="10"/>
                <w:szCs w:val="10"/>
              </w:rPr>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bl>
    <w:p>
      <w:pPr>
        <w:pStyle w:val="Style35"/>
        <w:keepNext w:val="0"/>
        <w:keepLines w:val="0"/>
        <w:widowControl w:val="0"/>
        <w:shd w:val="clear" w:color="auto" w:fill="auto"/>
        <w:bidi w:val="0"/>
        <w:spacing w:before="0" w:after="0" w:line="240" w:lineRule="auto"/>
        <w:ind w:left="1771" w:right="0" w:firstLine="0"/>
        <w:jc w:val="left"/>
      </w:pPr>
      <w:r>
        <w:rPr>
          <w:color w:val="000000"/>
          <w:spacing w:val="0"/>
          <w:w w:val="100"/>
          <w:position w:val="0"/>
        </w:rPr>
        <w:t>公司募集资金净额为</w:t>
      </w:r>
      <w:r>
        <w:rPr>
          <w:rFonts w:ascii="Times New Roman" w:eastAsia="Times New Roman" w:hAnsi="Times New Roman" w:cs="Times New Roman"/>
          <w:color w:val="000000"/>
          <w:spacing w:val="0"/>
          <w:w w:val="100"/>
          <w:position w:val="0"/>
          <w:sz w:val="18"/>
          <w:szCs w:val="18"/>
        </w:rPr>
        <w:t>170,336.31</w:t>
      </w:r>
      <w:r>
        <w:rPr>
          <w:color w:val="000000"/>
          <w:spacing w:val="0"/>
          <w:w w:val="100"/>
          <w:position w:val="0"/>
        </w:rPr>
        <w:t>万元，其中超募资金总额为</w:t>
      </w:r>
      <w:r>
        <w:rPr>
          <w:rFonts w:ascii="Times New Roman" w:eastAsia="Times New Roman" w:hAnsi="Times New Roman" w:cs="Times New Roman"/>
          <w:color w:val="000000"/>
          <w:spacing w:val="0"/>
          <w:w w:val="100"/>
          <w:position w:val="0"/>
          <w:sz w:val="18"/>
          <w:szCs w:val="18"/>
        </w:rPr>
        <w:t>120,083.51</w:t>
      </w:r>
      <w:r>
        <w:rPr>
          <w:color w:val="000000"/>
          <w:spacing w:val="0"/>
          <w:w w:val="100"/>
          <w:position w:val="0"/>
        </w:rPr>
        <w:t>万元。具体使用如下:</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74" w:val="left"/>
        </w:tabs>
        <w:bidi w:val="0"/>
        <w:spacing w:before="0" w:after="0" w:line="310" w:lineRule="exact"/>
        <w:ind w:left="1780" w:right="0" w:firstLine="0"/>
        <w:jc w:val="both"/>
      </w:pPr>
      <w:bookmarkStart w:id="200" w:name="bookmark200"/>
      <w:r>
        <w:rPr>
          <w:rFonts w:ascii="Times New Roman" w:eastAsia="Times New Roman" w:hAnsi="Times New Roman" w:cs="Times New Roman"/>
          <w:color w:val="000000"/>
          <w:spacing w:val="0"/>
          <w:w w:val="100"/>
          <w:position w:val="0"/>
          <w:sz w:val="18"/>
          <w:szCs w:val="18"/>
        </w:rPr>
        <w:t>1</w:t>
      </w:r>
      <w:bookmarkEnd w:id="2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年度股东大会审议通过了《关于超募资金使用计划及其实施的议案》， 第一批超募资金</w:t>
      </w:r>
      <w:r>
        <w:rPr>
          <w:rFonts w:ascii="Times New Roman" w:eastAsia="Times New Roman" w:hAnsi="Times New Roman" w:cs="Times New Roman"/>
          <w:color w:val="000000"/>
          <w:spacing w:val="0"/>
          <w:w w:val="100"/>
          <w:position w:val="0"/>
          <w:sz w:val="18"/>
          <w:szCs w:val="18"/>
        </w:rPr>
        <w:t>25,453.85</w:t>
      </w:r>
      <w:r>
        <w:rPr>
          <w:color w:val="000000"/>
          <w:spacing w:val="0"/>
          <w:w w:val="100"/>
          <w:position w:val="0"/>
        </w:rPr>
        <w:t xml:space="preserve">万元用于研发及办公用房的购置与建设，至年末实际投入项目金额为 </w:t>
      </w:r>
      <w:r>
        <w:rPr>
          <w:rFonts w:ascii="Times New Roman" w:eastAsia="Times New Roman" w:hAnsi="Times New Roman" w:cs="Times New Roman"/>
          <w:color w:val="000000"/>
          <w:spacing w:val="0"/>
          <w:w w:val="100"/>
          <w:position w:val="0"/>
          <w:sz w:val="18"/>
          <w:szCs w:val="18"/>
        </w:rPr>
        <w:t xml:space="preserve">24,077.12 </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74" w:val="left"/>
        </w:tabs>
        <w:bidi w:val="0"/>
        <w:spacing w:before="0" w:after="0" w:line="315" w:lineRule="exact"/>
        <w:ind w:left="1780" w:right="0" w:firstLine="0"/>
        <w:jc w:val="both"/>
      </w:pPr>
      <w:bookmarkStart w:id="201" w:name="bookmark201"/>
      <w:r>
        <w:rPr>
          <w:rFonts w:ascii="Times New Roman" w:eastAsia="Times New Roman" w:hAnsi="Times New Roman" w:cs="Times New Roman"/>
          <w:color w:val="000000"/>
          <w:spacing w:val="0"/>
          <w:w w:val="100"/>
          <w:position w:val="0"/>
          <w:sz w:val="18"/>
          <w:szCs w:val="18"/>
        </w:rPr>
        <w:t>2</w:t>
      </w:r>
      <w:bookmarkEnd w:id="2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日，公司第三届董事会第二十三次会议审议通过了《关于超募资金使用计划及其 实施的议案》，第二批超募资金计划用于如下两个项目：收购微软中国投资控股有限公司持有的大连 华信计算机技术股份有限公司</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股股份（占其总股本的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），总价款为</w:t>
      </w:r>
      <w:r>
        <w:rPr>
          <w:rFonts w:ascii="Times New Roman" w:eastAsia="Times New Roman" w:hAnsi="Times New Roman" w:cs="Times New Roman"/>
          <w:color w:val="000000"/>
          <w:spacing w:val="0"/>
          <w:w w:val="100"/>
          <w:position w:val="0"/>
          <w:sz w:val="18"/>
          <w:szCs w:val="18"/>
        </w:rPr>
        <w:t>1,080</w:t>
      </w:r>
      <w:r>
        <w:rPr>
          <w:color w:val="000000"/>
          <w:spacing w:val="0"/>
          <w:w w:val="100"/>
          <w:position w:val="0"/>
        </w:rPr>
        <w:t>万美元，至年 末实际投入项目金额为</w:t>
      </w:r>
      <w:r>
        <w:rPr>
          <w:rFonts w:ascii="Times New Roman" w:eastAsia="Times New Roman" w:hAnsi="Times New Roman" w:cs="Times New Roman"/>
          <w:color w:val="000000"/>
          <w:spacing w:val="0"/>
          <w:w w:val="100"/>
          <w:position w:val="0"/>
          <w:sz w:val="18"/>
          <w:szCs w:val="18"/>
        </w:rPr>
        <w:t>7,230.38</w:t>
      </w:r>
      <w:r>
        <w:rPr>
          <w:color w:val="000000"/>
          <w:spacing w:val="0"/>
          <w:w w:val="100"/>
          <w:position w:val="0"/>
        </w:rPr>
        <w:t>万元；使用超募资金</w:t>
      </w:r>
      <w:r>
        <w:rPr>
          <w:rFonts w:ascii="Times New Roman" w:eastAsia="Times New Roman" w:hAnsi="Times New Roman" w:cs="Times New Roman"/>
          <w:color w:val="000000"/>
          <w:spacing w:val="0"/>
          <w:w w:val="100"/>
          <w:position w:val="0"/>
          <w:sz w:val="18"/>
          <w:szCs w:val="18"/>
        </w:rPr>
        <w:t>10,330</w:t>
      </w:r>
      <w:r>
        <w:rPr>
          <w:color w:val="000000"/>
          <w:spacing w:val="0"/>
          <w:w w:val="100"/>
          <w:position w:val="0"/>
        </w:rPr>
        <w:t>万元在重庆高新区设立全资子公司重庆 新媒农信科技有限公司，至年末实际投入使用金额为</w:t>
      </w:r>
      <w:r>
        <w:rPr>
          <w:rFonts w:ascii="Times New Roman" w:eastAsia="Times New Roman" w:hAnsi="Times New Roman" w:cs="Times New Roman"/>
          <w:color w:val="000000"/>
          <w:spacing w:val="0"/>
          <w:w w:val="100"/>
          <w:position w:val="0"/>
          <w:sz w:val="18"/>
          <w:szCs w:val="18"/>
        </w:rPr>
        <w:t>8,958.15</w:t>
      </w:r>
      <w:r>
        <w:rPr>
          <w:color w:val="000000"/>
          <w:spacing w:val="0"/>
          <w:w w:val="100"/>
          <w:position w:val="0"/>
        </w:rPr>
        <w:t>万元，其中本年投入金额为</w:t>
      </w:r>
      <w:r>
        <w:rPr>
          <w:rFonts w:ascii="Times New Roman" w:eastAsia="Times New Roman" w:hAnsi="Times New Roman" w:cs="Times New Roman"/>
          <w:color w:val="000000"/>
          <w:spacing w:val="0"/>
          <w:w w:val="100"/>
          <w:position w:val="0"/>
          <w:sz w:val="18"/>
          <w:szCs w:val="18"/>
        </w:rPr>
        <w:t>1,295.55</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74" w:val="left"/>
        </w:tabs>
        <w:bidi w:val="0"/>
        <w:spacing w:before="0" w:after="0" w:line="315" w:lineRule="exact"/>
        <w:ind w:left="1780" w:right="0" w:firstLine="0"/>
        <w:jc w:val="both"/>
      </w:pPr>
      <w:bookmarkStart w:id="202" w:name="bookmark202"/>
      <w:r>
        <w:rPr>
          <w:rFonts w:ascii="Times New Roman" w:eastAsia="Times New Roman" w:hAnsi="Times New Roman" w:cs="Times New Roman"/>
          <w:color w:val="000000"/>
          <w:spacing w:val="0"/>
          <w:w w:val="100"/>
          <w:position w:val="0"/>
          <w:sz w:val="18"/>
          <w:szCs w:val="18"/>
        </w:rPr>
        <w:t>3</w:t>
      </w:r>
      <w:bookmarkEnd w:id="2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日，公司第四届董事会第八次会议审议通过了《关于使用部分超募资金收购北京 友联创新系统集成有限公司的议案》，计划使用第三批超募资金</w:t>
      </w:r>
      <w:r>
        <w:rPr>
          <w:rFonts w:ascii="Times New Roman" w:eastAsia="Times New Roman" w:hAnsi="Times New Roman" w:cs="Times New Roman"/>
          <w:color w:val="000000"/>
          <w:spacing w:val="0"/>
          <w:w w:val="100"/>
          <w:position w:val="0"/>
          <w:sz w:val="18"/>
          <w:szCs w:val="18"/>
        </w:rPr>
        <w:t>5,900</w:t>
      </w:r>
      <w:r>
        <w:rPr>
          <w:color w:val="000000"/>
          <w:spacing w:val="0"/>
          <w:w w:val="100"/>
          <w:position w:val="0"/>
        </w:rPr>
        <w:t>万元收购徐伟、徐秀华、聂小 平、赵朝华所持有的友联创新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的股权，使其成为公司的全资子公司，至年末实际投入项目金额 为</w:t>
      </w:r>
      <w:r>
        <w:rPr>
          <w:rFonts w:ascii="Times New Roman" w:eastAsia="Times New Roman" w:hAnsi="Times New Roman" w:cs="Times New Roman"/>
          <w:color w:val="000000"/>
          <w:spacing w:val="0"/>
          <w:w w:val="100"/>
          <w:position w:val="0"/>
          <w:sz w:val="18"/>
          <w:szCs w:val="18"/>
        </w:rPr>
        <w:t>5,900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年北京友联创新系统集成有限公司已更名为北京神州泰岳系统集成有限公司。</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74" w:val="left"/>
        </w:tabs>
        <w:bidi w:val="0"/>
        <w:spacing w:before="0" w:after="0" w:line="313" w:lineRule="exact"/>
        <w:ind w:left="1780" w:right="0" w:firstLine="0"/>
        <w:jc w:val="both"/>
      </w:pPr>
      <w:bookmarkStart w:id="203" w:name="bookmark203"/>
      <w:r>
        <w:rPr>
          <w:rFonts w:ascii="Times New Roman" w:eastAsia="Times New Roman" w:hAnsi="Times New Roman" w:cs="Times New Roman"/>
          <w:color w:val="000000"/>
          <w:spacing w:val="0"/>
          <w:w w:val="100"/>
          <w:position w:val="0"/>
          <w:sz w:val="18"/>
          <w:szCs w:val="18"/>
        </w:rPr>
        <w:t>4</w:t>
      </w:r>
      <w:bookmarkEnd w:id="2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日，公司第四届董事会第十次会议审议通过了《关于使用部分超募资金收购及增资</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733" w:val="left"/>
        </w:tabs>
        <w:bidi w:val="0"/>
        <w:spacing w:before="0" w:after="0" w:line="312" w:lineRule="exact"/>
        <w:ind w:left="0" w:right="0" w:firstLine="0"/>
        <w:jc w:val="both"/>
      </w:pPr>
      <w:r>
        <w:rPr>
          <w:color w:val="000000"/>
          <w:spacing w:val="0"/>
          <w:w w:val="100"/>
          <w:position w:val="0"/>
        </w:rPr>
        <w:t>超募资金的金额、用 奇点新源国际技术开发（北京）有限公司的议案》,计划使用第四批超募资金</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万元对奇点新源 途及</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用进展情况</w:t>
        <w:tab/>
        <w:t>国际技术开发（北京）有限公司进行收购及增资，该收购及增资手续已经办理完毕，至年末实际投入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780" w:right="0" w:firstLine="0"/>
        <w:jc w:val="both"/>
      </w:pPr>
      <w:r>
        <w:rPr>
          <w:color w:val="000000"/>
          <w:spacing w:val="0"/>
          <w:w w:val="100"/>
          <w:position w:val="0"/>
        </w:rPr>
        <w:t>项目金额为</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78" w:val="left"/>
        </w:tabs>
        <w:bidi w:val="0"/>
        <w:spacing w:before="0" w:after="0" w:line="317" w:lineRule="exact"/>
        <w:ind w:left="1780" w:right="0" w:firstLine="0"/>
        <w:jc w:val="both"/>
      </w:pPr>
      <w:bookmarkStart w:id="204" w:name="bookmark204"/>
      <w:r>
        <w:rPr>
          <w:rFonts w:ascii="Times New Roman" w:eastAsia="Times New Roman" w:hAnsi="Times New Roman" w:cs="Times New Roman"/>
          <w:color w:val="000000"/>
          <w:spacing w:val="0"/>
          <w:w w:val="100"/>
          <w:position w:val="0"/>
          <w:sz w:val="18"/>
          <w:szCs w:val="18"/>
        </w:rPr>
        <w:t>5</w:t>
      </w:r>
      <w:bookmarkEnd w:id="2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日，公司第四届董事会第十四次会议审议通过了《关于使用部分超募资金收购宁波 普天通信技术有限公司的议案》，计划第五批超募资金不超过</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万元用于收购孙海粟等自然人持 有的宁波普天通信技术有限公司全部股权，至年末实际投入项目金额为</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69" w:val="left"/>
        </w:tabs>
        <w:bidi w:val="0"/>
        <w:spacing w:before="0" w:after="0" w:line="313" w:lineRule="exact"/>
        <w:ind w:left="1780" w:right="0" w:firstLine="0"/>
        <w:jc w:val="both"/>
      </w:pPr>
      <w:bookmarkStart w:id="205" w:name="bookmark205"/>
      <w:r>
        <w:rPr>
          <w:rFonts w:ascii="Times New Roman" w:eastAsia="Times New Roman" w:hAnsi="Times New Roman" w:cs="Times New Roman"/>
          <w:color w:val="000000"/>
          <w:spacing w:val="0"/>
          <w:w w:val="100"/>
          <w:position w:val="0"/>
          <w:sz w:val="18"/>
          <w:szCs w:val="18"/>
        </w:rPr>
        <w:t>6</w:t>
      </w:r>
      <w:bookmarkEnd w:id="20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日，公司第四届董事会第十六次会议审议通过了《关于使用部分超募资金设立香港 全资子公司的议案》，计划以第六批超募资金出资</w:t>
      </w:r>
      <w:r>
        <w:rPr>
          <w:rFonts w:ascii="Times New Roman" w:eastAsia="Times New Roman" w:hAnsi="Times New Roman" w:cs="Times New Roman"/>
          <w:color w:val="000000"/>
          <w:spacing w:val="0"/>
          <w:w w:val="100"/>
          <w:position w:val="0"/>
          <w:sz w:val="18"/>
          <w:szCs w:val="18"/>
        </w:rPr>
        <w:t>3,550</w:t>
      </w:r>
      <w:r>
        <w:rPr>
          <w:color w:val="000000"/>
          <w:spacing w:val="0"/>
          <w:w w:val="100"/>
          <w:position w:val="0"/>
        </w:rPr>
        <w:t>万元在中华人民共和国香港特别行政区设立 全资子公司，用于海外市场销售网络建设及海外市场开拓，该公司于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年境内外注册事宜已办理 完成，公司名称为神州泰岳（香港）有限公司。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年，神州泰岳（香港）有限公司以北京神州泰 岳软件股份有限公司名义在平安银行北京花园路支行设立募集资金专户，将</w:t>
      </w:r>
      <w:r>
        <w:rPr>
          <w:rFonts w:ascii="Times New Roman" w:eastAsia="Times New Roman" w:hAnsi="Times New Roman" w:cs="Times New Roman"/>
          <w:color w:val="000000"/>
          <w:spacing w:val="0"/>
          <w:w w:val="100"/>
          <w:position w:val="0"/>
          <w:sz w:val="18"/>
          <w:szCs w:val="18"/>
        </w:rPr>
        <w:t>3,550</w:t>
      </w:r>
      <w:r>
        <w:rPr>
          <w:color w:val="000000"/>
          <w:spacing w:val="0"/>
          <w:w w:val="100"/>
          <w:position w:val="0"/>
        </w:rPr>
        <w:t>万元出资额单独存 放于的该账户中，至年末实际投入项目金额为</w:t>
      </w:r>
      <w:r>
        <w:rPr>
          <w:rFonts w:ascii="Times New Roman" w:eastAsia="Times New Roman" w:hAnsi="Times New Roman" w:cs="Times New Roman"/>
          <w:color w:val="000000"/>
          <w:spacing w:val="0"/>
          <w:w w:val="100"/>
          <w:position w:val="0"/>
          <w:sz w:val="18"/>
          <w:szCs w:val="18"/>
        </w:rPr>
        <w:t>191.58</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69" w:val="left"/>
        </w:tabs>
        <w:bidi w:val="0"/>
        <w:spacing w:before="0" w:after="0" w:line="313" w:lineRule="exact"/>
        <w:ind w:left="1780" w:right="0" w:firstLine="0"/>
        <w:jc w:val="both"/>
      </w:pPr>
      <w:bookmarkStart w:id="206" w:name="bookmark206"/>
      <w:r>
        <w:rPr>
          <w:rFonts w:ascii="Times New Roman" w:eastAsia="Times New Roman" w:hAnsi="Times New Roman" w:cs="Times New Roman"/>
          <w:color w:val="000000"/>
          <w:spacing w:val="0"/>
          <w:w w:val="100"/>
          <w:position w:val="0"/>
          <w:sz w:val="18"/>
          <w:szCs w:val="18"/>
        </w:rPr>
        <w:t>7</w:t>
      </w:r>
      <w:bookmarkEnd w:id="20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日，公司第四届董事会第十九次会议审议通过了《关于对外投资设立合资公司的议 案》，计划以第七批超募资金</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万元与奇点新源国际技术开发（北京）有限公司、北京中利丰贸 易发展有限公司、北京中秀明天科技有限公司共同出资设立北京神州泰岳良品电子商务有限公司。奇 点新源国际技术开发（北京）有限公司投入的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万元也属于公司超募资金，至报告期末公司及奇点 新源国际技术开发（北京）有限公司实际投入超募资金共计</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万元（其中北京神州泰岳软件股份 有限公司实际投入超募资金</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69" w:val="left"/>
        </w:tabs>
        <w:bidi w:val="0"/>
        <w:spacing w:before="0" w:after="0" w:line="313" w:lineRule="exact"/>
        <w:ind w:left="1780" w:right="0" w:firstLine="0"/>
        <w:jc w:val="both"/>
      </w:pPr>
      <w:bookmarkStart w:id="207" w:name="bookmark207"/>
      <w:r>
        <w:rPr>
          <w:rFonts w:ascii="Times New Roman" w:eastAsia="Times New Roman" w:hAnsi="Times New Roman" w:cs="Times New Roman"/>
          <w:color w:val="000000"/>
          <w:spacing w:val="0"/>
          <w:w w:val="100"/>
          <w:position w:val="0"/>
          <w:sz w:val="18"/>
          <w:szCs w:val="18"/>
        </w:rPr>
        <w:t>8</w:t>
      </w:r>
      <w:bookmarkEnd w:id="20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日，公司第五届董事会第五次会议审议通过了《关于使用部分超募资金收购北京</w:t>
      </w:r>
      <w:r>
        <w:br w:type="page"/>
      </w:r>
    </w:p>
    <w:tbl>
      <w:tblPr>
        <w:tblOverlap w:val="never"/>
        <w:jc w:val="center"/>
        <w:tblLayout w:type="fixed"/>
      </w:tblPr>
      <w:tblGrid>
        <w:gridCol w:w="1766"/>
        <w:gridCol w:w="7944"/>
      </w:tblGrid>
      <w:tr>
        <w:trPr>
          <w:trHeight w:val="674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广通神州网络技术有限公司的议案》，计划以第八批超募资金</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sz w:val="17"/>
                <w:szCs w:val="17"/>
              </w:rPr>
              <w:t>万元全资收购北京广通神州网络 技术有限公司，苏州优峰通信科技有限公司、苏州东方九胜创业投资企业（有限合伙）、北京泛亚太 信息技术研究所（普通合伙）、倪健中、陈硕等股东持有的北京广通神州网络技术有限公司（简称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 通神州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）全部股权，使其成为公司的全资子公司，至年末实际投入项目金额为</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sz w:val="17"/>
                <w:szCs w:val="17"/>
              </w:rPr>
              <w:t>万元。</w:t>
            </w:r>
          </w:p>
          <w:p>
            <w:pPr>
              <w:pStyle w:val="Style2"/>
              <w:keepNext w:val="0"/>
              <w:keepLines w:val="0"/>
              <w:widowControl w:val="0"/>
              <w:shd w:val="clear" w:color="auto" w:fill="auto"/>
              <w:tabs>
                <w:tab w:pos="259"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日，公司第五届董事会第八次会议审议通过了《关于使用部分超募资金收购及增</w:t>
            </w:r>
          </w:p>
          <w:p>
            <w:pPr>
              <w:pStyle w:val="Style2"/>
              <w:keepNext w:val="0"/>
              <w:keepLines w:val="0"/>
              <w:widowControl w:val="0"/>
              <w:shd w:val="clear" w:color="auto" w:fill="auto"/>
              <w:tabs>
                <w:tab w:pos="5549" w:val="left"/>
              </w:tabs>
              <w:bidi w:val="0"/>
              <w:spacing w:before="0" w:after="0" w:line="313" w:lineRule="exact"/>
              <w:ind w:left="0" w:right="0" w:firstLine="0"/>
              <w:jc w:val="both"/>
              <w:rPr>
                <w:sz w:val="17"/>
                <w:szCs w:val="17"/>
              </w:rPr>
            </w:pPr>
            <w:r>
              <w:rPr>
                <w:color w:val="000000"/>
                <w:spacing w:val="0"/>
                <w:w w:val="100"/>
                <w:position w:val="0"/>
                <w:sz w:val="17"/>
                <w:szCs w:val="17"/>
              </w:rPr>
              <w:t>资</w:t>
            </w:r>
            <w:r>
              <w:rPr>
                <w:rFonts w:ascii="Times New Roman" w:eastAsia="Times New Roman" w:hAnsi="Times New Roman" w:cs="Times New Roman"/>
                <w:color w:val="000000"/>
                <w:spacing w:val="0"/>
                <w:w w:val="100"/>
                <w:position w:val="0"/>
                <w:sz w:val="18"/>
                <w:szCs w:val="18"/>
              </w:rPr>
              <w:t xml:space="preserve">Bridge Minds Consulting Pte Ltd </w:t>
            </w:r>
            <w:r>
              <w:rPr>
                <w:color w:val="000000"/>
                <w:spacing w:val="0"/>
                <w:w w:val="100"/>
                <w:position w:val="0"/>
                <w:sz w:val="17"/>
                <w:szCs w:val="17"/>
              </w:rPr>
              <w:t>（智桥资讯公司）的议案》，计划以第九批超募资金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万元对神 州泰岳（香港）有限公司（以下简称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泰岳香港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）进行收购及增资，该等款项的用途包括：（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）由泰 岳香港使用</w:t>
            </w:r>
            <w:r>
              <w:rPr>
                <w:rFonts w:ascii="Times New Roman" w:eastAsia="Times New Roman" w:hAnsi="Times New Roman" w:cs="Times New Roman"/>
                <w:color w:val="000000"/>
                <w:spacing w:val="0"/>
                <w:w w:val="100"/>
                <w:position w:val="0"/>
                <w:sz w:val="18"/>
                <w:szCs w:val="18"/>
              </w:rPr>
              <w:t>4,400.00</w:t>
            </w:r>
            <w:r>
              <w:rPr>
                <w:color w:val="000000"/>
                <w:spacing w:val="0"/>
                <w:w w:val="100"/>
                <w:position w:val="0"/>
                <w:sz w:val="17"/>
                <w:szCs w:val="17"/>
              </w:rPr>
              <w:t>万元收购</w:t>
            </w:r>
            <w:r>
              <w:rPr>
                <w:rFonts w:ascii="Times New Roman" w:eastAsia="Times New Roman" w:hAnsi="Times New Roman" w:cs="Times New Roman"/>
                <w:color w:val="000000"/>
                <w:spacing w:val="0"/>
                <w:w w:val="100"/>
                <w:position w:val="0"/>
                <w:sz w:val="18"/>
                <w:szCs w:val="18"/>
              </w:rPr>
              <w:t xml:space="preserve">CHEN BIN </w:t>
            </w:r>
            <w:r>
              <w:rPr>
                <w:color w:val="000000"/>
                <w:spacing w:val="0"/>
                <w:w w:val="100"/>
                <w:position w:val="0"/>
                <w:sz w:val="17"/>
                <w:szCs w:val="17"/>
              </w:rPr>
              <w:t>（陈斌）持有的</w:t>
            </w:r>
            <w:r>
              <w:rPr>
                <w:rFonts w:ascii="Times New Roman" w:eastAsia="Times New Roman" w:hAnsi="Times New Roman" w:cs="Times New Roman"/>
                <w:color w:val="000000"/>
                <w:spacing w:val="0"/>
                <w:w w:val="100"/>
                <w:position w:val="0"/>
                <w:sz w:val="18"/>
                <w:szCs w:val="18"/>
              </w:rPr>
              <w:t>Bridge Minds Consulting Pte. Ltd.</w:t>
            </w:r>
            <w:r>
              <w:rPr>
                <w:color w:val="000000"/>
                <w:spacing w:val="0"/>
                <w:w w:val="100"/>
                <w:position w:val="0"/>
                <w:sz w:val="17"/>
                <w:szCs w:val="17"/>
              </w:rPr>
              <w:t>（智桥资 讯公司）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7"/>
                <w:szCs w:val="17"/>
              </w:rPr>
              <w:t>的股权，收购完成后泰岳香港持有智桥资讯公司的股权比例从</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增至</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，成为智桥 资讯公司的控股公司；（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）泰岳香港与</w:t>
            </w:r>
            <w:r>
              <w:rPr>
                <w:rFonts w:ascii="Times New Roman" w:eastAsia="Times New Roman" w:hAnsi="Times New Roman" w:cs="Times New Roman"/>
                <w:color w:val="000000"/>
                <w:spacing w:val="0"/>
                <w:w w:val="100"/>
                <w:position w:val="0"/>
                <w:sz w:val="18"/>
                <w:szCs w:val="18"/>
              </w:rPr>
              <w:t xml:space="preserve">CHEN BIN </w:t>
            </w:r>
            <w:r>
              <w:rPr>
                <w:color w:val="000000"/>
                <w:spacing w:val="0"/>
                <w:w w:val="100"/>
                <w:position w:val="0"/>
                <w:sz w:val="17"/>
                <w:szCs w:val="17"/>
              </w:rPr>
              <w:t>（陈斌）按照</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的比例共同对智桥资讯公</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司进行增资，增资金额合计</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sz w:val="17"/>
                <w:szCs w:val="17"/>
              </w:rPr>
              <w:t>万元，其中泰岳香港增资</w:t>
            </w:r>
            <w:r>
              <w:rPr>
                <w:rFonts w:ascii="Times New Roman" w:eastAsia="Times New Roman" w:hAnsi="Times New Roman" w:cs="Times New Roman"/>
                <w:color w:val="000000"/>
                <w:spacing w:val="0"/>
                <w:w w:val="100"/>
                <w:position w:val="0"/>
                <w:sz w:val="18"/>
                <w:szCs w:val="18"/>
              </w:rPr>
              <w:t>1,600.00</w:t>
            </w:r>
            <w:r>
              <w:rPr>
                <w:color w:val="000000"/>
                <w:spacing w:val="0"/>
                <w:w w:val="100"/>
                <w:position w:val="0"/>
                <w:sz w:val="17"/>
                <w:szCs w:val="17"/>
              </w:rPr>
              <w:t>万元。至报告期末，上述事项 全部完成，鉴于汇率因素公司实际投入项目金额为</w:t>
            </w:r>
            <w:r>
              <w:rPr>
                <w:rFonts w:ascii="Times New Roman" w:eastAsia="Times New Roman" w:hAnsi="Times New Roman" w:cs="Times New Roman"/>
                <w:color w:val="000000"/>
                <w:spacing w:val="0"/>
                <w:w w:val="100"/>
                <w:position w:val="0"/>
                <w:sz w:val="18"/>
                <w:szCs w:val="18"/>
              </w:rPr>
              <w:t>5,935.84</w:t>
            </w:r>
            <w:r>
              <w:rPr>
                <w:color w:val="000000"/>
                <w:spacing w:val="0"/>
                <w:w w:val="100"/>
                <w:position w:val="0"/>
                <w:sz w:val="17"/>
                <w:szCs w:val="17"/>
              </w:rPr>
              <w:t>万元。</w:t>
            </w:r>
          </w:p>
          <w:p>
            <w:pPr>
              <w:pStyle w:val="Style2"/>
              <w:keepNext w:val="0"/>
              <w:keepLines w:val="0"/>
              <w:widowControl w:val="0"/>
              <w:shd w:val="clear" w:color="auto" w:fill="auto"/>
              <w:tabs>
                <w:tab w:pos="336"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日，公司第五届董事会第九次会议审议通过了《关于公司使用超募资金</w:t>
            </w:r>
            <w:r>
              <w:rPr>
                <w:rFonts w:ascii="Times New Roman" w:eastAsia="Times New Roman" w:hAnsi="Times New Roman" w:cs="Times New Roman"/>
                <w:color w:val="000000"/>
                <w:spacing w:val="0"/>
                <w:w w:val="100"/>
                <w:position w:val="0"/>
                <w:sz w:val="18"/>
                <w:szCs w:val="18"/>
              </w:rPr>
              <w:t xml:space="preserve">21,669.28 </w:t>
            </w:r>
            <w:r>
              <w:rPr>
                <w:color w:val="000000"/>
                <w:spacing w:val="0"/>
                <w:w w:val="100"/>
                <w:position w:val="0"/>
                <w:sz w:val="17"/>
                <w:szCs w:val="17"/>
              </w:rPr>
              <w:t>万元支付收购天津壳木软件有限责任公司的现金对价的议案》、《关于使用节余募集资金</w:t>
            </w:r>
            <w:r>
              <w:rPr>
                <w:rFonts w:ascii="Times New Roman" w:eastAsia="Times New Roman" w:hAnsi="Times New Roman" w:cs="Times New Roman"/>
                <w:color w:val="000000"/>
                <w:spacing w:val="0"/>
                <w:w w:val="100"/>
                <w:position w:val="0"/>
                <w:sz w:val="18"/>
                <w:szCs w:val="18"/>
              </w:rPr>
              <w:t>21,080.72</w:t>
            </w:r>
            <w:r>
              <w:rPr>
                <w:color w:val="000000"/>
                <w:spacing w:val="0"/>
                <w:w w:val="100"/>
                <w:position w:val="0"/>
                <w:sz w:val="17"/>
                <w:szCs w:val="17"/>
              </w:rPr>
              <w:t>万 元支付收购天津壳木软件有限责任公司的现金对价的议案》，计划以第十批募集资金</w:t>
            </w:r>
            <w:r>
              <w:rPr>
                <w:rFonts w:ascii="Times New Roman" w:eastAsia="Times New Roman" w:hAnsi="Times New Roman" w:cs="Times New Roman"/>
                <w:color w:val="000000"/>
                <w:spacing w:val="0"/>
                <w:w w:val="100"/>
                <w:position w:val="0"/>
                <w:sz w:val="18"/>
                <w:szCs w:val="18"/>
              </w:rPr>
              <w:t>42,750.00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（包括超募资金</w:t>
            </w:r>
            <w:r>
              <w:rPr>
                <w:rFonts w:ascii="Times New Roman" w:eastAsia="Times New Roman" w:hAnsi="Times New Roman" w:cs="Times New Roman"/>
                <w:color w:val="000000"/>
                <w:spacing w:val="0"/>
                <w:w w:val="100"/>
                <w:position w:val="0"/>
                <w:sz w:val="18"/>
                <w:szCs w:val="18"/>
              </w:rPr>
              <w:t>21,669.28</w:t>
            </w:r>
            <w:r>
              <w:rPr>
                <w:color w:val="000000"/>
                <w:spacing w:val="0"/>
                <w:w w:val="100"/>
                <w:position w:val="0"/>
                <w:sz w:val="17"/>
                <w:szCs w:val="17"/>
              </w:rPr>
              <w:t>万元和节余募集资金</w:t>
            </w:r>
            <w:r>
              <w:rPr>
                <w:rFonts w:ascii="Times New Roman" w:eastAsia="Times New Roman" w:hAnsi="Times New Roman" w:cs="Times New Roman"/>
                <w:color w:val="000000"/>
                <w:spacing w:val="0"/>
                <w:w w:val="100"/>
                <w:position w:val="0"/>
                <w:sz w:val="18"/>
                <w:szCs w:val="18"/>
              </w:rPr>
              <w:t>21,080.72</w:t>
            </w:r>
            <w:r>
              <w:rPr>
                <w:color w:val="000000"/>
                <w:spacing w:val="0"/>
                <w:w w:val="100"/>
                <w:position w:val="0"/>
                <w:sz w:val="17"/>
                <w:szCs w:val="17"/>
              </w:rPr>
              <w:t xml:space="preserve">万元）作为收购天津壳木软件有限责任公司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股权的现金对价部分，至报告期末实际投入项目金额为</w:t>
            </w:r>
            <w:r>
              <w:rPr>
                <w:rFonts w:ascii="Times New Roman" w:eastAsia="Times New Roman" w:hAnsi="Times New Roman" w:cs="Times New Roman"/>
                <w:color w:val="000000"/>
                <w:spacing w:val="0"/>
                <w:w w:val="100"/>
                <w:position w:val="0"/>
                <w:sz w:val="18"/>
                <w:szCs w:val="18"/>
              </w:rPr>
              <w:t>42,750.00</w:t>
            </w:r>
            <w:r>
              <w:rPr>
                <w:color w:val="000000"/>
                <w:spacing w:val="0"/>
                <w:w w:val="100"/>
                <w:position w:val="0"/>
                <w:sz w:val="17"/>
                <w:szCs w:val="17"/>
              </w:rPr>
              <w:t>万元（包括超募资金</w:t>
            </w:r>
            <w:r>
              <w:rPr>
                <w:rFonts w:ascii="Times New Roman" w:eastAsia="Times New Roman" w:hAnsi="Times New Roman" w:cs="Times New Roman"/>
                <w:color w:val="000000"/>
                <w:spacing w:val="0"/>
                <w:w w:val="100"/>
                <w:position w:val="0"/>
                <w:sz w:val="18"/>
                <w:szCs w:val="18"/>
              </w:rPr>
              <w:t xml:space="preserve">21,669.28 </w:t>
            </w:r>
            <w:r>
              <w:rPr>
                <w:color w:val="000000"/>
                <w:spacing w:val="0"/>
                <w:w w:val="100"/>
                <w:position w:val="0"/>
                <w:sz w:val="17"/>
                <w:szCs w:val="17"/>
              </w:rPr>
              <w:t>万元和节余募集资金</w:t>
            </w:r>
            <w:r>
              <w:rPr>
                <w:rFonts w:ascii="Times New Roman" w:eastAsia="Times New Roman" w:hAnsi="Times New Roman" w:cs="Times New Roman"/>
                <w:color w:val="000000"/>
                <w:spacing w:val="0"/>
                <w:w w:val="100"/>
                <w:position w:val="0"/>
                <w:sz w:val="18"/>
                <w:szCs w:val="18"/>
              </w:rPr>
              <w:t>21,080.72</w:t>
            </w:r>
            <w:r>
              <w:rPr>
                <w:color w:val="000000"/>
                <w:spacing w:val="0"/>
                <w:w w:val="100"/>
                <w:position w:val="0"/>
                <w:sz w:val="17"/>
                <w:szCs w:val="17"/>
              </w:rPr>
              <w:t>万元），其中本年投入金额为</w:t>
            </w:r>
            <w:r>
              <w:rPr>
                <w:rFonts w:ascii="Times New Roman" w:eastAsia="Times New Roman" w:hAnsi="Times New Roman" w:cs="Times New Roman"/>
                <w:color w:val="000000"/>
                <w:spacing w:val="0"/>
                <w:w w:val="100"/>
                <w:position w:val="0"/>
                <w:sz w:val="18"/>
                <w:szCs w:val="18"/>
              </w:rPr>
              <w:t>5,062.50</w:t>
            </w:r>
            <w:r>
              <w:rPr>
                <w:color w:val="000000"/>
                <w:spacing w:val="0"/>
                <w:w w:val="100"/>
                <w:position w:val="0"/>
                <w:sz w:val="17"/>
                <w:szCs w:val="17"/>
              </w:rPr>
              <w:t>万元。</w:t>
            </w:r>
          </w:p>
          <w:p>
            <w:pPr>
              <w:pStyle w:val="Style2"/>
              <w:keepNext w:val="0"/>
              <w:keepLines w:val="0"/>
              <w:widowControl w:val="0"/>
              <w:shd w:val="clear" w:color="auto" w:fill="auto"/>
              <w:tabs>
                <w:tab w:pos="34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日，公司第五届董事会第三十四次会议审议通过了《关于使用节余募集资金永 久性补充流动资金的议案》，计划将节余募集资金</w:t>
            </w:r>
            <w:r>
              <w:rPr>
                <w:rFonts w:ascii="Times New Roman" w:eastAsia="Times New Roman" w:hAnsi="Times New Roman" w:cs="Times New Roman"/>
                <w:color w:val="000000"/>
                <w:spacing w:val="0"/>
                <w:w w:val="100"/>
                <w:position w:val="0"/>
                <w:sz w:val="18"/>
                <w:szCs w:val="18"/>
              </w:rPr>
              <w:t>12,339.60</w:t>
            </w:r>
            <w:r>
              <w:rPr>
                <w:color w:val="000000"/>
                <w:spacing w:val="0"/>
                <w:w w:val="100"/>
                <w:position w:val="0"/>
                <w:sz w:val="17"/>
                <w:szCs w:val="17"/>
              </w:rPr>
              <w:t>万元（包括利息收入）（具体以转账日金 额为准，转账日金额为</w:t>
            </w:r>
            <w:r>
              <w:rPr>
                <w:rFonts w:ascii="Times New Roman" w:eastAsia="Times New Roman" w:hAnsi="Times New Roman" w:cs="Times New Roman"/>
                <w:color w:val="000000"/>
                <w:spacing w:val="0"/>
                <w:w w:val="100"/>
                <w:position w:val="0"/>
                <w:sz w:val="18"/>
                <w:szCs w:val="18"/>
              </w:rPr>
              <w:t>12,647.06</w:t>
            </w:r>
            <w:r>
              <w:rPr>
                <w:color w:val="000000"/>
                <w:spacing w:val="0"/>
                <w:w w:val="100"/>
                <w:position w:val="0"/>
                <w:sz w:val="17"/>
                <w:szCs w:val="17"/>
              </w:rPr>
              <w:t>万元）永久性补充流动资金，用于公司日常生产经营活动。</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日，公司第三届董事会第二十次会议审议通过了《关于用募集资金置换预先投入募投 项目的自筹资金的议案》：在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日募集资金到账前，公司以自有资金预先投入募集资金 项目共计</w:t>
            </w:r>
            <w:r>
              <w:rPr>
                <w:rFonts w:ascii="Times New Roman" w:eastAsia="Times New Roman" w:hAnsi="Times New Roman" w:cs="Times New Roman"/>
                <w:color w:val="000000"/>
                <w:spacing w:val="0"/>
                <w:w w:val="100"/>
                <w:position w:val="0"/>
                <w:sz w:val="18"/>
                <w:szCs w:val="18"/>
              </w:rPr>
              <w:t>9,572,485.57</w:t>
            </w:r>
            <w:r>
              <w:rPr>
                <w:color w:val="000000"/>
                <w:spacing w:val="0"/>
                <w:w w:val="100"/>
                <w:position w:val="0"/>
                <w:sz w:val="17"/>
                <w:szCs w:val="17"/>
              </w:rPr>
              <w:t>元，该款项已于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月以募集资金予以置换。</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日，公司第五届董事会第二十四次会议审议通过了《关于公司使用节余募集资金暂 时补充流动资金的议案》,计划从节余募集资金中使用</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sz w:val="17"/>
                <w:szCs w:val="17"/>
              </w:rPr>
              <w:t>万元暂时补充流动资金，使用期限为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月，用于公司日常生产经营活动。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日，上述资金已全部归还至募集资金专户。</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金节余的金额及原因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306"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公司加快软件系统开发进度，调整设备配置、降低设备投入款，采用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边开发、边上线、边销售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的方 式加速销售实现与回款，减少流动资金投入，这些因素使募集资金项目的总投资额减少了 </w:t>
            </w:r>
            <w:r>
              <w:rPr>
                <w:rFonts w:ascii="Times New Roman" w:eastAsia="Times New Roman" w:hAnsi="Times New Roman" w:cs="Times New Roman"/>
                <w:color w:val="000000"/>
                <w:spacing w:val="0"/>
                <w:w w:val="100"/>
                <w:position w:val="0"/>
                <w:sz w:val="18"/>
                <w:szCs w:val="18"/>
              </w:rPr>
              <w:t xml:space="preserve">20,731.41 </w:t>
            </w:r>
            <w:r>
              <w:rPr>
                <w:color w:val="000000"/>
                <w:spacing w:val="0"/>
                <w:w w:val="100"/>
                <w:position w:val="0"/>
                <w:sz w:val="17"/>
                <w:szCs w:val="17"/>
              </w:rPr>
              <w:t>万元，其中：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、飞信平台大规模改造升级减少</w:t>
            </w:r>
            <w:r>
              <w:rPr>
                <w:rFonts w:ascii="Times New Roman" w:eastAsia="Times New Roman" w:hAnsi="Times New Roman" w:cs="Times New Roman"/>
                <w:color w:val="000000"/>
                <w:spacing w:val="0"/>
                <w:w w:val="100"/>
                <w:position w:val="0"/>
                <w:sz w:val="18"/>
                <w:szCs w:val="18"/>
              </w:rPr>
              <w:t>2,475.11</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、电信综合网管产品</w:t>
            </w:r>
            <w:r>
              <w:rPr>
                <w:rFonts w:ascii="Times New Roman" w:eastAsia="Times New Roman" w:hAnsi="Times New Roman" w:cs="Times New Roman"/>
                <w:color w:val="000000"/>
                <w:spacing w:val="0"/>
                <w:w w:val="100"/>
                <w:position w:val="0"/>
                <w:sz w:val="18"/>
                <w:szCs w:val="18"/>
              </w:rPr>
              <w:t>Ultra-TIMP</w:t>
            </w:r>
            <w:r>
              <w:rPr>
                <w:color w:val="000000"/>
                <w:spacing w:val="0"/>
                <w:w w:val="100"/>
                <w:position w:val="0"/>
                <w:sz w:val="17"/>
                <w:szCs w:val="17"/>
              </w:rPr>
              <w:t>减 少</w:t>
            </w:r>
            <w:r>
              <w:rPr>
                <w:rFonts w:ascii="Times New Roman" w:eastAsia="Times New Roman" w:hAnsi="Times New Roman" w:cs="Times New Roman"/>
                <w:color w:val="000000"/>
                <w:spacing w:val="0"/>
                <w:w w:val="100"/>
                <w:position w:val="0"/>
                <w:sz w:val="18"/>
                <w:szCs w:val="18"/>
              </w:rPr>
              <w:t>5,041.10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、无线网络优化平台</w:t>
            </w:r>
            <w:r>
              <w:rPr>
                <w:rFonts w:ascii="Times New Roman" w:eastAsia="Times New Roman" w:hAnsi="Times New Roman" w:cs="Times New Roman"/>
                <w:color w:val="000000"/>
                <w:spacing w:val="0"/>
                <w:w w:val="100"/>
                <w:position w:val="0"/>
                <w:sz w:val="18"/>
                <w:szCs w:val="18"/>
              </w:rPr>
              <w:t>Ultra-WOSS</w:t>
            </w: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3,320.04</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监控管理平台</w:t>
            </w:r>
            <w:r>
              <w:rPr>
                <w:rFonts w:ascii="Times New Roman" w:eastAsia="Times New Roman" w:hAnsi="Times New Roman" w:cs="Times New Roman"/>
                <w:color w:val="000000"/>
                <w:spacing w:val="0"/>
                <w:w w:val="100"/>
                <w:position w:val="0"/>
                <w:sz w:val="18"/>
                <w:szCs w:val="18"/>
              </w:rPr>
              <w:t>Ultra-£M</w:t>
            </w:r>
          </w:p>
        </w:tc>
      </w:tr>
    </w:tbl>
    <w:p>
      <w:pPr>
        <w:widowControl w:val="0"/>
        <w:spacing w:line="1" w:lineRule="exact"/>
      </w:pPr>
      <w:r>
        <w:br w:type="page"/>
      </w:r>
    </w:p>
    <w:tbl>
      <w:tblPr>
        <w:tblOverlap w:val="never"/>
        <w:jc w:val="center"/>
        <w:tblLayout w:type="fixed"/>
      </w:tblPr>
      <w:tblGrid>
        <w:gridCol w:w="1771"/>
        <w:gridCol w:w="7939"/>
      </w:tblGrid>
      <w:tr>
        <w:trPr>
          <w:trHeight w:val="163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系列软件减少</w:t>
            </w:r>
            <w:r>
              <w:rPr>
                <w:rFonts w:ascii="Times New Roman" w:eastAsia="Times New Roman" w:hAnsi="Times New Roman" w:cs="Times New Roman"/>
                <w:color w:val="000000"/>
                <w:spacing w:val="0"/>
                <w:w w:val="100"/>
                <w:position w:val="0"/>
                <w:sz w:val="18"/>
                <w:szCs w:val="18"/>
              </w:rPr>
              <w:t>3,972.56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、运维服务流程管理系统减少</w:t>
            </w:r>
            <w:r>
              <w:rPr>
                <w:rFonts w:ascii="Times New Roman" w:eastAsia="Times New Roman" w:hAnsi="Times New Roman" w:cs="Times New Roman"/>
                <w:color w:val="000000"/>
                <w:spacing w:val="0"/>
                <w:w w:val="100"/>
                <w:position w:val="0"/>
                <w:sz w:val="18"/>
                <w:szCs w:val="18"/>
              </w:rPr>
              <w:t>3,450.52</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、新一代安全运行管理 中心</w:t>
            </w:r>
            <w:r>
              <w:rPr>
                <w:rFonts w:ascii="Times New Roman" w:eastAsia="Times New Roman" w:hAnsi="Times New Roman" w:cs="Times New Roman"/>
                <w:color w:val="000000"/>
                <w:spacing w:val="0"/>
                <w:w w:val="100"/>
                <w:position w:val="0"/>
                <w:sz w:val="18"/>
                <w:szCs w:val="18"/>
              </w:rPr>
              <w:t>Ultra-SOMC3.0</w:t>
            </w: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2,472.08</w:t>
            </w:r>
            <w:r>
              <w:rPr>
                <w:color w:val="000000"/>
                <w:spacing w:val="0"/>
                <w:w w:val="100"/>
                <w:position w:val="0"/>
                <w:sz w:val="17"/>
                <w:szCs w:val="17"/>
              </w:rPr>
              <w:t>万元。超募资金使用节余情况：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、公司计划使用超募资金</w:t>
            </w:r>
            <w:r>
              <w:rPr>
                <w:rFonts w:ascii="Times New Roman" w:eastAsia="Times New Roman" w:hAnsi="Times New Roman" w:cs="Times New Roman"/>
                <w:color w:val="000000"/>
                <w:spacing w:val="0"/>
                <w:w w:val="100"/>
                <w:position w:val="0"/>
                <w:sz w:val="18"/>
                <w:szCs w:val="18"/>
              </w:rPr>
              <w:t xml:space="preserve">25,453.85 </w:t>
            </w:r>
            <w:r>
              <w:rPr>
                <w:color w:val="000000"/>
                <w:spacing w:val="0"/>
                <w:w w:val="100"/>
                <w:position w:val="0"/>
                <w:sz w:val="17"/>
                <w:szCs w:val="17"/>
              </w:rPr>
              <w:t>万元购置与建设研发及办公用房，截至年末实际投入</w:t>
            </w:r>
            <w:r>
              <w:rPr>
                <w:rFonts w:ascii="Times New Roman" w:eastAsia="Times New Roman" w:hAnsi="Times New Roman" w:cs="Times New Roman"/>
                <w:color w:val="000000"/>
                <w:spacing w:val="0"/>
                <w:w w:val="100"/>
                <w:position w:val="0"/>
                <w:sz w:val="18"/>
                <w:szCs w:val="18"/>
              </w:rPr>
              <w:t>24,077.12</w:t>
            </w:r>
            <w:r>
              <w:rPr>
                <w:color w:val="000000"/>
                <w:spacing w:val="0"/>
                <w:w w:val="100"/>
                <w:position w:val="0"/>
                <w:sz w:val="17"/>
                <w:szCs w:val="17"/>
              </w:rPr>
              <w:t>万元，该项目均已支付完毕，该项目 节余</w:t>
            </w:r>
            <w:r>
              <w:rPr>
                <w:rFonts w:ascii="Times New Roman" w:eastAsia="Times New Roman" w:hAnsi="Times New Roman" w:cs="Times New Roman"/>
                <w:color w:val="000000"/>
                <w:spacing w:val="0"/>
                <w:w w:val="100"/>
                <w:position w:val="0"/>
                <w:sz w:val="18"/>
                <w:szCs w:val="18"/>
              </w:rPr>
              <w:t>1,376.73</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、公司计划使用超募资金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万元，收购及增资智桥资讯公司，截止年末由 于汇率因素实际投入</w:t>
            </w:r>
            <w:r>
              <w:rPr>
                <w:rFonts w:ascii="Times New Roman" w:eastAsia="Times New Roman" w:hAnsi="Times New Roman" w:cs="Times New Roman"/>
                <w:color w:val="000000"/>
                <w:spacing w:val="0"/>
                <w:w w:val="100"/>
                <w:position w:val="0"/>
                <w:sz w:val="18"/>
                <w:szCs w:val="18"/>
              </w:rPr>
              <w:t>5,935.84</w:t>
            </w:r>
            <w:r>
              <w:rPr>
                <w:color w:val="000000"/>
                <w:spacing w:val="0"/>
                <w:w w:val="100"/>
                <w:position w:val="0"/>
                <w:sz w:val="17"/>
                <w:szCs w:val="17"/>
              </w:rPr>
              <w:t>万元，该项目已支付完成，该项目节余</w:t>
            </w:r>
            <w:r>
              <w:rPr>
                <w:rFonts w:ascii="Times New Roman" w:eastAsia="Times New Roman" w:hAnsi="Times New Roman" w:cs="Times New Roman"/>
                <w:color w:val="000000"/>
                <w:spacing w:val="0"/>
                <w:w w:val="100"/>
                <w:position w:val="0"/>
                <w:sz w:val="18"/>
                <w:szCs w:val="18"/>
              </w:rPr>
              <w:t>64.16</w:t>
            </w:r>
            <w:r>
              <w:rPr>
                <w:color w:val="000000"/>
                <w:spacing w:val="0"/>
                <w:w w:val="100"/>
                <w:position w:val="0"/>
                <w:sz w:val="17"/>
                <w:szCs w:val="17"/>
              </w:rPr>
              <w:t>万元。</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项目仍在实施的，尚未使用的募集资金存放在募集资金专户；项目实施完成的，剩余资金也仍存放在 募集资金账户。公司将根据发展规划及实际生产经营需求，妥善安排使用计划，提交董事会审议通过 后及时披露。</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299" w:line="1" w:lineRule="exact"/>
      </w:pPr>
    </w:p>
    <w:p>
      <w:pPr>
        <w:pStyle w:val="Style47"/>
        <w:keepNext/>
        <w:keepLines/>
        <w:widowControl w:val="0"/>
        <w:numPr>
          <w:ilvl w:val="0"/>
          <w:numId w:val="7"/>
        </w:numPr>
        <w:shd w:val="clear" w:color="auto" w:fill="auto"/>
        <w:bidi w:val="0"/>
        <w:spacing w:before="0" w:after="460" w:line="240" w:lineRule="auto"/>
        <w:ind w:left="0" w:right="0" w:firstLine="140"/>
        <w:jc w:val="left"/>
      </w:pPr>
      <w:bookmarkStart w:id="208" w:name="bookmark208"/>
      <w:bookmarkStart w:id="209" w:name="bookmark209"/>
      <w:bookmarkStart w:id="210" w:name="bookmark210"/>
      <w:bookmarkStart w:id="211" w:name="bookmark211"/>
      <w:bookmarkEnd w:id="210"/>
      <w:r>
        <w:rPr>
          <w:color w:val="000000"/>
          <w:spacing w:val="0"/>
          <w:w w:val="100"/>
          <w:position w:val="0"/>
        </w:rPr>
        <w:t>募集资金变更项目情况</w:t>
      </w:r>
      <w:bookmarkEnd w:id="208"/>
      <w:bookmarkEnd w:id="209"/>
      <w:bookmarkEnd w:id="211"/>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六</w:t>
      </w:r>
      <w:bookmarkEnd w:id="214"/>
      <w:r>
        <w:rPr>
          <w:color w:val="000000"/>
          <w:spacing w:val="0"/>
          <w:w w:val="100"/>
          <w:position w:val="0"/>
        </w:rPr>
        <w:t>、重大资产和股权出售</w:t>
      </w:r>
      <w:bookmarkEnd w:id="212"/>
      <w:bookmarkEnd w:id="213"/>
      <w:bookmarkEnd w:id="215"/>
    </w:p>
    <w:p>
      <w:pPr>
        <w:pStyle w:val="Style39"/>
        <w:keepNext/>
        <w:keepLines/>
        <w:widowControl w:val="0"/>
        <w:shd w:val="clear" w:color="auto" w:fill="auto"/>
        <w:bidi w:val="0"/>
        <w:spacing w:before="0" w:after="4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、出售重大资产情况</w:t>
      </w:r>
      <w:bookmarkEnd w:id="216"/>
      <w:bookmarkEnd w:id="217"/>
      <w:bookmarkEnd w:id="219"/>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、出售重大股权情况</w:t>
      </w:r>
      <w:bookmarkEnd w:id="220"/>
      <w:bookmarkEnd w:id="221"/>
      <w:bookmarkEnd w:id="22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4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七</w:t>
      </w:r>
      <w:bookmarkEnd w:id="226"/>
      <w:r>
        <w:rPr>
          <w:color w:val="000000"/>
          <w:spacing w:val="0"/>
          <w:w w:val="100"/>
          <w:position w:val="0"/>
        </w:rPr>
        <w:t>、主要控股参股公司分析</w:t>
      </w:r>
      <w:bookmarkEnd w:id="224"/>
      <w:bookmarkEnd w:id="225"/>
      <w:bookmarkEnd w:id="227"/>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主要子公司及对公司净利润影响达</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以上的参股公司情况</w:t>
      </w:r>
    </w:p>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单位：元</w:t>
      </w:r>
    </w:p>
    <w:tbl>
      <w:tblPr>
        <w:tblOverlap w:val="never"/>
        <w:jc w:val="center"/>
        <w:tblLayout w:type="fixed"/>
      </w:tblPr>
      <w:tblGrid>
        <w:gridCol w:w="850"/>
        <w:gridCol w:w="701"/>
        <w:gridCol w:w="1565"/>
        <w:gridCol w:w="994"/>
        <w:gridCol w:w="1138"/>
        <w:gridCol w:w="1133"/>
        <w:gridCol w:w="1238"/>
        <w:gridCol w:w="1046"/>
        <w:gridCol w:w="1046"/>
      </w:tblGrid>
      <w:tr>
        <w:trPr>
          <w:trHeight w:val="7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公司</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净利润</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北京新媒传</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信科技有限</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飞信开发及运营、融合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通信解决方案等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832,596,876.70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792,761,174.76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216,757,489.67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50,140,592.54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40,168,033.71</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北京神州泰</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岳系统集成</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计算机系统集成业务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880,750,847.38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95,048,488.13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1,377,913,341.72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-18,310,517.12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-21,402,062.03</w:t>
            </w:r>
          </w:p>
        </w:tc>
      </w:tr>
    </w:tbl>
    <w:p>
      <w:pPr>
        <w:widowControl w:val="0"/>
        <w:spacing w:line="1" w:lineRule="exact"/>
      </w:pPr>
      <w:r>
        <w:br w:type="page"/>
      </w:r>
    </w:p>
    <w:tbl>
      <w:tblPr>
        <w:tblOverlap w:val="never"/>
        <w:jc w:val="center"/>
        <w:tblLayout w:type="fixed"/>
      </w:tblPr>
      <w:tblGrid>
        <w:gridCol w:w="850"/>
        <w:gridCol w:w="701"/>
        <w:gridCol w:w="1565"/>
        <w:gridCol w:w="994"/>
        <w:gridCol w:w="1138"/>
        <w:gridCol w:w="1133"/>
        <w:gridCol w:w="1238"/>
        <w:gridCol w:w="1051"/>
        <w:gridCol w:w="1042"/>
      </w:tblGrid>
      <w:tr>
        <w:trPr>
          <w:trHeight w:val="10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宁波普天通</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信技术有限</w:t>
            </w:r>
          </w:p>
          <w:p>
            <w:pPr>
              <w:pStyle w:val="Style2"/>
              <w:keepNext w:val="0"/>
              <w:keepLines w:val="0"/>
              <w:widowControl w:val="0"/>
              <w:shd w:val="clear" w:color="auto" w:fill="auto"/>
              <w:bidi w:val="0"/>
              <w:spacing w:before="0" w:after="140" w:line="240" w:lineRule="auto"/>
              <w:ind w:left="0" w:right="0" w:firstLine="26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通信技术开发，通信设</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备测试、维修、服务、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计算机软硬件技术服务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292,039,591.39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253,251,818.82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104,972,308.04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13,677,065.95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18,125,006.97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天津壳木软</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件有限责任</w:t>
            </w:r>
          </w:p>
          <w:p>
            <w:pPr>
              <w:pStyle w:val="Style2"/>
              <w:keepNext w:val="0"/>
              <w:keepLines w:val="0"/>
              <w:widowControl w:val="0"/>
              <w:shd w:val="clear" w:color="auto" w:fill="auto"/>
              <w:bidi w:val="0"/>
              <w:spacing w:before="0" w:after="140" w:line="240" w:lineRule="auto"/>
              <w:ind w:left="0" w:right="0" w:firstLine="26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《小小帝国》、</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War&amp;Order</w:t>
            </w:r>
            <w:r>
              <w:rPr>
                <w:color w:val="000000"/>
                <w:spacing w:val="0"/>
                <w:w w:val="100"/>
                <w:position w:val="0"/>
                <w:sz w:val="14"/>
                <w:szCs w:val="14"/>
              </w:rPr>
              <w:t>》等手机</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游戏的开发与运营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532,796,845.29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466,218,909.12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288,098,455.96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206,679,925.15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205,122,640.10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北京神州祥</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升软件有限</w:t>
            </w:r>
          </w:p>
          <w:p>
            <w:pPr>
              <w:pStyle w:val="Style2"/>
              <w:keepNext w:val="0"/>
              <w:keepLines w:val="0"/>
              <w:widowControl w:val="0"/>
              <w:shd w:val="clear" w:color="auto" w:fill="auto"/>
              <w:bidi w:val="0"/>
              <w:spacing w:before="0" w:after="140" w:line="240" w:lineRule="auto"/>
              <w:ind w:left="0" w:right="0" w:firstLine="26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职前教育类产品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111,348,775.17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87,706,877.56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94,134,934.09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28,515,768.61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26,671,811.44</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大连华信计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算机技术股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软件服务外包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368,371,500.00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2,593,928,627.36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1,237,559,319.03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1,784,203,448.18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113,370,172.50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158,186,845.52</w:t>
            </w:r>
          </w:p>
        </w:tc>
      </w:tr>
    </w:tbl>
    <w:p>
      <w:pPr>
        <w:widowControl w:val="0"/>
        <w:spacing w:after="15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76"/>
        <w:gridCol w:w="2890"/>
        <w:gridCol w:w="324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进军人工智能领域，增强公司可持续发展 动力</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深圳市前海泰岳梧桐投资基金管理有限公司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北京华泰德丰技术有限公司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转让股权及新股东增资丧失控制权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北京裂变科技有限公司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转让股权及新股东增资丧失控制权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SOFTWARE MEA FZ-LLC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北京左岸风暴科技有限公司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对公司整体业绩影响较小</w:t>
            </w:r>
          </w:p>
        </w:tc>
      </w:tr>
    </w:tbl>
    <w:p>
      <w:pPr>
        <w:widowControl w:val="0"/>
        <w:spacing w:after="159" w:line="1" w:lineRule="exact"/>
      </w:pPr>
    </w:p>
    <w:p>
      <w:pPr>
        <w:pStyle w:val="Style29"/>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主要控股参股公司情况说明</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天津壳木软件有限责任公司本期实现净利润</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亿元，较上年同期增长</w:t>
      </w:r>
      <w:r>
        <w:rPr>
          <w:rFonts w:ascii="Times New Roman" w:eastAsia="Times New Roman" w:hAnsi="Times New Roman" w:cs="Times New Roman"/>
          <w:color w:val="000000"/>
          <w:spacing w:val="0"/>
          <w:w w:val="100"/>
          <w:position w:val="0"/>
          <w:sz w:val="18"/>
          <w:szCs w:val="18"/>
        </w:rPr>
        <w:t>170.67%</w:t>
      </w:r>
      <w:r>
        <w:rPr>
          <w:color w:val="000000"/>
          <w:spacing w:val="0"/>
          <w:w w:val="100"/>
          <w:position w:val="0"/>
        </w:rPr>
        <w:t>，主要系本期发行新的游戏《战火与秩序》，</w:t>
      </w:r>
    </w:p>
    <w:p>
      <w:pPr>
        <w:pStyle w:val="Style29"/>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本报告期内实现收入</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亿元。</w:t>
      </w:r>
    </w:p>
    <w:p>
      <w:pPr>
        <w:pStyle w:val="Style27"/>
        <w:keepNext/>
        <w:keepLines/>
        <w:widowControl w:val="0"/>
        <w:shd w:val="clear" w:color="auto" w:fill="auto"/>
        <w:tabs>
          <w:tab w:pos="517" w:val="left"/>
        </w:tabs>
        <w:bidi w:val="0"/>
        <w:spacing w:before="0" w:after="5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八</w:t>
      </w:r>
      <w:bookmarkEnd w:id="230"/>
      <w:r>
        <w:rPr>
          <w:color w:val="000000"/>
          <w:spacing w:val="0"/>
          <w:w w:val="100"/>
          <w:position w:val="0"/>
        </w:rPr>
        <w:t>、</w:t>
        <w:tab/>
        <w:t>公司控制的结构化主体情况</w:t>
      </w:r>
      <w:bookmarkEnd w:id="228"/>
      <w:bookmarkEnd w:id="229"/>
      <w:bookmarkEnd w:id="231"/>
    </w:p>
    <w:p>
      <w:pPr>
        <w:pStyle w:val="Style29"/>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tabs>
          <w:tab w:pos="517" w:val="left"/>
        </w:tabs>
        <w:bidi w:val="0"/>
        <w:spacing w:before="0" w:after="5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w:t>
        <w:tab/>
        <w:t>公司未来发展的展望</w:t>
      </w:r>
      <w:bookmarkEnd w:id="232"/>
      <w:bookmarkEnd w:id="233"/>
      <w:bookmarkEnd w:id="235"/>
    </w:p>
    <w:p>
      <w:pPr>
        <w:pStyle w:val="Style29"/>
        <w:keepNext w:val="0"/>
        <w:keepLines w:val="0"/>
        <w:widowControl w:val="0"/>
        <w:shd w:val="clear" w:color="auto" w:fill="auto"/>
        <w:bidi w:val="0"/>
        <w:spacing w:before="0" w:after="280" w:line="240" w:lineRule="auto"/>
        <w:ind w:left="0" w:right="0" w:firstLine="300"/>
        <w:jc w:val="both"/>
      </w:pPr>
      <w:bookmarkStart w:id="236" w:name="bookmark236"/>
      <w:r>
        <w:rPr>
          <w:b/>
          <w:bCs/>
          <w:color w:val="000000"/>
          <w:spacing w:val="0"/>
          <w:w w:val="100"/>
          <w:position w:val="0"/>
        </w:rPr>
        <w:t>（</w:t>
      </w:r>
      <w:bookmarkEnd w:id="236"/>
      <w:r>
        <w:rPr>
          <w:b/>
          <w:bCs/>
          <w:color w:val="000000"/>
          <w:spacing w:val="0"/>
          <w:w w:val="100"/>
          <w:position w:val="0"/>
        </w:rPr>
        <w:t>一）公司所处行业的发展趋势</w:t>
      </w:r>
    </w:p>
    <w:p>
      <w:pPr>
        <w:pStyle w:val="Style29"/>
        <w:keepNext w:val="0"/>
        <w:keepLines w:val="0"/>
        <w:widowControl w:val="0"/>
        <w:shd w:val="clear" w:color="auto" w:fill="auto"/>
        <w:bidi w:val="0"/>
        <w:spacing w:before="0" w:after="0" w:line="470" w:lineRule="exact"/>
        <w:ind w:left="0" w:right="0"/>
        <w:jc w:val="both"/>
      </w:pPr>
      <w:bookmarkStart w:id="237" w:name="bookmark237"/>
      <w:r>
        <w:rPr>
          <w:rFonts w:ascii="Times New Roman" w:eastAsia="Times New Roman" w:hAnsi="Times New Roman" w:cs="Times New Roman"/>
          <w:b/>
          <w:bCs/>
          <w:color w:val="000000"/>
          <w:spacing w:val="0"/>
          <w:w w:val="100"/>
          <w:position w:val="0"/>
          <w:sz w:val="18"/>
          <w:szCs w:val="18"/>
        </w:rPr>
        <w:t>1</w:t>
      </w:r>
      <w:bookmarkEnd w:id="237"/>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运营管理发展趋势</w:t>
      </w:r>
    </w:p>
    <w:p>
      <w:pPr>
        <w:pStyle w:val="Style29"/>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技术正处于颠覆性变革的关键时期。在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领域，基于</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设备的私有、公有和混合云，逐渐取代传统小型机，成为 各单位主流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基础设施；基于分布式计算、分布式存储软件技术构建的业务系统，逐步代替传统三层架构，成为主流的云化 应用架构；采用</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技术实现软件和硬件、控制和转发的解耦，构建更为灵活、安全、可精细管控的网络，已成为业界共识 和重要发展方向。在</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领域，采用</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技术实现电信设备软硬件分离不仅只是业界共识，已经成为各运营商的重要战略举 措。美国</w:t>
      </w:r>
      <w:r>
        <w:rPr>
          <w:rFonts w:ascii="Times New Roman" w:eastAsia="Times New Roman" w:hAnsi="Times New Roman" w:cs="Times New Roman"/>
          <w:color w:val="000000"/>
          <w:spacing w:val="0"/>
          <w:w w:val="100"/>
          <w:position w:val="0"/>
          <w:sz w:val="18"/>
          <w:szCs w:val="18"/>
        </w:rPr>
        <w:t>AT&amp;T</w:t>
      </w:r>
      <w:r>
        <w:rPr>
          <w:color w:val="000000"/>
          <w:spacing w:val="0"/>
          <w:w w:val="100"/>
          <w:position w:val="0"/>
        </w:rPr>
        <w:t>在短短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年内已经完成了</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以上网元的</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化，我国各运营商就</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应用的领域、推进步调均有具体规划。</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从发展趋势看，传统的</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架构和设备、传统电信设备都将逐渐淡出历史舞台。可以设想，在不远的将来，</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环境会 演进为标准、统一、云化的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基础设施，承载分布式、多样化的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业务应用软件的模式。</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基础设施以</w:t>
      </w:r>
      <w:r>
        <w:rPr>
          <w:rFonts w:ascii="Times New Roman" w:eastAsia="Times New Roman" w:hAnsi="Times New Roman" w:cs="Times New Roman"/>
          <w:color w:val="000000"/>
          <w:spacing w:val="0"/>
          <w:w w:val="100"/>
          <w:position w:val="0"/>
          <w:sz w:val="18"/>
          <w:szCs w:val="18"/>
        </w:rPr>
        <w:t>SDDC（</w:t>
      </w:r>
      <w:r>
        <w:rPr>
          <w:color w:val="000000"/>
          <w:spacing w:val="0"/>
          <w:w w:val="100"/>
          <w:position w:val="0"/>
        </w:rPr>
        <w:t>软件定义数 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 xml:space="preserve">SDN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软件定义网络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为载体，提供标准的计算资源、网络资源和存储资源，形成一朵朵共有云、私有云和混合云；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业务应用软件既包括网站、</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等传统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应用，也包括话音、短信等传统</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业务，他们可在不同云朵间按需迁移、 按需扩缩容、按需使用网络带宽、质量和路径。不同业务应用之间，通过微服务、</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等方式形成相互依托、相互服务、 错综复杂的业务网络。</w:t>
      </w:r>
    </w:p>
    <w:p>
      <w:pPr>
        <w:pStyle w:val="Style29"/>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技术发展、环境演进正在引发相关行业的业务格局和运营理念的变化。在</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业务冲击电信业务、互联网金融侵蚀 银行业务的同时，敏捷开发、持续发布、开发运维一体化等理念对传统领域</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系统建设运营产生了持续而深远的影响。基 于</w:t>
      </w:r>
      <w:r>
        <w:rPr>
          <w:rFonts w:ascii="Times New Roman" w:eastAsia="Times New Roman" w:hAnsi="Times New Roman" w:cs="Times New Roman"/>
          <w:color w:val="000000"/>
          <w:spacing w:val="0"/>
          <w:w w:val="100"/>
          <w:position w:val="0"/>
          <w:sz w:val="18"/>
          <w:szCs w:val="18"/>
        </w:rPr>
        <w:t>eTOM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ITIL</w:t>
      </w:r>
      <w:r>
        <w:rPr>
          <w:color w:val="000000"/>
          <w:spacing w:val="0"/>
          <w:w w:val="100"/>
          <w:position w:val="0"/>
        </w:rPr>
        <w:t>等理念，以故障监控、性能分析、规范流程为重点的运维运营工作，正在扩展到大规模自动部署、业务编排 和调度、自动迁移和弹性扩缩容、自动发布和</w:t>
      </w:r>
      <w:r>
        <w:rPr>
          <w:rFonts w:ascii="Times New Roman" w:eastAsia="Times New Roman" w:hAnsi="Times New Roman" w:cs="Times New Roman"/>
          <w:color w:val="000000"/>
          <w:spacing w:val="0"/>
          <w:w w:val="100"/>
          <w:position w:val="0"/>
          <w:sz w:val="18"/>
          <w:szCs w:val="18"/>
        </w:rPr>
        <w:t>D evOps</w:t>
      </w:r>
      <w:r>
        <w:rPr>
          <w:color w:val="000000"/>
          <w:spacing w:val="0"/>
          <w:w w:val="100"/>
          <w:position w:val="0"/>
        </w:rPr>
        <w:t>等方面。</w:t>
      </w:r>
    </w:p>
    <w:p>
      <w:pPr>
        <w:pStyle w:val="Style29"/>
        <w:keepNext w:val="0"/>
        <w:keepLines w:val="0"/>
        <w:widowControl w:val="0"/>
        <w:shd w:val="clear" w:color="auto" w:fill="auto"/>
        <w:bidi w:val="0"/>
        <w:spacing w:before="0" w:after="0" w:line="472" w:lineRule="exact"/>
        <w:ind w:left="0" w:right="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技术和运营理念的演进，</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运营管理领域呈现几个特点：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）随</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环境的设备和数据规模会扩大，运营管理 软件和服务的需求空间更为宽广；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）随着电信设备软件化、</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环境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化的演进，运营管理软件和服务会更靠近向着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互 联网理念，强调灵活性、有效性，</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运营管理市场将更多的专为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运营管理市场；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架构下，复杂、设备间、应 用间、业务间相互服务和依赖关系越来越多、越来越复杂，对于运营管理软件和服务的要求必将越来越专业、深入、细致；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）裸机大规模自动部署、业务自动编排和调度、服务自动迁移和弹性扩缩容、版本持续发布和开发运营一体化等，为运营 管理软件和服务打开了新的空间。</w:t>
      </w:r>
    </w:p>
    <w:p>
      <w:pPr>
        <w:pStyle w:val="Style29"/>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规划开局之年，也是中国经济进入深度调整期和转型期的关键之年。</w:t>
      </w:r>
      <w:r>
        <w:rPr>
          <w:b/>
          <w:bCs/>
          <w:color w:val="000000"/>
          <w:spacing w:val="0"/>
          <w:w w:val="100"/>
          <w:position w:val="0"/>
        </w:rPr>
        <w:t>国家十三五规划纲要将构 建高效的信息网络、发展现代互联网产业体系、实施国家大数据战略、强化信息安全保障等作为</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拓展网络经济空间</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的几 大发展方向，这为运营管理业务提供了持续发展空间</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firstLine="440"/>
        <w:jc w:val="both"/>
      </w:pPr>
      <w:bookmarkStart w:id="238" w:name="bookmark238"/>
      <w:r>
        <w:rPr>
          <w:rFonts w:ascii="Times New Roman" w:eastAsia="Times New Roman" w:hAnsi="Times New Roman" w:cs="Times New Roman"/>
          <w:b/>
          <w:bCs/>
          <w:color w:val="000000"/>
          <w:spacing w:val="0"/>
          <w:w w:val="100"/>
          <w:position w:val="0"/>
          <w:sz w:val="18"/>
          <w:szCs w:val="18"/>
        </w:rPr>
        <w:t>2</w:t>
      </w:r>
      <w:bookmarkEnd w:id="238"/>
      <w:r>
        <w:rPr>
          <w:b/>
          <w:bCs/>
          <w:color w:val="000000"/>
          <w:spacing w:val="0"/>
          <w:w w:val="100"/>
          <w:position w:val="0"/>
        </w:rPr>
        <w:t>、手机游戏行业发展趋势</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TalkingData</w:t>
      </w:r>
      <w:r>
        <w:rPr>
          <w:color w:val="000000"/>
          <w:spacing w:val="0"/>
          <w:w w:val="100"/>
          <w:position w:val="0"/>
        </w:rPr>
        <w:t>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年移动游戏行业报告》数据显示，截至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年第四季度末，国内移动游戏活跃设备规模 达到</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亿，增速放缓至</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。数据表明经历了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年移动游戏行业的疯狂增长，整个手游市场已经开始趋于理性，</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年手游市场的竞争呈现白热化的态势，</w:t>
      </w:r>
      <w:r>
        <w:rPr>
          <w:rFonts w:ascii="Times New Roman" w:eastAsia="Times New Roman" w:hAnsi="Times New Roman" w:cs="Times New Roman"/>
          <w:color w:val="000000"/>
          <w:spacing w:val="0"/>
          <w:w w:val="100"/>
          <w:position w:val="0"/>
          <w:sz w:val="18"/>
          <w:szCs w:val="18"/>
        </w:rPr>
        <w:t>2015-2016</w:t>
      </w:r>
      <w:r>
        <w:rPr>
          <w:color w:val="000000"/>
          <w:spacing w:val="0"/>
          <w:w w:val="100"/>
          <w:position w:val="0"/>
        </w:rPr>
        <w:t xml:space="preserve">年，用户整体增速逐渐下降，移动游戏用户存量已经趋于稳定，关于存量 </w:t>
      </w:r>
      <w:r>
        <w:rPr>
          <w:color w:val="000000"/>
          <w:spacing w:val="0"/>
          <w:w w:val="100"/>
          <w:position w:val="0"/>
        </w:rPr>
        <w:t>用户的</w:t>
      </w:r>
      <w:r>
        <w:rPr>
          <w:b/>
          <w:bCs/>
          <w:color w:val="000000"/>
          <w:spacing w:val="0"/>
          <w:w w:val="100"/>
          <w:position w:val="0"/>
        </w:rPr>
        <w:t>精细化运营将成为移动游戏行业主流趋势</w:t>
      </w:r>
      <w:r>
        <w:rPr>
          <w:color w:val="000000"/>
          <w:spacing w:val="0"/>
          <w:w w:val="100"/>
          <w:position w:val="0"/>
        </w:rPr>
        <w:t>，</w:t>
      </w:r>
      <w:r>
        <w:rPr>
          <w:b/>
          <w:bCs/>
          <w:color w:val="000000"/>
          <w:spacing w:val="0"/>
          <w:w w:val="100"/>
          <w:position w:val="0"/>
        </w:rPr>
        <w:t>通过提升品质及交互体验也将成为吸引用户的重要方向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TalkingData</w:t>
      </w:r>
      <w:r>
        <w:rPr>
          <w:color w:val="000000"/>
          <w:spacing w:val="0"/>
          <w:w w:val="100"/>
          <w:position w:val="0"/>
        </w:rPr>
        <w:t>数 据显示，</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年中国移动游戏行业收入规模达到</w:t>
      </w:r>
      <w:r>
        <w:rPr>
          <w:rFonts w:ascii="Times New Roman" w:eastAsia="Times New Roman" w:hAnsi="Times New Roman" w:cs="Times New Roman"/>
          <w:b/>
          <w:bCs/>
          <w:color w:val="000000"/>
          <w:spacing w:val="0"/>
          <w:w w:val="100"/>
          <w:position w:val="0"/>
          <w:sz w:val="18"/>
          <w:szCs w:val="18"/>
        </w:rPr>
        <w:t>661.7</w:t>
      </w:r>
      <w:r>
        <w:rPr>
          <w:b/>
          <w:bCs/>
          <w:color w:val="000000"/>
          <w:spacing w:val="0"/>
          <w:w w:val="100"/>
          <w:position w:val="0"/>
        </w:rPr>
        <w:t>亿，同比增长</w:t>
      </w:r>
      <w:r>
        <w:rPr>
          <w:rFonts w:ascii="Times New Roman" w:eastAsia="Times New Roman" w:hAnsi="Times New Roman" w:cs="Times New Roman"/>
          <w:b/>
          <w:bCs/>
          <w:color w:val="000000"/>
          <w:spacing w:val="0"/>
          <w:w w:val="100"/>
          <w:position w:val="0"/>
          <w:sz w:val="18"/>
          <w:szCs w:val="18"/>
        </w:rPr>
        <w:t>34.4%</w:t>
      </w:r>
      <w:r>
        <w:rPr>
          <w:color w:val="000000"/>
          <w:spacing w:val="0"/>
          <w:w w:val="100"/>
          <w:position w:val="0"/>
        </w:rPr>
        <w:t>。随着大型企业增加在移动游戏领域的投入和布 局，以及移动游戏行业相关监管政策的指导规范，</w:t>
      </w:r>
      <w:r>
        <w:rPr>
          <w:b/>
          <w:bCs/>
          <w:color w:val="000000"/>
          <w:spacing w:val="0"/>
          <w:w w:val="100"/>
          <w:position w:val="0"/>
        </w:rPr>
        <w:t>移动游戏市场整体将会变得更加健康有序，精品化、规范化、正版化逐 渐成为主流趋势</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年第四季度末，国内移动游戏</w:t>
      </w:r>
      <w:r>
        <w:rPr>
          <w:rFonts w:ascii="Times New Roman" w:eastAsia="Times New Roman" w:hAnsi="Times New Roman" w:cs="Times New Roman"/>
          <w:color w:val="000000"/>
          <w:spacing w:val="0"/>
          <w:w w:val="100"/>
          <w:position w:val="0"/>
          <w:sz w:val="18"/>
          <w:szCs w:val="18"/>
        </w:rPr>
        <w:t>CP</w:t>
      </w:r>
      <w:r>
        <w:rPr>
          <w:color w:val="000000"/>
          <w:spacing w:val="0"/>
          <w:w w:val="100"/>
          <w:position w:val="0"/>
        </w:rPr>
        <w:t>规模达到</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万家，这一趋势表明移动游戏市场竞争程度更加激 烈，部分产品力、创新力或者关注度较低的中小</w:t>
      </w:r>
      <w:r>
        <w:rPr>
          <w:rFonts w:ascii="Times New Roman" w:eastAsia="Times New Roman" w:hAnsi="Times New Roman" w:cs="Times New Roman"/>
          <w:color w:val="000000"/>
          <w:spacing w:val="0"/>
          <w:w w:val="100"/>
          <w:position w:val="0"/>
          <w:sz w:val="18"/>
          <w:szCs w:val="18"/>
        </w:rPr>
        <w:t>CP</w:t>
      </w:r>
      <w:r>
        <w:rPr>
          <w:color w:val="000000"/>
          <w:spacing w:val="0"/>
          <w:w w:val="100"/>
          <w:position w:val="0"/>
        </w:rPr>
        <w:t>，</w:t>
      </w:r>
      <w:r>
        <w:rPr>
          <w:color w:val="000000"/>
          <w:spacing w:val="0"/>
          <w:w w:val="100"/>
          <w:position w:val="0"/>
        </w:rPr>
        <w:t>逐渐受到更多来自市场以及资本的压力，面临被淘汰或者被整合的双 重挑战。截止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月，重度游戏所占比重达到</w:t>
      </w:r>
      <w:r>
        <w:rPr>
          <w:rFonts w:ascii="Times New Roman" w:eastAsia="Times New Roman" w:hAnsi="Times New Roman" w:cs="Times New Roman"/>
          <w:color w:val="000000"/>
          <w:spacing w:val="0"/>
          <w:w w:val="100"/>
          <w:position w:val="0"/>
          <w:sz w:val="18"/>
          <w:szCs w:val="18"/>
        </w:rPr>
        <w:t>37.4%</w:t>
      </w:r>
      <w:r>
        <w:rPr>
          <w:color w:val="000000"/>
          <w:spacing w:val="0"/>
          <w:w w:val="100"/>
          <w:position w:val="0"/>
          <w:sz w:val="18"/>
          <w:szCs w:val="18"/>
        </w:rPr>
        <w:t>，</w:t>
      </w:r>
      <w:r>
        <w:rPr>
          <w:color w:val="000000"/>
          <w:spacing w:val="0"/>
          <w:w w:val="100"/>
          <w:position w:val="0"/>
        </w:rPr>
        <w:t>对比</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年增长近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b/>
          <w:bCs/>
          <w:color w:val="000000"/>
          <w:spacing w:val="0"/>
          <w:w w:val="100"/>
          <w:position w:val="0"/>
        </w:rPr>
        <w:t>重度游戏的上升速度明显高于轻度游戏和 中度游戏</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根据另一家数据机构</w:t>
      </w:r>
      <w:r>
        <w:rPr>
          <w:rFonts w:ascii="Times New Roman" w:eastAsia="Times New Roman" w:hAnsi="Times New Roman" w:cs="Times New Roman"/>
          <w:color w:val="000000"/>
          <w:spacing w:val="0"/>
          <w:w w:val="100"/>
          <w:position w:val="0"/>
          <w:sz w:val="18"/>
          <w:szCs w:val="18"/>
        </w:rPr>
        <w:t>SuperData</w:t>
      </w:r>
      <w:r>
        <w:rPr>
          <w:color w:val="000000"/>
          <w:spacing w:val="0"/>
          <w:w w:val="100"/>
          <w:position w:val="0"/>
        </w:rPr>
        <w:t>发布的关于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年游戏产业的数据报告，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全球游戏产业的市场规模达到</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亿美元， 相比去年增长</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。其中</w:t>
      </w:r>
      <w:r>
        <w:rPr>
          <w:b/>
          <w:bCs/>
          <w:color w:val="000000"/>
          <w:spacing w:val="0"/>
          <w:w w:val="100"/>
          <w:position w:val="0"/>
        </w:rPr>
        <w:t>移动游戏的市场规模达到</w:t>
      </w:r>
      <w:r>
        <w:rPr>
          <w:rFonts w:ascii="Times New Roman" w:eastAsia="Times New Roman" w:hAnsi="Times New Roman" w:cs="Times New Roman"/>
          <w:b/>
          <w:bCs/>
          <w:color w:val="000000"/>
          <w:spacing w:val="0"/>
          <w:w w:val="100"/>
          <w:position w:val="0"/>
          <w:sz w:val="18"/>
          <w:szCs w:val="18"/>
        </w:rPr>
        <w:t>406</w:t>
      </w:r>
      <w:r>
        <w:rPr>
          <w:b/>
          <w:bCs/>
          <w:color w:val="000000"/>
          <w:spacing w:val="0"/>
          <w:w w:val="100"/>
          <w:position w:val="0"/>
        </w:rPr>
        <w:t>亿美元，占据了全球近半份额，超过了</w:t>
      </w:r>
      <w:r>
        <w:rPr>
          <w:rFonts w:ascii="Times New Roman" w:eastAsia="Times New Roman" w:hAnsi="Times New Roman" w:cs="Times New Roman"/>
          <w:b/>
          <w:bCs/>
          <w:color w:val="000000"/>
          <w:spacing w:val="0"/>
          <w:w w:val="100"/>
          <w:position w:val="0"/>
          <w:sz w:val="18"/>
          <w:szCs w:val="18"/>
        </w:rPr>
        <w:t>PC</w:t>
      </w:r>
      <w:r>
        <w:rPr>
          <w:b/>
          <w:bCs/>
          <w:color w:val="000000"/>
          <w:spacing w:val="0"/>
          <w:w w:val="100"/>
          <w:position w:val="0"/>
        </w:rPr>
        <w:t>平台与主机平台</w:t>
      </w:r>
      <w:r>
        <w:rPr>
          <w:color w:val="000000"/>
          <w:spacing w:val="0"/>
          <w:w w:val="100"/>
          <w:position w:val="0"/>
        </w:rPr>
        <w:t>。而这也是 移动游戏在市场规模上首次超越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平台。</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公司手机游戏研发团队的策略主要致力于打造精品重度游戏，进行全球发行，因此虽然目前阶段手游市场整体增速放 缓，竞争激烈程度日益加强，游戏类别层出不穷，但</w:t>
      </w:r>
      <w:r>
        <w:rPr>
          <w:b/>
          <w:bCs/>
          <w:color w:val="000000"/>
          <w:spacing w:val="0"/>
          <w:w w:val="100"/>
          <w:position w:val="0"/>
        </w:rPr>
        <w:t>重度游戏在移动游戏用户存量市场仍被越来越多的玩家所青睐，未来 仍有良好的市场增长空间</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firstLine="440"/>
        <w:jc w:val="both"/>
      </w:pPr>
      <w:bookmarkStart w:id="239" w:name="bookmark239"/>
      <w:r>
        <w:rPr>
          <w:rFonts w:ascii="Times New Roman" w:eastAsia="Times New Roman" w:hAnsi="Times New Roman" w:cs="Times New Roman"/>
          <w:b/>
          <w:bCs/>
          <w:color w:val="000000"/>
          <w:spacing w:val="0"/>
          <w:w w:val="100"/>
          <w:position w:val="0"/>
          <w:sz w:val="18"/>
          <w:szCs w:val="18"/>
        </w:rPr>
        <w:t>3</w:t>
      </w:r>
      <w:bookmarkEnd w:id="239"/>
      <w:r>
        <w:rPr>
          <w:b/>
          <w:bCs/>
          <w:color w:val="000000"/>
          <w:spacing w:val="0"/>
          <w:w w:val="100"/>
          <w:position w:val="0"/>
        </w:rPr>
        <w:t>、人工智能行业发展趋势</w:t>
      </w:r>
    </w:p>
    <w:p>
      <w:pPr>
        <w:pStyle w:val="Style29"/>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日上午，国务院总理李克强发表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政府工作报告，其中指出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全面实施战略性新兴产业发展规划，加快新 材料、人工智能、集成电路、生物制药、第五代移动通信等技术研发和转化，做大做强产业集群。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首次被 写入了全国政府工作报告。人工智能重要的战略地位被明确肯定。国家统筹人工智能战略政策思路将逐渐清晰。人工智能已 成为当前最为确定的发展方向之一。</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赛迪顾问研究报告显示人工智能应该具备</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特性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：理解力</w:t>
      </w:r>
      <w:r>
        <w:rPr>
          <w:rFonts w:ascii="Times New Roman" w:eastAsia="Times New Roman" w:hAnsi="Times New Roman" w:cs="Times New Roman"/>
          <w:color w:val="000000"/>
          <w:spacing w:val="0"/>
          <w:w w:val="100"/>
          <w:position w:val="0"/>
          <w:sz w:val="18"/>
          <w:szCs w:val="18"/>
        </w:rPr>
        <w:t>Cognize</w:t>
      </w:r>
      <w:r>
        <w:rPr>
          <w:color w:val="000000"/>
          <w:spacing w:val="0"/>
          <w:w w:val="100"/>
          <w:position w:val="0"/>
        </w:rPr>
        <w:t>、</w:t>
      </w:r>
      <w:r>
        <w:rPr>
          <w:color w:val="000000"/>
          <w:spacing w:val="0"/>
          <w:w w:val="100"/>
          <w:position w:val="0"/>
        </w:rPr>
        <w:t>沟通力</w:t>
      </w:r>
      <w:r>
        <w:rPr>
          <w:rFonts w:ascii="Times New Roman" w:eastAsia="Times New Roman" w:hAnsi="Times New Roman" w:cs="Times New Roman"/>
          <w:color w:val="000000"/>
          <w:spacing w:val="0"/>
          <w:w w:val="100"/>
          <w:position w:val="0"/>
          <w:sz w:val="18"/>
          <w:szCs w:val="18"/>
        </w:rPr>
        <w:t>Communicate</w:t>
      </w:r>
      <w:r>
        <w:rPr>
          <w:color w:val="000000"/>
          <w:spacing w:val="0"/>
          <w:w w:val="100"/>
          <w:position w:val="0"/>
        </w:rPr>
        <w:t>、</w:t>
      </w:r>
      <w:r>
        <w:rPr>
          <w:color w:val="000000"/>
          <w:spacing w:val="0"/>
          <w:w w:val="100"/>
          <w:position w:val="0"/>
        </w:rPr>
        <w:t>协同力</w:t>
      </w:r>
      <w:r>
        <w:rPr>
          <w:rFonts w:ascii="Times New Roman" w:eastAsia="Times New Roman" w:hAnsi="Times New Roman" w:cs="Times New Roman"/>
          <w:color w:val="000000"/>
          <w:spacing w:val="0"/>
          <w:w w:val="100"/>
          <w:position w:val="0"/>
          <w:sz w:val="18"/>
          <w:szCs w:val="18"/>
        </w:rPr>
        <w:t>Collaborate</w:t>
      </w:r>
      <w:r>
        <w:rPr>
          <w:color w:val="000000"/>
          <w:spacing w:val="0"/>
          <w:w w:val="100"/>
          <w:position w:val="0"/>
        </w:rPr>
        <w:t>。</w:t>
      </w:r>
      <w:r>
        <w:rPr>
          <w:color w:val="000000"/>
          <w:spacing w:val="0"/>
          <w:w w:val="100"/>
          <w:position w:val="0"/>
        </w:rPr>
        <w:t>即通过 模拟人类思维模式实现对外界信息理解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通过语音、视觉等实现与外界沟通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通过行动控制实现人机协同工作。人工智能产业 链包含了基础设施层、技术研发层和应用层。技术研发层是人工智能核心和高价值环节，包含了机器学习、自然语言处理、 图像识别三个环节。根据工信部中国电子信息产业发展研究院指导、赛迪顾问股份有限公司主办的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市场年会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数据显示，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年中国人工智能市场规模快速增长，全年超过</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亿元，未来三年人工智能市场将迎来新兴机遇点，预计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年产业规模达到</w:t>
      </w:r>
      <w:r>
        <w:rPr>
          <w:rFonts w:ascii="Times New Roman" w:eastAsia="Times New Roman" w:hAnsi="Times New Roman" w:cs="Times New Roman"/>
          <w:color w:val="000000"/>
          <w:spacing w:val="0"/>
          <w:w w:val="100"/>
          <w:position w:val="0"/>
          <w:sz w:val="18"/>
          <w:szCs w:val="18"/>
        </w:rPr>
        <w:t>295.9</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年将达到</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亿元，复合增长率达</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jc w:val="left"/>
      </w:pPr>
      <w:bookmarkStart w:id="240" w:name="bookmark240"/>
      <w:r>
        <w:rPr>
          <w:b/>
          <w:bCs/>
          <w:color w:val="000000"/>
          <w:spacing w:val="0"/>
          <w:w w:val="100"/>
          <w:position w:val="0"/>
        </w:rPr>
        <w:t>（</w:t>
      </w:r>
      <w:bookmarkEnd w:id="240"/>
      <w:r>
        <w:rPr>
          <w:b/>
          <w:bCs/>
          <w:color w:val="000000"/>
          <w:spacing w:val="0"/>
          <w:w w:val="100"/>
          <w:position w:val="0"/>
        </w:rPr>
        <w:t>二）公司发展战略及</w:t>
      </w:r>
      <w:r>
        <w:rPr>
          <w:rFonts w:ascii="Times New Roman" w:eastAsia="Times New Roman" w:hAnsi="Times New Roman" w:cs="Times New Roman"/>
          <w:b/>
          <w:bCs/>
          <w:color w:val="000000"/>
          <w:spacing w:val="0"/>
          <w:w w:val="100"/>
          <w:position w:val="0"/>
          <w:sz w:val="18"/>
          <w:szCs w:val="18"/>
        </w:rPr>
        <w:t>2 017</w:t>
      </w:r>
      <w:r>
        <w:rPr>
          <w:b/>
          <w:bCs/>
          <w:color w:val="000000"/>
          <w:spacing w:val="0"/>
          <w:w w:val="100"/>
          <w:position w:val="0"/>
        </w:rPr>
        <w:t>年经营计划</w:t>
      </w:r>
    </w:p>
    <w:p>
      <w:pPr>
        <w:pStyle w:val="Style29"/>
        <w:keepNext w:val="0"/>
        <w:keepLines w:val="0"/>
        <w:widowControl w:val="0"/>
        <w:shd w:val="clear" w:color="auto" w:fill="auto"/>
        <w:bidi w:val="0"/>
        <w:spacing w:before="0" w:after="0" w:line="469" w:lineRule="exact"/>
        <w:ind w:left="0" w:right="0"/>
        <w:jc w:val="left"/>
      </w:pPr>
      <w:bookmarkStart w:id="241" w:name="bookmark241"/>
      <w:r>
        <w:rPr>
          <w:rFonts w:ascii="Times New Roman" w:eastAsia="Times New Roman" w:hAnsi="Times New Roman" w:cs="Times New Roman"/>
          <w:b/>
          <w:bCs/>
          <w:color w:val="000000"/>
          <w:spacing w:val="0"/>
          <w:w w:val="100"/>
          <w:position w:val="0"/>
          <w:sz w:val="18"/>
          <w:szCs w:val="18"/>
        </w:rPr>
        <w:t>1</w:t>
      </w:r>
      <w:bookmarkEnd w:id="241"/>
      <w:r>
        <w:rPr>
          <w:b/>
          <w:bCs/>
          <w:color w:val="000000"/>
          <w:spacing w:val="0"/>
          <w:w w:val="100"/>
          <w:position w:val="0"/>
        </w:rPr>
        <w:t>、发展战略</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目前，公司已形成了现金牛业务与未来明星业务相互补充的</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的业务战略模式一即</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运营管理、手机游戏为当 前的现金牛业务，人工智能与大数据、物联网及通信技术应用为未来的明星业务。</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聚焦信息产业、多元化布局、专业化经营、扁平化运作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的经营策略，贴近市场、深耕细作、锐意进取、 持续创新，力争通过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年左右的努力，最终形成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四轮驱动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的稳定发展的业务格局。</w:t>
      </w:r>
    </w:p>
    <w:p>
      <w:pPr>
        <w:pStyle w:val="Style29"/>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、公司</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29"/>
        <w:keepNext w:val="0"/>
        <w:keepLines w:val="0"/>
        <w:widowControl w:val="0"/>
        <w:numPr>
          <w:ilvl w:val="0"/>
          <w:numId w:val="9"/>
        </w:numPr>
        <w:shd w:val="clear" w:color="auto" w:fill="auto"/>
        <w:bidi w:val="0"/>
        <w:spacing w:before="0" w:after="0" w:line="470" w:lineRule="exact"/>
        <w:ind w:left="0" w:right="0"/>
        <w:jc w:val="both"/>
      </w:pPr>
      <w:bookmarkStart w:id="242" w:name="bookmark242"/>
      <w:bookmarkEnd w:id="242"/>
      <w:r>
        <w:rPr>
          <w:color w:val="000000"/>
          <w:spacing w:val="0"/>
          <w:w w:val="100"/>
          <w:position w:val="0"/>
        </w:rPr>
        <w:t xml:space="preserve"> 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运营管理领域，将进一步加强和拓展既有产品线和客户群、不断提升产品性能与功能、不断推进项目滚动 建设，紧密跟踪电信运营商的业务战略，优化与创新传统运营管理产品线，进一步扩大在该领域的技术优势和领先地位，并 大力拓展新行业、新客户和新领域。公司将立足云化、智能化、开源化的技术开发思路，重点优化和完善有效管控新型</w:t>
      </w:r>
      <w:r>
        <w:rPr>
          <w:rFonts w:ascii="Times New Roman" w:eastAsia="Times New Roman" w:hAnsi="Times New Roman" w:cs="Times New Roman"/>
          <w:color w:val="000000"/>
          <w:spacing w:val="0"/>
          <w:w w:val="100"/>
          <w:position w:val="0"/>
          <w:sz w:val="18"/>
          <w:szCs w:val="18"/>
        </w:rPr>
        <w:t xml:space="preserve">ICT </w:t>
      </w:r>
      <w:r>
        <w:rPr>
          <w:color w:val="000000"/>
          <w:spacing w:val="0"/>
          <w:w w:val="100"/>
          <w:position w:val="0"/>
        </w:rPr>
        <w:t>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以云计算、大数据、</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为特征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的新一代综合</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综合运营管理平台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包括数据中心带外设备管理、裸机大规模</w:t>
      </w:r>
    </w:p>
    <w:p>
      <w:pPr>
        <w:pStyle w:val="Style29"/>
        <w:keepNext w:val="0"/>
        <w:keepLines w:val="0"/>
        <w:widowControl w:val="0"/>
        <w:shd w:val="clear" w:color="auto" w:fill="auto"/>
        <w:bidi w:val="0"/>
        <w:spacing w:before="0" w:after="0" w:line="470" w:lineRule="exact"/>
        <w:ind w:left="0" w:right="0" w:firstLine="0"/>
        <w:jc w:val="both"/>
      </w:pPr>
      <w:r>
        <w:rPr>
          <w:color w:val="000000"/>
          <w:spacing w:val="0"/>
          <w:w w:val="100"/>
          <w:position w:val="0"/>
        </w:rPr>
        <w:t>自动安装开通、跨域混合云平台管理、开发运维一体化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DevOps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管理、大数据应用架构及数据管理、</w:t>
      </w:r>
      <w:r>
        <w:rPr>
          <w:rFonts w:ascii="Times New Roman" w:eastAsia="Times New Roman" w:hAnsi="Times New Roman" w:cs="Times New Roman"/>
          <w:color w:val="000000"/>
          <w:spacing w:val="0"/>
          <w:w w:val="100"/>
          <w:position w:val="0"/>
          <w:sz w:val="18"/>
          <w:szCs w:val="18"/>
        </w:rPr>
        <w:t>APM</w:t>
      </w:r>
      <w:r>
        <w:rPr>
          <w:color w:val="000000"/>
          <w:spacing w:val="0"/>
          <w:w w:val="100"/>
          <w:position w:val="0"/>
        </w:rPr>
        <w:t>应用响应和用户 感知管理、服务共享和业务编排管理等功能模块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，为新环境、新形势和新竞争格局下保持和扩大</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运营管理领域内技术和 市场优势地址奠定坚实基础。</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移动互联网运营支撑方向上，公司积极配合中国移动的融合通信战略，为其融合通信平台提供高质量的技术服务，提升 用户体验、促进融合通信项目顺利落地发展，配合中国移动推进融合通信产品商用，并积极争取扩容项目建设和系统支撑的 机会。此外，公司将密切跟踪国内金融、能源、政府等大型企业的需求，提供集融合通讯、移动办公、社交、信息服务于一 体的立体化通信解决方案，积极拓展融合通信业务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信息安全管理的发展将从主动安全管理向智能安全管理的变革演化，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年公司将积极开展信息安全业务交付模式的创 新，在云安全、移动应用安全、大数据安全感知以及安全云服务等方面加大新产品、新方案的研发工作。</w:t>
      </w:r>
    </w:p>
    <w:p>
      <w:pPr>
        <w:pStyle w:val="Style29"/>
        <w:keepNext w:val="0"/>
        <w:keepLines w:val="0"/>
        <w:widowControl w:val="0"/>
        <w:numPr>
          <w:ilvl w:val="0"/>
          <w:numId w:val="9"/>
        </w:numPr>
        <w:shd w:val="clear" w:color="auto" w:fill="auto"/>
        <w:tabs>
          <w:tab w:pos="841" w:val="left"/>
        </w:tabs>
        <w:bidi w:val="0"/>
        <w:spacing w:before="0" w:after="0" w:line="470" w:lineRule="exact"/>
        <w:ind w:left="0" w:right="0"/>
        <w:jc w:val="both"/>
      </w:pPr>
      <w:bookmarkStart w:id="243" w:name="bookmark243"/>
      <w:bookmarkEnd w:id="243"/>
      <w:r>
        <w:rPr>
          <w:color w:val="000000"/>
          <w:spacing w:val="0"/>
          <w:w w:val="100"/>
          <w:position w:val="0"/>
        </w:rPr>
        <w:t>公司手机游戏业务经过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年的策略调整，经营业绩大幅增长。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年，公司继续依托技术、人才和市场的积累， 聚焦海外策略类</w:t>
      </w:r>
      <w:r>
        <w:rPr>
          <w:rFonts w:ascii="Times New Roman" w:eastAsia="Times New Roman" w:hAnsi="Times New Roman" w:cs="Times New Roman"/>
          <w:color w:val="000000"/>
          <w:spacing w:val="0"/>
          <w:w w:val="100"/>
          <w:position w:val="0"/>
          <w:sz w:val="18"/>
          <w:szCs w:val="18"/>
        </w:rPr>
        <w:t>(SLG</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游戏的研发和发行，以打造有竞争力、受用户欢迎的重度手机游戏为主。针对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年成功推出的</w:t>
      </w:r>
      <w:r>
        <w:rPr>
          <w:rFonts w:ascii="Times New Roman" w:eastAsia="Times New Roman" w:hAnsi="Times New Roman" w:cs="Times New Roman"/>
          <w:color w:val="000000"/>
          <w:spacing w:val="0"/>
          <w:w w:val="100"/>
          <w:position w:val="0"/>
          <w:sz w:val="18"/>
          <w:szCs w:val="18"/>
        </w:rPr>
        <w:t xml:space="preserve">SLG </w:t>
      </w:r>
      <w:r>
        <w:rPr>
          <w:color w:val="000000"/>
          <w:spacing w:val="0"/>
          <w:w w:val="100"/>
          <w:position w:val="0"/>
        </w:rPr>
        <w:t>游戏《战火与秩序》，进一步加大市场推广力度，致力于将其打造成长生命周期的重度类手游爆品；同时，进一步开发、打 磨手游项目，结合市场窗口，继续研发并推出优质的手游产品。</w:t>
      </w:r>
    </w:p>
    <w:p>
      <w:pPr>
        <w:pStyle w:val="Style29"/>
        <w:keepNext w:val="0"/>
        <w:keepLines w:val="0"/>
        <w:widowControl w:val="0"/>
        <w:numPr>
          <w:ilvl w:val="0"/>
          <w:numId w:val="9"/>
        </w:numPr>
        <w:shd w:val="clear" w:color="auto" w:fill="auto"/>
        <w:bidi w:val="0"/>
        <w:spacing w:before="0" w:after="0" w:line="470" w:lineRule="exact"/>
        <w:ind w:left="0" w:right="0"/>
        <w:jc w:val="both"/>
      </w:pPr>
      <w:bookmarkStart w:id="244" w:name="bookmark244"/>
      <w:bookmarkEnd w:id="244"/>
      <w:r>
        <w:rPr>
          <w:color w:val="000000"/>
          <w:spacing w:val="0"/>
          <w:w w:val="100"/>
          <w:position w:val="0"/>
        </w:rPr>
        <w:t xml:space="preserve"> 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年集中内外部优质资源着力打造泰岳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的人工智能品牌，围绕三条主线——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语义云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布局人工智能业务领域，致力于成为中国乃至全球范围的人工智能自然语言语义理解第一品牌。在产品研 发方面，完成语义云平台的上线，语义云将提供</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的服务，推出企业高管内参、企业风险控制和金融竞品分析 等一系列的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服务，力争实现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服务收入快速增长。推出新一代智能机器人小富机器人的升级产品，并在呼叫中心 领域通过渠道合作模式进行推广。人工智能产品方面还将推出中国首款大数据知识工程产品，推动知识库领域的升级换代。 行业创新方面将继续围绕优势行业做好场景创新，引领行业发展方向，加大在银行、公安、税务等领域的竞争优势，不断开 展优势领域的客户群同时进入更多的行业领域。作为自然语言语义理解的领先厂商，今年公司将在呼叫中心领域启动渠道建 设，逐渐加强渠道建设，扩大渠道收入的不断增长。</w:t>
      </w:r>
    </w:p>
    <w:p>
      <w:pPr>
        <w:pStyle w:val="Style29"/>
        <w:keepNext w:val="0"/>
        <w:keepLines w:val="0"/>
        <w:widowControl w:val="0"/>
        <w:numPr>
          <w:ilvl w:val="0"/>
          <w:numId w:val="9"/>
        </w:numPr>
        <w:shd w:val="clear" w:color="auto" w:fill="auto"/>
        <w:tabs>
          <w:tab w:pos="841" w:val="left"/>
        </w:tabs>
        <w:bidi w:val="0"/>
        <w:spacing w:before="0" w:after="0" w:line="470" w:lineRule="exact"/>
        <w:ind w:left="0" w:right="0"/>
        <w:jc w:val="both"/>
      </w:pPr>
      <w:bookmarkStart w:id="245" w:name="bookmark245"/>
      <w:bookmarkEnd w:id="245"/>
      <w:r>
        <w:rPr>
          <w:color w:val="000000"/>
          <w:spacing w:val="0"/>
          <w:w w:val="100"/>
          <w:position w:val="0"/>
        </w:rPr>
        <w:t xml:space="preserve">在物联网及通讯技术应用领域，公司进一步优化智慧线产品的技术性能，开发新型物联网应用，推进相关市场资 质认证工作，确立行业技术领先地位，围绕智慧线物联网的核心技术能力，着力开展两个方向的业务拓展：一是专业场景下 的工业物联网智能化建设；二是提升国产周界安防技术水平，推动周界安防产业向智能化发展。依托公司在相关行业长期积 累的市场客户资源，聚焦核电、机场、高铁与监狱管理、石油石化等重点行业，积极推进公司在物联网智慧线领域的整体解 </w:t>
      </w:r>
      <w:r>
        <w:rPr>
          <w:color w:val="000000"/>
          <w:spacing w:val="0"/>
          <w:w w:val="100"/>
          <w:position w:val="0"/>
        </w:rPr>
        <w:t>决方案的能力和市场落地。</w:t>
      </w:r>
    </w:p>
    <w:p>
      <w:pPr>
        <w:pStyle w:val="Style29"/>
        <w:keepNext w:val="0"/>
        <w:keepLines w:val="0"/>
        <w:widowControl w:val="0"/>
        <w:numPr>
          <w:ilvl w:val="0"/>
          <w:numId w:val="11"/>
        </w:numPr>
        <w:shd w:val="clear" w:color="auto" w:fill="auto"/>
        <w:bidi w:val="0"/>
        <w:spacing w:before="0" w:after="0" w:line="471" w:lineRule="exact"/>
        <w:ind w:left="0" w:right="0" w:firstLine="280"/>
        <w:jc w:val="both"/>
      </w:pPr>
      <w:bookmarkStart w:id="246" w:name="bookmark246"/>
      <w:bookmarkEnd w:id="246"/>
      <w:r>
        <w:rPr>
          <w:b/>
          <w:bCs/>
          <w:color w:val="000000"/>
          <w:spacing w:val="0"/>
          <w:w w:val="100"/>
          <w:position w:val="0"/>
        </w:rPr>
        <w:t>对公司未来发展战略和经营目标的实现产生不利影响的风险因素分析</w:t>
      </w:r>
    </w:p>
    <w:p>
      <w:pPr>
        <w:pStyle w:val="Style29"/>
        <w:keepNext w:val="0"/>
        <w:keepLines w:val="0"/>
        <w:widowControl w:val="0"/>
        <w:shd w:val="clear" w:color="auto" w:fill="auto"/>
        <w:tabs>
          <w:tab w:pos="646" w:val="left"/>
        </w:tabs>
        <w:bidi w:val="0"/>
        <w:spacing w:before="0" w:after="0" w:line="471" w:lineRule="exact"/>
        <w:ind w:left="0" w:right="0" w:firstLine="360"/>
        <w:jc w:val="both"/>
      </w:pPr>
      <w:bookmarkStart w:id="247" w:name="bookmark247"/>
      <w:r>
        <w:rPr>
          <w:rFonts w:ascii="Times New Roman" w:eastAsia="Times New Roman" w:hAnsi="Times New Roman" w:cs="Times New Roman"/>
          <w:b/>
          <w:bCs/>
          <w:color w:val="000000"/>
          <w:spacing w:val="0"/>
          <w:w w:val="100"/>
          <w:position w:val="0"/>
          <w:sz w:val="18"/>
          <w:szCs w:val="18"/>
        </w:rPr>
        <w:t>1</w:t>
      </w:r>
      <w:bookmarkEnd w:id="24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运营管理对电信行业依赖的风险</w:t>
      </w:r>
    </w:p>
    <w:p>
      <w:pPr>
        <w:pStyle w:val="Style2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电信行业是公司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运营管理业务的重点市场领域，公司对电信行业的依赖程度较高。如果未来电信行业发生运营的不 利变化或者电信运营商对信息化建设的投资规模大幅下降，将对公司的盈利能力产生较大不利影响。</w:t>
      </w:r>
    </w:p>
    <w:p>
      <w:pPr>
        <w:pStyle w:val="Style29"/>
        <w:keepNext w:val="0"/>
        <w:keepLines w:val="0"/>
        <w:widowControl w:val="0"/>
        <w:shd w:val="clear" w:color="auto" w:fill="auto"/>
        <w:bidi w:val="0"/>
        <w:spacing w:before="0" w:after="0" w:line="474" w:lineRule="exact"/>
        <w:ind w:left="0" w:right="0" w:firstLine="360"/>
        <w:jc w:val="both"/>
      </w:pP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是运营商核心业务，并且信息化程度较高，系统规模庞大复杂，对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运维管理的认同和接受程度也高，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投资规模 大，因此，公司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运营管理业务聚焦于电信行业是市场的必然选择。近年来，虽然运营商也是受到互联网</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冲击，但作 为影响国计民生的重要行业，且用户和业务规模巨大、网络建设演进迅速，运营软件和服务投入一直很大。公司营收占运营 商该项投资的比例仍有巨大的提升空间。</w:t>
      </w:r>
    </w:p>
    <w:p>
      <w:pPr>
        <w:pStyle w:val="Style29"/>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公司将基于既有产品、业务和客户优势，交付更为先进、实用的产品和服务，为电信客户降本增效、开源节流做出积极 贡献，以产品和服务的价值和成效，提升客户满意度和业务粘性，进一步确立在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运营管理领域的技术优势和领先地位。</w:t>
      </w:r>
    </w:p>
    <w:p>
      <w:pPr>
        <w:pStyle w:val="Style2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另外，在保持现有客户和业务稳定持续增长的同时，公司将大力拓展</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运营管理新需求的行业企业。进一步加大向金 融、能源、政府部门等领域的横向拓展的力度，提升在新领域市场份额，稳定经营，降低风险。</w:t>
      </w:r>
    </w:p>
    <w:p>
      <w:pPr>
        <w:pStyle w:val="Style29"/>
        <w:keepNext w:val="0"/>
        <w:keepLines w:val="0"/>
        <w:widowControl w:val="0"/>
        <w:shd w:val="clear" w:color="auto" w:fill="auto"/>
        <w:tabs>
          <w:tab w:pos="665" w:val="left"/>
        </w:tabs>
        <w:bidi w:val="0"/>
        <w:spacing w:before="0" w:after="0" w:line="471" w:lineRule="exact"/>
        <w:ind w:left="0" w:right="0" w:firstLine="360"/>
        <w:jc w:val="both"/>
      </w:pPr>
      <w:bookmarkStart w:id="248" w:name="bookmark248"/>
      <w:r>
        <w:rPr>
          <w:rFonts w:ascii="Times New Roman" w:eastAsia="Times New Roman" w:hAnsi="Times New Roman" w:cs="Times New Roman"/>
          <w:b/>
          <w:bCs/>
          <w:color w:val="000000"/>
          <w:spacing w:val="0"/>
          <w:w w:val="100"/>
          <w:position w:val="0"/>
          <w:sz w:val="18"/>
          <w:szCs w:val="18"/>
        </w:rPr>
        <w:t>2</w:t>
      </w:r>
      <w:bookmarkEnd w:id="248"/>
      <w:r>
        <w:rPr>
          <w:b/>
          <w:bCs/>
          <w:color w:val="000000"/>
          <w:spacing w:val="0"/>
          <w:w w:val="100"/>
          <w:position w:val="0"/>
        </w:rPr>
        <w:t>、</w:t>
        <w:tab/>
        <w:t>未来</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环境和运营管理领域竞争格局变化的风险</w:t>
      </w:r>
    </w:p>
    <w:p>
      <w:pPr>
        <w:pStyle w:val="Style29"/>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在云计算、大数据、软件定义网络</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color w:val="000000"/>
          <w:spacing w:val="0"/>
          <w:w w:val="100"/>
          <w:position w:val="0"/>
        </w:rPr>
        <w:t>网络虚拟化</w:t>
      </w:r>
      <w:r>
        <w:rPr>
          <w:rFonts w:ascii="Times New Roman" w:eastAsia="Times New Roman" w:hAnsi="Times New Roman" w:cs="Times New Roman"/>
          <w:color w:val="000000"/>
          <w:spacing w:val="0"/>
          <w:w w:val="100"/>
          <w:position w:val="0"/>
          <w:sz w:val="18"/>
          <w:szCs w:val="18"/>
        </w:rPr>
        <w:t>(NFV)</w:t>
      </w:r>
      <w:r>
        <w:rPr>
          <w:color w:val="000000"/>
          <w:spacing w:val="0"/>
          <w:w w:val="100"/>
          <w:position w:val="0"/>
        </w:rPr>
        <w:t>、</w:t>
      </w:r>
      <w:r>
        <w:rPr>
          <w:color w:val="000000"/>
          <w:spacing w:val="0"/>
          <w:w w:val="100"/>
          <w:position w:val="0"/>
        </w:rPr>
        <w:t>人工智能等新架构、新技术的推动下，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环境正发生着 颠覆性变革，运营管理的对象、重点、要求也随着发生巨变。同时，运营管理在新架构、新环境中的地位和作用大大提升， 吸引了一些跨界厂商涉足运营管理软件和服务领域。如公司技术实力、运营理念、软件和服务能力无法适应这种变化，或者 无法在与跨界涉足者竞争中获胜，将会影响公司运营管理业务的发展。</w:t>
      </w:r>
    </w:p>
    <w:p>
      <w:pPr>
        <w:pStyle w:val="Style29"/>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运营管理领域深耕细作</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年，对大中企业</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运营环境及与互联网运维环境的区别有深入了解，积累了完善 丰富的产品、方案、方法和队伍。同时，公司一直跟进新技术演进、特别是运营管理的影响，已经研发面向新架构、新环境、 新运维理念的产品和方案，并在项目中得到了实践验证和客户认可。公司有信心、有实力在急剧变化、危中有机的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 管理软件和服务市场中，抓住机遇，保持和扩大市场份额和领导地位。</w:t>
      </w:r>
    </w:p>
    <w:p>
      <w:pPr>
        <w:pStyle w:val="Style29"/>
        <w:keepNext w:val="0"/>
        <w:keepLines w:val="0"/>
        <w:widowControl w:val="0"/>
        <w:shd w:val="clear" w:color="auto" w:fill="auto"/>
        <w:tabs>
          <w:tab w:pos="660" w:val="left"/>
        </w:tabs>
        <w:bidi w:val="0"/>
        <w:spacing w:before="0" w:after="0" w:line="471" w:lineRule="exact"/>
        <w:ind w:left="0" w:right="0" w:firstLine="360"/>
        <w:jc w:val="both"/>
      </w:pPr>
      <w:bookmarkStart w:id="249" w:name="bookmark249"/>
      <w:r>
        <w:rPr>
          <w:rFonts w:ascii="Times New Roman" w:eastAsia="Times New Roman" w:hAnsi="Times New Roman" w:cs="Times New Roman"/>
          <w:b/>
          <w:bCs/>
          <w:color w:val="000000"/>
          <w:spacing w:val="0"/>
          <w:w w:val="100"/>
          <w:position w:val="0"/>
          <w:sz w:val="18"/>
          <w:szCs w:val="18"/>
        </w:rPr>
        <w:t>3</w:t>
      </w:r>
      <w:bookmarkEnd w:id="249"/>
      <w:r>
        <w:rPr>
          <w:b/>
          <w:bCs/>
          <w:color w:val="000000"/>
          <w:spacing w:val="0"/>
          <w:w w:val="100"/>
          <w:position w:val="0"/>
        </w:rPr>
        <w:t>、</w:t>
        <w:tab/>
        <w:t>手机游戏开发与运营风险</w:t>
      </w:r>
    </w:p>
    <w:p>
      <w:pPr>
        <w:pStyle w:val="Style29"/>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游戏产品具有更新快、可模仿性较高、玩家喜好转换快、市场竞争激烈等特点，如果公司无法持续推出受玩家认可的成 功的游戏产品，或由于游戏研发周期延长、推广时间延长等原因造成游戏无法按计划推出，从而造成老游戏盈利能力出现下 滑时，新游戏无法成功按时推出难以弥补老游戏收入的下滑，则将对公司的运营产生不利影响。</w:t>
      </w:r>
    </w:p>
    <w:p>
      <w:pPr>
        <w:pStyle w:val="Style29"/>
        <w:keepNext w:val="0"/>
        <w:keepLines w:val="0"/>
        <w:widowControl w:val="0"/>
        <w:shd w:val="clear" w:color="auto" w:fill="auto"/>
        <w:bidi w:val="0"/>
        <w:spacing w:before="0" w:after="0" w:line="471" w:lineRule="exact"/>
        <w:ind w:left="0" w:right="0" w:firstLine="360"/>
        <w:jc w:val="both"/>
      </w:pPr>
      <w:r>
        <w:rPr>
          <w:color w:val="000000"/>
          <w:spacing w:val="0"/>
          <w:w w:val="100"/>
          <w:position w:val="0"/>
        </w:rPr>
        <w:t>网络游戏受到工业信息、文化和新闻出版等部门的监管，在中国境内从事移动网络游戏运营的，需要取得该等部门的许 可。公司新开发的游戏产品若无法通过备案审核或审批，则可能存在游戏产品无法顺利上线的风险。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年国家出台的版号 新规及上线资质等政策，增强了对移动游戏行业的监管，对产品上市周期、开发及运营成本都有所影响。另外，我国尚未有 </w:t>
      </w:r>
      <w:r>
        <w:rPr>
          <w:color w:val="000000"/>
          <w:spacing w:val="0"/>
          <w:w w:val="100"/>
          <w:position w:val="0"/>
        </w:rPr>
        <w:t>法律法规监管虚拟资产的产权，而游戏公司大部分收入来自虚拟物品销售，若是政策发生变动，限制虚拟货币和资产业务， 公司的经营业绩、财务状态及业务前景可能承受重大不利影响。</w:t>
      </w:r>
    </w:p>
    <w:p>
      <w:pPr>
        <w:pStyle w:val="Style29"/>
        <w:keepNext w:val="0"/>
        <w:keepLines w:val="0"/>
        <w:widowControl w:val="0"/>
        <w:shd w:val="clear" w:color="auto" w:fill="auto"/>
        <w:bidi w:val="0"/>
        <w:spacing w:before="0" w:after="260" w:line="468" w:lineRule="exact"/>
        <w:ind w:left="0" w:right="0" w:firstLine="360"/>
        <w:jc w:val="left"/>
      </w:pPr>
      <w:r>
        <w:rPr>
          <w:color w:val="000000"/>
          <w:spacing w:val="0"/>
          <w:w w:val="100"/>
          <w:position w:val="0"/>
        </w:rPr>
        <w:t>公司将充分发挥自身优势和技术实力，积极调整战略部署，重点打造领先市场需求的新型精品游戏，重点发行全球优势 市场，并且时刻关注行业最新的法律法规，严格遵守国家制定的法律法规，确保自身业务和经营的合法合规。</w:t>
      </w:r>
    </w:p>
    <w:p>
      <w:pPr>
        <w:pStyle w:val="Style29"/>
        <w:keepNext w:val="0"/>
        <w:keepLines w:val="0"/>
        <w:widowControl w:val="0"/>
        <w:shd w:val="clear" w:color="auto" w:fill="auto"/>
        <w:tabs>
          <w:tab w:pos="674" w:val="left"/>
        </w:tabs>
        <w:bidi w:val="0"/>
        <w:spacing w:before="0" w:after="0" w:line="542" w:lineRule="auto"/>
        <w:ind w:left="0" w:right="0" w:firstLine="360"/>
        <w:jc w:val="left"/>
      </w:pPr>
      <w:bookmarkStart w:id="250" w:name="bookmark250"/>
      <w:r>
        <w:rPr>
          <w:rFonts w:ascii="Times New Roman" w:eastAsia="Times New Roman" w:hAnsi="Times New Roman" w:cs="Times New Roman"/>
          <w:b/>
          <w:bCs/>
          <w:color w:val="000000"/>
          <w:spacing w:val="0"/>
          <w:w w:val="100"/>
          <w:position w:val="0"/>
          <w:sz w:val="18"/>
          <w:szCs w:val="18"/>
        </w:rPr>
        <w:t>4</w:t>
      </w:r>
      <w:bookmarkEnd w:id="250"/>
      <w:r>
        <w:rPr>
          <w:b/>
          <w:bCs/>
          <w:color w:val="000000"/>
          <w:spacing w:val="0"/>
          <w:w w:val="100"/>
          <w:position w:val="0"/>
        </w:rPr>
        <w:t>、</w:t>
        <w:tab/>
        <w:t>系统集成业务应收款项管理风险</w:t>
      </w:r>
    </w:p>
    <w:p>
      <w:pPr>
        <w:pStyle w:val="Style29"/>
        <w:keepNext w:val="0"/>
        <w:keepLines w:val="0"/>
        <w:widowControl w:val="0"/>
        <w:shd w:val="clear" w:color="auto" w:fill="auto"/>
        <w:bidi w:val="0"/>
        <w:spacing w:before="0" w:after="260" w:line="468" w:lineRule="exact"/>
        <w:ind w:left="0" w:right="0" w:firstLine="360"/>
        <w:jc w:val="left"/>
      </w:pPr>
      <w:r>
        <w:rPr>
          <w:color w:val="000000"/>
          <w:spacing w:val="0"/>
          <w:w w:val="100"/>
          <w:position w:val="0"/>
        </w:rPr>
        <w:t>系统集成业务是公司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运营管理板块中的组成部分，该业务的销售政策普遍采取赊销方式，随着系统集成业务规模的 扩大，应收款项余额加大，一旦出现呆账、死账将对公司产生不同程度的影响和损失，近年来出现个别客户拖欠货款的情形。 为此，公司一方面加强应收款项的催收管理，另一方面严控系统集成业务的规模，进一步加强客户的信用管理（包括黑名单 制度、信用额度控制、结算政策、抵押担保等），选择信誉度好的客户，严控信用额度与结算政策。</w:t>
      </w:r>
    </w:p>
    <w:p>
      <w:pPr>
        <w:pStyle w:val="Style29"/>
        <w:keepNext w:val="0"/>
        <w:keepLines w:val="0"/>
        <w:widowControl w:val="0"/>
        <w:shd w:val="clear" w:color="auto" w:fill="auto"/>
        <w:tabs>
          <w:tab w:pos="674" w:val="left"/>
        </w:tabs>
        <w:bidi w:val="0"/>
        <w:spacing w:before="0" w:after="0" w:line="542" w:lineRule="auto"/>
        <w:ind w:left="0" w:right="0" w:firstLine="360"/>
        <w:jc w:val="left"/>
      </w:pPr>
      <w:bookmarkStart w:id="251" w:name="bookmark251"/>
      <w:r>
        <w:rPr>
          <w:rFonts w:ascii="Times New Roman" w:eastAsia="Times New Roman" w:hAnsi="Times New Roman" w:cs="Times New Roman"/>
          <w:b/>
          <w:bCs/>
          <w:color w:val="000000"/>
          <w:spacing w:val="0"/>
          <w:w w:val="100"/>
          <w:position w:val="0"/>
          <w:sz w:val="18"/>
          <w:szCs w:val="18"/>
        </w:rPr>
        <w:t>5</w:t>
      </w:r>
      <w:bookmarkEnd w:id="251"/>
      <w:r>
        <w:rPr>
          <w:b/>
          <w:bCs/>
          <w:color w:val="000000"/>
          <w:spacing w:val="0"/>
          <w:w w:val="100"/>
          <w:position w:val="0"/>
        </w:rPr>
        <w:t>、</w:t>
        <w:tab/>
        <w:t>对高端人才的持续需求风险</w:t>
      </w:r>
    </w:p>
    <w:p>
      <w:pPr>
        <w:pStyle w:val="Style29"/>
        <w:keepNext w:val="0"/>
        <w:keepLines w:val="0"/>
        <w:widowControl w:val="0"/>
        <w:shd w:val="clear" w:color="auto" w:fill="auto"/>
        <w:bidi w:val="0"/>
        <w:spacing w:before="0" w:after="260" w:line="468" w:lineRule="exact"/>
        <w:ind w:left="0" w:right="0" w:firstLine="360"/>
        <w:jc w:val="left"/>
      </w:pPr>
      <w:r>
        <w:rPr>
          <w:color w:val="000000"/>
          <w:spacing w:val="0"/>
          <w:w w:val="100"/>
          <w:position w:val="0"/>
        </w:rPr>
        <w:t>公司属于知识密集型、智力密集型行业，高端人才储备不足将制约着企业的进一步发展。随着公司业务规模不断扩大， 新技术演进层出不穷，对软件高级技术人员、营销人员和管理人员具有较大的需求。如何保持现有技术队伍和管理层的稳定、 提高业务人员专业水平和综合素质、培养和引进优秀人才，对公司的快速发展至关重要。为此，公司将始终坚持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高绩效、 高贡献、高回报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的人才发展观，通过提升薪资竞争力提高人才的吸引力，通过为员工创造良好的职业发展环境、营造适宜 的企业文化氛围等系统性的措施来吸引、留住和激励人才。</w:t>
      </w:r>
    </w:p>
    <w:p>
      <w:pPr>
        <w:pStyle w:val="Style29"/>
        <w:keepNext w:val="0"/>
        <w:keepLines w:val="0"/>
        <w:widowControl w:val="0"/>
        <w:shd w:val="clear" w:color="auto" w:fill="auto"/>
        <w:tabs>
          <w:tab w:pos="679" w:val="left"/>
        </w:tabs>
        <w:bidi w:val="0"/>
        <w:spacing w:before="0" w:after="0" w:line="542" w:lineRule="auto"/>
        <w:ind w:left="0" w:right="0" w:firstLine="360"/>
        <w:jc w:val="both"/>
      </w:pPr>
      <w:bookmarkStart w:id="252" w:name="bookmark252"/>
      <w:r>
        <w:rPr>
          <w:rFonts w:ascii="Times New Roman" w:eastAsia="Times New Roman" w:hAnsi="Times New Roman" w:cs="Times New Roman"/>
          <w:b/>
          <w:bCs/>
          <w:color w:val="000000"/>
          <w:spacing w:val="0"/>
          <w:w w:val="100"/>
          <w:position w:val="0"/>
          <w:sz w:val="18"/>
          <w:szCs w:val="18"/>
        </w:rPr>
        <w:t>6</w:t>
      </w:r>
      <w:bookmarkEnd w:id="252"/>
      <w:r>
        <w:rPr>
          <w:b/>
          <w:bCs/>
          <w:color w:val="000000"/>
          <w:spacing w:val="0"/>
          <w:w w:val="100"/>
          <w:position w:val="0"/>
        </w:rPr>
        <w:t>、</w:t>
        <w:tab/>
        <w:t>集团化管理风险</w:t>
      </w:r>
    </w:p>
    <w:p>
      <w:pPr>
        <w:pStyle w:val="Style29"/>
        <w:keepNext w:val="0"/>
        <w:keepLines w:val="0"/>
        <w:widowControl w:val="0"/>
        <w:shd w:val="clear" w:color="auto" w:fill="auto"/>
        <w:bidi w:val="0"/>
        <w:spacing w:before="0" w:after="520" w:line="469" w:lineRule="exact"/>
        <w:ind w:left="0" w:right="0" w:firstLine="360"/>
        <w:jc w:val="both"/>
      </w:pPr>
      <w:r>
        <w:rPr>
          <w:color w:val="000000"/>
          <w:spacing w:val="0"/>
          <w:w w:val="100"/>
          <w:position w:val="0"/>
        </w:rPr>
        <w:t>随着公司资产规模、业务规模的扩大，在战略规划、组织机构设置、企业文化建设、资源配置、运营管理，特别是资金 管理、人才管理、内部控制等方面以及如何整合、发挥协同效应，都将对管理水平提出更大的挑战。为此，公司继续坚持基 于扁平化的组织体系和以绩效为核心的管理机制，缩短决策链条、提升决策效率，以交付价值为指导思想深入组织结构的优 化与调整，不断加强内部管控，建立规范化的流程管理和项目管理体系，控制成本支出、提升整体管理效能。</w:t>
      </w:r>
    </w:p>
    <w:p>
      <w:pPr>
        <w:pStyle w:val="Style27"/>
        <w:keepNext/>
        <w:keepLines/>
        <w:widowControl w:val="0"/>
        <w:shd w:val="clear" w:color="auto" w:fill="auto"/>
        <w:bidi w:val="0"/>
        <w:spacing w:before="0" w:after="520" w:line="240" w:lineRule="auto"/>
        <w:ind w:left="0" w:right="0" w:firstLine="0"/>
        <w:jc w:val="left"/>
      </w:pPr>
      <w:bookmarkStart w:id="253" w:name="bookmark253"/>
      <w:bookmarkStart w:id="254" w:name="bookmark254"/>
      <w:bookmarkStart w:id="255" w:name="bookmark255"/>
      <w:r>
        <w:rPr>
          <w:color w:val="000000"/>
          <w:spacing w:val="0"/>
          <w:w w:val="100"/>
          <w:position w:val="0"/>
        </w:rPr>
        <w:t>十、接待调研、沟通、采访等活动登记表</w:t>
      </w:r>
      <w:bookmarkEnd w:id="253"/>
      <w:bookmarkEnd w:id="254"/>
      <w:bookmarkEnd w:id="255"/>
    </w:p>
    <w:p>
      <w:pPr>
        <w:pStyle w:val="Style39"/>
        <w:keepNext/>
        <w:keepLines/>
        <w:widowControl w:val="0"/>
        <w:shd w:val="clear" w:color="auto" w:fill="auto"/>
        <w:bidi w:val="0"/>
        <w:spacing w:before="0" w:after="52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7"/>
        <w:gridCol w:w="1421"/>
        <w:gridCol w:w="1982"/>
        <w:gridCol w:w="419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公司各板块布局进展情况。</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公司经营情况及整体布局情况介绍。</w:t>
            </w:r>
          </w:p>
        </w:tc>
      </w:tr>
    </w:tbl>
    <w:p>
      <w:pPr>
        <w:widowControl w:val="0"/>
        <w:spacing w:line="1" w:lineRule="exact"/>
      </w:pPr>
      <w:r>
        <w:br w:type="page"/>
      </w:r>
    </w:p>
    <w:tbl>
      <w:tblPr>
        <w:tblOverlap w:val="never"/>
        <w:jc w:val="center"/>
        <w:tblLayout w:type="fixed"/>
      </w:tblPr>
      <w:tblGrid>
        <w:gridCol w:w="1987"/>
        <w:gridCol w:w="1421"/>
        <w:gridCol w:w="1982"/>
        <w:gridCol w:w="4190"/>
      </w:tblGrid>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公司各业务板块介绍及问题解答。</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年业绩情况及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年重点发展策略。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公司最新</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战略布局介绍，四大业务板块介绍。</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公司最新</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战略布局介绍，四大业务板块介绍。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公司半年度业绩分析；大数据及人工智能业务、物联 网应用技术业务介绍。</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融合通信相关业务介绍及未来展望。</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66" w:right="1039" w:bottom="1314" w:left="1079" w:header="0" w:footer="3" w:gutter="0"/>
          <w:cols w:space="720"/>
          <w:noEndnote/>
          <w:rtlGutter w:val="0"/>
          <w:docGrid w:linePitch="360"/>
        </w:sectPr>
      </w:pPr>
    </w:p>
    <w:p>
      <w:pPr>
        <w:pStyle w:val="Style16"/>
        <w:keepNext/>
        <w:keepLines/>
        <w:widowControl w:val="0"/>
        <w:shd w:val="clear" w:color="auto" w:fill="auto"/>
        <w:bidi w:val="0"/>
        <w:spacing w:before="400" w:after="560" w:line="240" w:lineRule="auto"/>
        <w:ind w:left="0" w:right="0" w:firstLine="0"/>
        <w:jc w:val="center"/>
      </w:pPr>
      <w:bookmarkStart w:id="263" w:name="bookmark263"/>
      <w:bookmarkStart w:id="264" w:name="bookmark264"/>
      <w:bookmarkStart w:id="265" w:name="bookmark265"/>
      <w:r>
        <w:rPr>
          <w:color w:val="000000"/>
          <w:spacing w:val="0"/>
          <w:w w:val="100"/>
          <w:position w:val="0"/>
        </w:rPr>
        <w:t>第五节重要事项</w:t>
      </w:r>
      <w:bookmarkEnd w:id="263"/>
      <w:bookmarkEnd w:id="264"/>
      <w:bookmarkEnd w:id="265"/>
    </w:p>
    <w:p>
      <w:pPr>
        <w:pStyle w:val="Style27"/>
        <w:keepNext/>
        <w:keepLines/>
        <w:widowControl w:val="0"/>
        <w:shd w:val="clear" w:color="auto" w:fill="auto"/>
        <w:bidi w:val="0"/>
        <w:spacing w:before="0" w:after="5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一</w:t>
      </w:r>
      <w:bookmarkEnd w:id="268"/>
      <w:r>
        <w:rPr>
          <w:color w:val="000000"/>
          <w:spacing w:val="0"/>
          <w:w w:val="100"/>
          <w:position w:val="0"/>
        </w:rPr>
        <w:t>、公司普通股利润分配及资本公积金转增股本情况</w:t>
      </w:r>
      <w:bookmarkEnd w:id="266"/>
      <w:bookmarkEnd w:id="267"/>
      <w:bookmarkEnd w:id="269"/>
    </w:p>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年度利润分配预案》，以未来实施分配方案时股权登记日的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总股本为基数，向全体股东以每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元（含税）。共分配现金红利约</w:t>
      </w:r>
      <w:r>
        <w:rPr>
          <w:rFonts w:ascii="Times New Roman" w:eastAsia="Times New Roman" w:hAnsi="Times New Roman" w:cs="Times New Roman"/>
          <w:color w:val="000000"/>
          <w:spacing w:val="0"/>
          <w:w w:val="100"/>
          <w:position w:val="0"/>
          <w:sz w:val="18"/>
          <w:szCs w:val="18"/>
        </w:rPr>
        <w:t>99,799,393.40</w:t>
      </w:r>
      <w:r>
        <w:rPr>
          <w:color w:val="000000"/>
          <w:spacing w:val="0"/>
          <w:w w:val="100"/>
          <w:position w:val="0"/>
        </w:rPr>
        <w:t>元（含税）。</w:t>
      </w:r>
    </w:p>
    <w:p>
      <w:pPr>
        <w:pStyle w:val="Style29"/>
        <w:keepNext w:val="0"/>
        <w:keepLines w:val="0"/>
        <w:widowControl w:val="0"/>
        <w:shd w:val="clear" w:color="auto" w:fill="auto"/>
        <w:bidi w:val="0"/>
        <w:spacing w:before="0" w:after="120" w:line="46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日，公司在巨潮资讯网刊登了《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日；总股本为：</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股。截止目前，该利润分配方案已实施完毕。</w:t>
      </w:r>
    </w:p>
    <w:tbl>
      <w:tblPr>
        <w:tblOverlap w:val="never"/>
        <w:jc w:val="center"/>
        <w:tblLayout w:type="fixed"/>
      </w:tblPr>
      <w:tblGrid>
        <w:gridCol w:w="6614"/>
        <w:gridCol w:w="3096"/>
      </w:tblGrid>
      <w:tr>
        <w:trPr>
          <w:trHeight w:val="562"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68"/>
        <w:gridCol w:w="5942"/>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1,961,091,984</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50,988,391.58</w:t>
            </w:r>
          </w:p>
        </w:tc>
      </w:tr>
    </w:tbl>
    <w:p>
      <w:pPr>
        <w:widowControl w:val="0"/>
        <w:spacing w:line="1" w:lineRule="exact"/>
      </w:pPr>
      <w:r>
        <w:br w:type="page"/>
      </w:r>
    </w:p>
    <w:tbl>
      <w:tblPr>
        <w:tblOverlap w:val="never"/>
        <w:jc w:val="center"/>
        <w:tblLayout w:type="fixed"/>
      </w:tblPr>
      <w:tblGrid>
        <w:gridCol w:w="3768"/>
        <w:gridCol w:w="5942"/>
      </w:tblGrid>
      <w:tr>
        <w:trPr>
          <w:trHeight w:val="57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1,024,094,497.00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557"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55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557"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8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7" w:lineRule="exact"/>
              <w:ind w:left="0" w:right="0" w:firstLine="380"/>
              <w:jc w:val="both"/>
              <w:rPr>
                <w:sz w:val="17"/>
                <w:szCs w:val="17"/>
              </w:rPr>
            </w:pPr>
            <w:r>
              <w:rPr>
                <w:color w:val="000000"/>
                <w:spacing w:val="0"/>
                <w:w w:val="100"/>
                <w:position w:val="0"/>
                <w:sz w:val="17"/>
                <w:szCs w:val="17"/>
              </w:rPr>
              <w:t>经立信会计师事务所（特殊普通合伙）审计，公司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年度实现归属于上市公司股东的净利润</w:t>
            </w:r>
            <w:r>
              <w:rPr>
                <w:rFonts w:ascii="Times New Roman" w:eastAsia="Times New Roman" w:hAnsi="Times New Roman" w:cs="Times New Roman"/>
                <w:color w:val="000000"/>
                <w:spacing w:val="0"/>
                <w:w w:val="100"/>
                <w:position w:val="0"/>
                <w:sz w:val="18"/>
                <w:szCs w:val="18"/>
              </w:rPr>
              <w:t>507,331,705.29</w:t>
            </w:r>
            <w:r>
              <w:rPr>
                <w:color w:val="000000"/>
                <w:spacing w:val="0"/>
                <w:w w:val="100"/>
                <w:position w:val="0"/>
                <w:sz w:val="17"/>
                <w:szCs w:val="17"/>
              </w:rPr>
              <w:t>元，其中， 母公司实现净利润</w:t>
            </w:r>
            <w:r>
              <w:rPr>
                <w:rFonts w:ascii="Times New Roman" w:eastAsia="Times New Roman" w:hAnsi="Times New Roman" w:cs="Times New Roman"/>
                <w:color w:val="000000"/>
                <w:spacing w:val="0"/>
                <w:w w:val="100"/>
                <w:position w:val="0"/>
                <w:sz w:val="18"/>
                <w:szCs w:val="18"/>
              </w:rPr>
              <w:t>284,640,882.44</w:t>
            </w:r>
            <w:r>
              <w:rPr>
                <w:color w:val="000000"/>
                <w:spacing w:val="0"/>
                <w:w w:val="100"/>
                <w:position w:val="0"/>
                <w:sz w:val="17"/>
                <w:szCs w:val="17"/>
              </w:rPr>
              <w:t>元。根据《公司法》和《公司章程》的有关规定，按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提 取法定盈余公积金</w:t>
            </w:r>
            <w:r>
              <w:rPr>
                <w:rFonts w:ascii="Times New Roman" w:eastAsia="Times New Roman" w:hAnsi="Times New Roman" w:cs="Times New Roman"/>
                <w:color w:val="000000"/>
                <w:spacing w:val="0"/>
                <w:w w:val="100"/>
                <w:position w:val="0"/>
                <w:sz w:val="18"/>
                <w:szCs w:val="18"/>
              </w:rPr>
              <w:t>28,464,088.24</w:t>
            </w:r>
            <w:r>
              <w:rPr>
                <w:color w:val="000000"/>
                <w:spacing w:val="0"/>
                <w:w w:val="100"/>
                <w:position w:val="0"/>
                <w:sz w:val="17"/>
                <w:szCs w:val="17"/>
              </w:rPr>
              <w:t>元后，截至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日公司可供股东分配的利润为</w:t>
            </w:r>
            <w:r>
              <w:rPr>
                <w:rFonts w:ascii="Times New Roman" w:eastAsia="Times New Roman" w:hAnsi="Times New Roman" w:cs="Times New Roman"/>
                <w:color w:val="000000"/>
                <w:spacing w:val="0"/>
                <w:w w:val="100"/>
                <w:position w:val="0"/>
                <w:sz w:val="18"/>
                <w:szCs w:val="18"/>
              </w:rPr>
              <w:t>1,024,094,497.00</w:t>
            </w:r>
            <w:r>
              <w:rPr>
                <w:color w:val="000000"/>
                <w:spacing w:val="0"/>
                <w:w w:val="100"/>
                <w:position w:val="0"/>
                <w:sz w:val="17"/>
                <w:szCs w:val="17"/>
              </w:rPr>
              <w:t>元。</w:t>
            </w:r>
          </w:p>
          <w:p>
            <w:pPr>
              <w:pStyle w:val="Style2"/>
              <w:keepNext w:val="0"/>
              <w:keepLines w:val="0"/>
              <w:widowControl w:val="0"/>
              <w:shd w:val="clear" w:color="auto" w:fill="auto"/>
              <w:bidi w:val="0"/>
              <w:spacing w:before="0" w:after="0" w:line="467" w:lineRule="exact"/>
              <w:ind w:left="0" w:right="0" w:firstLine="380"/>
              <w:jc w:val="both"/>
              <w:rPr>
                <w:sz w:val="17"/>
                <w:szCs w:val="17"/>
              </w:rPr>
            </w:pPr>
            <w:r>
              <w:rPr>
                <w:color w:val="000000"/>
                <w:spacing w:val="0"/>
                <w:w w:val="100"/>
                <w:position w:val="0"/>
                <w:sz w:val="17"/>
                <w:szCs w:val="17"/>
              </w:rPr>
              <w:t>公司现拟定如下分配方案：以公司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日总股本</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股派发现金红利 </w:t>
            </w:r>
            <w:r>
              <w:rPr>
                <w:rFonts w:ascii="Times New Roman" w:eastAsia="Times New Roman" w:hAnsi="Times New Roman" w:cs="Times New Roman"/>
                <w:color w:val="000000"/>
                <w:spacing w:val="0"/>
                <w:w w:val="100"/>
                <w:position w:val="0"/>
                <w:sz w:val="18"/>
                <w:szCs w:val="18"/>
              </w:rPr>
              <w:t>0.26</w:t>
            </w:r>
            <w:r>
              <w:rPr>
                <w:color w:val="000000"/>
                <w:spacing w:val="0"/>
                <w:w w:val="100"/>
                <w:position w:val="0"/>
                <w:sz w:val="17"/>
                <w:szCs w:val="17"/>
              </w:rPr>
              <w:t>元（含税）。共分配现金红利</w:t>
            </w:r>
            <w:r>
              <w:rPr>
                <w:rFonts w:ascii="Times New Roman" w:eastAsia="Times New Roman" w:hAnsi="Times New Roman" w:cs="Times New Roman"/>
                <w:color w:val="000000"/>
                <w:spacing w:val="0"/>
                <w:w w:val="100"/>
                <w:position w:val="0"/>
                <w:sz w:val="18"/>
                <w:szCs w:val="18"/>
              </w:rPr>
              <w:t>50,988,391.58</w:t>
            </w:r>
            <w:r>
              <w:rPr>
                <w:color w:val="000000"/>
                <w:spacing w:val="0"/>
                <w:w w:val="100"/>
                <w:position w:val="0"/>
                <w:sz w:val="17"/>
                <w:szCs w:val="17"/>
              </w:rPr>
              <w:t>元（含税），剩余未分配利润结转以后年度。</w:t>
            </w:r>
          </w:p>
          <w:p>
            <w:pPr>
              <w:pStyle w:val="Style2"/>
              <w:keepNext w:val="0"/>
              <w:keepLines w:val="0"/>
              <w:widowControl w:val="0"/>
              <w:shd w:val="clear" w:color="auto" w:fill="auto"/>
              <w:bidi w:val="0"/>
              <w:spacing w:before="0" w:after="0" w:line="467" w:lineRule="exact"/>
              <w:ind w:left="0" w:right="0" w:firstLine="380"/>
              <w:jc w:val="both"/>
              <w:rPr>
                <w:sz w:val="17"/>
                <w:szCs w:val="17"/>
              </w:rPr>
            </w:pPr>
            <w:r>
              <w:rPr>
                <w:color w:val="000000"/>
                <w:spacing w:val="0"/>
                <w:w w:val="100"/>
                <w:position w:val="0"/>
                <w:sz w:val="17"/>
                <w:szCs w:val="17"/>
              </w:rPr>
              <w:t>本议案尚需提交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年度股东大会审议。</w:t>
            </w:r>
          </w:p>
        </w:tc>
      </w:tr>
    </w:tbl>
    <w:p>
      <w:pPr>
        <w:pStyle w:val="Style29"/>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公司近</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466" w:lineRule="exact"/>
        <w:ind w:left="0" w:right="0"/>
        <w:jc w:val="left"/>
      </w:pPr>
      <w:r>
        <w:rPr>
          <w:color w:val="000000"/>
          <w:spacing w:val="0"/>
          <w:w w:val="100"/>
          <w:position w:val="0"/>
        </w:rPr>
        <w:t>公司高度重视对股东的投资回报，严格执行公司章程的规定、持续贯彻稳定的股利分配政策，近三年的利润分配及资本 公积金转增股本的情况如下：</w:t>
      </w:r>
    </w:p>
    <w:p>
      <w:pPr>
        <w:pStyle w:val="Style29"/>
        <w:keepNext w:val="0"/>
        <w:keepLines w:val="0"/>
        <w:widowControl w:val="0"/>
        <w:shd w:val="clear" w:color="auto" w:fill="auto"/>
        <w:tabs>
          <w:tab w:pos="904" w:val="left"/>
        </w:tabs>
        <w:bidi w:val="0"/>
        <w:spacing w:before="0" w:after="0" w:line="466" w:lineRule="exact"/>
        <w:ind w:left="0" w:right="0"/>
        <w:jc w:val="left"/>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股派发现金红利利</w:t>
      </w:r>
      <w:r>
        <w:rPr>
          <w:rFonts w:ascii="Times New Roman" w:eastAsia="Times New Roman" w:hAnsi="Times New Roman" w:cs="Times New Roman"/>
          <w:color w:val="000000"/>
          <w:spacing w:val="0"/>
          <w:w w:val="100"/>
          <w:position w:val="0"/>
          <w:sz w:val="18"/>
          <w:szCs w:val="18"/>
        </w:rPr>
        <w:t>1.204801</w:t>
      </w:r>
      <w:r>
        <w:rPr>
          <w:color w:val="000000"/>
          <w:spacing w:val="0"/>
          <w:w w:val="100"/>
          <w:position w:val="0"/>
        </w:rPr>
        <w:t xml:space="preserve">元（含税），共计派发现金红利 </w:t>
      </w:r>
      <w:r>
        <w:rPr>
          <w:rFonts w:ascii="Times New Roman" w:eastAsia="Times New Roman" w:hAnsi="Times New Roman" w:cs="Times New Roman"/>
          <w:color w:val="000000"/>
          <w:spacing w:val="0"/>
          <w:w w:val="100"/>
          <w:position w:val="0"/>
          <w:sz w:val="18"/>
          <w:szCs w:val="18"/>
        </w:rPr>
        <w:t>159,340,979.28</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5.020004</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663,920,641.00</w:t>
      </w:r>
      <w:r>
        <w:rPr>
          <w:color w:val="000000"/>
          <w:spacing w:val="0"/>
          <w:w w:val="100"/>
          <w:position w:val="0"/>
        </w:rPr>
        <w:t>股。</w:t>
      </w:r>
    </w:p>
    <w:p>
      <w:pPr>
        <w:pStyle w:val="Style29"/>
        <w:keepNext w:val="0"/>
        <w:keepLines w:val="0"/>
        <w:widowControl w:val="0"/>
        <w:shd w:val="clear" w:color="auto" w:fill="auto"/>
        <w:tabs>
          <w:tab w:pos="919" w:val="left"/>
        </w:tabs>
        <w:bidi w:val="0"/>
        <w:spacing w:before="0" w:after="0" w:line="466" w:lineRule="exact"/>
        <w:ind w:left="0" w:right="0"/>
        <w:jc w:val="left"/>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w:t>
      </w:r>
    </w:p>
    <w:p>
      <w:pPr>
        <w:pStyle w:val="Style29"/>
        <w:keepNext w:val="0"/>
        <w:keepLines w:val="0"/>
        <w:widowControl w:val="0"/>
        <w:shd w:val="clear" w:color="auto" w:fill="auto"/>
        <w:bidi w:val="0"/>
        <w:spacing w:before="0" w:after="0" w:line="466" w:lineRule="exact"/>
        <w:ind w:left="0" w:right="0"/>
        <w:jc w:val="left"/>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sz w:val="18"/>
          <w:szCs w:val="18"/>
        </w:rPr>
        <w:t>50,988,391.58</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w:t>
      </w:r>
    </w:p>
    <w:p>
      <w:pPr>
        <w:pStyle w:val="Style29"/>
        <w:keepNext w:val="0"/>
        <w:keepLines w:val="0"/>
        <w:widowControl w:val="0"/>
        <w:shd w:val="clear" w:color="auto" w:fill="auto"/>
        <w:bidi w:val="0"/>
        <w:spacing w:before="0" w:after="240" w:line="466" w:lineRule="exact"/>
        <w:ind w:left="0" w:right="0" w:firstLine="0"/>
        <w:jc w:val="left"/>
      </w:pPr>
      <w:r>
        <w:rPr>
          <w:b/>
          <w:bCs/>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723"/>
        <w:gridCol w:w="1829"/>
        <w:gridCol w:w="1762"/>
        <w:gridCol w:w="1469"/>
        <w:gridCol w:w="1627"/>
      </w:tblGrid>
      <w:tr>
        <w:trPr>
          <w:trHeight w:val="14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分红年度合并报表中</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归属于上市公司普通</w:t>
            </w:r>
          </w:p>
          <w:p>
            <w:pPr>
              <w:pStyle w:val="Style2"/>
              <w:keepNext w:val="0"/>
              <w:keepLines w:val="0"/>
              <w:widowControl w:val="0"/>
              <w:shd w:val="clear" w:color="auto" w:fill="auto"/>
              <w:bidi w:val="0"/>
              <w:spacing w:before="0" w:after="260" w:line="240" w:lineRule="auto"/>
              <w:ind w:left="0" w:right="0" w:firstLine="280"/>
              <w:jc w:val="left"/>
              <w:rPr>
                <w:sz w:val="17"/>
                <w:szCs w:val="17"/>
              </w:rPr>
            </w:pPr>
            <w:r>
              <w:rPr>
                <w:color w:val="000000"/>
                <w:spacing w:val="0"/>
                <w:w w:val="100"/>
                <w:position w:val="0"/>
                <w:sz w:val="17"/>
                <w:szCs w:val="17"/>
              </w:rPr>
              <w:t>股股东的净利润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占合并报表中归属于</w:t>
            </w:r>
          </w:p>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上市公司普通股股东</w:t>
            </w:r>
          </w:p>
          <w:p>
            <w:pPr>
              <w:pStyle w:val="Style2"/>
              <w:keepNext w:val="0"/>
              <w:keepLines w:val="0"/>
              <w:widowControl w:val="0"/>
              <w:shd w:val="clear" w:color="auto" w:fill="auto"/>
              <w:bidi w:val="0"/>
              <w:spacing w:before="0" w:after="280" w:line="240" w:lineRule="auto"/>
              <w:ind w:left="0" w:right="0" w:firstLine="240"/>
              <w:jc w:val="left"/>
              <w:rPr>
                <w:sz w:val="17"/>
                <w:szCs w:val="17"/>
              </w:rPr>
            </w:pPr>
            <w:r>
              <w:rPr>
                <w:color w:val="000000"/>
                <w:spacing w:val="0"/>
                <w:w w:val="100"/>
                <w:position w:val="0"/>
                <w:sz w:val="17"/>
                <w:szCs w:val="17"/>
              </w:rPr>
              <w:t>的净利润的比率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以其他方式现金</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分红的金额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以其他方式现金分</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红的比例</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50,988,391.58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507,331,705.29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98,054,599.20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351,341,166.79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159,340,979.28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633,118,638.76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二</w:t>
      </w:r>
      <w:bookmarkEnd w:id="275"/>
      <w:r>
        <w:rPr>
          <w:color w:val="000000"/>
          <w:spacing w:val="0"/>
          <w:w w:val="100"/>
          <w:position w:val="0"/>
        </w:rPr>
        <w:t>、承诺事项履行情况</w:t>
      </w:r>
      <w:bookmarkEnd w:id="273"/>
      <w:bookmarkEnd w:id="274"/>
      <w:bookmarkEnd w:id="276"/>
    </w:p>
    <w:p>
      <w:pPr>
        <w:pStyle w:val="Style39"/>
        <w:keepNext/>
        <w:keepLines/>
        <w:widowControl w:val="0"/>
        <w:shd w:val="clear" w:color="auto" w:fill="auto"/>
        <w:bidi w:val="0"/>
        <w:spacing w:before="0" w:after="2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、公司实际控制人、股东、关联方、收购人以及公司等承诺相关方在报告期内履行完毕及截至报告期末</w:t>
      </w:r>
      <w:bookmarkEnd w:id="277"/>
      <w:bookmarkEnd w:id="278"/>
      <w:bookmarkEnd w:id="280"/>
    </w:p>
    <w:p>
      <w:pPr>
        <w:pStyle w:val="Style39"/>
        <w:keepNext/>
        <w:keepLines/>
        <w:widowControl w:val="0"/>
        <w:shd w:val="clear" w:color="auto" w:fill="auto"/>
        <w:bidi w:val="0"/>
        <w:spacing w:before="0" w:after="520" w:line="240" w:lineRule="auto"/>
        <w:ind w:left="0" w:right="0" w:firstLine="0"/>
        <w:jc w:val="left"/>
      </w:pPr>
      <w:bookmarkStart w:id="277" w:name="bookmark277"/>
      <w:bookmarkStart w:id="278" w:name="bookmark278"/>
      <w:bookmarkStart w:id="281" w:name="bookmark281"/>
      <w:r>
        <w:rPr>
          <w:color w:val="000000"/>
          <w:spacing w:val="0"/>
          <w:w w:val="100"/>
          <w:position w:val="0"/>
        </w:rPr>
        <w:t>尚未履行完毕的承诺事项</w:t>
      </w:r>
      <w:bookmarkEnd w:id="277"/>
      <w:bookmarkEnd w:id="278"/>
      <w:bookmarkEnd w:id="281"/>
    </w:p>
    <w:p>
      <w:pPr>
        <w:pStyle w:val="Style29"/>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0"/>
        <w:gridCol w:w="994"/>
        <w:gridCol w:w="850"/>
        <w:gridCol w:w="3403"/>
        <w:gridCol w:w="922"/>
        <w:gridCol w:w="1003"/>
        <w:gridCol w:w="109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14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收购报告书或权</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益变动报告书中</w:t>
            </w:r>
          </w:p>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资产重组时所作</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壳木软件</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资产重组</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期限承诺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公司发行股份及支付现金购买天津壳木软 件有限责任公司（下称‘‘壳木软件‘‘）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股权，发行对象李毅出具了股份锁定及限售 安排承诺，具体情况如下：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、本次向李毅 发行的股份自发行结束之日起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 不得转让。神州泰岳在指定媒体披露标的公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年度《专 项审核报告》后，本次向李毅发行的股份扣 减截至该时点李毅已补偿的和应补偿的股 份数（若有）后可分别解锁</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 自本次发行结束之日起届满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个月后，本 次向李毅发行的股份的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扣减已补偿的 股份数（若有）后可解锁。认购人承诺的标 的公司在盈利承诺期内各年度净利润数如 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亿元，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亿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亿元，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widowControl w:val="0"/>
        <w:spacing w:line="1" w:lineRule="exact"/>
      </w:pPr>
      <w:r>
        <w:br w:type="page"/>
      </w:r>
    </w:p>
    <w:tbl>
      <w:tblPr>
        <w:tblOverlap w:val="never"/>
        <w:jc w:val="center"/>
        <w:tblLayout w:type="fixed"/>
      </w:tblPr>
      <w:tblGrid>
        <w:gridCol w:w="1450"/>
        <w:gridCol w:w="994"/>
        <w:gridCol w:w="850"/>
        <w:gridCol w:w="3403"/>
        <w:gridCol w:w="922"/>
        <w:gridCol w:w="1008"/>
        <w:gridCol w:w="1085"/>
      </w:tblGrid>
      <w:tr>
        <w:trPr>
          <w:trHeight w:val="568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、在盈利承诺期届满时，上市公司将 聘请经上市公司与管理层股东认可的具有 证券从业资格的会计师事务所对标的资产 进行减值测试并出具《减值测试报告》，如 果壳木软件资产期末减值额</w:t>
            </w:r>
            <w:r>
              <w:rPr>
                <w:color w:val="000000"/>
                <w:spacing w:val="0"/>
                <w:w w:val="100"/>
                <w:position w:val="0"/>
                <w:sz w:val="18"/>
                <w:szCs w:val="18"/>
              </w:rPr>
              <w:t>〉</w:t>
            </w:r>
            <w:r>
              <w:rPr>
                <w:color w:val="000000"/>
                <w:spacing w:val="0"/>
                <w:w w:val="100"/>
                <w:position w:val="0"/>
                <w:sz w:val="17"/>
                <w:szCs w:val="17"/>
              </w:rPr>
              <w:t>已补偿金额</w:t>
            </w:r>
          </w:p>
          <w:p>
            <w:pPr>
              <w:pStyle w:val="Style2"/>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（包括已补偿股份金额和现金金额），则认 购人应另行对上市公司进行补偿，应补偿金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在盈利承诺期内因实际净 利润数不足承诺净利润数已支付的补偿额。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、在因本次交易获得的神州泰岳股份全部 解锁前，不主动向标的公司及其子公司提出 离职。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壳木软件</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资产重组</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期限承诺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、壳木软件的任职期限内，未经神州泰岳 书面同意，不得在神州泰岳及其子公司、壳 木软件以外，从事游戏开发、运营及维护业 务或通过直接或间接控制的其他经营主体 从事该等业务；不得在其他与神州泰岳及其 子公司、壳木软件有竞争关系的任何企业或 组织任职。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、自其从壳木软件离职后两年 内不得在神州泰岳及其子公司、壳木软件以 外的任何企业或组织任职或担任任何形式 的顾问，从事游戏开发、运营及维护业务或 通过直接或间接控制的其他经营主体从事 该等业务。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240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首次公开发行或</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再融资时所作承</w:t>
            </w:r>
          </w:p>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王宁、李力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首次公开</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发行时承</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、将来不以任何方式从事，包括与他人合 作直接或间接从事与公司及其子公司相同、 相似或在任何方面构成竞争的业务；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 诺将尽可能避免和减少与公司之间的关联 交易。若有关的关联交易为公司日常经营所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widowControl w:val="0"/>
        <w:spacing w:line="1" w:lineRule="exact"/>
      </w:pPr>
      <w:r>
        <w:br w:type="page"/>
      </w:r>
    </w:p>
    <w:tbl>
      <w:tblPr>
        <w:tblOverlap w:val="never"/>
        <w:jc w:val="center"/>
        <w:tblLayout w:type="fixed"/>
      </w:tblPr>
      <w:tblGrid>
        <w:gridCol w:w="1450"/>
        <w:gridCol w:w="994"/>
        <w:gridCol w:w="850"/>
        <w:gridCol w:w="3403"/>
        <w:gridCol w:w="922"/>
        <w:gridCol w:w="1008"/>
        <w:gridCol w:w="1085"/>
      </w:tblGrid>
      <w:tr>
        <w:trPr>
          <w:trHeight w:val="147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1" w:lineRule="exact"/>
              <w:ind w:left="0" w:right="0" w:firstLine="0"/>
              <w:jc w:val="both"/>
              <w:rPr>
                <w:sz w:val="17"/>
                <w:szCs w:val="17"/>
              </w:rPr>
            </w:pPr>
            <w:r>
              <w:rPr>
                <w:color w:val="000000"/>
                <w:spacing w:val="0"/>
                <w:w w:val="100"/>
                <w:position w:val="0"/>
                <w:sz w:val="17"/>
                <w:szCs w:val="17"/>
              </w:rPr>
              <w:t>必须或者无法避免，承诺方保证该等关联交 易所列之交易条件公允，不损害公司及股东 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公司首次公</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开发行股票</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前的股东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首次公开</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发行时承</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在担任公司董事、监事或高级管理人员期 间，每年转让的股份不超过本人所持公司 股份总数的百分之二十五；离职后半年内， 不转让所持有的公司股份。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其他对公司中小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承诺是否按时履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90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467" w:lineRule="exact"/>
              <w:ind w:left="0" w:right="0" w:firstLine="0"/>
              <w:jc w:val="center"/>
              <w:rPr>
                <w:sz w:val="17"/>
                <w:szCs w:val="17"/>
              </w:rPr>
            </w:pPr>
            <w:r>
              <w:rPr>
                <w:color w:val="000000"/>
                <w:spacing w:val="0"/>
                <w:w w:val="100"/>
                <w:position w:val="0"/>
                <w:sz w:val="17"/>
                <w:szCs w:val="17"/>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99" w:line="1" w:lineRule="exact"/>
      </w:pPr>
    </w:p>
    <w:p>
      <w:pPr>
        <w:pStyle w:val="Style39"/>
        <w:keepNext/>
        <w:keepLines/>
        <w:widowControl w:val="0"/>
        <w:shd w:val="clear" w:color="auto" w:fill="auto"/>
        <w:bidi w:val="0"/>
        <w:spacing w:before="0" w:after="2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、公司资产或项目存在盈利预测，且报告期仍处在盈利预测期间，公司就资产或项目达到原盈利预测及</w:t>
      </w:r>
      <w:bookmarkEnd w:id="282"/>
      <w:bookmarkEnd w:id="283"/>
      <w:bookmarkEnd w:id="285"/>
    </w:p>
    <w:p>
      <w:pPr>
        <w:pStyle w:val="Style39"/>
        <w:keepNext/>
        <w:keepLines/>
        <w:widowControl w:val="0"/>
        <w:shd w:val="clear" w:color="auto" w:fill="auto"/>
        <w:bidi w:val="0"/>
        <w:spacing w:before="0" w:after="520" w:line="240" w:lineRule="auto"/>
        <w:ind w:left="0" w:right="0" w:firstLine="0"/>
        <w:jc w:val="left"/>
      </w:pPr>
      <w:bookmarkStart w:id="282" w:name="bookmark282"/>
      <w:bookmarkStart w:id="283" w:name="bookmark283"/>
      <w:bookmarkStart w:id="286" w:name="bookmark286"/>
      <w:r>
        <w:rPr>
          <w:color w:val="000000"/>
          <w:spacing w:val="0"/>
          <w:w w:val="100"/>
          <w:position w:val="0"/>
        </w:rPr>
        <w:t>其原因做出说明</w:t>
      </w:r>
      <w:bookmarkEnd w:id="282"/>
      <w:bookmarkEnd w:id="283"/>
      <w:bookmarkEnd w:id="286"/>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4"/>
        <w:gridCol w:w="979"/>
        <w:gridCol w:w="979"/>
        <w:gridCol w:w="792"/>
        <w:gridCol w:w="974"/>
        <w:gridCol w:w="1579"/>
        <w:gridCol w:w="974"/>
        <w:gridCol w:w="185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盈利预测资产或项 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预测起始时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预测终止时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当期预测 业绩（万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当期实际业 绩（万元）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未达预测的原因</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原预测披露索引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天津壳木软件有限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发行股份及支付现金 购买资产报告书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天津安纳西科技有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游戏推广未达预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2015-04-25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关于全资子公司北京 壳木软件有限责任公 司对外投资的公告</w:t>
            </w:r>
          </w:p>
        </w:tc>
      </w:tr>
    </w:tbl>
    <w:p>
      <w:pPr>
        <w:widowControl w:val="0"/>
        <w:spacing w:line="1" w:lineRule="exact"/>
      </w:pPr>
    </w:p>
    <w:tbl>
      <w:tblPr>
        <w:tblOverlap w:val="never"/>
        <w:jc w:val="center"/>
        <w:tblLayout w:type="fixed"/>
      </w:tblPr>
      <w:tblGrid>
        <w:gridCol w:w="1574"/>
        <w:gridCol w:w="979"/>
        <w:gridCol w:w="979"/>
        <w:gridCol w:w="792"/>
        <w:gridCol w:w="974"/>
        <w:gridCol w:w="1579"/>
        <w:gridCol w:w="974"/>
        <w:gridCol w:w="1858"/>
      </w:tblGrid>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北京神州祥升软件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市场竞争加剧，公 司市场推广未达预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收购北京神州祥升软 件有限公司暨关联交 易的公告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蓝鸥科技有限公司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生源市场扩展未达 预期。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关于对外投资蓝鸥科 技有限公司的公告</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公司股东、交易对手方对公司或相关资产年度经营业绩作出的承诺情况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901" w:val="left"/>
        </w:tabs>
        <w:bidi w:val="0"/>
        <w:spacing w:before="0" w:after="0" w:line="473" w:lineRule="exact"/>
        <w:ind w:left="0" w:right="0" w:firstLine="46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天津安纳西科技有限公司（简称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天津安纳西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年净利润数为</w:t>
      </w:r>
      <w:r>
        <w:rPr>
          <w:rFonts w:ascii="Times New Roman" w:eastAsia="Times New Roman" w:hAnsi="Times New Roman" w:cs="Times New Roman"/>
          <w:color w:val="000000"/>
          <w:spacing w:val="0"/>
          <w:w w:val="100"/>
          <w:position w:val="0"/>
          <w:sz w:val="18"/>
          <w:szCs w:val="18"/>
        </w:rPr>
        <w:t>2,116.73</w:t>
      </w:r>
      <w:r>
        <w:rPr>
          <w:color w:val="000000"/>
          <w:spacing w:val="0"/>
          <w:w w:val="100"/>
          <w:position w:val="0"/>
        </w:rPr>
        <w:t>万元，完成承诺</w:t>
      </w:r>
      <w:r>
        <w:rPr>
          <w:rFonts w:ascii="Times New Roman" w:eastAsia="Times New Roman" w:hAnsi="Times New Roman" w:cs="Times New Roman"/>
          <w:color w:val="000000"/>
          <w:spacing w:val="0"/>
          <w:w w:val="100"/>
          <w:position w:val="0"/>
          <w:sz w:val="18"/>
          <w:szCs w:val="18"/>
        </w:rPr>
        <w:t>92.03%</w:t>
      </w:r>
      <w:r>
        <w:rPr>
          <w:color w:val="000000"/>
          <w:spacing w:val="0"/>
          <w:w w:val="100"/>
          <w:position w:val="0"/>
        </w:rPr>
        <w:t>，未完成</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年度业绩承诺。未能实现的主要原因为：游戏推广费用、游戏研发费用投入大，未取得市场预期。天津安纳西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 净利润</w:t>
      </w:r>
      <w:r>
        <w:rPr>
          <w:rFonts w:ascii="Times New Roman" w:eastAsia="Times New Roman" w:hAnsi="Times New Roman" w:cs="Times New Roman"/>
          <w:color w:val="000000"/>
          <w:spacing w:val="0"/>
          <w:w w:val="100"/>
          <w:position w:val="0"/>
          <w:sz w:val="18"/>
          <w:szCs w:val="18"/>
        </w:rPr>
        <w:t>2,304.77</w:t>
      </w:r>
      <w:r>
        <w:rPr>
          <w:color w:val="000000"/>
          <w:spacing w:val="0"/>
          <w:w w:val="100"/>
          <w:position w:val="0"/>
        </w:rPr>
        <w:t>万元，累计实现效益。根据双方签订协议，天津安纳西本年度无需对公司进行补偿，并且天津安纳西业绩承 诺期已届满，按照协议约定履行完毕其应当履行的相关业绩承诺及补偿义务。</w:t>
      </w:r>
    </w:p>
    <w:p>
      <w:pPr>
        <w:pStyle w:val="Style29"/>
        <w:keepNext w:val="0"/>
        <w:keepLines w:val="0"/>
        <w:widowControl w:val="0"/>
        <w:shd w:val="clear" w:color="auto" w:fill="auto"/>
        <w:bidi w:val="0"/>
        <w:spacing w:before="0" w:after="540" w:line="473" w:lineRule="exact"/>
        <w:ind w:left="0" w:right="0" w:firstLine="46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北京神州祥升软件有限公司（简称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祥升软件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年度净利润数（扣除非经常性损益后归属于母公司股东的净 利润）为</w:t>
      </w:r>
      <w:r>
        <w:rPr>
          <w:rFonts w:ascii="Times New Roman" w:eastAsia="Times New Roman" w:hAnsi="Times New Roman" w:cs="Times New Roman"/>
          <w:color w:val="000000"/>
          <w:spacing w:val="0"/>
          <w:w w:val="100"/>
          <w:position w:val="0"/>
          <w:sz w:val="18"/>
          <w:szCs w:val="18"/>
        </w:rPr>
        <w:t>2,664.82</w:t>
      </w:r>
      <w:r>
        <w:rPr>
          <w:color w:val="000000"/>
          <w:spacing w:val="0"/>
          <w:w w:val="100"/>
          <w:position w:val="0"/>
        </w:rPr>
        <w:t>万元，完成承诺业绩的</w:t>
      </w:r>
      <w:r>
        <w:rPr>
          <w:rFonts w:ascii="Times New Roman" w:eastAsia="Times New Roman" w:hAnsi="Times New Roman" w:cs="Times New Roman"/>
          <w:color w:val="000000"/>
          <w:spacing w:val="0"/>
          <w:w w:val="100"/>
          <w:position w:val="0"/>
          <w:sz w:val="18"/>
          <w:szCs w:val="18"/>
        </w:rPr>
        <w:t>66.62%</w:t>
      </w:r>
      <w:r>
        <w:rPr>
          <w:color w:val="000000"/>
          <w:spacing w:val="0"/>
          <w:w w:val="100"/>
          <w:position w:val="0"/>
        </w:rPr>
        <w:t>，未完成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年度业绩承诺。未完成主要原因是：市场竞争加剧，公司市 场推广未达预期。根据双方协议，祥升软件将对公司现金补偿。</w:t>
      </w:r>
    </w:p>
    <w:p>
      <w:pPr>
        <w:pStyle w:val="Style27"/>
        <w:keepNext/>
        <w:keepLines/>
        <w:widowControl w:val="0"/>
        <w:shd w:val="clear" w:color="auto" w:fill="auto"/>
        <w:tabs>
          <w:tab w:pos="517" w:val="left"/>
        </w:tabs>
        <w:bidi w:val="0"/>
        <w:spacing w:before="0" w:after="24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控股股东及其关联方对上市公司的非经营性占用资金情况</w:t>
      </w:r>
      <w:bookmarkEnd w:id="289"/>
      <w:bookmarkEnd w:id="290"/>
      <w:bookmarkEnd w:id="292"/>
    </w:p>
    <w:p>
      <w:pPr>
        <w:pStyle w:val="Style29"/>
        <w:keepNext w:val="0"/>
        <w:keepLines w:val="0"/>
        <w:widowControl w:val="0"/>
        <w:shd w:val="clear" w:color="auto" w:fill="auto"/>
        <w:bidi w:val="0"/>
        <w:spacing w:before="0" w:after="0" w:line="47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40" w:line="473" w:lineRule="exact"/>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24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3"/>
      <w:bookmarkEnd w:id="294"/>
      <w:bookmarkEnd w:id="296"/>
    </w:p>
    <w:p>
      <w:pPr>
        <w:pStyle w:val="Style29"/>
        <w:keepNext w:val="0"/>
        <w:keepLines w:val="0"/>
        <w:widowControl w:val="0"/>
        <w:shd w:val="clear" w:color="auto" w:fill="auto"/>
        <w:bidi w:val="0"/>
        <w:spacing w:before="0" w:after="540" w:line="47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tabs>
          <w:tab w:pos="517" w:val="left"/>
        </w:tabs>
        <w:bidi w:val="0"/>
        <w:spacing w:before="0" w:after="24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7"/>
      <w:bookmarkEnd w:id="298"/>
      <w:bookmarkEnd w:id="300"/>
    </w:p>
    <w:p>
      <w:pPr>
        <w:pStyle w:val="Style29"/>
        <w:keepNext w:val="0"/>
        <w:keepLines w:val="0"/>
        <w:widowControl w:val="0"/>
        <w:shd w:val="clear" w:color="auto" w:fill="auto"/>
        <w:bidi w:val="0"/>
        <w:spacing w:before="0" w:after="460" w:line="47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tabs>
          <w:tab w:pos="522" w:val="left"/>
        </w:tabs>
        <w:bidi w:val="0"/>
        <w:spacing w:before="0" w:after="24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董事会关于报告期会计政策、会计估计变更或重大会计差错更正的说明</w:t>
      </w:r>
      <w:bookmarkEnd w:id="301"/>
      <w:bookmarkEnd w:id="302"/>
      <w:bookmarkEnd w:id="304"/>
    </w:p>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 易。本公司执行该规定的主要影响如下：</w:t>
      </w:r>
    </w:p>
    <w:tbl>
      <w:tblPr>
        <w:tblOverlap w:val="never"/>
        <w:jc w:val="center"/>
        <w:tblLayout w:type="fixed"/>
      </w:tblPr>
      <w:tblGrid>
        <w:gridCol w:w="5966"/>
        <w:gridCol w:w="3902"/>
      </w:tblGrid>
      <w:tr>
        <w:trPr>
          <w:trHeight w:val="504"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受影响的报表项目名称和金额</w:t>
            </w:r>
          </w:p>
        </w:tc>
      </w:tr>
    </w:tbl>
    <w:p>
      <w:pPr>
        <w:widowControl w:val="0"/>
        <w:spacing w:line="1" w:lineRule="exact"/>
      </w:pPr>
      <w:r>
        <w:br w:type="page"/>
      </w:r>
    </w:p>
    <w:tbl>
      <w:tblPr>
        <w:tblOverlap w:val="never"/>
        <w:jc w:val="center"/>
        <w:tblLayout w:type="fixed"/>
      </w:tblPr>
      <w:tblGrid>
        <w:gridCol w:w="5966"/>
        <w:gridCol w:w="3902"/>
      </w:tblGrid>
      <w:tr>
        <w:trPr>
          <w:trHeight w:val="509"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受影响的报表项目名称和金额</w:t>
            </w:r>
          </w:p>
        </w:tc>
      </w:tr>
      <w:tr>
        <w:trPr>
          <w:trHeight w:val="49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130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401"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日起企业经营活动发生的房产税、土地使用税、 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日之前发生的税费不予调整。比较数据不予调整。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7,990,321.69</w:t>
            </w:r>
            <w:r>
              <w:rPr>
                <w:color w:val="000000"/>
                <w:spacing w:val="0"/>
                <w:w w:val="100"/>
                <w:position w:val="0"/>
                <w:sz w:val="17"/>
                <w:szCs w:val="17"/>
              </w:rPr>
              <w:t>元，调减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管理费用本年金额</w:t>
            </w:r>
            <w:r>
              <w:rPr>
                <w:rFonts w:ascii="Times New Roman" w:eastAsia="Times New Roman" w:hAnsi="Times New Roman" w:cs="Times New Roman"/>
                <w:color w:val="000000"/>
                <w:spacing w:val="0"/>
                <w:w w:val="100"/>
                <w:position w:val="0"/>
                <w:sz w:val="18"/>
                <w:szCs w:val="18"/>
              </w:rPr>
              <w:t>7,990,321.69</w:t>
            </w:r>
            <w:r>
              <w:rPr>
                <w:color w:val="000000"/>
                <w:spacing w:val="0"/>
                <w:w w:val="100"/>
                <w:position w:val="0"/>
                <w:sz w:val="17"/>
                <w:szCs w:val="17"/>
              </w:rPr>
              <w:t>元。</w:t>
            </w: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、与上年度财务报告相比，合并报表范围发生变化的情况说明</w:t>
      </w:r>
      <w:bookmarkEnd w:id="305"/>
      <w:bookmarkEnd w:id="306"/>
      <w:bookmarkEnd w:id="308"/>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460"/>
        <w:jc w:val="left"/>
      </w:pPr>
      <w:bookmarkStart w:id="309" w:name="bookmark309"/>
      <w:r>
        <w:rPr>
          <w:rFonts w:ascii="Times New Roman" w:eastAsia="Times New Roman" w:hAnsi="Times New Roman" w:cs="Times New Roman"/>
          <w:b/>
          <w:bCs/>
          <w:color w:val="000000"/>
          <w:spacing w:val="0"/>
          <w:w w:val="100"/>
          <w:position w:val="0"/>
          <w:sz w:val="18"/>
          <w:szCs w:val="18"/>
        </w:rPr>
        <w:t>1</w:t>
      </w:r>
      <w:bookmarkEnd w:id="309"/>
      <w:r>
        <w:rPr>
          <w:b/>
          <w:bCs/>
          <w:color w:val="000000"/>
          <w:spacing w:val="0"/>
          <w:w w:val="100"/>
          <w:position w:val="0"/>
        </w:rPr>
        <w:t>、非同一控制下企业合并</w:t>
      </w:r>
    </w:p>
    <w:tbl>
      <w:tblPr>
        <w:tblOverlap w:val="never"/>
        <w:jc w:val="center"/>
        <w:tblLayout w:type="fixed"/>
      </w:tblPr>
      <w:tblGrid>
        <w:gridCol w:w="1718"/>
        <w:gridCol w:w="802"/>
        <w:gridCol w:w="1152"/>
        <w:gridCol w:w="725"/>
        <w:gridCol w:w="634"/>
        <w:gridCol w:w="744"/>
        <w:gridCol w:w="1675"/>
        <w:gridCol w:w="1248"/>
        <w:gridCol w:w="1171"/>
      </w:tblGrid>
      <w:tr>
        <w:trPr>
          <w:trHeight w:val="12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被购买方名称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股权取</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股权取得成本</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股权取</w:t>
            </w:r>
          </w:p>
          <w:p>
            <w:pPr>
              <w:pStyle w:val="Style2"/>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得比例</w:t>
            </w:r>
          </w:p>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股权</w:t>
            </w:r>
          </w:p>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取得</w:t>
            </w:r>
          </w:p>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购买日的确定依据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240" w:line="240" w:lineRule="auto"/>
              <w:ind w:left="0" w:right="0" w:firstLine="160"/>
              <w:jc w:val="left"/>
              <w:rPr>
                <w:sz w:val="14"/>
                <w:szCs w:val="14"/>
              </w:rPr>
            </w:pPr>
            <w:r>
              <w:rPr>
                <w:color w:val="000000"/>
                <w:spacing w:val="0"/>
                <w:w w:val="100"/>
                <w:position w:val="0"/>
                <w:sz w:val="14"/>
                <w:szCs w:val="14"/>
              </w:rPr>
              <w:t>购买日至期末</w:t>
            </w:r>
          </w:p>
          <w:p>
            <w:pPr>
              <w:pStyle w:val="Style2"/>
              <w:keepNext w:val="0"/>
              <w:keepLines w:val="0"/>
              <w:widowControl w:val="0"/>
              <w:shd w:val="clear" w:color="auto" w:fill="auto"/>
              <w:bidi w:val="0"/>
              <w:spacing w:before="0" w:after="240" w:line="240" w:lineRule="auto"/>
              <w:ind w:left="0" w:right="0" w:firstLine="160"/>
              <w:jc w:val="left"/>
              <w:rPr>
                <w:sz w:val="14"/>
                <w:szCs w:val="14"/>
              </w:rPr>
            </w:pPr>
            <w:r>
              <w:rPr>
                <w:color w:val="000000"/>
                <w:spacing w:val="0"/>
                <w:w w:val="100"/>
                <w:position w:val="0"/>
                <w:sz w:val="14"/>
                <w:szCs w:val="14"/>
              </w:rPr>
              <w:t>被购买方的收</w:t>
            </w:r>
          </w:p>
          <w:p>
            <w:pPr>
              <w:pStyle w:val="Style2"/>
              <w:keepNext w:val="0"/>
              <w:keepLines w:val="0"/>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rPr>
              <w:t>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购买日至期末</w:t>
            </w:r>
          </w:p>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被购买方的净</w:t>
            </w:r>
          </w:p>
          <w:p>
            <w:pPr>
              <w:pStyle w:val="Style2"/>
              <w:keepNext w:val="0"/>
              <w:keepLines w:val="0"/>
              <w:widowControl w:val="0"/>
              <w:shd w:val="clear" w:color="auto" w:fill="auto"/>
              <w:bidi w:val="0"/>
              <w:spacing w:before="0" w:after="240" w:line="240" w:lineRule="auto"/>
              <w:ind w:left="0" w:right="420" w:firstLine="0"/>
              <w:jc w:val="right"/>
              <w:rPr>
                <w:sz w:val="14"/>
                <w:szCs w:val="14"/>
              </w:rPr>
            </w:pPr>
            <w:r>
              <w:rPr>
                <w:color w:val="000000"/>
                <w:spacing w:val="0"/>
                <w:w w:val="100"/>
                <w:position w:val="0"/>
                <w:sz w:val="14"/>
                <w:szCs w:val="14"/>
              </w:rPr>
              <w:t>利润</w:t>
            </w:r>
          </w:p>
        </w:tc>
      </w:tr>
      <w:tr>
        <w:trPr>
          <w:trHeight w:val="12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中科鼎富（北京）科技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4"/>
                <w:szCs w:val="14"/>
              </w:rPr>
              <w:t>年</w:t>
            </w:r>
          </w:p>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4"/>
                <w:szCs w:val="14"/>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价款已支付</w:t>
            </w:r>
            <w:r>
              <w:rPr>
                <w:rFonts w:ascii="Times New Roman" w:eastAsia="Times New Roman" w:hAnsi="Times New Roman" w:cs="Times New Roman"/>
                <w:color w:val="000000"/>
                <w:spacing w:val="0"/>
                <w:w w:val="100"/>
                <w:position w:val="0"/>
                <w:sz w:val="15"/>
                <w:szCs w:val="15"/>
              </w:rPr>
              <w:t>50%</w:t>
            </w:r>
            <w:r>
              <w:rPr>
                <w:color w:val="000000"/>
                <w:spacing w:val="0"/>
                <w:w w:val="100"/>
                <w:position w:val="0"/>
                <w:sz w:val="14"/>
                <w:szCs w:val="14"/>
              </w:rPr>
              <w:t>，工商</w:t>
            </w:r>
          </w:p>
          <w:p>
            <w:pPr>
              <w:pStyle w:val="Style2"/>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变更已完成，双方实质</w:t>
            </w:r>
          </w:p>
          <w:p>
            <w:pPr>
              <w:pStyle w:val="Style2"/>
              <w:keepNext w:val="0"/>
              <w:keepLines w:val="0"/>
              <w:widowControl w:val="0"/>
              <w:shd w:val="clear" w:color="auto" w:fill="auto"/>
              <w:bidi w:val="0"/>
              <w:spacing w:before="0" w:after="220" w:line="240" w:lineRule="auto"/>
              <w:ind w:left="0" w:right="0" w:firstLine="0"/>
              <w:jc w:val="left"/>
              <w:rPr>
                <w:sz w:val="14"/>
                <w:szCs w:val="14"/>
              </w:rPr>
            </w:pPr>
            <w:r>
              <w:rPr>
                <w:color w:val="000000"/>
                <w:spacing w:val="0"/>
                <w:w w:val="100"/>
                <w:position w:val="0"/>
                <w:sz w:val="14"/>
                <w:szCs w:val="14"/>
              </w:rPr>
              <w:t>交接程序完成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6,397,074.06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-239,367.79</w:t>
            </w:r>
          </w:p>
        </w:tc>
      </w:tr>
      <w:tr>
        <w:trPr>
          <w:trHeight w:val="121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深圳市前海泰岳梧桐</w:t>
            </w:r>
          </w:p>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投资基金管理有限公</w:t>
            </w:r>
          </w:p>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986,757.89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4"/>
                <w:szCs w:val="14"/>
              </w:rPr>
              <w:t>年</w:t>
            </w:r>
          </w:p>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1" w:lineRule="exact"/>
              <w:ind w:left="0" w:right="0" w:firstLine="0"/>
              <w:jc w:val="left"/>
              <w:rPr>
                <w:sz w:val="14"/>
                <w:szCs w:val="14"/>
              </w:rPr>
            </w:pPr>
            <w:r>
              <w:rPr>
                <w:color w:val="000000"/>
                <w:spacing w:val="0"/>
                <w:w w:val="100"/>
                <w:position w:val="0"/>
                <w:sz w:val="14"/>
                <w:szCs w:val="14"/>
              </w:rPr>
              <w:t>股权转让款项支付完 毕，工商变更完成，双 方实质交接程序完成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1,683,206.03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278,182.98</w:t>
            </w:r>
          </w:p>
        </w:tc>
      </w:tr>
      <w:tr>
        <w:trPr>
          <w:trHeight w:val="121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北京华泰德丰技术有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5,241,213.74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4"/>
                <w:szCs w:val="14"/>
              </w:rPr>
              <w:t>年</w:t>
            </w:r>
          </w:p>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月</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0"/>
              <w:jc w:val="left"/>
              <w:rPr>
                <w:sz w:val="14"/>
                <w:szCs w:val="14"/>
              </w:rPr>
            </w:pPr>
            <w:r>
              <w:rPr>
                <w:color w:val="000000"/>
                <w:spacing w:val="0"/>
                <w:w w:val="100"/>
                <w:position w:val="0"/>
                <w:sz w:val="14"/>
                <w:szCs w:val="14"/>
              </w:rPr>
              <w:t>股权转让款项支付完 毕，工商变更完成，双 方实质交接程序完成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22,686,449.04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8,410,530.41</w:t>
            </w:r>
          </w:p>
        </w:tc>
      </w:tr>
    </w:tbl>
    <w:p>
      <w:pPr>
        <w:widowControl w:val="0"/>
        <w:spacing w:after="159" w:line="1" w:lineRule="exact"/>
      </w:pPr>
    </w:p>
    <w:p>
      <w:pPr>
        <w:pStyle w:val="Style29"/>
        <w:keepNext w:val="0"/>
        <w:keepLines w:val="0"/>
        <w:widowControl w:val="0"/>
        <w:shd w:val="clear" w:color="auto" w:fill="auto"/>
        <w:bidi w:val="0"/>
        <w:spacing w:before="0" w:after="420" w:line="240" w:lineRule="auto"/>
        <w:ind w:left="0" w:right="0" w:firstLine="0"/>
        <w:jc w:val="left"/>
      </w:pPr>
      <w:bookmarkStart w:id="310" w:name="bookmark310"/>
      <w:r>
        <w:rPr>
          <w:rFonts w:ascii="Times New Roman" w:eastAsia="Times New Roman" w:hAnsi="Times New Roman" w:cs="Times New Roman"/>
          <w:b/>
          <w:bCs/>
          <w:color w:val="000000"/>
          <w:spacing w:val="0"/>
          <w:w w:val="100"/>
          <w:position w:val="0"/>
          <w:sz w:val="18"/>
          <w:szCs w:val="18"/>
        </w:rPr>
        <w:t>2</w:t>
      </w:r>
      <w:bookmarkEnd w:id="310"/>
      <w:r>
        <w:rPr>
          <w:b/>
          <w:bCs/>
          <w:color w:val="000000"/>
          <w:spacing w:val="0"/>
          <w:w w:val="100"/>
          <w:position w:val="0"/>
        </w:rPr>
        <w:t>、处置子公司——单次处置对子公司投资即丧失控制权的情形</w:t>
      </w:r>
    </w:p>
    <w:tbl>
      <w:tblPr>
        <w:tblOverlap w:val="never"/>
        <w:jc w:val="center"/>
        <w:tblLayout w:type="fixed"/>
      </w:tblPr>
      <w:tblGrid>
        <w:gridCol w:w="907"/>
        <w:gridCol w:w="1080"/>
        <w:gridCol w:w="638"/>
        <w:gridCol w:w="854"/>
        <w:gridCol w:w="634"/>
        <w:gridCol w:w="936"/>
        <w:gridCol w:w="1133"/>
        <w:gridCol w:w="667"/>
        <w:gridCol w:w="1003"/>
        <w:gridCol w:w="1003"/>
        <w:gridCol w:w="1013"/>
      </w:tblGrid>
      <w:tr>
        <w:trPr>
          <w:trHeight w:val="321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子公司名</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40" w:line="240" w:lineRule="auto"/>
              <w:ind w:left="0" w:right="0" w:firstLine="160"/>
              <w:jc w:val="left"/>
              <w:rPr>
                <w:sz w:val="14"/>
                <w:szCs w:val="14"/>
              </w:rPr>
            </w:pPr>
            <w:r>
              <w:rPr>
                <w:color w:val="000000"/>
                <w:spacing w:val="0"/>
                <w:w w:val="100"/>
                <w:position w:val="0"/>
                <w:sz w:val="14"/>
                <w:szCs w:val="14"/>
              </w:rPr>
              <w:t>股权处置价</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97" w:lineRule="exact"/>
              <w:ind w:left="0" w:right="0" w:firstLine="0"/>
              <w:jc w:val="center"/>
              <w:rPr>
                <w:sz w:val="14"/>
                <w:szCs w:val="14"/>
              </w:rPr>
            </w:pPr>
            <w:r>
              <w:rPr>
                <w:color w:val="000000"/>
                <w:spacing w:val="0"/>
                <w:w w:val="100"/>
                <w:position w:val="0"/>
                <w:sz w:val="14"/>
                <w:szCs w:val="14"/>
              </w:rPr>
              <w:t>股权 处置 比例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股权处置</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96" w:lineRule="exact"/>
              <w:ind w:left="0" w:right="0" w:firstLine="0"/>
              <w:jc w:val="center"/>
              <w:rPr>
                <w:sz w:val="14"/>
                <w:szCs w:val="14"/>
              </w:rPr>
            </w:pPr>
            <w:r>
              <w:rPr>
                <w:color w:val="000000"/>
                <w:spacing w:val="0"/>
                <w:w w:val="100"/>
                <w:position w:val="0"/>
                <w:sz w:val="14"/>
                <w:szCs w:val="14"/>
              </w:rPr>
              <w:t>丧失</w:t>
            </w:r>
          </w:p>
          <w:p>
            <w:pPr>
              <w:pStyle w:val="Style2"/>
              <w:keepNext w:val="0"/>
              <w:keepLines w:val="0"/>
              <w:widowControl w:val="0"/>
              <w:shd w:val="clear" w:color="auto" w:fill="auto"/>
              <w:bidi w:val="0"/>
              <w:spacing w:before="0" w:after="0" w:line="396" w:lineRule="exact"/>
              <w:ind w:left="160" w:right="0" w:firstLine="0"/>
              <w:jc w:val="left"/>
              <w:rPr>
                <w:sz w:val="14"/>
                <w:szCs w:val="14"/>
              </w:rPr>
            </w:pPr>
            <w:r>
              <w:rPr>
                <w:color w:val="000000"/>
                <w:spacing w:val="0"/>
                <w:w w:val="100"/>
                <w:position w:val="0"/>
                <w:sz w:val="14"/>
                <w:szCs w:val="14"/>
              </w:rPr>
              <w:t>控制 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丧失控制</w:t>
            </w:r>
          </w:p>
          <w:p>
            <w:pPr>
              <w:pStyle w:val="Style2"/>
              <w:keepNext w:val="0"/>
              <w:keepLines w:val="0"/>
              <w:widowControl w:val="0"/>
              <w:shd w:val="clear" w:color="auto" w:fill="auto"/>
              <w:bidi w:val="0"/>
              <w:spacing w:before="0" w:after="220" w:line="240" w:lineRule="auto"/>
              <w:ind w:left="0" w:right="0" w:firstLine="160"/>
              <w:jc w:val="left"/>
              <w:rPr>
                <w:sz w:val="14"/>
                <w:szCs w:val="14"/>
              </w:rPr>
            </w:pPr>
            <w:r>
              <w:rPr>
                <w:color w:val="000000"/>
                <w:spacing w:val="0"/>
                <w:w w:val="100"/>
                <w:position w:val="0"/>
                <w:sz w:val="14"/>
                <w:szCs w:val="14"/>
              </w:rPr>
              <w:t>权时点的</w:t>
            </w:r>
          </w:p>
          <w:p>
            <w:pPr>
              <w:pStyle w:val="Style2"/>
              <w:keepNext w:val="0"/>
              <w:keepLines w:val="0"/>
              <w:widowControl w:val="0"/>
              <w:shd w:val="clear" w:color="auto" w:fill="auto"/>
              <w:bidi w:val="0"/>
              <w:spacing w:before="0" w:after="220" w:line="240" w:lineRule="auto"/>
              <w:ind w:left="0" w:right="0" w:firstLine="160"/>
              <w:jc w:val="left"/>
              <w:rPr>
                <w:sz w:val="14"/>
                <w:szCs w:val="14"/>
              </w:rPr>
            </w:pPr>
            <w:r>
              <w:rPr>
                <w:color w:val="000000"/>
                <w:spacing w:val="0"/>
                <w:w w:val="100"/>
                <w:position w:val="0"/>
                <w:sz w:val="14"/>
                <w:szCs w:val="14"/>
              </w:rPr>
              <w:t>确定依据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400" w:lineRule="exact"/>
              <w:ind w:left="0" w:right="0" w:firstLine="0"/>
              <w:jc w:val="center"/>
              <w:rPr>
                <w:sz w:val="14"/>
                <w:szCs w:val="14"/>
              </w:rPr>
            </w:pPr>
            <w:r>
              <w:rPr>
                <w:color w:val="000000"/>
                <w:spacing w:val="0"/>
                <w:w w:val="100"/>
                <w:position w:val="0"/>
                <w:sz w:val="14"/>
                <w:szCs w:val="14"/>
              </w:rPr>
              <w:t>处置价款与处 置投资对应的 合并财务报表 层面享有该子 公司净资产份 额的差额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98" w:lineRule="exact"/>
              <w:ind w:left="0" w:right="0" w:firstLine="0"/>
              <w:jc w:val="center"/>
              <w:rPr>
                <w:sz w:val="14"/>
                <w:szCs w:val="14"/>
              </w:rPr>
            </w:pPr>
            <w:r>
              <w:rPr>
                <w:color w:val="000000"/>
                <w:spacing w:val="0"/>
                <w:w w:val="100"/>
                <w:position w:val="0"/>
                <w:sz w:val="14"/>
                <w:szCs w:val="14"/>
              </w:rPr>
              <w:t>丧失 控制 权之 日剩 余股 权的 比例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400" w:lineRule="exact"/>
              <w:ind w:left="0" w:right="0" w:firstLine="0"/>
              <w:jc w:val="center"/>
              <w:rPr>
                <w:sz w:val="14"/>
                <w:szCs w:val="14"/>
              </w:rPr>
            </w:pPr>
            <w:r>
              <w:rPr>
                <w:color w:val="000000"/>
                <w:spacing w:val="0"/>
                <w:w w:val="100"/>
                <w:position w:val="0"/>
                <w:sz w:val="14"/>
                <w:szCs w:val="14"/>
              </w:rPr>
              <w:t>丧失控制权 之日剩余股 权的账面价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400" w:lineRule="exact"/>
              <w:ind w:left="0" w:right="0" w:firstLine="0"/>
              <w:jc w:val="center"/>
              <w:rPr>
                <w:sz w:val="14"/>
                <w:szCs w:val="14"/>
              </w:rPr>
            </w:pPr>
            <w:r>
              <w:rPr>
                <w:color w:val="000000"/>
                <w:spacing w:val="0"/>
                <w:w w:val="100"/>
                <w:position w:val="0"/>
                <w:sz w:val="14"/>
                <w:szCs w:val="14"/>
              </w:rPr>
              <w:t>丧失控制权 之日剩余股 权的公允价 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400" w:lineRule="exact"/>
              <w:ind w:left="0" w:right="0" w:firstLine="0"/>
              <w:jc w:val="left"/>
              <w:rPr>
                <w:sz w:val="14"/>
                <w:szCs w:val="14"/>
              </w:rPr>
            </w:pPr>
            <w:r>
              <w:rPr>
                <w:color w:val="000000"/>
                <w:spacing w:val="0"/>
                <w:w w:val="100"/>
                <w:position w:val="0"/>
                <w:sz w:val="14"/>
                <w:szCs w:val="14"/>
              </w:rPr>
              <w:t>按照公允价 值重新计量 剩余股权产 生的利得或</w:t>
            </w:r>
          </w:p>
          <w:p>
            <w:pPr>
              <w:pStyle w:val="Style2"/>
              <w:keepNext w:val="0"/>
              <w:keepLines w:val="0"/>
              <w:widowControl w:val="0"/>
              <w:shd w:val="clear" w:color="auto" w:fill="auto"/>
              <w:bidi w:val="0"/>
              <w:spacing w:before="0" w:after="0" w:line="400" w:lineRule="exact"/>
              <w:ind w:left="0" w:right="0" w:firstLine="0"/>
              <w:jc w:val="center"/>
              <w:rPr>
                <w:sz w:val="14"/>
                <w:szCs w:val="14"/>
              </w:rPr>
            </w:pPr>
            <w:r>
              <w:rPr>
                <w:color w:val="000000"/>
                <w:spacing w:val="0"/>
                <w:w w:val="100"/>
                <w:position w:val="0"/>
                <w:sz w:val="14"/>
                <w:szCs w:val="14"/>
              </w:rPr>
              <w:t>损失</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北京神州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转让以及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新股东增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-771,841.60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6,142,117.12</w:t>
            </w:r>
          </w:p>
        </w:tc>
      </w:tr>
      <w:tr>
        <w:trPr>
          <w:trHeight w:val="307"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泰岳教育</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新股东增</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月</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资完成，持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07"/>
        <w:gridCol w:w="1080"/>
        <w:gridCol w:w="638"/>
        <w:gridCol w:w="854"/>
        <w:gridCol w:w="634"/>
        <w:gridCol w:w="936"/>
        <w:gridCol w:w="1133"/>
        <w:gridCol w:w="667"/>
        <w:gridCol w:w="1003"/>
        <w:gridCol w:w="1003"/>
        <w:gridCol w:w="1013"/>
      </w:tblGrid>
      <w:tr>
        <w:trPr>
          <w:trHeight w:val="53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北京神州泰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资导致丧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股及表决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岳教育科技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失控制权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权比例下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北京裂变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转让以及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新股东增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14,845,261.29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1,157,368.12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1,157,368.12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6,742,631.87</w:t>
            </w:r>
          </w:p>
        </w:tc>
      </w:tr>
      <w:tr>
        <w:trPr>
          <w:trHeight w:val="38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新股东增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4"/>
                <w:szCs w:val="14"/>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资完成，持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资导致丧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股及表决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失控制权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权比例下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、其他原因的合并范围变动</w:t>
      </w:r>
    </w:p>
    <w:p>
      <w:pPr>
        <w:widowControl w:val="0"/>
        <w:spacing w:after="2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）本期因新设纳入合并范围明细如下:</w:t>
      </w:r>
    </w:p>
    <w:tbl>
      <w:tblPr>
        <w:tblOverlap w:val="never"/>
        <w:jc w:val="center"/>
        <w:tblLayout w:type="fixed"/>
      </w:tblPr>
      <w:tblGrid>
        <w:gridCol w:w="3542"/>
        <w:gridCol w:w="1882"/>
        <w:gridCol w:w="2112"/>
        <w:gridCol w:w="106"/>
        <w:gridCol w:w="2227"/>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级次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重庆泰岳优才科技有限公司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二级</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75.00</w:t>
            </w:r>
          </w:p>
        </w:tc>
      </w:tr>
    </w:tbl>
    <w:p>
      <w:pPr>
        <w:pStyle w:val="Style35"/>
        <w:keepNext w:val="0"/>
        <w:keepLines w:val="0"/>
        <w:widowControl w:val="0"/>
        <w:shd w:val="clear" w:color="auto" w:fill="auto"/>
        <w:bidi w:val="0"/>
        <w:spacing w:before="0" w:after="0" w:line="480" w:lineRule="exact"/>
        <w:ind w:left="10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）公司本年因清算减少五级子公司</w:t>
      </w:r>
      <w:r>
        <w:rPr>
          <w:rFonts w:ascii="Times New Roman" w:eastAsia="Times New Roman" w:hAnsi="Times New Roman" w:cs="Times New Roman"/>
          <w:color w:val="000000"/>
          <w:spacing w:val="0"/>
          <w:w w:val="100"/>
          <w:position w:val="0"/>
          <w:sz w:val="18"/>
          <w:szCs w:val="18"/>
        </w:rPr>
        <w:t>ultrapower software MEA FZ-LLC</w:t>
      </w:r>
      <w:r>
        <w:rPr>
          <w:color w:val="000000"/>
          <w:spacing w:val="0"/>
          <w:w w:val="100"/>
          <w:position w:val="0"/>
        </w:rPr>
        <w:t>、</w:t>
      </w:r>
      <w:r>
        <w:rPr>
          <w:color w:val="000000"/>
          <w:spacing w:val="0"/>
          <w:w w:val="100"/>
          <w:position w:val="0"/>
        </w:rPr>
        <w:t>五级子公司</w:t>
      </w:r>
      <w:r>
        <w:rPr>
          <w:rFonts w:ascii="Times New Roman" w:eastAsia="Times New Roman" w:hAnsi="Times New Roman" w:cs="Times New Roman"/>
          <w:color w:val="000000"/>
          <w:spacing w:val="0"/>
          <w:w w:val="100"/>
          <w:position w:val="0"/>
          <w:sz w:val="18"/>
          <w:szCs w:val="18"/>
        </w:rPr>
        <w:t>CAMEL GAMES LTD.</w:t>
      </w:r>
      <w:r>
        <w:rPr>
          <w:color w:val="000000"/>
          <w:spacing w:val="0"/>
          <w:w w:val="100"/>
          <w:position w:val="0"/>
        </w:rPr>
        <w:t>、</w:t>
      </w:r>
      <w:r>
        <w:rPr>
          <w:color w:val="000000"/>
          <w:spacing w:val="0"/>
          <w:w w:val="100"/>
          <w:position w:val="0"/>
        </w:rPr>
        <w:t>五级子公 司北京左岸风暴科技有限公司。</w:t>
      </w:r>
    </w:p>
    <w:p>
      <w:pPr>
        <w:widowControl w:val="0"/>
        <w:spacing w:after="519" w:line="1" w:lineRule="exact"/>
      </w:pPr>
    </w:p>
    <w:p>
      <w:pPr>
        <w:pStyle w:val="Style27"/>
        <w:keepNext/>
        <w:keepLines/>
        <w:widowControl w:val="0"/>
        <w:shd w:val="clear" w:color="auto" w:fill="auto"/>
        <w:bidi w:val="0"/>
        <w:spacing w:before="0" w:after="52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、聘任、解聘会计师事务所情况</w:t>
      </w:r>
      <w:bookmarkEnd w:id="311"/>
      <w:bookmarkEnd w:id="312"/>
      <w:bookmarkEnd w:id="314"/>
    </w:p>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现聘任的会计事务所</w:t>
      </w:r>
    </w:p>
    <w:tbl>
      <w:tblPr>
        <w:tblOverlap w:val="never"/>
        <w:jc w:val="center"/>
        <w:tblLayout w:type="fixed"/>
      </w:tblPr>
      <w:tblGrid>
        <w:gridCol w:w="3941"/>
        <w:gridCol w:w="577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立信会计师事务所（特殊普通合伙）</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肖菲、陈迅骅</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bl>
    <w:p>
      <w:pPr>
        <w:widowControl w:val="0"/>
        <w:spacing w:after="139" w:line="1" w:lineRule="exact"/>
      </w:pPr>
    </w:p>
    <w:p>
      <w:pPr>
        <w:pStyle w:val="Style29"/>
        <w:keepNext w:val="0"/>
        <w:keepLines w:val="0"/>
        <w:widowControl w:val="0"/>
        <w:shd w:val="clear" w:color="auto" w:fill="auto"/>
        <w:bidi w:val="0"/>
        <w:spacing w:before="0" w:after="240" w:line="240" w:lineRule="auto"/>
        <w:ind w:left="0" w:right="0" w:firstLine="460"/>
        <w:jc w:val="left"/>
      </w:pPr>
      <w:r>
        <w:rPr>
          <w:b/>
          <w:bCs/>
          <w:color w:val="000000"/>
          <w:spacing w:val="0"/>
          <w:w w:val="100"/>
          <w:position w:val="0"/>
        </w:rPr>
        <w:t>是否改聘会计师事务所</w:t>
      </w:r>
    </w:p>
    <w:p>
      <w:pPr>
        <w:pStyle w:val="Style63"/>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b w:val="0"/>
          <w:bCs w:val="0"/>
          <w:i w:val="0"/>
          <w:iCs w:val="0"/>
          <w:color w:val="000000"/>
          <w:spacing w:val="0"/>
          <w:w w:val="100"/>
          <w:position w:val="0"/>
          <w:sz w:val="18"/>
          <w:szCs w:val="18"/>
        </w:rPr>
        <w:t>□</w:t>
      </w:r>
      <w:r>
        <w:rPr>
          <w:rFonts w:ascii="SimSun" w:eastAsia="SimSun" w:hAnsi="SimSun" w:cs="SimSun"/>
          <w:b w:val="0"/>
          <w:bCs w:val="0"/>
          <w:i w:val="0"/>
          <w:iCs w:val="0"/>
          <w:color w:val="000000"/>
          <w:spacing w:val="0"/>
          <w:w w:val="100"/>
          <w:position w:val="0"/>
          <w:sz w:val="17"/>
          <w:szCs w:val="17"/>
        </w:rPr>
        <w:t>是</w:t>
      </w:r>
      <w:r>
        <w:rPr>
          <w:rFonts w:ascii="SimSun" w:eastAsia="SimSun" w:hAnsi="SimSun" w:cs="SimSun"/>
          <w:color w:val="000000"/>
          <w:spacing w:val="0"/>
          <w:w w:val="100"/>
          <w:position w:val="0"/>
          <w:sz w:val="17"/>
          <w:szCs w:val="17"/>
        </w:rPr>
        <w:t>V</w:t>
      </w:r>
      <w:r>
        <w:rPr>
          <w:color w:val="000000"/>
          <w:spacing w:val="0"/>
          <w:w w:val="100"/>
          <w:position w:val="0"/>
        </w:rPr>
        <w:t>否</w:t>
      </w:r>
    </w:p>
    <w:p>
      <w:pPr>
        <w:pStyle w:val="Style29"/>
        <w:keepNext w:val="0"/>
        <w:keepLines w:val="0"/>
        <w:widowControl w:val="0"/>
        <w:shd w:val="clear" w:color="auto" w:fill="auto"/>
        <w:bidi w:val="0"/>
        <w:spacing w:before="0" w:after="260" w:line="470" w:lineRule="exact"/>
        <w:ind w:left="0" w:right="0" w:firstLine="360"/>
        <w:jc w:val="left"/>
      </w:pPr>
      <w:r>
        <w:rPr>
          <w:b/>
          <w:bCs/>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260" w:line="545"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九</w:t>
      </w:r>
      <w:bookmarkEnd w:id="317"/>
      <w:r>
        <w:rPr>
          <w:color w:val="000000"/>
          <w:spacing w:val="0"/>
          <w:w w:val="100"/>
          <w:position w:val="0"/>
        </w:rPr>
        <w:t>、年度报告披露后面临暂停上市和终止上市情况</w:t>
      </w:r>
      <w:bookmarkEnd w:id="315"/>
      <w:bookmarkEnd w:id="316"/>
      <w:bookmarkEnd w:id="318"/>
    </w:p>
    <w:p>
      <w:pPr>
        <w:pStyle w:val="Style29"/>
        <w:keepNext w:val="0"/>
        <w:keepLines w:val="0"/>
        <w:widowControl w:val="0"/>
        <w:shd w:val="clear" w:color="auto" w:fill="auto"/>
        <w:bidi w:val="0"/>
        <w:spacing w:before="0" w:after="26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19" w:name="bookmark319"/>
      <w:bookmarkStart w:id="320" w:name="bookmark320"/>
      <w:bookmarkStart w:id="321" w:name="bookmark321"/>
      <w:r>
        <w:rPr>
          <w:color w:val="000000"/>
          <w:spacing w:val="0"/>
          <w:w w:val="100"/>
          <w:position w:val="0"/>
        </w:rPr>
        <w:t>十、破产重整相关事项</w:t>
      </w:r>
      <w:bookmarkEnd w:id="319"/>
      <w:bookmarkEnd w:id="320"/>
      <w:bookmarkEnd w:id="321"/>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520" w:line="240" w:lineRule="auto"/>
        <w:ind w:left="0" w:right="0" w:firstLine="0"/>
        <w:jc w:val="left"/>
      </w:pPr>
      <w:bookmarkStart w:id="322" w:name="bookmark322"/>
      <w:bookmarkStart w:id="323" w:name="bookmark323"/>
      <w:bookmarkStart w:id="324" w:name="bookmark324"/>
      <w:r>
        <w:rPr>
          <w:color w:val="000000"/>
          <w:spacing w:val="0"/>
          <w:w w:val="100"/>
          <w:position w:val="0"/>
        </w:rPr>
        <w:t>十一、重大诉讼、仲裁事项</w:t>
      </w:r>
      <w:bookmarkEnd w:id="322"/>
      <w:bookmarkEnd w:id="323"/>
      <w:bookmarkEnd w:id="324"/>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20" w:line="470" w:lineRule="exact"/>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520" w:line="240" w:lineRule="auto"/>
        <w:ind w:left="0" w:right="0" w:firstLine="0"/>
        <w:jc w:val="left"/>
      </w:pPr>
      <w:bookmarkStart w:id="325" w:name="bookmark325"/>
      <w:bookmarkStart w:id="326" w:name="bookmark326"/>
      <w:bookmarkStart w:id="327" w:name="bookmark327"/>
      <w:r>
        <w:rPr>
          <w:color w:val="000000"/>
          <w:spacing w:val="0"/>
          <w:w w:val="100"/>
          <w:position w:val="0"/>
        </w:rPr>
        <w:t>十二、处罚及整改情况</w:t>
      </w:r>
      <w:bookmarkEnd w:id="325"/>
      <w:bookmarkEnd w:id="326"/>
      <w:bookmarkEnd w:id="327"/>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520" w:line="240" w:lineRule="auto"/>
        <w:ind w:left="0" w:right="0" w:firstLine="0"/>
        <w:jc w:val="left"/>
      </w:pPr>
      <w:bookmarkStart w:id="328" w:name="bookmark328"/>
      <w:bookmarkStart w:id="329" w:name="bookmark329"/>
      <w:bookmarkStart w:id="330" w:name="bookmark330"/>
      <w:r>
        <w:rPr>
          <w:color w:val="000000"/>
          <w:spacing w:val="0"/>
          <w:w w:val="100"/>
          <w:position w:val="0"/>
        </w:rPr>
        <w:t>十三、公司及其控股股东、实际控制人的诚信状况</w:t>
      </w:r>
      <w:bookmarkEnd w:id="328"/>
      <w:bookmarkEnd w:id="329"/>
      <w:bookmarkEnd w:id="330"/>
    </w:p>
    <w:p>
      <w:pPr>
        <w:pStyle w:val="Style29"/>
        <w:keepNext w:val="0"/>
        <w:keepLines w:val="0"/>
        <w:widowControl w:val="0"/>
        <w:shd w:val="clear" w:color="auto" w:fill="auto"/>
        <w:bidi w:val="0"/>
        <w:spacing w:before="0" w:after="26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31" w:name="bookmark331"/>
      <w:bookmarkStart w:id="332" w:name="bookmark332"/>
      <w:bookmarkStart w:id="333" w:name="bookmark333"/>
      <w:r>
        <w:rPr>
          <w:color w:val="000000"/>
          <w:spacing w:val="0"/>
          <w:w w:val="100"/>
          <w:position w:val="0"/>
        </w:rPr>
        <w:t>十四、公司股权激励计划、员工持股计划或其他员工激励措施的实施情况</w:t>
      </w:r>
      <w:bookmarkEnd w:id="331"/>
      <w:bookmarkEnd w:id="332"/>
      <w:bookmarkEnd w:id="333"/>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70" w:lineRule="exact"/>
        <w:ind w:left="0" w:right="0" w:firstLine="0"/>
        <w:jc w:val="left"/>
      </w:pPr>
      <w:bookmarkStart w:id="334" w:name="bookmark334"/>
      <w:r>
        <w:rPr>
          <w:b/>
          <w:bCs/>
          <w:color w:val="000000"/>
          <w:spacing w:val="0"/>
          <w:w w:val="100"/>
          <w:position w:val="0"/>
        </w:rPr>
        <w:t>一</w:t>
      </w:r>
      <w:bookmarkEnd w:id="334"/>
      <w:r>
        <w:rPr>
          <w:b/>
          <w:bCs/>
          <w:color w:val="000000"/>
          <w:spacing w:val="0"/>
          <w:w w:val="100"/>
          <w:position w:val="0"/>
        </w:rPr>
        <w:t>、公司股权激励计划实施情况</w:t>
      </w:r>
    </w:p>
    <w:p>
      <w:pPr>
        <w:pStyle w:val="Style29"/>
        <w:keepNext w:val="0"/>
        <w:keepLines w:val="0"/>
        <w:widowControl w:val="0"/>
        <w:shd w:val="clear" w:color="auto" w:fill="auto"/>
        <w:bidi w:val="0"/>
        <w:spacing w:before="0" w:after="0" w:line="470"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日，公司第四届董事会第二十九次会议审议通过了《关于公司股权激励计划所涉股票期权与限制性股 票授予的议案》，股权激励计划规定的授予条件已经满足，公司董事会同意授予</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万份股票期权，</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万份 限制性股票，授予日为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日，期权行权价格为</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股、限制性股票价格为</w:t>
      </w:r>
      <w:r>
        <w:rPr>
          <w:rFonts w:ascii="Times New Roman" w:eastAsia="Times New Roman" w:hAnsi="Times New Roman" w:cs="Times New Roman"/>
          <w:color w:val="000000"/>
          <w:spacing w:val="0"/>
          <w:w w:val="100"/>
          <w:position w:val="0"/>
          <w:sz w:val="18"/>
          <w:szCs w:val="18"/>
        </w:rPr>
        <w:t>8.97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日，公司完 成股权激励所涉授予期权与限制性股票的登记工作，其中</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名激励对象认购了限制性股票合计</w:t>
      </w:r>
      <w:r>
        <w:rPr>
          <w:rFonts w:ascii="Times New Roman" w:eastAsia="Times New Roman" w:hAnsi="Times New Roman" w:cs="Times New Roman"/>
          <w:color w:val="000000"/>
          <w:spacing w:val="0"/>
          <w:w w:val="100"/>
          <w:position w:val="0"/>
          <w:sz w:val="18"/>
          <w:szCs w:val="18"/>
        </w:rPr>
        <w:t>418.37</w:t>
      </w:r>
      <w:r>
        <w:rPr>
          <w:color w:val="000000"/>
          <w:spacing w:val="0"/>
          <w:w w:val="100"/>
          <w:position w:val="0"/>
        </w:rPr>
        <w:t>万股。</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35" w:name="bookmark335"/>
      <w:bookmarkEnd w:id="335"/>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日，第五届董事会第六次会议审议通过《关于回购注销部分已不符合激励条件的原激励对象已获授的 限制性股票的议案》、《关于注销部分已不符合激励条件的原激励对象已获授的股票期权的议案》、《关于股票期权和限制 性股票激励计划相关参数调整的议案》，由于</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名激励对象离职及公司实施了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年度权益分配方案，激励对象人数从</w:t>
      </w:r>
      <w:r>
        <w:rPr>
          <w:rFonts w:ascii="Times New Roman" w:eastAsia="Times New Roman" w:hAnsi="Times New Roman" w:cs="Times New Roman"/>
          <w:color w:val="000000"/>
          <w:spacing w:val="0"/>
          <w:w w:val="100"/>
          <w:position w:val="0"/>
          <w:sz w:val="18"/>
          <w:szCs w:val="18"/>
        </w:rPr>
        <w:t xml:space="preserve">370 </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人，其中授予激励对象的股票期权的总数由</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12,182,800</w:t>
      </w:r>
      <w:r>
        <w:rPr>
          <w:color w:val="000000"/>
          <w:spacing w:val="0"/>
          <w:w w:val="100"/>
          <w:position w:val="0"/>
        </w:rPr>
        <w:t>股，行权价格由</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股；授予激励对象的限制性股票总数为</w:t>
      </w:r>
      <w:r>
        <w:rPr>
          <w:rFonts w:ascii="Times New Roman" w:eastAsia="Times New Roman" w:hAnsi="Times New Roman" w:cs="Times New Roman"/>
          <w:color w:val="000000"/>
          <w:spacing w:val="0"/>
          <w:w w:val="100"/>
          <w:position w:val="0"/>
          <w:sz w:val="18"/>
          <w:szCs w:val="18"/>
        </w:rPr>
        <w:t>6,413,120</w:t>
      </w:r>
      <w:r>
        <w:rPr>
          <w:color w:val="000000"/>
          <w:spacing w:val="0"/>
          <w:w w:val="100"/>
          <w:position w:val="0"/>
        </w:rPr>
        <w:t>股。</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36" w:name="bookmark336"/>
      <w:bookmarkEnd w:id="336"/>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日，第五届董事会第十次会议审议通过《关于注销已不符合激励条件的原激励对象已获授的股票期权 的议案》、《关于公司股票期权与限制性股票激励计划第一个行权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解锁的议案》、《关于股票期权与限制性 股票激励计划之股票期权第一个行权期选择自主行权模式的议案》，由于部分激励对象离职，公司将对其获授的股票期权全 部进行注销；公司激励计划授予股票期权的</w:t>
      </w:r>
      <w:r>
        <w:rPr>
          <w:rFonts w:ascii="Times New Roman" w:eastAsia="Times New Roman" w:hAnsi="Times New Roman" w:cs="Times New Roman"/>
          <w:color w:val="000000"/>
          <w:spacing w:val="0"/>
          <w:w w:val="100"/>
          <w:position w:val="0"/>
          <w:sz w:val="18"/>
          <w:szCs w:val="18"/>
        </w:rPr>
        <w:t>327</w:t>
      </w:r>
      <w:r>
        <w:rPr>
          <w:color w:val="000000"/>
          <w:spacing w:val="0"/>
          <w:w w:val="100"/>
          <w:position w:val="0"/>
        </w:rPr>
        <w:t>名激励对象在第一个行权期自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日止，采取自主 行权模式进行行权，可行权数量共计</w:t>
      </w:r>
      <w:r>
        <w:rPr>
          <w:rFonts w:ascii="Times New Roman" w:eastAsia="Times New Roman" w:hAnsi="Times New Roman" w:cs="Times New Roman"/>
          <w:color w:val="000000"/>
          <w:spacing w:val="0"/>
          <w:w w:val="100"/>
          <w:position w:val="0"/>
          <w:sz w:val="18"/>
          <w:szCs w:val="18"/>
        </w:rPr>
        <w:t>2,417,360</w:t>
      </w:r>
      <w:r>
        <w:rPr>
          <w:color w:val="000000"/>
          <w:spacing w:val="0"/>
          <w:w w:val="100"/>
          <w:position w:val="0"/>
        </w:rPr>
        <w:t>份。限制性股票的首次上市流通日为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日，第一次解锁数量为 </w:t>
      </w:r>
      <w:r>
        <w:rPr>
          <w:rFonts w:ascii="Times New Roman" w:eastAsia="Times New Roman" w:hAnsi="Times New Roman" w:cs="Times New Roman"/>
          <w:color w:val="000000"/>
          <w:spacing w:val="0"/>
          <w:w w:val="100"/>
          <w:position w:val="0"/>
          <w:sz w:val="18"/>
          <w:szCs w:val="18"/>
        </w:rPr>
        <w:t>1,282,624</w:t>
      </w:r>
      <w:r>
        <w:rPr>
          <w:color w:val="000000"/>
          <w:spacing w:val="0"/>
          <w:w w:val="100"/>
          <w:position w:val="0"/>
        </w:rPr>
        <w:t>股。</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37" w:name="bookmark337"/>
      <w:bookmarkEnd w:id="337"/>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日第五届董事会第十四次会议及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年第二次临时股东大会审议通过了《公司注 册资本变更的议案》，公司将回购原激励对象的原授予限制性股票共</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股，回购价为</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股。回购注销完成后，公 司注册资本由人民币</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元减少至人民币</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，回购注销事宜办理完毕。</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38" w:name="bookmark338"/>
      <w:bookmarkEnd w:id="338"/>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日，公司第五届董事会第二十五次和第五届监事会第十次会议审议通过了《关于股票期权和限制性股 票激励计划相关参数调整的议案》，由于公司实施了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年度权益分配方案，公司将相应参数进行调整：授予激励对象的股 票期权的总数调整为</w:t>
      </w:r>
      <w:r>
        <w:rPr>
          <w:rFonts w:ascii="Times New Roman" w:eastAsia="Times New Roman" w:hAnsi="Times New Roman" w:cs="Times New Roman"/>
          <w:color w:val="000000"/>
          <w:spacing w:val="0"/>
          <w:w w:val="100"/>
          <w:position w:val="0"/>
          <w:sz w:val="18"/>
          <w:szCs w:val="18"/>
        </w:rPr>
        <w:t>20,199,072</w:t>
      </w:r>
      <w:r>
        <w:rPr>
          <w:color w:val="000000"/>
          <w:spacing w:val="0"/>
          <w:w w:val="100"/>
          <w:position w:val="0"/>
        </w:rPr>
        <w:t>股，行权价格由</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股；授予激励对象的限制性股票总数为</w:t>
      </w:r>
      <w:r>
        <w:rPr>
          <w:rFonts w:ascii="Times New Roman" w:eastAsia="Times New Roman" w:hAnsi="Times New Roman" w:cs="Times New Roman"/>
          <w:color w:val="000000"/>
          <w:spacing w:val="0"/>
          <w:w w:val="100"/>
          <w:position w:val="0"/>
          <w:sz w:val="18"/>
          <w:szCs w:val="18"/>
        </w:rPr>
        <w:t>10,260,992</w:t>
      </w:r>
      <w:r>
        <w:rPr>
          <w:color w:val="000000"/>
          <w:spacing w:val="0"/>
          <w:w w:val="100"/>
          <w:position w:val="0"/>
        </w:rPr>
        <w:t>股， 回购价格由</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2.555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39" w:name="bookmark339"/>
      <w:bookmarkEnd w:id="339"/>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日，公司第五届董事会第三十二次会议和第五届监事会第十二次会议审议通过了《关于注销已不符合 激励条件的原激励对象已获授的股票期权的议案》、《关于注销股票期权与限制性股票激励计划第一个行权期到期未行权期 权的议案》、《关于回购注销已不符合激励条件的原激励对象已获授的限制性股票的议案》、《关于公司股票期权与限制性 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解锁的议案》、《关于股票期权与限制性股票激励计划之股票期权第二个行权期选 择自主行权模式的议案》。由于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名激励对象因个人原因已离职，公司对其获授的股票期权</w:t>
      </w:r>
      <w:r>
        <w:rPr>
          <w:rFonts w:ascii="Times New Roman" w:eastAsia="Times New Roman" w:hAnsi="Times New Roman" w:cs="Times New Roman"/>
          <w:color w:val="000000"/>
          <w:spacing w:val="0"/>
          <w:w w:val="100"/>
          <w:position w:val="0"/>
          <w:sz w:val="18"/>
          <w:szCs w:val="18"/>
        </w:rPr>
        <w:t>932,480</w:t>
      </w:r>
      <w:r>
        <w:rPr>
          <w:color w:val="000000"/>
          <w:spacing w:val="0"/>
          <w:w w:val="100"/>
          <w:position w:val="0"/>
        </w:rPr>
        <w:t>份进行注销，限制性股 票</w:t>
      </w:r>
      <w:r>
        <w:rPr>
          <w:rFonts w:ascii="Times New Roman" w:eastAsia="Times New Roman" w:hAnsi="Times New Roman" w:cs="Times New Roman"/>
          <w:color w:val="000000"/>
          <w:spacing w:val="0"/>
          <w:w w:val="100"/>
          <w:position w:val="0"/>
          <w:sz w:val="18"/>
          <w:szCs w:val="18"/>
        </w:rPr>
        <w:t>269,056</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2.555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股；注销激励对象万能到期未行权期权</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份；公司激励计划第二个行权 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名激励对象可行权总数量为</w:t>
      </w:r>
      <w:r>
        <w:rPr>
          <w:rFonts w:ascii="Times New Roman" w:eastAsia="Times New Roman" w:hAnsi="Times New Roman" w:cs="Times New Roman"/>
          <w:color w:val="000000"/>
          <w:spacing w:val="0"/>
          <w:w w:val="100"/>
          <w:position w:val="0"/>
          <w:sz w:val="18"/>
          <w:szCs w:val="18"/>
        </w:rPr>
        <w:t>4,601,600</w:t>
      </w:r>
      <w:r>
        <w:rPr>
          <w:color w:val="000000"/>
          <w:spacing w:val="0"/>
          <w:w w:val="100"/>
          <w:position w:val="0"/>
        </w:rPr>
        <w:t>份，采取自主行权模式进行行权；限制性 股票第二次解锁数量为</w:t>
      </w:r>
      <w:r>
        <w:rPr>
          <w:rFonts w:ascii="Times New Roman" w:eastAsia="Times New Roman" w:hAnsi="Times New Roman" w:cs="Times New Roman"/>
          <w:color w:val="000000"/>
          <w:spacing w:val="0"/>
          <w:w w:val="100"/>
          <w:position w:val="0"/>
          <w:sz w:val="18"/>
          <w:szCs w:val="18"/>
        </w:rPr>
        <w:t>2,497,984</w:t>
      </w:r>
      <w:r>
        <w:rPr>
          <w:color w:val="000000"/>
          <w:spacing w:val="0"/>
          <w:w w:val="100"/>
          <w:position w:val="0"/>
        </w:rPr>
        <w:t>股。</w:t>
      </w:r>
    </w:p>
    <w:p>
      <w:pPr>
        <w:pStyle w:val="Style29"/>
        <w:keepNext w:val="0"/>
        <w:keepLines w:val="0"/>
        <w:widowControl w:val="0"/>
        <w:numPr>
          <w:ilvl w:val="0"/>
          <w:numId w:val="13"/>
        </w:numPr>
        <w:shd w:val="clear" w:color="auto" w:fill="auto"/>
        <w:tabs>
          <w:tab w:pos="841" w:val="left"/>
        </w:tabs>
        <w:bidi w:val="0"/>
        <w:spacing w:before="0" w:after="0" w:line="468" w:lineRule="exact"/>
        <w:ind w:left="0" w:right="0"/>
        <w:jc w:val="both"/>
      </w:pPr>
      <w:bookmarkStart w:id="340" w:name="bookmark340"/>
      <w:bookmarkEnd w:id="340"/>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日第五届董事会第三十四次会议及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 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的议案》，因公司股权激励计划第一个行权期激励对象行权、回购注销不符合激励条件的原激励对象已获 授的限制性股票等原因，公司股份总数由</w:t>
      </w:r>
      <w:r>
        <w:rPr>
          <w:rFonts w:ascii="Times New Roman" w:eastAsia="Times New Roman" w:hAnsi="Times New Roman" w:cs="Times New Roman"/>
          <w:color w:val="000000"/>
          <w:spacing w:val="0"/>
          <w:w w:val="100"/>
          <w:position w:val="0"/>
          <w:sz w:val="18"/>
          <w:szCs w:val="18"/>
        </w:rPr>
        <w:t>1,323,188,951</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1,323,268,087</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1,323,188,951.00</w:t>
      </w:r>
      <w:r>
        <w:rPr>
          <w:color w:val="000000"/>
          <w:spacing w:val="0"/>
          <w:w w:val="100"/>
          <w:position w:val="0"/>
        </w:rPr>
        <w:t>元变更 为人民币</w:t>
      </w:r>
      <w:r>
        <w:rPr>
          <w:rFonts w:ascii="Times New Roman" w:eastAsia="Times New Roman" w:hAnsi="Times New Roman" w:cs="Times New Roman"/>
          <w:color w:val="000000"/>
          <w:spacing w:val="0"/>
          <w:w w:val="100"/>
          <w:position w:val="0"/>
          <w:sz w:val="18"/>
          <w:szCs w:val="18"/>
        </w:rPr>
        <w:t>1,323,268,087.00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日，回购注销事宜办理完毕。</w:t>
      </w:r>
    </w:p>
    <w:p>
      <w:pPr>
        <w:pStyle w:val="Style29"/>
        <w:keepNext w:val="0"/>
        <w:keepLines w:val="0"/>
        <w:widowControl w:val="0"/>
        <w:shd w:val="clear" w:color="auto" w:fill="auto"/>
        <w:tabs>
          <w:tab w:pos="1261" w:val="left"/>
        </w:tabs>
        <w:bidi w:val="0"/>
        <w:spacing w:before="0" w:after="0" w:line="468" w:lineRule="exact"/>
        <w:ind w:left="420" w:right="0" w:firstLine="36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日，公司第五届董事会第四十九次会议和第五届监事会第十七次会议审议通过了《关于股票期权和限 制性股票激励计划相关参数调整的议案》，由于公司实施了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年度权益分派方案，公司将相应参数进行调整：授予激励对 象的期权总份数调整为</w:t>
      </w:r>
      <w:r>
        <w:rPr>
          <w:rFonts w:ascii="Times New Roman" w:eastAsia="Times New Roman" w:hAnsi="Times New Roman" w:cs="Times New Roman"/>
          <w:color w:val="000000"/>
          <w:spacing w:val="0"/>
          <w:w w:val="100"/>
          <w:position w:val="0"/>
          <w:sz w:val="18"/>
          <w:szCs w:val="18"/>
        </w:rPr>
        <w:t>20,777,161</w:t>
      </w:r>
      <w:r>
        <w:rPr>
          <w:color w:val="000000"/>
          <w:spacing w:val="0"/>
          <w:w w:val="100"/>
          <w:position w:val="0"/>
        </w:rPr>
        <w:t>股，行权价格由</w:t>
      </w:r>
      <w:r>
        <w:rPr>
          <w:rFonts w:ascii="Times New Roman" w:eastAsia="Times New Roman" w:hAnsi="Times New Roman" w:cs="Times New Roman"/>
          <w:color w:val="000000"/>
          <w:spacing w:val="0"/>
          <w:w w:val="100"/>
          <w:position w:val="0"/>
          <w:sz w:val="18"/>
          <w:szCs w:val="18"/>
        </w:rPr>
        <w:t>5.47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股，授予激励对象的限制性股票的数量调整为 </w:t>
      </w:r>
      <w:r>
        <w:rPr>
          <w:rFonts w:ascii="Times New Roman" w:eastAsia="Times New Roman" w:hAnsi="Times New Roman" w:cs="Times New Roman"/>
          <w:color w:val="000000"/>
          <w:spacing w:val="0"/>
          <w:w w:val="100"/>
          <w:position w:val="0"/>
          <w:sz w:val="18"/>
          <w:szCs w:val="18"/>
        </w:rPr>
        <w:t>11,255,919</w:t>
      </w:r>
      <w:r>
        <w:rPr>
          <w:color w:val="000000"/>
          <w:spacing w:val="0"/>
          <w:w w:val="100"/>
          <w:position w:val="0"/>
        </w:rPr>
        <w:t>股，回购价格由为</w:t>
      </w:r>
      <w:r>
        <w:rPr>
          <w:rFonts w:ascii="Times New Roman" w:eastAsia="Times New Roman" w:hAnsi="Times New Roman" w:cs="Times New Roman"/>
          <w:color w:val="000000"/>
          <w:spacing w:val="0"/>
          <w:w w:val="100"/>
          <w:position w:val="0"/>
          <w:sz w:val="18"/>
          <w:szCs w:val="18"/>
        </w:rPr>
        <w:t>2.555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468" w:lineRule="exact"/>
        <w:ind w:left="420" w:right="0" w:firstLine="36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日，公司第五届董事会第五十七次会议和第五届监事会第二十次会议审议通过了《关于注销已不符合 激励条件的原激励对象已获授的股票期权的议案》、《关于回购注销已不符合激励条件的原激励对象已获授的限制性股票的 议案》、《关于公司股票期权与限制性股票激励计划第三个行权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解锁的议案》、《关于股票期权与限制性股 票激励计划之股票期权第三个行权期选择自主行权模式的议案》。由于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名激励对象因个人原因已离职，公司将对其获授但 未行权的</w:t>
      </w:r>
      <w:r>
        <w:rPr>
          <w:rFonts w:ascii="Times New Roman" w:eastAsia="Times New Roman" w:hAnsi="Times New Roman" w:cs="Times New Roman"/>
          <w:color w:val="000000"/>
          <w:spacing w:val="0"/>
          <w:w w:val="100"/>
          <w:position w:val="0"/>
          <w:sz w:val="18"/>
          <w:szCs w:val="18"/>
        </w:rPr>
        <w:t>758,450</w:t>
      </w:r>
      <w:r>
        <w:rPr>
          <w:color w:val="000000"/>
          <w:spacing w:val="0"/>
          <w:w w:val="100"/>
          <w:position w:val="0"/>
        </w:rPr>
        <w:t>份期权进行注销，获授但未解禁限制性股票</w:t>
      </w:r>
      <w:r>
        <w:rPr>
          <w:rFonts w:ascii="Times New Roman" w:eastAsia="Times New Roman" w:hAnsi="Times New Roman" w:cs="Times New Roman"/>
          <w:color w:val="000000"/>
          <w:spacing w:val="0"/>
          <w:w w:val="100"/>
          <w:position w:val="0"/>
          <w:sz w:val="18"/>
          <w:szCs w:val="18"/>
        </w:rPr>
        <w:t>513,323</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 xml:space="preserve">1.6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股；本次注销和本 次回购后，《激励计划》授予的激励对象人数调整为</w:t>
      </w:r>
      <w:r>
        <w:rPr>
          <w:rFonts w:ascii="Times New Roman" w:eastAsia="Times New Roman" w:hAnsi="Times New Roman" w:cs="Times New Roman"/>
          <w:color w:val="000000"/>
          <w:spacing w:val="0"/>
          <w:w w:val="100"/>
          <w:position w:val="0"/>
          <w:sz w:val="18"/>
          <w:szCs w:val="18"/>
        </w:rPr>
        <w:t>298</w:t>
      </w:r>
      <w:r>
        <w:rPr>
          <w:color w:val="000000"/>
          <w:spacing w:val="0"/>
          <w:w w:val="100"/>
          <w:position w:val="0"/>
        </w:rPr>
        <w:t>人，《激励计划》第三、四个行权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解锁期剩余的股票期权和限制性 股票数量分别调整为</w:t>
      </w:r>
      <w:r>
        <w:rPr>
          <w:rFonts w:ascii="Times New Roman" w:eastAsia="Times New Roman" w:hAnsi="Times New Roman" w:cs="Times New Roman"/>
          <w:color w:val="000000"/>
          <w:spacing w:val="0"/>
          <w:w w:val="100"/>
          <w:position w:val="0"/>
          <w:sz w:val="18"/>
          <w:szCs w:val="18"/>
        </w:rPr>
        <w:t>19,976,365</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10,742,596</w:t>
      </w:r>
      <w:r>
        <w:rPr>
          <w:color w:val="000000"/>
          <w:spacing w:val="0"/>
          <w:w w:val="100"/>
          <w:position w:val="0"/>
        </w:rPr>
        <w:t>股。公司激励计划第三个行权期自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 xml:space="preserve">295 </w:t>
      </w:r>
      <w:r>
        <w:rPr>
          <w:color w:val="000000"/>
          <w:spacing w:val="0"/>
          <w:w w:val="100"/>
          <w:position w:val="0"/>
        </w:rPr>
        <w:t>名激励对象可行权总数量为</w:t>
      </w:r>
      <w:r>
        <w:rPr>
          <w:rFonts w:ascii="Times New Roman" w:eastAsia="Times New Roman" w:hAnsi="Times New Roman" w:cs="Times New Roman"/>
          <w:color w:val="000000"/>
          <w:spacing w:val="0"/>
          <w:w w:val="100"/>
          <w:position w:val="0"/>
          <w:sz w:val="18"/>
          <w:szCs w:val="18"/>
        </w:rPr>
        <w:t>9,988,180</w:t>
      </w:r>
      <w:r>
        <w:rPr>
          <w:color w:val="000000"/>
          <w:spacing w:val="0"/>
          <w:w w:val="100"/>
          <w:position w:val="0"/>
        </w:rPr>
        <w:t>份，采取自主行权模式进行行权；限制性股票第三次解锁数量为</w:t>
      </w:r>
      <w:r>
        <w:rPr>
          <w:rFonts w:ascii="Times New Roman" w:eastAsia="Times New Roman" w:hAnsi="Times New Roman" w:cs="Times New Roman"/>
          <w:color w:val="000000"/>
          <w:spacing w:val="0"/>
          <w:w w:val="100"/>
          <w:position w:val="0"/>
          <w:sz w:val="18"/>
          <w:szCs w:val="18"/>
        </w:rPr>
        <w:t>5,371,302</w:t>
      </w:r>
      <w:r>
        <w:rPr>
          <w:color w:val="000000"/>
          <w:spacing w:val="0"/>
          <w:w w:val="100"/>
          <w:position w:val="0"/>
        </w:rPr>
        <w:t>股。</w:t>
      </w:r>
    </w:p>
    <w:p>
      <w:pPr>
        <w:pStyle w:val="Style29"/>
        <w:keepNext w:val="0"/>
        <w:keepLines w:val="0"/>
        <w:widowControl w:val="0"/>
        <w:shd w:val="clear" w:color="auto" w:fill="auto"/>
        <w:tabs>
          <w:tab w:pos="1261" w:val="left"/>
        </w:tabs>
        <w:bidi w:val="0"/>
        <w:spacing w:before="0" w:after="0" w:line="468" w:lineRule="exact"/>
        <w:ind w:left="420" w:right="0" w:firstLine="36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日公司第五届董事会第六十七次会议及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 《关于公司注册资本变更的议案》等议案，因公司股权激励计划激励对象自主行权、回购注销不符合激励条件的原激励对象</w:t>
      </w:r>
    </w:p>
    <w:p>
      <w:pPr>
        <w:pStyle w:val="Style68"/>
        <w:keepNext w:val="0"/>
        <w:keepLines w:val="0"/>
        <w:widowControl w:val="0"/>
        <w:shd w:val="clear" w:color="auto" w:fill="auto"/>
        <w:bidi w:val="0"/>
        <w:spacing w:before="0" w:after="0"/>
        <w:ind w:right="0" w:firstLine="0"/>
        <w:jc w:val="both"/>
        <w:rPr>
          <w:sz w:val="17"/>
          <w:szCs w:val="17"/>
        </w:rPr>
      </w:pPr>
      <w:r>
        <w:rPr>
          <w:rFonts w:ascii="SimSun" w:eastAsia="SimSun" w:hAnsi="SimSun" w:cs="SimSun"/>
          <w:color w:val="000000"/>
          <w:spacing w:val="0"/>
          <w:w w:val="100"/>
          <w:position w:val="0"/>
          <w:sz w:val="17"/>
          <w:szCs w:val="17"/>
        </w:rPr>
        <w:t>已获授的限制性股票等原因，公司股份总数由</w:t>
      </w:r>
      <w:r>
        <w:rPr>
          <w:color w:val="000000"/>
          <w:spacing w:val="0"/>
          <w:w w:val="100"/>
          <w:position w:val="0"/>
          <w:sz w:val="18"/>
          <w:szCs w:val="18"/>
        </w:rPr>
        <w:t>1,986,470,666</w:t>
      </w:r>
      <w:r>
        <w:rPr>
          <w:rFonts w:ascii="SimSun" w:eastAsia="SimSun" w:hAnsi="SimSun" w:cs="SimSun"/>
          <w:color w:val="000000"/>
          <w:spacing w:val="0"/>
          <w:w w:val="100"/>
          <w:position w:val="0"/>
          <w:sz w:val="17"/>
          <w:szCs w:val="17"/>
        </w:rPr>
        <w:t>股变更为</w:t>
      </w:r>
      <w:r>
        <w:rPr>
          <w:color w:val="000000"/>
          <w:spacing w:val="0"/>
          <w:w w:val="100"/>
          <w:position w:val="0"/>
          <w:sz w:val="18"/>
          <w:szCs w:val="18"/>
        </w:rPr>
        <w:t>1,993,382,320</w:t>
      </w:r>
      <w:r>
        <w:rPr>
          <w:rFonts w:ascii="SimSun" w:eastAsia="SimSun" w:hAnsi="SimSun" w:cs="SimSun"/>
          <w:color w:val="000000"/>
          <w:spacing w:val="0"/>
          <w:w w:val="100"/>
          <w:position w:val="0"/>
          <w:sz w:val="17"/>
          <w:szCs w:val="17"/>
        </w:rPr>
        <w:t>股，注册资本由人民币</w:t>
      </w:r>
      <w:r>
        <w:rPr>
          <w:color w:val="000000"/>
          <w:spacing w:val="0"/>
          <w:w w:val="100"/>
          <w:position w:val="0"/>
          <w:sz w:val="18"/>
          <w:szCs w:val="18"/>
        </w:rPr>
        <w:t>1</w:t>
      </w:r>
      <w:r>
        <w:rPr>
          <w:color w:val="000000"/>
          <w:spacing w:val="0"/>
          <w:w w:val="100"/>
          <w:position w:val="0"/>
          <w:sz w:val="18"/>
          <w:szCs w:val="18"/>
        </w:rPr>
        <w:t>,986,470,666.00</w:t>
      </w:r>
      <w:r>
        <w:rPr>
          <w:rFonts w:ascii="SimSun" w:eastAsia="SimSun" w:hAnsi="SimSun" w:cs="SimSun"/>
          <w:color w:val="000000"/>
          <w:spacing w:val="0"/>
          <w:w w:val="100"/>
          <w:position w:val="0"/>
          <w:sz w:val="17"/>
          <w:szCs w:val="17"/>
        </w:rPr>
        <w:t>元 变更为人民币</w:t>
      </w:r>
      <w:r>
        <w:rPr>
          <w:color w:val="000000"/>
          <w:spacing w:val="0"/>
          <w:w w:val="100"/>
          <w:position w:val="0"/>
          <w:sz w:val="18"/>
          <w:szCs w:val="18"/>
        </w:rPr>
        <w:t>1,993,382,320.00</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tabs>
          <w:tab w:pos="1352" w:val="left"/>
        </w:tabs>
        <w:bidi w:val="0"/>
        <w:spacing w:before="0" w:after="0" w:line="468" w:lineRule="exact"/>
        <w:ind w:left="420" w:right="0" w:firstLine="36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日，公司第五届董事会第七十六次会议及第五届监事会第二十二次会议审议通过了《关于公司股票 期权与限制性股票激励计划第四个行权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解锁期不可行权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解锁的议案》、《关于注销已不符合激励条件的股票期权的议案》、</w:t>
      </w:r>
    </w:p>
    <w:p>
      <w:pPr>
        <w:pStyle w:val="Style29"/>
        <w:keepNext w:val="0"/>
        <w:keepLines w:val="0"/>
        <w:widowControl w:val="0"/>
        <w:shd w:val="clear" w:color="auto" w:fill="auto"/>
        <w:bidi w:val="0"/>
        <w:spacing w:before="0" w:after="0" w:line="468" w:lineRule="exact"/>
        <w:ind w:left="420" w:right="0" w:firstLine="0"/>
        <w:jc w:val="both"/>
      </w:pPr>
      <w:r>
        <w:rPr>
          <w:color w:val="000000"/>
          <w:spacing w:val="0"/>
          <w:w w:val="100"/>
          <w:position w:val="0"/>
        </w:rPr>
        <w:t>《关于回购注销已不符合激励条件的限制性股票的议案》。因公司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年度业绩未达到《激励计划》规定的第四个行权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 锁期的业绩考核要求，与会董事认为《激励计划》第四个行权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解锁条件未能满足，应注销激励对象在公司第四个行权期内 尚未行权总数量为</w:t>
      </w:r>
      <w:r>
        <w:rPr>
          <w:rFonts w:ascii="Times New Roman" w:eastAsia="Times New Roman" w:hAnsi="Times New Roman" w:cs="Times New Roman"/>
          <w:color w:val="000000"/>
          <w:spacing w:val="0"/>
          <w:w w:val="100"/>
          <w:position w:val="0"/>
          <w:sz w:val="18"/>
          <w:szCs w:val="18"/>
        </w:rPr>
        <w:t>9,988,185</w:t>
      </w:r>
      <w:r>
        <w:rPr>
          <w:color w:val="000000"/>
          <w:spacing w:val="0"/>
          <w:w w:val="100"/>
          <w:position w:val="0"/>
        </w:rPr>
        <w:t>份的股票期权，应回购注销激励对象在第四个解锁期内尚未解锁的限制性股票</w:t>
      </w:r>
      <w:r>
        <w:rPr>
          <w:rFonts w:ascii="Times New Roman" w:eastAsia="Times New Roman" w:hAnsi="Times New Roman" w:cs="Times New Roman"/>
          <w:color w:val="000000"/>
          <w:spacing w:val="0"/>
          <w:w w:val="100"/>
          <w:position w:val="0"/>
          <w:sz w:val="18"/>
          <w:szCs w:val="18"/>
        </w:rPr>
        <w:t>5,371,294</w:t>
      </w:r>
      <w:r>
        <w:rPr>
          <w:color w:val="000000"/>
          <w:spacing w:val="0"/>
          <w:w w:val="100"/>
          <w:position w:val="0"/>
        </w:rPr>
        <w:t>股，回购 价格为</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tabs>
          <w:tab w:pos="1347" w:val="left"/>
        </w:tabs>
        <w:bidi w:val="0"/>
        <w:spacing w:before="0" w:after="0" w:line="468" w:lineRule="exact"/>
        <w:ind w:left="420" w:right="0" w:firstLine="360"/>
        <w:jc w:val="both"/>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年第四次临时股东大会审议通过了《关于公司注册资本变更的议案》，因公司股权激 励对象自主行权、回购注销已不符合激励条件的原激励对象已获授的限制性股票、回购注销公司发行股份及支付现金购买资 产业绩补偿股票等原因，公司股份总数由</w:t>
      </w:r>
      <w:r>
        <w:rPr>
          <w:rFonts w:ascii="Times New Roman" w:eastAsia="Times New Roman" w:hAnsi="Times New Roman" w:cs="Times New Roman"/>
          <w:color w:val="000000"/>
          <w:spacing w:val="0"/>
          <w:w w:val="100"/>
          <w:position w:val="0"/>
          <w:sz w:val="18"/>
          <w:szCs w:val="18"/>
        </w:rPr>
        <w:t>1,993,382,320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1,993,382,320.00</w:t>
      </w:r>
      <w:r>
        <w:rPr>
          <w:color w:val="000000"/>
          <w:spacing w:val="0"/>
          <w:w w:val="100"/>
          <w:position w:val="0"/>
        </w:rPr>
        <w:t xml:space="preserve">元变更 为人民币 </w:t>
      </w:r>
      <w:r>
        <w:rPr>
          <w:rFonts w:ascii="Times New Roman" w:eastAsia="Times New Roman" w:hAnsi="Times New Roman" w:cs="Times New Roman"/>
          <w:color w:val="000000"/>
          <w:spacing w:val="0"/>
          <w:w w:val="100"/>
          <w:position w:val="0"/>
          <w:sz w:val="18"/>
          <w:szCs w:val="18"/>
        </w:rPr>
        <w:t>1,961,091,984.00</w:t>
      </w:r>
      <w:r>
        <w:rPr>
          <w:color w:val="000000"/>
          <w:spacing w:val="0"/>
          <w:w w:val="100"/>
          <w:position w:val="0"/>
        </w:rPr>
        <w:t>元。</w:t>
      </w:r>
    </w:p>
    <w:p>
      <w:pPr>
        <w:pStyle w:val="Style29"/>
        <w:keepNext w:val="0"/>
        <w:keepLines w:val="0"/>
        <w:widowControl w:val="0"/>
        <w:shd w:val="clear" w:color="auto" w:fill="auto"/>
        <w:bidi w:val="0"/>
        <w:spacing w:before="0" w:after="0" w:line="468" w:lineRule="exact"/>
        <w:ind w:left="0" w:right="0" w:firstLine="780"/>
        <w:jc w:val="both"/>
      </w:pPr>
      <w:r>
        <w:rPr>
          <w:color w:val="000000"/>
          <w:spacing w:val="0"/>
          <w:w w:val="100"/>
          <w:position w:val="0"/>
        </w:rPr>
        <w:t>股权激励成本已于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年度确认完毕。截止报告期内，公司第一期股权激励计划已全部实施完毕。</w:t>
      </w:r>
    </w:p>
    <w:p>
      <w:pPr>
        <w:pStyle w:val="Style29"/>
        <w:keepNext w:val="0"/>
        <w:keepLines w:val="0"/>
        <w:widowControl w:val="0"/>
        <w:shd w:val="clear" w:color="auto" w:fill="auto"/>
        <w:bidi w:val="0"/>
        <w:spacing w:before="0" w:after="120" w:line="468" w:lineRule="exact"/>
        <w:ind w:left="0" w:right="0" w:firstLine="420"/>
        <w:jc w:val="both"/>
      </w:pPr>
      <w:r>
        <w:rPr>
          <w:b/>
          <w:bCs/>
          <w:color w:val="000000"/>
          <w:spacing w:val="0"/>
          <w:w w:val="100"/>
          <w:position w:val="0"/>
        </w:rPr>
        <w:t>股权激励主要事项临时报告披露网站查询</w:t>
      </w:r>
    </w:p>
    <w:tbl>
      <w:tblPr>
        <w:tblOverlap w:val="never"/>
        <w:jc w:val="center"/>
        <w:tblLayout w:type="fixed"/>
      </w:tblPr>
      <w:tblGrid>
        <w:gridCol w:w="5117"/>
        <w:gridCol w:w="2693"/>
        <w:gridCol w:w="2856"/>
      </w:tblGrid>
      <w:tr>
        <w:trPr>
          <w:trHeight w:val="60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临时公告披露索引</w:t>
            </w:r>
          </w:p>
        </w:tc>
      </w:tr>
    </w:tbl>
    <w:p>
      <w:pPr>
        <w:widowControl w:val="0"/>
        <w:spacing w:line="1" w:lineRule="exact"/>
      </w:pPr>
      <w:r>
        <w:br w:type="page"/>
      </w:r>
    </w:p>
    <w:tbl>
      <w:tblPr>
        <w:tblOverlap w:val="never"/>
        <w:jc w:val="center"/>
        <w:tblLayout w:type="fixed"/>
      </w:tblPr>
      <w:tblGrid>
        <w:gridCol w:w="5117"/>
        <w:gridCol w:w="2693"/>
        <w:gridCol w:w="2856"/>
      </w:tblGrid>
      <w:tr>
        <w:trPr>
          <w:trHeight w:val="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第四届董事会第二十三次会议决议公告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第四届监事会第十二次会议决议公告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第四届董事会第二十八次会议决议公告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第四届监事会第十四次会议决议公告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第四届董事会第二十九次会议决议公告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第四届监事会第十五次会议决议公告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关于股权激励计划授予相关事项的公告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第四届董事会第三十次会议决议公告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关于股权激励计划授予的期权与限制性股票登记完成公告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关于股票期权和限制性股票激励计划相关参数调整及注销部分已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1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授予限制性股票和期权的公告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关于公司回购股权激励股份的债权人公告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关于首期股权激励计划限制性股票第一期可解锁的公告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关于首期股权激励计划期权第一个行权期可行权公告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股权激励计划期权第一个行权期采用自主行权模式的提示性公告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股权激励计划限制性股票第一次解锁股份上市流通的提示性公告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关于部分股票期权注销及部分限制性股票回购注销的完成公告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第五届董事会第二十五次会议决议公告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关于股票期权和限制性股票激励计划相关参数调整的公告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关于股票期权和限制性股票激励计划相关参数调整的补充公告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line="1" w:lineRule="exact"/>
      </w:pPr>
      <w:r>
        <w:br w:type="page"/>
      </w:r>
    </w:p>
    <w:tbl>
      <w:tblPr>
        <w:tblOverlap w:val="never"/>
        <w:jc w:val="center"/>
        <w:tblLayout w:type="fixed"/>
      </w:tblPr>
      <w:tblGrid>
        <w:gridCol w:w="5117"/>
        <w:gridCol w:w="2693"/>
        <w:gridCol w:w="2856"/>
      </w:tblGrid>
      <w:tr>
        <w:trPr>
          <w:trHeight w:val="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关于部分已授予股票期权注销完成公告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关于公司回购股权激励股份的债权人公告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关于股票期权和限制性股票激励计划注销部分已授予限制性股票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和期权的公告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关于股票期权与限制性股票激励计划股票期权第二个行权期可行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关于股票期权与限制性股票激励计划限制性股票第二期可解锁的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第五届董事会第三十二次会议决议公告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年第二次临时股东大会决议公告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股权激励计划限制性股票第二次解锁股份上市流通的提示性公告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股权激励计划期权第二个行权期采用自主行权模式的提示性公告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关于部分已授予股票期权注销完成公告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关于部分已授予限制性股票回购注销完成的公告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第五届董事会第四十九次会议决议公告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关于股票期权和限制性股票激励计划相关参数调整的公告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关于股票期权和限制性股票激励计划注销部分已授予限制性股票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1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和期权的公告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关于公司回购股权激励股份的债权人公告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关于股票期权与限制性股票激励计划第三个行权期符合行权条件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关于股票期权与限制性股票激励计划限制性股票第三期可解锁的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33"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17"/>
        <w:gridCol w:w="2693"/>
        <w:gridCol w:w="2856"/>
      </w:tblGrid>
      <w:tr>
        <w:trPr>
          <w:trHeight w:val="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第五届董事会第五十七次会议决议公告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第五届监事会第二十次会议决议公告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关于部分已授予股票期权注销完成公告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关于股票期权与限制性股票激励计划限制性股票第三期解除限售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1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关于股票期权与限制性股票激励计划第三个行权期自主行权公告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第五届董事会第六十七次会议决议公告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第五届董事会第七十六次会议决议公告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第五届监事会第二十二次会议决议公告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关于股票期权和限制性股票激励计划注销部分已授予股票期权和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2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回购注销部分已授予限制性股票的公告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关于公司回购股权激励股份的债权人公告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关于已不符合激励条件的限制性股票回购注销完成的公告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6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关于已不符合激励条件的股票期权的注销完成公告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780"/>
        <w:jc w:val="both"/>
      </w:pPr>
      <w:bookmarkStart w:id="346" w:name="bookmark346"/>
      <w:r>
        <w:rPr>
          <w:b/>
          <w:bCs/>
          <w:color w:val="000000"/>
          <w:spacing w:val="0"/>
          <w:w w:val="100"/>
          <w:position w:val="0"/>
        </w:rPr>
        <w:t>二</w:t>
      </w:r>
      <w:bookmarkEnd w:id="346"/>
      <w:r>
        <w:rPr>
          <w:b/>
          <w:bCs/>
          <w:color w:val="000000"/>
          <w:spacing w:val="0"/>
          <w:w w:val="100"/>
          <w:position w:val="0"/>
        </w:rPr>
        <w:t>、员工持股计划实施情况</w:t>
      </w:r>
    </w:p>
    <w:p>
      <w:pPr>
        <w:pStyle w:val="Style29"/>
        <w:keepNext w:val="0"/>
        <w:keepLines w:val="0"/>
        <w:widowControl w:val="0"/>
        <w:shd w:val="clear" w:color="auto" w:fill="auto"/>
        <w:bidi w:val="0"/>
        <w:spacing w:before="0" w:after="0" w:line="240" w:lineRule="auto"/>
        <w:ind w:left="0" w:right="0" w:firstLine="780"/>
        <w:jc w:val="left"/>
      </w:pPr>
      <w:bookmarkStart w:id="347" w:name="bookmark347"/>
      <w:r>
        <w:rPr>
          <w:rFonts w:ascii="Times New Roman" w:eastAsia="Times New Roman" w:hAnsi="Times New Roman" w:cs="Times New Roman"/>
          <w:color w:val="000000"/>
          <w:spacing w:val="0"/>
          <w:w w:val="100"/>
          <w:position w:val="0"/>
          <w:sz w:val="18"/>
          <w:szCs w:val="18"/>
        </w:rPr>
        <w:t>1</w:t>
      </w:r>
      <w:bookmarkEnd w:id="347"/>
      <w:r>
        <w:rPr>
          <w:color w:val="000000"/>
          <w:spacing w:val="0"/>
          <w:w w:val="100"/>
          <w:position w:val="0"/>
        </w:rPr>
        <w:t>）公司因筹划员工持股计划相关事项，经申请于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日起停牌。并于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日开市起复牌。</w:t>
      </w:r>
    </w:p>
    <w:p>
      <w:pPr>
        <w:pStyle w:val="Style29"/>
        <w:keepNext w:val="0"/>
        <w:keepLines w:val="0"/>
        <w:widowControl w:val="0"/>
        <w:shd w:val="clear" w:color="auto" w:fill="auto"/>
        <w:tabs>
          <w:tab w:pos="1128" w:val="left"/>
        </w:tabs>
        <w:bidi w:val="0"/>
        <w:spacing w:before="0" w:after="0" w:line="478" w:lineRule="exact"/>
        <w:ind w:left="420" w:right="0" w:firstLine="360"/>
        <w:jc w:val="both"/>
      </w:pPr>
      <w:bookmarkStart w:id="348" w:name="bookmark348"/>
      <w:r>
        <w:rPr>
          <w:rFonts w:ascii="Times New Roman" w:eastAsia="Times New Roman" w:hAnsi="Times New Roman" w:cs="Times New Roman"/>
          <w:color w:val="000000"/>
          <w:spacing w:val="0"/>
          <w:w w:val="100"/>
          <w:position w:val="0"/>
          <w:sz w:val="18"/>
          <w:szCs w:val="18"/>
        </w:rPr>
        <w:t>2</w:t>
      </w:r>
      <w:bookmarkEnd w:id="3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日公司第五届董事会第五十二次会议、第五届监事会第十八次会议审议通过《北京神州泰岳软件股份有 限公司第一期员工持股计划（草案）》及摘要、《关于提请股东大会授权董事会办理公司员工持股计划相关事宜的议案》、</w:t>
      </w:r>
    </w:p>
    <w:p>
      <w:pPr>
        <w:pStyle w:val="Style29"/>
        <w:keepNext w:val="0"/>
        <w:keepLines w:val="0"/>
        <w:widowControl w:val="0"/>
        <w:shd w:val="clear" w:color="auto" w:fill="auto"/>
        <w:bidi w:val="0"/>
        <w:spacing w:before="0" w:after="0" w:line="478" w:lineRule="exact"/>
        <w:ind w:left="420" w:right="0" w:firstLine="0"/>
        <w:jc w:val="left"/>
      </w:pPr>
      <w:r>
        <w:rPr>
          <w:color w:val="000000"/>
          <w:spacing w:val="0"/>
          <w:w w:val="100"/>
          <w:position w:val="0"/>
        </w:rPr>
        <w:t>《北京神州泰岳软件股份有限公司第一期员工持股计划管理办法》、《关于召开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年第三次临时股东大会的议案》等相关 议案。</w:t>
      </w:r>
    </w:p>
    <w:p>
      <w:pPr>
        <w:pStyle w:val="Style29"/>
        <w:keepNext w:val="0"/>
        <w:keepLines w:val="0"/>
        <w:widowControl w:val="0"/>
        <w:shd w:val="clear" w:color="auto" w:fill="auto"/>
        <w:tabs>
          <w:tab w:pos="1147" w:val="left"/>
        </w:tabs>
        <w:bidi w:val="0"/>
        <w:spacing w:before="0" w:after="0" w:line="474" w:lineRule="exact"/>
        <w:ind w:left="420" w:right="0" w:firstLine="360"/>
        <w:jc w:val="both"/>
      </w:pPr>
      <w:bookmarkStart w:id="349" w:name="bookmark349"/>
      <w:r>
        <w:rPr>
          <w:rFonts w:ascii="Times New Roman" w:eastAsia="Times New Roman" w:hAnsi="Times New Roman" w:cs="Times New Roman"/>
          <w:color w:val="000000"/>
          <w:spacing w:val="0"/>
          <w:w w:val="100"/>
          <w:position w:val="0"/>
          <w:sz w:val="18"/>
          <w:szCs w:val="18"/>
        </w:rPr>
        <w:t>3</w:t>
      </w:r>
      <w:bookmarkEnd w:id="3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年第三次临时股东大会审议通过《北京神州泰岳软件股份有限公司第一期员工持股计划（草 案）》及摘要、《关于提请股东大会授权董事会办理公司员工持股计划相关事宜的议案》、《北京神州泰岳软件股份有限公 司第一期员工持股计划管理办法》等相关议案。</w:t>
      </w:r>
    </w:p>
    <w:p>
      <w:pPr>
        <w:pStyle w:val="Style29"/>
        <w:keepNext w:val="0"/>
        <w:keepLines w:val="0"/>
        <w:widowControl w:val="0"/>
        <w:shd w:val="clear" w:color="auto" w:fill="auto"/>
        <w:bidi w:val="0"/>
        <w:spacing w:before="0" w:after="0" w:line="474" w:lineRule="exact"/>
        <w:ind w:left="420" w:right="0" w:firstLine="360"/>
        <w:jc w:val="both"/>
      </w:pPr>
      <w:bookmarkStart w:id="350" w:name="bookmark350"/>
      <w:r>
        <w:rPr>
          <w:rFonts w:ascii="Times New Roman" w:eastAsia="Times New Roman" w:hAnsi="Times New Roman" w:cs="Times New Roman"/>
          <w:color w:val="000000"/>
          <w:spacing w:val="0"/>
          <w:w w:val="100"/>
          <w:position w:val="0"/>
          <w:sz w:val="18"/>
          <w:szCs w:val="18"/>
        </w:rPr>
        <w:t>4</w:t>
      </w:r>
      <w:bookmarkEnd w:id="3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日，公司第一期员工持股计划已完成股票购买，共计</w:t>
      </w:r>
      <w:r>
        <w:rPr>
          <w:rFonts w:ascii="Times New Roman" w:eastAsia="Times New Roman" w:hAnsi="Times New Roman" w:cs="Times New Roman"/>
          <w:color w:val="000000"/>
          <w:spacing w:val="0"/>
          <w:w w:val="100"/>
          <w:position w:val="0"/>
          <w:sz w:val="18"/>
          <w:szCs w:val="18"/>
        </w:rPr>
        <w:t>7,301.08</w:t>
      </w:r>
      <w:r>
        <w:rPr>
          <w:color w:val="000000"/>
          <w:spacing w:val="0"/>
          <w:w w:val="100"/>
          <w:position w:val="0"/>
        </w:rPr>
        <w:t>万股，占公司总股本的比例为</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，购 买均价为</w:t>
      </w:r>
      <w:r>
        <w:rPr>
          <w:rFonts w:ascii="Times New Roman" w:eastAsia="Times New Roman" w:hAnsi="Times New Roman" w:cs="Times New Roman"/>
          <w:color w:val="000000"/>
          <w:spacing w:val="0"/>
          <w:w w:val="100"/>
          <w:position w:val="0"/>
          <w:sz w:val="18"/>
          <w:szCs w:val="18"/>
        </w:rPr>
        <w:t>11.08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股。锁定期为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9"/>
        <w:keepNext w:val="0"/>
        <w:keepLines w:val="0"/>
        <w:widowControl w:val="0"/>
        <w:shd w:val="clear" w:color="auto" w:fill="auto"/>
        <w:tabs>
          <w:tab w:pos="1147" w:val="left"/>
        </w:tabs>
        <w:bidi w:val="0"/>
        <w:spacing w:before="0" w:after="260" w:line="474" w:lineRule="exact"/>
        <w:ind w:left="0" w:right="0" w:firstLine="780"/>
        <w:jc w:val="left"/>
      </w:pPr>
      <w:bookmarkStart w:id="351" w:name="bookmark351"/>
      <w:r>
        <w:rPr>
          <w:rFonts w:ascii="Times New Roman" w:eastAsia="Times New Roman" w:hAnsi="Times New Roman" w:cs="Times New Roman"/>
          <w:color w:val="000000"/>
          <w:spacing w:val="0"/>
          <w:w w:val="100"/>
          <w:position w:val="0"/>
          <w:sz w:val="18"/>
          <w:szCs w:val="18"/>
        </w:rPr>
        <w:t>5</w:t>
      </w:r>
      <w:bookmarkEnd w:id="351"/>
      <w:r>
        <w:rPr>
          <w:rFonts w:ascii="Times New Roman" w:eastAsia="Times New Roman" w:hAnsi="Times New Roman" w:cs="Times New Roman"/>
          <w:color w:val="000000"/>
          <w:spacing w:val="0"/>
          <w:w w:val="100"/>
          <w:position w:val="0"/>
          <w:sz w:val="18"/>
          <w:szCs w:val="18"/>
        </w:rPr>
        <w:t>）</w:t>
        <w:tab/>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日，公司刊登《公司员工持股计划锁定期届满的提示性公告》，公司员工持股计划锁定期届满，股票</w:t>
      </w:r>
    </w:p>
    <w:p>
      <w:pPr>
        <w:pStyle w:val="Style29"/>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的数量为</w:t>
      </w:r>
      <w:r>
        <w:rPr>
          <w:rFonts w:ascii="Times New Roman" w:eastAsia="Times New Roman" w:hAnsi="Times New Roman" w:cs="Times New Roman"/>
          <w:color w:val="000000"/>
          <w:spacing w:val="0"/>
          <w:w w:val="100"/>
          <w:position w:val="0"/>
          <w:sz w:val="18"/>
          <w:szCs w:val="18"/>
        </w:rPr>
        <w:t>7,301.08</w:t>
      </w:r>
      <w:r>
        <w:rPr>
          <w:color w:val="000000"/>
          <w:spacing w:val="0"/>
          <w:w w:val="100"/>
          <w:position w:val="0"/>
        </w:rPr>
        <w:t>万股，占公司总股本的比例为</w:t>
      </w:r>
      <w:r>
        <w:rPr>
          <w:rFonts w:ascii="Times New Roman" w:eastAsia="Times New Roman" w:hAnsi="Times New Roman" w:cs="Times New Roman"/>
          <w:color w:val="000000"/>
          <w:spacing w:val="0"/>
          <w:w w:val="100"/>
          <w:position w:val="0"/>
          <w:sz w:val="18"/>
          <w:szCs w:val="18"/>
        </w:rPr>
        <w:t>3.72%</w:t>
      </w:r>
      <w:r>
        <w:rPr>
          <w:color w:val="000000"/>
          <w:spacing w:val="0"/>
          <w:w w:val="100"/>
          <w:position w:val="0"/>
        </w:rPr>
        <w:t>。</w:t>
      </w:r>
      <w:r>
        <w:br w:type="page"/>
      </w:r>
    </w:p>
    <w:p>
      <w:pPr>
        <w:pStyle w:val="Style35"/>
        <w:keepNext w:val="0"/>
        <w:keepLines w:val="0"/>
        <w:widowControl w:val="0"/>
        <w:shd w:val="clear" w:color="auto" w:fill="auto"/>
        <w:bidi w:val="0"/>
        <w:spacing w:before="0" w:after="0" w:line="240" w:lineRule="auto"/>
        <w:ind w:left="355" w:right="0" w:firstLine="0"/>
        <w:jc w:val="left"/>
      </w:pPr>
      <w:r>
        <w:rPr>
          <w:b/>
          <w:bCs/>
          <w:color w:val="000000"/>
          <w:spacing w:val="0"/>
          <w:w w:val="100"/>
          <w:position w:val="0"/>
        </w:rPr>
        <w:t>员工持股计划主要事项临时报告披露网站查询</w:t>
      </w:r>
    </w:p>
    <w:tbl>
      <w:tblPr>
        <w:tblOverlap w:val="never"/>
        <w:jc w:val="center"/>
        <w:tblLayout w:type="fixed"/>
      </w:tblPr>
      <w:tblGrid>
        <w:gridCol w:w="3840"/>
        <w:gridCol w:w="2549"/>
        <w:gridCol w:w="3202"/>
      </w:tblGrid>
      <w:tr>
        <w:trPr>
          <w:trHeight w:val="57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临时公告披露索引</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关于筹划员工持股计划的停牌公告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第五届董事会第五十二次会议决议公告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第五届监事会第十八次会议决议公告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第一期员工持股计划（草案）摘要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第一期员工持股计划（草案）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关于筹划员工持股计划暨公司复牌的公告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独立董事关于《北京神州泰岳软件股份有限公司</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第一期员工持股计划（草案）》的独立意见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北京市天元律师事务所关于北京神州泰岳软件股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份有限公司实施员工持股计划的法律意见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年第三次临时股东大会决议公告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关于第一期员工持股计划实施进展的公告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关于第一期员工持股计划完成股票购买的公告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r>
        <w:trPr>
          <w:trHeight w:val="6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关于公司员工持股计划锁定期届满的提示性公告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com.cn</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420"/>
        <w:jc w:val="left"/>
      </w:pPr>
      <w:bookmarkStart w:id="352" w:name="bookmark352"/>
      <w:bookmarkStart w:id="353" w:name="bookmark353"/>
      <w:bookmarkStart w:id="354" w:name="bookmark354"/>
      <w:r>
        <w:rPr>
          <w:color w:val="000000"/>
          <w:spacing w:val="0"/>
          <w:w w:val="100"/>
          <w:position w:val="0"/>
        </w:rPr>
        <w:t>十五、重大关联交易</w:t>
      </w:r>
      <w:bookmarkEnd w:id="352"/>
      <w:bookmarkEnd w:id="353"/>
      <w:bookmarkEnd w:id="354"/>
    </w:p>
    <w:p>
      <w:pPr>
        <w:pStyle w:val="Style39"/>
        <w:keepNext/>
        <w:keepLines/>
        <w:widowControl w:val="0"/>
        <w:shd w:val="clear" w:color="auto" w:fill="auto"/>
        <w:bidi w:val="0"/>
        <w:spacing w:before="0" w:after="340" w:line="240" w:lineRule="auto"/>
        <w:ind w:left="0" w:right="0" w:firstLine="42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、与日常经营相关的关联交易</w:t>
      </w:r>
      <w:bookmarkEnd w:id="355"/>
      <w:bookmarkEnd w:id="356"/>
      <w:bookmarkEnd w:id="358"/>
    </w:p>
    <w:p>
      <w:pPr>
        <w:pStyle w:val="Style29"/>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9"/>
        <w:gridCol w:w="662"/>
        <w:gridCol w:w="413"/>
        <w:gridCol w:w="734"/>
        <w:gridCol w:w="485"/>
        <w:gridCol w:w="739"/>
        <w:gridCol w:w="917"/>
        <w:gridCol w:w="787"/>
        <w:gridCol w:w="950"/>
        <w:gridCol w:w="485"/>
        <w:gridCol w:w="490"/>
        <w:gridCol w:w="878"/>
        <w:gridCol w:w="638"/>
        <w:gridCol w:w="763"/>
      </w:tblGrid>
      <w:tr>
        <w:trPr>
          <w:trHeight w:val="19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关 联 交 易 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关联 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关联交易 金额（万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占同类交 易金额的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获批的交 易额度（万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 交易 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可获得的 同类交易 市价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大连华 信计算 机技术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公司董</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事担任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接 受 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软件外 包服务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市场 化原 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21.83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21.83</w:t>
            </w:r>
            <w:r>
              <w:rPr>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68"/>
        <w:gridCol w:w="662"/>
        <w:gridCol w:w="413"/>
        <w:gridCol w:w="734"/>
        <w:gridCol w:w="485"/>
        <w:gridCol w:w="739"/>
        <w:gridCol w:w="917"/>
        <w:gridCol w:w="787"/>
        <w:gridCol w:w="950"/>
        <w:gridCol w:w="485"/>
        <w:gridCol w:w="490"/>
        <w:gridCol w:w="878"/>
        <w:gridCol w:w="638"/>
        <w:gridCol w:w="763"/>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北京光 合起源 网络科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公司董 事担任 董事的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 受 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购买版 权金、支 付分成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市场 化原 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3159.16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北京碧 水源净 水电子 商务有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公司董 事担任 董事的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 售 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出售商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市场 化原 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254.72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3,435.71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3,435.71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 联交易进行总金额预计的，在报 告期内的实际履行情况（如有）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交易价格与市场参考价格差异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、资产或股权收购、出售发生的关联交易</w:t>
      </w:r>
      <w:bookmarkEnd w:id="359"/>
      <w:bookmarkEnd w:id="360"/>
      <w:bookmarkEnd w:id="362"/>
    </w:p>
    <w:p>
      <w:pPr>
        <w:pStyle w:val="Style29"/>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763"/>
        <w:gridCol w:w="806"/>
        <w:gridCol w:w="811"/>
        <w:gridCol w:w="811"/>
        <w:gridCol w:w="806"/>
        <w:gridCol w:w="806"/>
        <w:gridCol w:w="806"/>
        <w:gridCol w:w="806"/>
        <w:gridCol w:w="806"/>
        <w:gridCol w:w="811"/>
        <w:gridCol w:w="811"/>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转让资产 的账面价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转让资产 的评估价 值（万元）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转让价格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交易损益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大连华信 计算机技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公司董 事担任 董事的 联营企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购买北京 华泰德丰 技术有限 公司</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的股权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市场化原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2015-86</w:t>
            </w:r>
          </w:p>
        </w:tc>
      </w:tr>
      <w:tr>
        <w:trPr>
          <w:trHeight w:val="715"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影响较小</w:t>
            </w: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如相关交易涉及业绩约定的，报告期内的 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、共同对外投资的关联交易</w:t>
      </w:r>
      <w:bookmarkEnd w:id="363"/>
      <w:bookmarkEnd w:id="364"/>
      <w:bookmarkEnd w:id="366"/>
    </w:p>
    <w:p>
      <w:pPr>
        <w:pStyle w:val="Style29"/>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094"/>
        <w:gridCol w:w="1090"/>
        <w:gridCol w:w="1090"/>
        <w:gridCol w:w="1243"/>
        <w:gridCol w:w="1090"/>
        <w:gridCol w:w="1368"/>
        <w:gridCol w:w="1368"/>
        <w:gridCol w:w="1368"/>
      </w:tblGrid>
      <w:tr>
        <w:trPr>
          <w:trHeight w:val="10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共同投资方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被投资企业 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被投资企业的 主营业务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的注册资本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被投资企业的总 资产（万元）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被投资企业的净 资产（万元）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被投资企业的净 利润（万元）</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深圳市前海 梧桐并购投 资基金管理 有限公司、宁 波梅山保税 港区泰梧投 资管理合伙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公司董事担 任执行事务 合伙人委派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珠海泰岳梧 桐投资管理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蓝鸥科技有 限公司、北京 水泽林投资 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联营企业、关 联公司控股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珠海神州泰 岳投资管理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w:t>
            </w:r>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被投资企业的重大在建项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40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、关联债权债务往来</w:t>
      </w:r>
      <w:bookmarkEnd w:id="367"/>
      <w:bookmarkEnd w:id="368"/>
      <w:bookmarkEnd w:id="370"/>
    </w:p>
    <w:p>
      <w:pPr>
        <w:pStyle w:val="Style29"/>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公司报告期不存在非经营性关联债权债务往来。</w:t>
      </w:r>
    </w:p>
    <w:p>
      <w:pPr>
        <w:pStyle w:val="Style39"/>
        <w:keepNext/>
        <w:keepLines/>
        <w:widowControl w:val="0"/>
        <w:shd w:val="clear" w:color="auto" w:fill="auto"/>
        <w:bidi w:val="0"/>
        <w:spacing w:before="0" w:line="240" w:lineRule="auto"/>
        <w:ind w:left="0" w:right="0" w:firstLine="40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、其他重大关联交易</w:t>
      </w:r>
      <w:bookmarkEnd w:id="371"/>
      <w:bookmarkEnd w:id="372"/>
      <w:bookmarkEnd w:id="374"/>
    </w:p>
    <w:p>
      <w:pPr>
        <w:pStyle w:val="Style29"/>
        <w:keepNext w:val="0"/>
        <w:keepLines w:val="0"/>
        <w:widowControl w:val="0"/>
        <w:shd w:val="clear" w:color="auto" w:fill="auto"/>
        <w:bidi w:val="0"/>
        <w:spacing w:before="0" w:after="24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9122" w:val="left"/>
        </w:tabs>
        <w:bidi w:val="0"/>
        <w:spacing w:before="0" w:after="140" w:line="240" w:lineRule="auto"/>
        <w:ind w:left="0" w:right="0" w:firstLine="400"/>
        <w:jc w:val="left"/>
      </w:pPr>
      <w:r>
        <w:rPr>
          <w:b/>
          <w:bCs/>
          <w:color w:val="000000"/>
          <w:spacing w:val="0"/>
          <w:w w:val="100"/>
          <w:position w:val="0"/>
        </w:rPr>
        <w:t>关联租赁情况一</w:t>
      </w:r>
      <w:r>
        <w:rPr>
          <w:color w:val="000000"/>
          <w:spacing w:val="0"/>
          <w:w w:val="100"/>
          <w:position w:val="0"/>
        </w:rPr>
        <w:t>本公司作为出租方：</w:t>
        <w:tab/>
        <w:t>单位：元</w:t>
      </w:r>
    </w:p>
    <w:tbl>
      <w:tblPr>
        <w:tblOverlap w:val="never"/>
        <w:jc w:val="center"/>
        <w:tblLayout w:type="fixed"/>
      </w:tblPr>
      <w:tblGrid>
        <w:gridCol w:w="3802"/>
        <w:gridCol w:w="1560"/>
        <w:gridCol w:w="2146"/>
        <w:gridCol w:w="2362"/>
      </w:tblGrid>
      <w:tr>
        <w:trPr>
          <w:trHeight w:val="41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承租资产种类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上期确认的租赁收入</w:t>
            </w: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中信网络科技股份有限公司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3,890,132.30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4,027,454.16</w:t>
            </w:r>
          </w:p>
        </w:tc>
      </w:tr>
      <w:tr>
        <w:trPr>
          <w:trHeight w:val="41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华信永道（北京）科技有限公司（注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927,918.64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1,571,357.67</w:t>
            </w: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北京中清龙图网络技术有限公司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4,091,493.88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10,217,684.65</w:t>
            </w:r>
          </w:p>
        </w:tc>
      </w:tr>
      <w:tr>
        <w:trPr>
          <w:trHeight w:val="41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宁波泰岳梧桐投资管理有限公司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517,167.25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1,209,991.86</w:t>
            </w: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北京光合起源网络科技有限公司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191,250.00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487,500.00</w:t>
            </w: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北京职航创业教育科技有限公司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101,226.67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北京神州泰岳教育科技有限公司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486,662.86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北京神州良品电子商务科技股份有限公司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1,013,570.11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802"/>
        <w:gridCol w:w="1560"/>
        <w:gridCol w:w="2146"/>
        <w:gridCol w:w="2362"/>
      </w:tblGrid>
      <w:tr>
        <w:trPr>
          <w:trHeight w:val="43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珠海泰岳梧桐投资管理有限公司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120,557.13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珠海神州泰岳投资管理有限公司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401,857.13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北京裂变科技有限公司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315,733.34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北京云中融信网络科技有限公司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1,356,799.98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Reliance Jio Messaging Services Private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1,757,265.71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北京良业环境技术有限公司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698,924.29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140" w:line="240" w:lineRule="auto"/>
        <w:ind w:left="91"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：华信永道（北京）科技有限公司于</w:t>
      </w: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4"/>
          <w:szCs w:val="14"/>
        </w:rPr>
        <w:t>月起不再是大连华信计算机技术股份有限公司的子公司，但是在终止关联关系后</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个月内发生的</w:t>
      </w:r>
    </w:p>
    <w:p>
      <w:pPr>
        <w:pStyle w:val="Style35"/>
        <w:keepNext w:val="0"/>
        <w:keepLines w:val="0"/>
        <w:widowControl w:val="0"/>
        <w:shd w:val="clear" w:color="auto" w:fill="auto"/>
        <w:bidi w:val="0"/>
        <w:spacing w:before="0" w:after="0" w:line="240" w:lineRule="auto"/>
        <w:ind w:left="91" w:right="0" w:firstLine="0"/>
        <w:jc w:val="left"/>
        <w:rPr>
          <w:sz w:val="14"/>
          <w:szCs w:val="14"/>
        </w:rPr>
      </w:pPr>
      <w:r>
        <w:rPr>
          <w:color w:val="000000"/>
          <w:spacing w:val="0"/>
          <w:w w:val="100"/>
          <w:position w:val="0"/>
          <w:sz w:val="14"/>
          <w:szCs w:val="14"/>
        </w:rPr>
        <w:t>交易仍然为关联交易，</w:t>
      </w:r>
    </w:p>
    <w:p>
      <w:pPr>
        <w:widowControl w:val="0"/>
        <w:spacing w:after="459" w:line="1" w:lineRule="exact"/>
      </w:pPr>
    </w:p>
    <w:p>
      <w:pPr>
        <w:pStyle w:val="Style27"/>
        <w:keepNext/>
        <w:keepLines/>
        <w:widowControl w:val="0"/>
        <w:shd w:val="clear" w:color="auto" w:fill="auto"/>
        <w:bidi w:val="0"/>
        <w:spacing w:before="0" w:after="540" w:line="240" w:lineRule="auto"/>
        <w:ind w:left="0" w:right="0" w:firstLine="420"/>
        <w:jc w:val="left"/>
      </w:pPr>
      <w:bookmarkStart w:id="375" w:name="bookmark375"/>
      <w:bookmarkStart w:id="376" w:name="bookmark376"/>
      <w:bookmarkStart w:id="377" w:name="bookmark377"/>
      <w:r>
        <w:rPr>
          <w:color w:val="000000"/>
          <w:spacing w:val="0"/>
          <w:w w:val="100"/>
          <w:position w:val="0"/>
        </w:rPr>
        <w:t>十六、重大合同及其履行情况</w:t>
      </w:r>
      <w:bookmarkEnd w:id="375"/>
      <w:bookmarkEnd w:id="376"/>
      <w:bookmarkEnd w:id="377"/>
    </w:p>
    <w:p>
      <w:pPr>
        <w:pStyle w:val="Style39"/>
        <w:keepNext/>
        <w:keepLines/>
        <w:widowControl w:val="0"/>
        <w:shd w:val="clear" w:color="auto" w:fill="auto"/>
        <w:tabs>
          <w:tab w:pos="792" w:val="left"/>
        </w:tabs>
        <w:bidi w:val="0"/>
        <w:spacing w:before="0" w:after="540" w:line="240" w:lineRule="auto"/>
        <w:ind w:left="0" w:right="0" w:firstLine="42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托管、承包、租赁事项情况</w:t>
      </w:r>
      <w:bookmarkEnd w:id="378"/>
      <w:bookmarkEnd w:id="379"/>
      <w:bookmarkEnd w:id="381"/>
    </w:p>
    <w:p>
      <w:pPr>
        <w:pStyle w:val="Style47"/>
        <w:keepNext/>
        <w:keepLines/>
        <w:widowControl w:val="0"/>
        <w:shd w:val="clear" w:color="auto" w:fill="auto"/>
        <w:tabs>
          <w:tab w:pos="913" w:val="left"/>
        </w:tabs>
        <w:bidi w:val="0"/>
        <w:spacing w:before="0" w:after="540" w:line="240" w:lineRule="auto"/>
        <w:ind w:left="0" w:right="0" w:firstLine="42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2"/>
      <w:bookmarkEnd w:id="383"/>
      <w:bookmarkEnd w:id="385"/>
    </w:p>
    <w:p>
      <w:pPr>
        <w:pStyle w:val="Style29"/>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29"/>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公司报告期不存在托管情况。</w:t>
      </w:r>
    </w:p>
    <w:p>
      <w:pPr>
        <w:pStyle w:val="Style47"/>
        <w:keepNext/>
        <w:keepLines/>
        <w:widowControl w:val="0"/>
        <w:shd w:val="clear" w:color="auto" w:fill="auto"/>
        <w:tabs>
          <w:tab w:pos="913" w:val="left"/>
        </w:tabs>
        <w:bidi w:val="0"/>
        <w:spacing w:before="0" w:after="540" w:line="240" w:lineRule="auto"/>
        <w:ind w:left="0" w:right="0" w:firstLine="42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6"/>
      <w:bookmarkEnd w:id="387"/>
      <w:bookmarkEnd w:id="389"/>
    </w:p>
    <w:p>
      <w:pPr>
        <w:pStyle w:val="Style29"/>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公司报告期不存在承包情况。</w:t>
      </w:r>
    </w:p>
    <w:p>
      <w:pPr>
        <w:pStyle w:val="Style47"/>
        <w:keepNext/>
        <w:keepLines/>
        <w:widowControl w:val="0"/>
        <w:shd w:val="clear" w:color="auto" w:fill="auto"/>
        <w:tabs>
          <w:tab w:pos="913" w:val="left"/>
        </w:tabs>
        <w:bidi w:val="0"/>
        <w:spacing w:before="0" w:after="540" w:line="240" w:lineRule="auto"/>
        <w:ind w:left="0" w:right="0" w:firstLine="42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0"/>
      <w:bookmarkEnd w:id="391"/>
      <w:bookmarkEnd w:id="393"/>
    </w:p>
    <w:p>
      <w:pPr>
        <w:pStyle w:val="Style29"/>
        <w:keepNext w:val="0"/>
        <w:keepLines w:val="0"/>
        <w:widowControl w:val="0"/>
        <w:shd w:val="clear" w:color="auto" w:fill="auto"/>
        <w:bidi w:val="0"/>
        <w:spacing w:before="0" w:after="300" w:line="240" w:lineRule="auto"/>
        <w:ind w:left="0" w:right="0" w:firstLine="42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公司将北辰泰岳大厦部分楼层及停车位用于经营租赁租出，本报告期共取得租赁收入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,734.25</w:t>
      </w:r>
      <w:r>
        <w:rPr>
          <w:color w:val="000000"/>
          <w:spacing w:val="0"/>
          <w:w w:val="100"/>
          <w:position w:val="0"/>
        </w:rPr>
        <w:t>万元。</w:t>
      </w:r>
    </w:p>
    <w:p>
      <w:pPr>
        <w:pStyle w:val="Style29"/>
        <w:keepNext w:val="0"/>
        <w:keepLines w:val="0"/>
        <w:widowControl w:val="0"/>
        <w:shd w:val="clear" w:color="auto" w:fill="auto"/>
        <w:bidi w:val="0"/>
        <w:spacing w:before="0" w:after="300" w:line="240" w:lineRule="auto"/>
        <w:ind w:left="0" w:right="0" w:firstLine="420"/>
        <w:jc w:val="left"/>
      </w:pPr>
      <w:r>
        <w:rPr>
          <w:b/>
          <w:bCs/>
          <w:color w:val="000000"/>
          <w:spacing w:val="0"/>
          <w:w w:val="100"/>
          <w:position w:val="0"/>
        </w:rPr>
        <w:t>为公司带来的损益达到公司报告期利润总额</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以上的项目</w:t>
      </w:r>
    </w:p>
    <w:p>
      <w:pPr>
        <w:pStyle w:val="Style29"/>
        <w:keepNext w:val="0"/>
        <w:keepLines w:val="0"/>
        <w:widowControl w:val="0"/>
        <w:shd w:val="clear" w:color="auto" w:fill="auto"/>
        <w:bidi w:val="0"/>
        <w:spacing w:before="0" w:after="5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798" w:val="left"/>
        </w:tabs>
        <w:bidi w:val="0"/>
        <w:spacing w:before="0" w:after="540" w:line="240" w:lineRule="auto"/>
        <w:ind w:left="0" w:right="0" w:firstLine="42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重大担保</w:t>
      </w:r>
      <w:bookmarkEnd w:id="394"/>
      <w:bookmarkEnd w:id="395"/>
      <w:bookmarkEnd w:id="397"/>
    </w:p>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7"/>
        <w:keepNext/>
        <w:keepLines/>
        <w:widowControl w:val="0"/>
        <w:shd w:val="clear" w:color="auto" w:fill="auto"/>
        <w:bidi w:val="0"/>
        <w:spacing w:before="0" w:after="520" w:line="240" w:lineRule="auto"/>
        <w:ind w:left="0" w:right="0" w:firstLine="54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8"/>
      <w:bookmarkEnd w:id="399"/>
      <w:bookmarkEnd w:id="401"/>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550"/>
        <w:gridCol w:w="811"/>
        <w:gridCol w:w="1037"/>
        <w:gridCol w:w="139"/>
        <w:gridCol w:w="912"/>
        <w:gridCol w:w="787"/>
        <w:gridCol w:w="792"/>
      </w:tblGrid>
      <w:tr>
        <w:trPr>
          <w:trHeight w:val="562"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实际发生日期（协 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联方担保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报告期内审批的对外担保额度合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报告期内对外担保实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报告期末已审批的对外担保额度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报告期末实际对外担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实际发生日期（协</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实际担保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是否履行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北京新媒传信科技有</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北京神州泰岳系统集 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38,854.25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31,000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38,954.25</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31,000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29,999.47</w:t>
            </w:r>
          </w:p>
        </w:tc>
      </w:tr>
      <w:tr>
        <w:trPr>
          <w:trHeight w:val="557"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实际发生日期（协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联方担保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26" w:lineRule="exact"/>
              <w:ind w:left="0" w:right="0" w:firstLine="0"/>
              <w:jc w:val="left"/>
              <w:rPr>
                <w:sz w:val="17"/>
                <w:szCs w:val="17"/>
              </w:rPr>
            </w:pPr>
            <w:r>
              <w:rPr>
                <w:color w:val="000000"/>
                <w:spacing w:val="0"/>
                <w:w w:val="100"/>
                <w:position w:val="0"/>
                <w:sz w:val="17"/>
                <w:szCs w:val="17"/>
              </w:rPr>
              <w:t>报告期内对子公司担 保实际发生额合计</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报告期末对子公司实 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gridSpan w:val="10"/>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bl>
    <w:p>
      <w:pPr>
        <w:widowControl w:val="0"/>
        <w:spacing w:line="1" w:lineRule="exact"/>
      </w:pPr>
      <w:r>
        <w:br w:type="page"/>
      </w:r>
    </w:p>
    <w:tbl>
      <w:tblPr>
        <w:tblOverlap w:val="never"/>
        <w:jc w:val="center"/>
        <w:tblLayout w:type="fixed"/>
      </w:tblPr>
      <w:tblGrid>
        <w:gridCol w:w="2635"/>
        <w:gridCol w:w="2472"/>
        <w:gridCol w:w="1848"/>
        <w:gridCol w:w="2630"/>
      </w:tblGrid>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报告期内担保实际发 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38,954.25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29,999.47</w:t>
            </w:r>
          </w:p>
        </w:tc>
      </w:tr>
      <w:tr>
        <w:trPr>
          <w:trHeight w:val="39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的被担保对象提供的债务担保 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39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对未到期担保，报告期内已发生担保责任或可能承担连带清偿责 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99" w:line="1" w:lineRule="exact"/>
      </w:pPr>
    </w:p>
    <w:p>
      <w:pPr>
        <w:pStyle w:val="Style47"/>
        <w:keepNext/>
        <w:keepLines/>
        <w:widowControl w:val="0"/>
        <w:shd w:val="clear" w:color="auto" w:fill="auto"/>
        <w:bidi w:val="0"/>
        <w:spacing w:before="0" w:after="520" w:line="240" w:lineRule="auto"/>
        <w:ind w:left="0" w:right="0" w:firstLine="54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2"/>
      <w:bookmarkEnd w:id="403"/>
      <w:bookmarkEnd w:id="405"/>
    </w:p>
    <w:p>
      <w:pPr>
        <w:pStyle w:val="Style29"/>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29"/>
        <w:keepNext w:val="0"/>
        <w:keepLines w:val="0"/>
        <w:widowControl w:val="0"/>
        <w:shd w:val="clear" w:color="auto" w:fill="auto"/>
        <w:bidi w:val="0"/>
        <w:spacing w:before="0" w:after="520" w:line="240" w:lineRule="auto"/>
        <w:ind w:left="0" w:right="0" w:firstLine="400"/>
        <w:jc w:val="left"/>
      </w:pPr>
      <w:r>
        <w:rPr>
          <w:color w:val="000000"/>
          <w:spacing w:val="0"/>
          <w:w w:val="100"/>
          <w:position w:val="0"/>
        </w:rPr>
        <w:t>公司报告期无违规对外担保情况。</w:t>
      </w:r>
    </w:p>
    <w:p>
      <w:pPr>
        <w:pStyle w:val="Style39"/>
        <w:keepNext/>
        <w:keepLines/>
        <w:widowControl w:val="0"/>
        <w:shd w:val="clear" w:color="auto" w:fill="auto"/>
        <w:bidi w:val="0"/>
        <w:spacing w:before="0" w:after="520" w:line="240" w:lineRule="auto"/>
        <w:ind w:left="0" w:right="0" w:firstLine="40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、委托他人进行现金资产管理情况</w:t>
      </w:r>
      <w:bookmarkEnd w:id="406"/>
      <w:bookmarkEnd w:id="407"/>
      <w:bookmarkEnd w:id="409"/>
    </w:p>
    <w:p>
      <w:pPr>
        <w:pStyle w:val="Style47"/>
        <w:keepNext/>
        <w:keepLines/>
        <w:widowControl w:val="0"/>
        <w:shd w:val="clear" w:color="auto" w:fill="auto"/>
        <w:bidi w:val="0"/>
        <w:spacing w:before="0" w:after="520" w:line="240" w:lineRule="auto"/>
        <w:ind w:left="0" w:right="0" w:firstLine="40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0"/>
      <w:bookmarkEnd w:id="411"/>
      <w:bookmarkEnd w:id="413"/>
    </w:p>
    <w:p>
      <w:pPr>
        <w:pStyle w:val="Style29"/>
        <w:keepNext w:val="0"/>
        <w:keepLines w:val="0"/>
        <w:widowControl w:val="0"/>
        <w:shd w:val="clear" w:color="auto" w:fill="auto"/>
        <w:bidi w:val="0"/>
        <w:spacing w:before="0" w:after="160" w:line="240" w:lineRule="auto"/>
        <w:ind w:left="0" w:right="0" w:firstLine="40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61"/>
        <w:gridCol w:w="518"/>
        <w:gridCol w:w="403"/>
        <w:gridCol w:w="734"/>
        <w:gridCol w:w="768"/>
        <w:gridCol w:w="763"/>
        <w:gridCol w:w="1771"/>
        <w:gridCol w:w="955"/>
        <w:gridCol w:w="974"/>
        <w:gridCol w:w="562"/>
        <w:gridCol w:w="840"/>
        <w:gridCol w:w="96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受托 人名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 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产 品 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委托理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报酬确定方式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本期实际收 回本金金额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计提减值准 备金额（如</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报告期实 际损益金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报告期损 益实际收 回情况</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招商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 行 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预期收益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投资本</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 xml:space="preserve">预 期最高年化收益率 </w:t>
            </w:r>
            <w:r>
              <w:rPr>
                <w:rFonts w:ascii="Times New Roman" w:eastAsia="Times New Roman" w:hAnsi="Times New Roman" w:cs="Times New Roman"/>
                <w:smallCaps/>
                <w:color w:val="000000"/>
                <w:spacing w:val="0"/>
                <w:w w:val="100"/>
                <w:position w:val="0"/>
                <w:sz w:val="18"/>
                <w:szCs w:val="18"/>
              </w:rPr>
              <w:t>/365x</w:t>
            </w:r>
            <w:r>
              <w:rPr>
                <w:color w:val="000000"/>
                <w:spacing w:val="0"/>
                <w:w w:val="100"/>
                <w:position w:val="0"/>
                <w:sz w:val="17"/>
                <w:szCs w:val="17"/>
              </w:rPr>
              <w:t>实际续存天数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银 行 理 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预期收益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投资本</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 xml:space="preserve">预 期最高年化收益率 </w:t>
            </w:r>
            <w:r>
              <w:rPr>
                <w:rFonts w:ascii="Times New Roman" w:eastAsia="Times New Roman" w:hAnsi="Times New Roman" w:cs="Times New Roman"/>
                <w:color w:val="000000"/>
                <w:spacing w:val="0"/>
                <w:w w:val="100"/>
                <w:position w:val="0"/>
                <w:sz w:val="18"/>
                <w:szCs w:val="18"/>
              </w:rPr>
              <w:t>/365x</w:t>
            </w:r>
            <w:r>
              <w:rPr>
                <w:color w:val="000000"/>
                <w:spacing w:val="0"/>
                <w:w w:val="100"/>
                <w:position w:val="0"/>
                <w:sz w:val="17"/>
                <w:szCs w:val="17"/>
              </w:rPr>
              <w:t>实际续存天数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bl>
    <w:p>
      <w:pPr>
        <w:widowControl w:val="0"/>
        <w:spacing w:line="1" w:lineRule="exact"/>
      </w:pPr>
    </w:p>
    <w:tbl>
      <w:tblPr>
        <w:tblOverlap w:val="never"/>
        <w:jc w:val="center"/>
        <w:tblLayout w:type="fixed"/>
      </w:tblPr>
      <w:tblGrid>
        <w:gridCol w:w="461"/>
        <w:gridCol w:w="518"/>
        <w:gridCol w:w="403"/>
        <w:gridCol w:w="734"/>
        <w:gridCol w:w="768"/>
        <w:gridCol w:w="763"/>
        <w:gridCol w:w="1771"/>
        <w:gridCol w:w="955"/>
        <w:gridCol w:w="974"/>
        <w:gridCol w:w="562"/>
        <w:gridCol w:w="840"/>
        <w:gridCol w:w="960"/>
      </w:tblGrid>
      <w:tr>
        <w:trPr>
          <w:trHeight w:val="13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平安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银</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行 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预期收益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投资本</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 xml:space="preserve">预 期最高年化收益率 </w:t>
            </w:r>
            <w:r>
              <w:rPr>
                <w:rFonts w:ascii="Times New Roman" w:eastAsia="Times New Roman" w:hAnsi="Times New Roman" w:cs="Times New Roman"/>
                <w:smallCaps/>
                <w:color w:val="000000"/>
                <w:spacing w:val="0"/>
                <w:w w:val="100"/>
                <w:position w:val="0"/>
                <w:sz w:val="18"/>
                <w:szCs w:val="18"/>
              </w:rPr>
              <w:t>/365x</w:t>
            </w:r>
            <w:r>
              <w:rPr>
                <w:color w:val="000000"/>
                <w:spacing w:val="0"/>
                <w:w w:val="100"/>
                <w:position w:val="0"/>
                <w:sz w:val="17"/>
                <w:szCs w:val="17"/>
              </w:rPr>
              <w:t>实际续存天数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75,616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委托理财资金来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自有资金</w:t>
            </w:r>
          </w:p>
        </w:tc>
      </w:tr>
      <w:tr>
        <w:trPr>
          <w:trHeight w:val="1027"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逾期未收回的本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金和收益累计金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涉诉情况（如适 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未来是否还有委 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年使用不超过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亿元的自有资金进行保本委托理财，在额度内可滚动使用。</w:t>
            </w:r>
          </w:p>
        </w:tc>
      </w:tr>
    </w:tbl>
    <w:p>
      <w:pPr>
        <w:widowControl w:val="0"/>
        <w:spacing w:after="399" w:line="1" w:lineRule="exact"/>
      </w:pPr>
    </w:p>
    <w:p>
      <w:pPr>
        <w:pStyle w:val="Style47"/>
        <w:keepNext/>
        <w:keepLines/>
        <w:widowControl w:val="0"/>
        <w:shd w:val="clear" w:color="auto" w:fill="auto"/>
        <w:bidi w:val="0"/>
        <w:spacing w:before="0" w:after="540" w:line="240" w:lineRule="auto"/>
        <w:ind w:left="0" w:right="0" w:firstLine="54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4"/>
      <w:bookmarkEnd w:id="415"/>
      <w:bookmarkEnd w:id="417"/>
    </w:p>
    <w:p>
      <w:pPr>
        <w:pStyle w:val="Style29"/>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29"/>
        <w:keepNext w:val="0"/>
        <w:keepLines w:val="0"/>
        <w:widowControl w:val="0"/>
        <w:shd w:val="clear" w:color="auto" w:fill="auto"/>
        <w:bidi w:val="0"/>
        <w:spacing w:before="0" w:after="540" w:line="240" w:lineRule="auto"/>
        <w:ind w:left="0" w:right="0" w:firstLine="40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540" w:line="240" w:lineRule="auto"/>
        <w:ind w:left="0" w:right="0" w:firstLine="40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4</w:t>
      </w:r>
      <w:bookmarkEnd w:id="420"/>
      <w:r>
        <w:rPr>
          <w:color w:val="000000"/>
          <w:spacing w:val="0"/>
          <w:w w:val="100"/>
          <w:position w:val="0"/>
        </w:rPr>
        <w:t>、其他重大合同</w:t>
      </w:r>
      <w:bookmarkEnd w:id="418"/>
      <w:bookmarkEnd w:id="419"/>
      <w:bookmarkEnd w:id="421"/>
    </w:p>
    <w:p>
      <w:pPr>
        <w:pStyle w:val="Style29"/>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40" w:line="240" w:lineRule="auto"/>
        <w:ind w:left="0" w:right="0" w:firstLine="40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540" w:line="240" w:lineRule="auto"/>
        <w:ind w:left="0" w:right="0" w:firstLine="400"/>
        <w:jc w:val="left"/>
      </w:pPr>
      <w:bookmarkStart w:id="422" w:name="bookmark422"/>
      <w:bookmarkStart w:id="423" w:name="bookmark423"/>
      <w:bookmarkStart w:id="424" w:name="bookmark424"/>
      <w:r>
        <w:rPr>
          <w:color w:val="000000"/>
          <w:spacing w:val="0"/>
          <w:w w:val="100"/>
          <w:position w:val="0"/>
        </w:rPr>
        <w:t>十七、社会责任情况</w:t>
      </w:r>
      <w:bookmarkEnd w:id="422"/>
      <w:bookmarkEnd w:id="423"/>
      <w:bookmarkEnd w:id="424"/>
    </w:p>
    <w:p>
      <w:pPr>
        <w:pStyle w:val="Style39"/>
        <w:keepNext/>
        <w:keepLines/>
        <w:widowControl w:val="0"/>
        <w:shd w:val="clear" w:color="auto" w:fill="auto"/>
        <w:tabs>
          <w:tab w:pos="768" w:val="left"/>
        </w:tabs>
        <w:bidi w:val="0"/>
        <w:spacing w:before="0" w:after="540" w:line="240" w:lineRule="auto"/>
        <w:ind w:left="0" w:right="0" w:firstLine="40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履行精准扶贫社会责任情况</w:t>
      </w:r>
      <w:bookmarkEnd w:id="425"/>
      <w:bookmarkEnd w:id="426"/>
      <w:bookmarkEnd w:id="428"/>
    </w:p>
    <w:p>
      <w:pPr>
        <w:pStyle w:val="Style29"/>
        <w:keepNext w:val="0"/>
        <w:keepLines w:val="0"/>
        <w:widowControl w:val="0"/>
        <w:shd w:val="clear" w:color="auto" w:fill="auto"/>
        <w:bidi w:val="0"/>
        <w:spacing w:before="0" w:after="5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778" w:val="left"/>
        </w:tabs>
        <w:bidi w:val="0"/>
        <w:spacing w:before="0" w:after="540" w:line="240" w:lineRule="auto"/>
        <w:ind w:left="0" w:right="0" w:firstLine="40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履行其他社会责任的情况</w:t>
      </w:r>
      <w:bookmarkEnd w:id="429"/>
      <w:bookmarkEnd w:id="430"/>
      <w:bookmarkEnd w:id="432"/>
    </w:p>
    <w:p>
      <w:pPr>
        <w:pStyle w:val="Style29"/>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具体事项详见披露于中国证监会指定的创业板信息披露网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相关公告。</w:t>
      </w:r>
    </w:p>
    <w:p>
      <w:pPr>
        <w:pStyle w:val="Style29"/>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280" w:line="467" w:lineRule="exact"/>
        <w:ind w:left="0" w:right="0" w:firstLine="42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80" w:line="542" w:lineRule="auto"/>
        <w:ind w:left="0" w:right="0" w:firstLine="42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keepLines/>
        <w:widowControl w:val="0"/>
        <w:shd w:val="clear" w:color="auto" w:fill="auto"/>
        <w:bidi w:val="0"/>
        <w:spacing w:before="0" w:after="520" w:line="240" w:lineRule="auto"/>
        <w:ind w:left="0" w:right="0" w:firstLine="420"/>
        <w:jc w:val="left"/>
      </w:pPr>
      <w:bookmarkStart w:id="433" w:name="bookmark433"/>
      <w:bookmarkStart w:id="434" w:name="bookmark434"/>
      <w:bookmarkStart w:id="435" w:name="bookmark435"/>
      <w:r>
        <w:rPr>
          <w:color w:val="000000"/>
          <w:spacing w:val="0"/>
          <w:w w:val="100"/>
          <w:position w:val="0"/>
        </w:rPr>
        <w:t>十八、其他重大事项的说明</w:t>
      </w:r>
      <w:bookmarkEnd w:id="433"/>
      <w:bookmarkEnd w:id="434"/>
      <w:bookmarkEnd w:id="435"/>
    </w:p>
    <w:p>
      <w:pPr>
        <w:pStyle w:val="Style29"/>
        <w:keepNext w:val="0"/>
        <w:keepLines w:val="0"/>
        <w:widowControl w:val="0"/>
        <w:shd w:val="clear" w:color="auto" w:fill="auto"/>
        <w:bidi w:val="0"/>
        <w:spacing w:before="0" w:after="0" w:line="542" w:lineRule="auto"/>
        <w:ind w:left="0" w:right="0" w:firstLine="42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520" w:line="467" w:lineRule="exact"/>
        <w:ind w:left="420" w:right="0" w:firstLine="360"/>
        <w:jc w:val="both"/>
      </w:pPr>
      <w:r>
        <w:rPr>
          <w:color w:val="000000"/>
          <w:spacing w:val="0"/>
          <w:w w:val="100"/>
          <w:position w:val="0"/>
        </w:rPr>
        <w:t>中科鼎富（北京）科技发展有限公司（简称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鼎富科技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日，公司第六届董事会第三次会议审议了《关于收购中科鼎富（北京）科技发展有限公司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股权的议案》，同意公司以 自有资金出资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万元收购杨凯程、晋耀红、刘振国、上海北信瑞丰资产管理有限公司、工银瑞信投资管理有限公司、周 志春、李德彦、何小平等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位股东持有的鼎富科技合计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股权。（具体内容详见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日巨潮资讯网相关公告）</w:t>
      </w:r>
    </w:p>
    <w:p>
      <w:pPr>
        <w:pStyle w:val="Style27"/>
        <w:keepNext/>
        <w:keepLines/>
        <w:widowControl w:val="0"/>
        <w:shd w:val="clear" w:color="auto" w:fill="auto"/>
        <w:bidi w:val="0"/>
        <w:spacing w:before="0" w:after="520" w:line="240" w:lineRule="auto"/>
        <w:ind w:left="0" w:right="0" w:firstLine="420"/>
        <w:jc w:val="left"/>
      </w:pPr>
      <w:bookmarkStart w:id="436" w:name="bookmark436"/>
      <w:bookmarkStart w:id="437" w:name="bookmark437"/>
      <w:bookmarkStart w:id="438" w:name="bookmark438"/>
      <w:r>
        <w:rPr>
          <w:color w:val="000000"/>
          <w:spacing w:val="0"/>
          <w:w w:val="100"/>
          <w:position w:val="0"/>
        </w:rPr>
        <w:t>十九、公司子公司重大事项</w:t>
      </w:r>
      <w:bookmarkEnd w:id="436"/>
      <w:bookmarkEnd w:id="437"/>
      <w:bookmarkEnd w:id="438"/>
    </w:p>
    <w:p>
      <w:pPr>
        <w:pStyle w:val="Style29"/>
        <w:keepNext w:val="0"/>
        <w:keepLines w:val="0"/>
        <w:widowControl w:val="0"/>
        <w:shd w:val="clear" w:color="auto" w:fill="auto"/>
        <w:bidi w:val="0"/>
        <w:spacing w:before="0" w:after="0" w:line="542" w:lineRule="auto"/>
        <w:ind w:left="0" w:right="0" w:firstLine="42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67"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日，公司第六届董事会第十四次会议审议了《关于转让控股公司土地使用权及附属建筑物房产权益的议 案》，同意对宁波普天旗下子公司一宁波金信通讯技术有限公司（简称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宁波金信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）拥有的土地及附属建筑物按按原值转 让给宁波普源通信技术有限公司（简称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宁波普源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，系宁波普天的原股东共同设立的公司）。转让价格</w:t>
      </w:r>
      <w:r>
        <w:rPr>
          <w:rFonts w:ascii="Times New Roman" w:eastAsia="Times New Roman" w:hAnsi="Times New Roman" w:cs="Times New Roman"/>
          <w:color w:val="000000"/>
          <w:spacing w:val="0"/>
          <w:w w:val="100"/>
          <w:position w:val="0"/>
          <w:sz w:val="18"/>
          <w:szCs w:val="18"/>
        </w:rPr>
        <w:t>11,573,815.43</w:t>
      </w:r>
      <w:r>
        <w:rPr>
          <w:color w:val="000000"/>
          <w:spacing w:val="0"/>
          <w:w w:val="100"/>
          <w:position w:val="0"/>
        </w:rPr>
        <w:t>元。转 让后，宁波普天享有优先租用的权利。宁波普源可书面委托宁波普天在政策允许的范围内对该土地及房产进行转让或处置， 转让或处置所得款项在扣除处置费用、一切与之相关的税费（包括但不限于房产税、土地增值税、企业所得税等）后的余额 归宁波普源所有。（具体内容详见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日巨潮资讯网相关公告）</w:t>
      </w:r>
      <w:r>
        <w:br w:type="page"/>
      </w:r>
    </w:p>
    <w:p>
      <w:pPr>
        <w:pStyle w:val="Style16"/>
        <w:keepNext/>
        <w:keepLines/>
        <w:widowControl w:val="0"/>
        <w:shd w:val="clear" w:color="auto" w:fill="auto"/>
        <w:bidi w:val="0"/>
        <w:spacing w:before="0" w:after="560" w:line="240" w:lineRule="auto"/>
        <w:ind w:left="0" w:right="0" w:firstLine="0"/>
        <w:jc w:val="center"/>
      </w:pPr>
      <w:bookmarkStart w:id="439" w:name="bookmark439"/>
      <w:bookmarkStart w:id="440" w:name="bookmark440"/>
      <w:bookmarkStart w:id="441" w:name="bookmark441"/>
      <w:r>
        <w:rPr>
          <w:color w:val="000000"/>
          <w:spacing w:val="0"/>
          <w:w w:val="100"/>
          <w:position w:val="0"/>
        </w:rPr>
        <w:t>第六节股份变动及股东情况</w:t>
      </w:r>
      <w:bookmarkEnd w:id="439"/>
      <w:bookmarkEnd w:id="440"/>
      <w:bookmarkEnd w:id="441"/>
    </w:p>
    <w:p>
      <w:pPr>
        <w:pStyle w:val="Style27"/>
        <w:keepNext/>
        <w:keepLines/>
        <w:widowControl w:val="0"/>
        <w:shd w:val="clear" w:color="auto" w:fill="auto"/>
        <w:bidi w:val="0"/>
        <w:spacing w:before="0" w:after="520" w:line="240" w:lineRule="auto"/>
        <w:ind w:left="0" w:right="0" w:firstLine="500"/>
        <w:jc w:val="left"/>
      </w:pPr>
      <w:bookmarkStart w:id="442" w:name="bookmark442"/>
      <w:bookmarkStart w:id="443" w:name="bookmark443"/>
      <w:bookmarkStart w:id="444" w:name="bookmark444"/>
      <w:bookmarkStart w:id="445" w:name="bookmark445"/>
      <w:r>
        <w:rPr>
          <w:color w:val="000000"/>
          <w:spacing w:val="0"/>
          <w:w w:val="100"/>
          <w:position w:val="0"/>
        </w:rPr>
        <w:t>一</w:t>
      </w:r>
      <w:bookmarkEnd w:id="444"/>
      <w:r>
        <w:rPr>
          <w:color w:val="000000"/>
          <w:spacing w:val="0"/>
          <w:w w:val="100"/>
          <w:position w:val="0"/>
        </w:rPr>
        <w:t>、股份变动情况</w:t>
      </w:r>
      <w:bookmarkEnd w:id="442"/>
      <w:bookmarkEnd w:id="443"/>
      <w:bookmarkEnd w:id="445"/>
    </w:p>
    <w:p>
      <w:pPr>
        <w:pStyle w:val="Style39"/>
        <w:keepNext/>
        <w:keepLines/>
        <w:widowControl w:val="0"/>
        <w:shd w:val="clear" w:color="auto" w:fill="auto"/>
        <w:bidi w:val="0"/>
        <w:spacing w:before="0" w:after="520" w:line="240" w:lineRule="auto"/>
        <w:ind w:left="0" w:right="0" w:firstLine="50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、股份变动情况</w:t>
      </w:r>
      <w:bookmarkEnd w:id="446"/>
      <w:bookmarkEnd w:id="447"/>
      <w:bookmarkEnd w:id="4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133"/>
        <w:gridCol w:w="710"/>
        <w:gridCol w:w="850"/>
        <w:gridCol w:w="566"/>
        <w:gridCol w:w="994"/>
        <w:gridCol w:w="1238"/>
        <w:gridCol w:w="1171"/>
        <w:gridCol w:w="1133"/>
        <w:gridCol w:w="859"/>
      </w:tblGrid>
      <w:tr>
        <w:trPr>
          <w:trHeight w:val="562"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557"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844,232,561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-192,841,023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-192,841,023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651,391,538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844,232,561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-192,841,023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-192,841,023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651,391,538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826,716,289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-188,904,411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-188,904,411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637,811,878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1,150,247,365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1,309,700,446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1,150,247,365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1,309,700,446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1,994,479,926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-33,387,942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-33,387,942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1,961,091,984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500"/>
        <w:jc w:val="left"/>
      </w:pPr>
      <w:r>
        <w:rPr>
          <w:b/>
          <w:bCs/>
          <w:color w:val="000000"/>
          <w:spacing w:val="0"/>
          <w:w w:val="100"/>
          <w:position w:val="0"/>
        </w:rPr>
        <w:t>股份变动的原因</w:t>
      </w:r>
    </w:p>
    <w:p>
      <w:pPr>
        <w:pStyle w:val="Style29"/>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1190" w:val="left"/>
        </w:tabs>
        <w:bidi w:val="0"/>
        <w:spacing w:before="0" w:after="280" w:line="240" w:lineRule="auto"/>
        <w:ind w:left="0" w:right="0" w:firstLine="860"/>
        <w:jc w:val="left"/>
      </w:pPr>
      <w:bookmarkStart w:id="450" w:name="bookmark450"/>
      <w:r>
        <w:rPr>
          <w:rFonts w:ascii="Times New Roman" w:eastAsia="Times New Roman" w:hAnsi="Times New Roman" w:cs="Times New Roman"/>
          <w:color w:val="000000"/>
          <w:spacing w:val="0"/>
          <w:w w:val="100"/>
          <w:position w:val="0"/>
          <w:sz w:val="18"/>
          <w:szCs w:val="18"/>
        </w:rPr>
        <w:t>1</w:t>
      </w:r>
      <w:bookmarkEnd w:id="450"/>
      <w:r>
        <w:rPr>
          <w:color w:val="000000"/>
          <w:spacing w:val="0"/>
          <w:w w:val="100"/>
          <w:position w:val="0"/>
        </w:rPr>
        <w:t>、</w:t>
        <w:tab/>
        <w:t>报告期内，因自主行权新增股份</w:t>
      </w:r>
      <w:r>
        <w:rPr>
          <w:rFonts w:ascii="Times New Roman" w:eastAsia="Times New Roman" w:hAnsi="Times New Roman" w:cs="Times New Roman"/>
          <w:color w:val="000000"/>
          <w:spacing w:val="0"/>
          <w:w w:val="100"/>
          <w:position w:val="0"/>
          <w:sz w:val="18"/>
          <w:szCs w:val="18"/>
        </w:rPr>
        <w:t>2,021,265</w:t>
      </w:r>
      <w:r>
        <w:rPr>
          <w:color w:val="000000"/>
          <w:spacing w:val="0"/>
          <w:w w:val="100"/>
          <w:position w:val="0"/>
        </w:rPr>
        <w:t>股。</w:t>
      </w:r>
    </w:p>
    <w:p>
      <w:pPr>
        <w:pStyle w:val="Style29"/>
        <w:keepNext w:val="0"/>
        <w:keepLines w:val="0"/>
        <w:widowControl w:val="0"/>
        <w:shd w:val="clear" w:color="auto" w:fill="auto"/>
        <w:tabs>
          <w:tab w:pos="1209" w:val="left"/>
        </w:tabs>
        <w:bidi w:val="0"/>
        <w:spacing w:before="0" w:after="280" w:line="240" w:lineRule="auto"/>
        <w:ind w:left="0" w:right="0" w:firstLine="860"/>
        <w:jc w:val="left"/>
      </w:pPr>
      <w:bookmarkStart w:id="451" w:name="bookmark451"/>
      <w:r>
        <w:rPr>
          <w:rFonts w:ascii="Times New Roman" w:eastAsia="Times New Roman" w:hAnsi="Times New Roman" w:cs="Times New Roman"/>
          <w:color w:val="000000"/>
          <w:spacing w:val="0"/>
          <w:w w:val="100"/>
          <w:position w:val="0"/>
          <w:sz w:val="18"/>
          <w:szCs w:val="18"/>
        </w:rPr>
        <w:t>2</w:t>
      </w:r>
      <w:bookmarkEnd w:id="451"/>
      <w:r>
        <w:rPr>
          <w:color w:val="000000"/>
          <w:spacing w:val="0"/>
          <w:w w:val="100"/>
          <w:position w:val="0"/>
        </w:rPr>
        <w:t>、</w:t>
        <w:tab/>
        <w:t>报告期内，因回购注销已不符合激励条件的原激励对象已获授的限制性股票，减少</w:t>
      </w:r>
      <w:r>
        <w:rPr>
          <w:rFonts w:ascii="Times New Roman" w:eastAsia="Times New Roman" w:hAnsi="Times New Roman" w:cs="Times New Roman"/>
          <w:color w:val="000000"/>
          <w:spacing w:val="0"/>
          <w:w w:val="100"/>
          <w:position w:val="0"/>
          <w:sz w:val="18"/>
          <w:szCs w:val="18"/>
        </w:rPr>
        <w:t>5,884,617</w:t>
      </w:r>
      <w:r>
        <w:rPr>
          <w:color w:val="000000"/>
          <w:spacing w:val="0"/>
          <w:w w:val="100"/>
          <w:position w:val="0"/>
        </w:rPr>
        <w:t>股。</w:t>
      </w:r>
    </w:p>
    <w:p>
      <w:pPr>
        <w:pStyle w:val="Style29"/>
        <w:keepNext w:val="0"/>
        <w:keepLines w:val="0"/>
        <w:widowControl w:val="0"/>
        <w:shd w:val="clear" w:color="auto" w:fill="auto"/>
        <w:tabs>
          <w:tab w:pos="1209" w:val="left"/>
        </w:tabs>
        <w:bidi w:val="0"/>
        <w:spacing w:before="0" w:after="280" w:line="240" w:lineRule="auto"/>
        <w:ind w:left="0" w:right="0" w:firstLine="860"/>
        <w:jc w:val="left"/>
      </w:pPr>
      <w:bookmarkStart w:id="452" w:name="bookmark452"/>
      <w:r>
        <w:rPr>
          <w:rFonts w:ascii="Times New Roman" w:eastAsia="Times New Roman" w:hAnsi="Times New Roman" w:cs="Times New Roman"/>
          <w:color w:val="000000"/>
          <w:spacing w:val="0"/>
          <w:w w:val="100"/>
          <w:position w:val="0"/>
          <w:sz w:val="18"/>
          <w:szCs w:val="18"/>
        </w:rPr>
        <w:t>3</w:t>
      </w:r>
      <w:bookmarkEnd w:id="452"/>
      <w:r>
        <w:rPr>
          <w:color w:val="000000"/>
          <w:spacing w:val="0"/>
          <w:w w:val="100"/>
          <w:position w:val="0"/>
        </w:rPr>
        <w:t>、</w:t>
        <w:tab/>
        <w:t>报告期内，因回购注销发行股份及支付现金购买资产业绩补偿股票，减少</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w:t>
      </w:r>
    </w:p>
    <w:p>
      <w:pPr>
        <w:pStyle w:val="Style29"/>
        <w:keepNext w:val="0"/>
        <w:keepLines w:val="0"/>
        <w:widowControl w:val="0"/>
        <w:shd w:val="clear" w:color="auto" w:fill="auto"/>
        <w:bidi w:val="0"/>
        <w:spacing w:before="0" w:after="280" w:line="475" w:lineRule="exact"/>
        <w:ind w:left="0" w:right="0" w:firstLine="480"/>
        <w:jc w:val="left"/>
      </w:pPr>
      <w:r>
        <w:rPr>
          <w:b/>
          <w:bCs/>
          <w:color w:val="000000"/>
          <w:spacing w:val="0"/>
          <w:w w:val="100"/>
          <w:position w:val="0"/>
        </w:rPr>
        <w:t>股份变动的批准情况</w:t>
      </w:r>
    </w:p>
    <w:p>
      <w:pPr>
        <w:pStyle w:val="Style29"/>
        <w:keepNext w:val="0"/>
        <w:keepLines w:val="0"/>
        <w:widowControl w:val="0"/>
        <w:shd w:val="clear" w:color="auto" w:fill="auto"/>
        <w:bidi w:val="0"/>
        <w:spacing w:before="0" w:after="0" w:line="552" w:lineRule="auto"/>
        <w:ind w:left="0" w:right="0" w:firstLine="48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860"/>
        <w:jc w:val="left"/>
      </w:pPr>
      <w:r>
        <w:rPr>
          <w:color w:val="000000"/>
          <w:spacing w:val="0"/>
          <w:w w:val="100"/>
          <w:position w:val="0"/>
        </w:rPr>
        <w:t>上述股份变动已经过公司董事会及股东大会审议通过。</w:t>
      </w:r>
    </w:p>
    <w:p>
      <w:pPr>
        <w:pStyle w:val="Style29"/>
        <w:keepNext w:val="0"/>
        <w:keepLines w:val="0"/>
        <w:widowControl w:val="0"/>
        <w:shd w:val="clear" w:color="auto" w:fill="auto"/>
        <w:bidi w:val="0"/>
        <w:spacing w:before="0" w:after="280" w:line="475" w:lineRule="exact"/>
        <w:ind w:left="0" w:right="0" w:firstLine="480"/>
        <w:jc w:val="left"/>
      </w:pPr>
      <w:r>
        <w:rPr>
          <w:b/>
          <w:bCs/>
          <w:color w:val="000000"/>
          <w:spacing w:val="0"/>
          <w:w w:val="100"/>
          <w:position w:val="0"/>
        </w:rPr>
        <w:t>股份变动的过户情况</w:t>
      </w:r>
    </w:p>
    <w:p>
      <w:pPr>
        <w:pStyle w:val="Style29"/>
        <w:keepNext w:val="0"/>
        <w:keepLines w:val="0"/>
        <w:widowControl w:val="0"/>
        <w:shd w:val="clear" w:color="auto" w:fill="auto"/>
        <w:bidi w:val="0"/>
        <w:spacing w:before="0" w:after="0" w:line="552" w:lineRule="auto"/>
        <w:ind w:left="0" w:right="0" w:firstLine="48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475" w:lineRule="exact"/>
        <w:ind w:left="0" w:right="0" w:firstLine="860"/>
        <w:jc w:val="left"/>
      </w:pPr>
      <w:r>
        <w:rPr>
          <w:color w:val="000000"/>
          <w:spacing w:val="0"/>
          <w:w w:val="100"/>
          <w:position w:val="0"/>
        </w:rPr>
        <w:t>以上股份变动均已办理完成相关手续。</w:t>
      </w:r>
    </w:p>
    <w:p>
      <w:pPr>
        <w:pStyle w:val="Style29"/>
        <w:keepNext w:val="0"/>
        <w:keepLines w:val="0"/>
        <w:widowControl w:val="0"/>
        <w:shd w:val="clear" w:color="auto" w:fill="auto"/>
        <w:bidi w:val="0"/>
        <w:spacing w:before="0" w:after="280" w:line="475" w:lineRule="exact"/>
        <w:ind w:left="0" w:right="0" w:firstLine="48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552" w:lineRule="auto"/>
        <w:ind w:left="0" w:right="0" w:firstLine="48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475" w:lineRule="exact"/>
        <w:ind w:left="480" w:right="0"/>
        <w:jc w:val="left"/>
      </w:pPr>
      <w:r>
        <w:rPr>
          <w:color w:val="000000"/>
          <w:spacing w:val="0"/>
          <w:w w:val="100"/>
          <w:position w:val="0"/>
        </w:rPr>
        <w:t>报告期内，公司股份总数由</w:t>
      </w:r>
      <w:r>
        <w:rPr>
          <w:rFonts w:ascii="Times New Roman" w:eastAsia="Times New Roman" w:hAnsi="Times New Roman" w:cs="Times New Roman"/>
          <w:color w:val="000000"/>
          <w:spacing w:val="0"/>
          <w:w w:val="100"/>
          <w:position w:val="0"/>
          <w:sz w:val="18"/>
          <w:szCs w:val="18"/>
        </w:rPr>
        <w:t>1,994,479,926</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股，变动幅度为</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,对公司最近一期基本每股收益、 稀释每股收益、归属于上市公司普通股股东的每股净资产等财务指标相应产生变动。具体详见第二节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五、主要会计数据和 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20" w:line="475" w:lineRule="exact"/>
        <w:ind w:left="0" w:right="0" w:firstLine="480"/>
        <w:jc w:val="left"/>
      </w:pPr>
      <w:r>
        <w:rPr>
          <w:b/>
          <w:bCs/>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80" w:line="552"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bidi w:val="0"/>
        <w:spacing w:before="0" w:after="540" w:line="240" w:lineRule="auto"/>
        <w:ind w:left="0" w:right="0" w:firstLine="48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、限售股份变动情况</w:t>
      </w:r>
      <w:bookmarkEnd w:id="453"/>
      <w:bookmarkEnd w:id="454"/>
      <w:bookmarkEnd w:id="456"/>
    </w:p>
    <w:p>
      <w:pPr>
        <w:pStyle w:val="Style29"/>
        <w:keepNext w:val="0"/>
        <w:keepLines w:val="0"/>
        <w:widowControl w:val="0"/>
        <w:shd w:val="clear" w:color="auto" w:fill="auto"/>
        <w:bidi w:val="0"/>
        <w:spacing w:before="0" w:after="0" w:line="552" w:lineRule="auto"/>
        <w:ind w:left="0" w:right="0" w:firstLine="48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43"/>
        <w:gridCol w:w="1579"/>
        <w:gridCol w:w="1536"/>
        <w:gridCol w:w="1277"/>
        <w:gridCol w:w="1296"/>
        <w:gridCol w:w="1584"/>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本期解除限售股数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95,218,958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95,218,955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192,155,414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88,499,270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85,663,801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57,207,301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76,369,862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44,776,098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32,094,198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许芃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12,155,295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15,706,809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张振鹏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10,154,497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82"/>
        <w:gridCol w:w="1243"/>
        <w:gridCol w:w="1579"/>
        <w:gridCol w:w="1536"/>
        <w:gridCol w:w="1277"/>
        <w:gridCol w:w="1296"/>
        <w:gridCol w:w="1584"/>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朱健松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刘豪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丁彦超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翟一兵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梁德兴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刘丁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91,641,484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首发后个人类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年分 别按获授股份的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李章晶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首发后个人类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天津骆壳科技 信息咨询合伙 企业（有限合</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17,516,272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首发后机构类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844,232,561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225,127,800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32,286,777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651,391,538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520" w:line="480" w:lineRule="exact"/>
        <w:ind w:left="480" w:right="0"/>
        <w:jc w:val="left"/>
      </w:pPr>
      <w:r>
        <w:rPr>
          <w:color w:val="000000"/>
          <w:spacing w:val="0"/>
          <w:w w:val="100"/>
          <w:position w:val="0"/>
        </w:rPr>
        <w:t>注：因公司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年度业绩未达到《股权激励计划》规定的第四个行权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解锁期的业绩考核要求，经董事会审议通过，公 司注销了激励对象在第四个行权期的股票期权，回购注销了激励对象在第四个解锁期内尚未解锁的限制性股票。</w:t>
      </w:r>
    </w:p>
    <w:p>
      <w:pPr>
        <w:pStyle w:val="Style27"/>
        <w:keepNext/>
        <w:keepLines/>
        <w:widowControl w:val="0"/>
        <w:shd w:val="clear" w:color="auto" w:fill="auto"/>
        <w:bidi w:val="0"/>
        <w:spacing w:before="0" w:after="520" w:line="240" w:lineRule="auto"/>
        <w:ind w:left="0" w:right="0" w:firstLine="480"/>
        <w:jc w:val="left"/>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、证券发行与上市情况</w:t>
      </w:r>
      <w:bookmarkEnd w:id="457"/>
      <w:bookmarkEnd w:id="458"/>
      <w:bookmarkEnd w:id="460"/>
    </w:p>
    <w:p>
      <w:pPr>
        <w:pStyle w:val="Style39"/>
        <w:keepNext/>
        <w:keepLines/>
        <w:widowControl w:val="0"/>
        <w:shd w:val="clear" w:color="auto" w:fill="auto"/>
        <w:tabs>
          <w:tab w:pos="848" w:val="left"/>
        </w:tabs>
        <w:bidi w:val="0"/>
        <w:spacing w:before="0" w:after="520" w:line="240" w:lineRule="auto"/>
        <w:ind w:left="0" w:right="0" w:firstLine="48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w:t>
        <w:tab/>
        <w:t>报告期内证券发行（不含优先股）情况</w:t>
      </w:r>
      <w:bookmarkEnd w:id="461"/>
      <w:bookmarkEnd w:id="462"/>
      <w:bookmarkEnd w:id="464"/>
    </w:p>
    <w:p>
      <w:pPr>
        <w:pStyle w:val="Style29"/>
        <w:keepNext w:val="0"/>
        <w:keepLines w:val="0"/>
        <w:widowControl w:val="0"/>
        <w:shd w:val="clear" w:color="auto" w:fill="auto"/>
        <w:bidi w:val="0"/>
        <w:spacing w:before="0" w:after="52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858" w:val="left"/>
        </w:tabs>
        <w:bidi w:val="0"/>
        <w:spacing w:before="0" w:after="520" w:line="240" w:lineRule="auto"/>
        <w:ind w:left="0" w:right="0" w:firstLine="48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公司股份总数及股东结构的变动、公司资产和负债结构的变动情况说明</w:t>
      </w:r>
      <w:bookmarkEnd w:id="465"/>
      <w:bookmarkEnd w:id="466"/>
      <w:bookmarkEnd w:id="468"/>
    </w:p>
    <w:p>
      <w:pPr>
        <w:pStyle w:val="Style29"/>
        <w:keepNext w:val="0"/>
        <w:keepLines w:val="0"/>
        <w:widowControl w:val="0"/>
        <w:shd w:val="clear" w:color="auto" w:fill="auto"/>
        <w:bidi w:val="0"/>
        <w:spacing w:before="0" w:after="300" w:line="240" w:lineRule="auto"/>
        <w:ind w:left="0" w:right="0" w:firstLine="48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1190" w:val="left"/>
        </w:tabs>
        <w:bidi w:val="0"/>
        <w:spacing w:before="0" w:after="240" w:line="240" w:lineRule="auto"/>
        <w:ind w:left="0" w:right="0" w:firstLine="860"/>
        <w:jc w:val="left"/>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w:t>
        <w:tab/>
        <w:t>报告期内，因自主行权新增股份</w:t>
      </w:r>
      <w:r>
        <w:rPr>
          <w:rFonts w:ascii="Times New Roman" w:eastAsia="Times New Roman" w:hAnsi="Times New Roman" w:cs="Times New Roman"/>
          <w:color w:val="000000"/>
          <w:spacing w:val="0"/>
          <w:w w:val="100"/>
          <w:position w:val="0"/>
          <w:sz w:val="18"/>
          <w:szCs w:val="18"/>
        </w:rPr>
        <w:t>2,021,265</w:t>
      </w:r>
      <w:r>
        <w:rPr>
          <w:color w:val="000000"/>
          <w:spacing w:val="0"/>
          <w:w w:val="100"/>
          <w:position w:val="0"/>
        </w:rPr>
        <w:t>股。</w:t>
      </w:r>
    </w:p>
    <w:p>
      <w:pPr>
        <w:pStyle w:val="Style29"/>
        <w:keepNext w:val="0"/>
        <w:keepLines w:val="0"/>
        <w:widowControl w:val="0"/>
        <w:shd w:val="clear" w:color="auto" w:fill="auto"/>
        <w:tabs>
          <w:tab w:pos="1209" w:val="left"/>
        </w:tabs>
        <w:bidi w:val="0"/>
        <w:spacing w:before="0" w:after="0" w:line="240" w:lineRule="auto"/>
        <w:ind w:left="0" w:right="0" w:firstLine="860"/>
        <w:jc w:val="left"/>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t>报告期内，因回购注销已不符合激励条件的原激励对象已获授的限制性股票，减少</w:t>
      </w:r>
      <w:r>
        <w:rPr>
          <w:rFonts w:ascii="Times New Roman" w:eastAsia="Times New Roman" w:hAnsi="Times New Roman" w:cs="Times New Roman"/>
          <w:color w:val="000000"/>
          <w:spacing w:val="0"/>
          <w:w w:val="100"/>
          <w:position w:val="0"/>
          <w:sz w:val="18"/>
          <w:szCs w:val="18"/>
        </w:rPr>
        <w:t>5,884,617</w:t>
      </w:r>
      <w:r>
        <w:rPr>
          <w:color w:val="000000"/>
          <w:spacing w:val="0"/>
          <w:w w:val="100"/>
          <w:position w:val="0"/>
        </w:rPr>
        <w:t>股。</w:t>
      </w:r>
    </w:p>
    <w:p>
      <w:pPr>
        <w:pStyle w:val="Style29"/>
        <w:keepNext w:val="0"/>
        <w:keepLines w:val="0"/>
        <w:widowControl w:val="0"/>
        <w:shd w:val="clear" w:color="auto" w:fill="auto"/>
        <w:bidi w:val="0"/>
        <w:spacing w:before="0" w:after="260" w:line="240" w:lineRule="auto"/>
        <w:ind w:left="0" w:right="0" w:firstLine="860"/>
        <w:jc w:val="left"/>
      </w:pPr>
      <w:bookmarkStart w:id="471" w:name="bookmark471"/>
      <w:r>
        <w:rPr>
          <w:rFonts w:ascii="Times New Roman" w:eastAsia="Times New Roman" w:hAnsi="Times New Roman" w:cs="Times New Roman"/>
          <w:color w:val="000000"/>
          <w:spacing w:val="0"/>
          <w:w w:val="100"/>
          <w:position w:val="0"/>
          <w:sz w:val="18"/>
          <w:szCs w:val="18"/>
        </w:rPr>
        <w:t>3</w:t>
      </w:r>
      <w:bookmarkEnd w:id="471"/>
      <w:r>
        <w:rPr>
          <w:color w:val="000000"/>
          <w:spacing w:val="0"/>
          <w:w w:val="100"/>
          <w:position w:val="0"/>
        </w:rPr>
        <w:t>、报告期内，因回购注销发行股份及支付现金购买资产业绩补偿股票，减少</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w:t>
      </w:r>
    </w:p>
    <w:p>
      <w:pPr>
        <w:pStyle w:val="Style68"/>
        <w:keepNext w:val="0"/>
        <w:keepLines w:val="0"/>
        <w:widowControl w:val="0"/>
        <w:shd w:val="clear" w:color="auto" w:fill="auto"/>
        <w:bidi w:val="0"/>
        <w:spacing w:before="0" w:after="520" w:line="240" w:lineRule="auto"/>
        <w:ind w:left="0" w:right="0" w:firstLine="860"/>
        <w:jc w:val="left"/>
        <w:rPr>
          <w:sz w:val="17"/>
          <w:szCs w:val="17"/>
        </w:rPr>
      </w:pPr>
      <w:r>
        <w:rPr>
          <w:rFonts w:ascii="SimSun" w:eastAsia="SimSun" w:hAnsi="SimSun" w:cs="SimSun"/>
          <w:color w:val="000000"/>
          <w:spacing w:val="0"/>
          <w:w w:val="100"/>
          <w:position w:val="0"/>
          <w:sz w:val="17"/>
          <w:szCs w:val="17"/>
        </w:rPr>
        <w:t>上述股份变动后，公司股份总数由年初的</w:t>
      </w:r>
      <w:r>
        <w:rPr>
          <w:color w:val="000000"/>
          <w:spacing w:val="0"/>
          <w:w w:val="100"/>
          <w:position w:val="0"/>
          <w:sz w:val="18"/>
          <w:szCs w:val="18"/>
        </w:rPr>
        <w:t>1,994,479,926</w:t>
      </w:r>
      <w:r>
        <w:rPr>
          <w:rFonts w:ascii="SimSun" w:eastAsia="SimSun" w:hAnsi="SimSun" w:cs="SimSun"/>
          <w:color w:val="000000"/>
          <w:spacing w:val="0"/>
          <w:w w:val="100"/>
          <w:position w:val="0"/>
          <w:sz w:val="17"/>
          <w:szCs w:val="17"/>
        </w:rPr>
        <w:t>股变更至</w:t>
      </w:r>
      <w:r>
        <w:rPr>
          <w:color w:val="000000"/>
          <w:spacing w:val="0"/>
          <w:w w:val="100"/>
          <w:position w:val="0"/>
          <w:sz w:val="18"/>
          <w:szCs w:val="18"/>
        </w:rPr>
        <w:t>1,961,091,984</w:t>
      </w:r>
      <w:r>
        <w:rPr>
          <w:rFonts w:ascii="SimSun" w:eastAsia="SimSun" w:hAnsi="SimSun" w:cs="SimSun"/>
          <w:color w:val="000000"/>
          <w:spacing w:val="0"/>
          <w:w w:val="100"/>
          <w:position w:val="0"/>
          <w:sz w:val="17"/>
          <w:szCs w:val="17"/>
        </w:rPr>
        <w:t>股，变动幅度为</w:t>
      </w:r>
      <w:r>
        <w:rPr>
          <w:color w:val="000000"/>
          <w:spacing w:val="0"/>
          <w:w w:val="100"/>
          <w:position w:val="0"/>
          <w:sz w:val="18"/>
          <w:szCs w:val="18"/>
        </w:rPr>
        <w:t>-1.67%</w:t>
      </w:r>
      <w:r>
        <w:rPr>
          <w:rFonts w:ascii="SimSun" w:eastAsia="SimSun" w:hAnsi="SimSun" w:cs="SimSun"/>
          <w:color w:val="000000"/>
          <w:spacing w:val="0"/>
          <w:w w:val="100"/>
          <w:position w:val="0"/>
          <w:sz w:val="17"/>
          <w:szCs w:val="17"/>
        </w:rPr>
        <w:t>。</w:t>
      </w:r>
    </w:p>
    <w:p>
      <w:pPr>
        <w:pStyle w:val="Style39"/>
        <w:keepNext/>
        <w:keepLines/>
        <w:widowControl w:val="0"/>
        <w:shd w:val="clear" w:color="auto" w:fill="auto"/>
        <w:bidi w:val="0"/>
        <w:spacing w:before="0" w:after="520" w:line="240" w:lineRule="auto"/>
        <w:ind w:left="0" w:right="0" w:firstLine="50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、现存的内部职工股情况</w:t>
      </w:r>
      <w:bookmarkEnd w:id="472"/>
      <w:bookmarkEnd w:id="473"/>
      <w:bookmarkEnd w:id="475"/>
    </w:p>
    <w:p>
      <w:pPr>
        <w:pStyle w:val="Style29"/>
        <w:keepNext w:val="0"/>
        <w:keepLines w:val="0"/>
        <w:widowControl w:val="0"/>
        <w:shd w:val="clear" w:color="auto" w:fill="auto"/>
        <w:bidi w:val="0"/>
        <w:spacing w:before="0" w:after="52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500"/>
        <w:jc w:val="left"/>
      </w:pPr>
      <w:bookmarkStart w:id="476" w:name="bookmark476"/>
      <w:bookmarkStart w:id="477" w:name="bookmark477"/>
      <w:bookmarkStart w:id="478" w:name="bookmark478"/>
      <w:bookmarkStart w:id="479" w:name="bookmark479"/>
      <w:r>
        <w:rPr>
          <w:color w:val="000000"/>
          <w:spacing w:val="0"/>
          <w:w w:val="100"/>
          <w:position w:val="0"/>
        </w:rPr>
        <w:t>三</w:t>
      </w:r>
      <w:bookmarkEnd w:id="478"/>
      <w:r>
        <w:rPr>
          <w:color w:val="000000"/>
          <w:spacing w:val="0"/>
          <w:w w:val="100"/>
          <w:position w:val="0"/>
        </w:rPr>
        <w:t>、股东和实际控制人情况</w:t>
      </w:r>
      <w:bookmarkEnd w:id="476"/>
      <w:bookmarkEnd w:id="477"/>
      <w:bookmarkEnd w:id="479"/>
    </w:p>
    <w:p>
      <w:pPr>
        <w:pStyle w:val="Style39"/>
        <w:keepNext/>
        <w:keepLines/>
        <w:widowControl w:val="0"/>
        <w:shd w:val="clear" w:color="auto" w:fill="auto"/>
        <w:bidi w:val="0"/>
        <w:spacing w:before="0" w:after="520" w:line="240" w:lineRule="auto"/>
        <w:ind w:left="0" w:right="0" w:firstLine="50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、公司股东数量及持股情况</w:t>
      </w:r>
      <w:bookmarkEnd w:id="480"/>
      <w:bookmarkEnd w:id="481"/>
      <w:bookmarkEnd w:id="4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514"/>
        <w:gridCol w:w="878"/>
        <w:gridCol w:w="874"/>
        <w:gridCol w:w="509"/>
        <w:gridCol w:w="485"/>
        <w:gridCol w:w="710"/>
        <w:gridCol w:w="283"/>
        <w:gridCol w:w="998"/>
        <w:gridCol w:w="989"/>
        <w:gridCol w:w="120"/>
        <w:gridCol w:w="1037"/>
        <w:gridCol w:w="293"/>
        <w:gridCol w:w="1066"/>
      </w:tblGrid>
      <w:tr>
        <w:trPr>
          <w:trHeight w:val="196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报告期末普通股股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20" w:line="240" w:lineRule="auto"/>
              <w:ind w:left="0" w:right="0" w:firstLine="0"/>
              <w:jc w:val="righ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after="2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56,372 </w:t>
            </w:r>
            <w:r>
              <w:rPr>
                <w:color w:val="000000"/>
                <w:spacing w:val="0"/>
                <w:w w:val="100"/>
                <w:position w:val="0"/>
                <w:sz w:val="17"/>
                <w:szCs w:val="17"/>
              </w:rPr>
              <w:t>前</w:t>
            </w:r>
          </w:p>
          <w:p>
            <w:pPr>
              <w:pStyle w:val="Style2"/>
              <w:keepNext w:val="0"/>
              <w:keepLines w:val="0"/>
              <w:widowControl w:val="0"/>
              <w:shd w:val="clear" w:color="auto" w:fill="auto"/>
              <w:bidi w:val="0"/>
              <w:spacing w:before="0" w:after="300" w:line="240" w:lineRule="auto"/>
              <w:ind w:left="0" w:right="0" w:firstLine="0"/>
              <w:jc w:val="right"/>
              <w:rPr>
                <w:sz w:val="17"/>
                <w:szCs w:val="17"/>
              </w:rPr>
            </w:pPr>
            <w:r>
              <w:rPr>
                <w:color w:val="000000"/>
                <w:spacing w:val="0"/>
                <w:w w:val="100"/>
                <w:position w:val="0"/>
                <w:sz w:val="17"/>
                <w:szCs w:val="17"/>
              </w:rPr>
              <w:t>股</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平度报告披露日</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上一月末普通</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设股东总数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55,195</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报告期末表决权</w:t>
            </w:r>
          </w:p>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恢复的优先股股</w:t>
            </w:r>
          </w:p>
          <w:p>
            <w:pPr>
              <w:pStyle w:val="Style2"/>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东总数（如有）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年度报告披露日</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前上一月末表决</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权恢复的优先股</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股东总数（如有）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56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260" w:line="240" w:lineRule="auto"/>
              <w:ind w:left="0" w:right="0" w:firstLine="300"/>
              <w:jc w:val="lef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936"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李力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256,807,304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64,201,827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王宁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126,958,612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31,739,654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68,950,000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齐强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115,489,027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115,489,027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黄松浪</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114,318,403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28,579,602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85,032,006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安梅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113,958,609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18,739,654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李毅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83,576,232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16,210,522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中信证券股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73,010,778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73,010,778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万能</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71,486,462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71,486,462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54,567,803</w:t>
            </w:r>
          </w:p>
        </w:tc>
      </w:tr>
    </w:tbl>
    <w:p>
      <w:pPr>
        <w:widowControl w:val="0"/>
        <w:spacing w:line="1" w:lineRule="exact"/>
      </w:pPr>
      <w:r>
        <w:br w:type="page"/>
      </w:r>
    </w:p>
    <w:tbl>
      <w:tblPr>
        <w:tblOverlap w:val="never"/>
        <w:jc w:val="center"/>
        <w:tblLayout w:type="fixed"/>
      </w:tblPr>
      <w:tblGrid>
        <w:gridCol w:w="1142"/>
        <w:gridCol w:w="1416"/>
        <w:gridCol w:w="850"/>
        <w:gridCol w:w="994"/>
        <w:gridCol w:w="994"/>
        <w:gridCol w:w="984"/>
        <w:gridCol w:w="998"/>
        <w:gridCol w:w="1162"/>
        <w:gridCol w:w="1358"/>
      </w:tblGrid>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58,307,149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33,030,685</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42,792,265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26,573,404</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 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自然人王宁先生、李力先生为一致行动人，系本公司的实际控制人。</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557"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557"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56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齐强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115,489,027</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中信证券股份有限公司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73,010,778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73,010,778</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71,486,462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71,486,462</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64,201,827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64,201,827</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中国人寿保险股份有限公司一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38,984,508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38,984,508</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王雅莉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33,418,389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33,418,389</w:t>
            </w:r>
          </w:p>
        </w:tc>
      </w:tr>
      <w:tr>
        <w:trPr>
          <w:trHeight w:val="56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31,739,654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31,739,654</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黄松浪</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28,579,602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28,579,602</w:t>
            </w:r>
          </w:p>
        </w:tc>
      </w:tr>
      <w:tr>
        <w:trPr>
          <w:trHeight w:val="10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00" w:line="240" w:lineRule="auto"/>
              <w:ind w:left="0" w:right="0" w:firstLine="0"/>
              <w:jc w:val="center"/>
              <w:rPr>
                <w:sz w:val="17"/>
                <w:szCs w:val="17"/>
              </w:rPr>
            </w:pPr>
            <w:r>
              <w:rPr>
                <w:color w:val="000000"/>
                <w:spacing w:val="0"/>
                <w:w w:val="100"/>
                <w:position w:val="0"/>
                <w:sz w:val="17"/>
                <w:szCs w:val="17"/>
              </w:rPr>
              <w:t>中央汇金资产管理有限责任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20,237,200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20,237,200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杨磊</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19,947,127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19,947,127</w:t>
            </w:r>
          </w:p>
        </w:tc>
      </w:tr>
      <w:tr>
        <w:trPr>
          <w:trHeight w:val="196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自然人王宁先生、李力先生为一致行动人，系本公司的实际控制人。</w:t>
            </w:r>
          </w:p>
        </w:tc>
      </w:tr>
      <w:tr>
        <w:trPr>
          <w:trHeight w:val="1037"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参与融资融券业务股东情况说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p>
      <w:pPr>
        <w:pStyle w:val="Style29"/>
        <w:keepNext w:val="0"/>
        <w:keepLines w:val="0"/>
        <w:widowControl w:val="0"/>
        <w:shd w:val="clear" w:color="auto" w:fill="auto"/>
        <w:bidi w:val="0"/>
        <w:spacing w:before="0" w:after="540" w:line="240" w:lineRule="auto"/>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54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、公司控股股东情况</w:t>
      </w:r>
      <w:bookmarkEnd w:id="484"/>
      <w:bookmarkEnd w:id="485"/>
      <w:bookmarkEnd w:id="487"/>
    </w:p>
    <w:p>
      <w:pPr>
        <w:pStyle w:val="Style29"/>
        <w:keepNext w:val="0"/>
        <w:keepLines w:val="0"/>
        <w:widowControl w:val="0"/>
        <w:shd w:val="clear" w:color="auto" w:fill="auto"/>
        <w:bidi w:val="0"/>
        <w:spacing w:before="0" w:after="300" w:line="240" w:lineRule="auto"/>
        <w:ind w:left="0" w:right="0"/>
        <w:jc w:val="left"/>
      </w:pPr>
      <w:r>
        <w:rPr>
          <w:color w:val="000000"/>
          <w:spacing w:val="0"/>
          <w:w w:val="100"/>
          <w:position w:val="0"/>
        </w:rPr>
        <w:t>公司不存在控股股东。</w:t>
      </w: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控股股东报告期内变更</w:t>
      </w:r>
    </w:p>
    <w:p>
      <w:pPr>
        <w:pStyle w:val="Style29"/>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bidi w:val="0"/>
        <w:spacing w:before="0" w:after="54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、公司实际控制人情况</w:t>
      </w:r>
      <w:bookmarkEnd w:id="488"/>
      <w:bookmarkEnd w:id="489"/>
      <w:bookmarkEnd w:id="491"/>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实际控制人性质：</w:t>
      </w:r>
      <w:r>
        <w:rPr>
          <w:color w:val="000000"/>
          <w:spacing w:val="0"/>
          <w:w w:val="100"/>
          <w:position w:val="0"/>
        </w:rPr>
        <w:t>境内自然人</w:t>
      </w:r>
    </w:p>
    <w:p>
      <w:pPr>
        <w:pStyle w:val="Style2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实际控制人类型：</w:t>
      </w:r>
      <w:r>
        <w:rPr>
          <w:color w:val="000000"/>
          <w:spacing w:val="0"/>
          <w:w w:val="100"/>
          <w:position w:val="0"/>
        </w:rPr>
        <w:t>自然人</w:t>
      </w:r>
    </w:p>
    <w:tbl>
      <w:tblPr>
        <w:tblOverlap w:val="never"/>
        <w:jc w:val="center"/>
        <w:tblLayout w:type="fixed"/>
      </w:tblPr>
      <w:tblGrid>
        <w:gridCol w:w="3341"/>
        <w:gridCol w:w="2054"/>
        <w:gridCol w:w="4186"/>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571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380"/>
              <w:jc w:val="both"/>
              <w:rPr>
                <w:sz w:val="17"/>
                <w:szCs w:val="17"/>
              </w:rPr>
            </w:pPr>
            <w:r>
              <w:rPr>
                <w:b/>
                <w:bCs/>
                <w:color w:val="000000"/>
                <w:spacing w:val="0"/>
                <w:w w:val="100"/>
                <w:position w:val="0"/>
                <w:sz w:val="17"/>
                <w:szCs w:val="17"/>
              </w:rPr>
              <w:t>王宁</w:t>
            </w:r>
            <w:r>
              <w:rPr>
                <w:color w:val="000000"/>
                <w:spacing w:val="0"/>
                <w:w w:val="100"/>
                <w:position w:val="0"/>
                <w:sz w:val="17"/>
                <w:szCs w:val="17"/>
              </w:rPr>
              <w:t>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sz w:val="17"/>
                <w:szCs w:val="17"/>
              </w:rPr>
              <w:t>年出生，中国国籍，无永久境外居留权。毕业于河北大学， 理学、法学双学士，荣获</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中国软件企业十大领军人物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 软件产业发展功勋人物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中国软件产业杰出企业家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。曾任河北大学校团委书 记、河北大学出版社社长、联想集团工控公司电脑部经理、北京新海拓科技公 司总经理，北京神州泰岳科技有限公司副总经理、总经理。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月至今担 任公司董事长，其中，</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月，曾任公司财务负责人、总经 理。兼任北京启天同信科技有限公司董事、北京互联时代通讯科技有限公司董 事长、北京神州良品电子商务科技股份有限公司董事长、北京华泰德丰技术有 限公司董事长、北京善聚投资管理有限公司执行董事。</w:t>
            </w:r>
          </w:p>
          <w:p>
            <w:pPr>
              <w:pStyle w:val="Style2"/>
              <w:keepNext w:val="0"/>
              <w:keepLines w:val="0"/>
              <w:widowControl w:val="0"/>
              <w:shd w:val="clear" w:color="auto" w:fill="auto"/>
              <w:bidi w:val="0"/>
              <w:spacing w:before="0" w:after="0" w:line="470" w:lineRule="exact"/>
              <w:ind w:left="0" w:right="0" w:firstLine="380"/>
              <w:jc w:val="both"/>
              <w:rPr>
                <w:sz w:val="17"/>
                <w:szCs w:val="17"/>
              </w:rPr>
            </w:pPr>
            <w:r>
              <w:rPr>
                <w:b/>
                <w:bCs/>
                <w:color w:val="000000"/>
                <w:spacing w:val="0"/>
                <w:w w:val="100"/>
                <w:position w:val="0"/>
                <w:sz w:val="17"/>
                <w:szCs w:val="17"/>
              </w:rPr>
              <w:t>李力</w:t>
            </w:r>
            <w:r>
              <w:rPr>
                <w:color w:val="000000"/>
                <w:spacing w:val="0"/>
                <w:w w:val="100"/>
                <w:position w:val="0"/>
                <w:sz w:val="17"/>
                <w:szCs w:val="17"/>
              </w:rPr>
              <w:t>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sz w:val="17"/>
                <w:szCs w:val="17"/>
              </w:rPr>
              <w:t xml:space="preserve">年出生，中国国籍，新加坡永久居留权。毕业于首都经贸 大学；曾任北京力霸科技有限公司副总经理。李力先生作为公司主要创始人，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月至今历任公司董事、常务副总经理、总经理。兼任北京启天同信科</w:t>
            </w:r>
          </w:p>
        </w:tc>
      </w:tr>
    </w:tbl>
    <w:p>
      <w:pPr>
        <w:widowControl w:val="0"/>
        <w:spacing w:line="1" w:lineRule="exact"/>
      </w:pPr>
    </w:p>
    <w:tbl>
      <w:tblPr>
        <w:tblOverlap w:val="never"/>
        <w:jc w:val="center"/>
        <w:tblLayout w:type="fixed"/>
      </w:tblPr>
      <w:tblGrid>
        <w:gridCol w:w="3341"/>
        <w:gridCol w:w="6240"/>
      </w:tblGrid>
      <w:tr>
        <w:trPr>
          <w:trHeight w:val="5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技有限公司董事、神州泰岳（香港）有限公司董事、</w:t>
            </w:r>
            <w:r>
              <w:rPr>
                <w:rFonts w:ascii="Times New Roman" w:eastAsia="Times New Roman" w:hAnsi="Times New Roman" w:cs="Times New Roman"/>
                <w:color w:val="000000"/>
                <w:spacing w:val="0"/>
                <w:w w:val="100"/>
                <w:position w:val="0"/>
                <w:sz w:val="18"/>
                <w:szCs w:val="18"/>
              </w:rPr>
              <w:t xml:space="preserve">Ultrapower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Pte Ltd</w:t>
            </w:r>
            <w:r>
              <w:rPr>
                <w:color w:val="000000"/>
                <w:spacing w:val="0"/>
                <w:w w:val="100"/>
                <w:position w:val="0"/>
                <w:sz w:val="17"/>
                <w:szCs w:val="17"/>
              </w:rPr>
              <w:t>董事。</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实际控制人报告期内变更</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4596130" cy="258445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1"/>
                    <a:stretch/>
                  </pic:blipFill>
                  <pic:spPr>
                    <a:xfrm>
                      <a:ext cx="4596130" cy="2584450"/>
                    </a:xfrm>
                    <a:prstGeom prst="rect"/>
                  </pic:spPr>
                </pic:pic>
              </a:graphicData>
            </a:graphic>
          </wp:inline>
        </w:drawing>
      </w:r>
    </w:p>
    <w:p>
      <w:pPr>
        <w:widowControl w:val="0"/>
        <w:spacing w:after="479" w:line="1" w:lineRule="exact"/>
      </w:pPr>
    </w:p>
    <w:p>
      <w:pPr>
        <w:pStyle w:val="Style29"/>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注：王宁的控制权由其直接持有的股权及授权表决权构成。</w:t>
      </w:r>
    </w:p>
    <w:p>
      <w:pPr>
        <w:pStyle w:val="Style2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378" w:val="left"/>
        </w:tabs>
        <w:bidi w:val="0"/>
        <w:spacing w:before="0" w:after="54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2"/>
      <w:bookmarkEnd w:id="493"/>
      <w:bookmarkEnd w:id="495"/>
    </w:p>
    <w:p>
      <w:pPr>
        <w:pStyle w:val="Style29"/>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378" w:val="left"/>
        </w:tabs>
        <w:bidi w:val="0"/>
        <w:spacing w:before="0" w:after="54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w:t>
        <w:tab/>
        <w:t>控股股东、实际控制人、重组方及其他承诺主体股份限制减持情况</w:t>
      </w:r>
      <w:bookmarkEnd w:id="496"/>
      <w:bookmarkEnd w:id="497"/>
      <w:bookmarkEnd w:id="499"/>
    </w:p>
    <w:p>
      <w:pPr>
        <w:pStyle w:val="Style2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r>
        <w:br w:type="page"/>
      </w:r>
    </w:p>
    <w:p>
      <w:pPr>
        <w:widowControl w:val="0"/>
        <w:spacing w:line="1" w:lineRule="exact"/>
      </w:pPr>
      <w:r>
        <mc:AlternateContent>
          <mc:Choice Requires="wps">
            <w:drawing>
              <wp:anchor distT="0" distB="279400" distL="0" distR="0" simplePos="0" relativeHeight="125829380" behindDoc="0" locked="0" layoutInCell="1" allowOverlap="1">
                <wp:simplePos x="0" y="0"/>
                <wp:positionH relativeFrom="page">
                  <wp:posOffset>2767330</wp:posOffset>
                </wp:positionH>
                <wp:positionV relativeFrom="paragraph">
                  <wp:posOffset>0</wp:posOffset>
                </wp:positionV>
                <wp:extent cx="2170430" cy="243840"/>
                <wp:wrapTopAndBottom/>
                <wp:docPr id="54" name="Shape 5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260" w:name="bookmark260"/>
                            <w:bookmarkStart w:id="261" w:name="bookmark261"/>
                            <w:bookmarkStart w:id="262" w:name="bookmark262"/>
                            <w:r>
                              <w:rPr>
                                <w:color w:val="000000"/>
                                <w:spacing w:val="0"/>
                                <w:w w:val="100"/>
                                <w:position w:val="0"/>
                              </w:rPr>
                              <w:t>第七节优先股相关情况</w:t>
                            </w:r>
                            <w:bookmarkEnd w:id="260"/>
                            <w:bookmarkEnd w:id="261"/>
                            <w:bookmarkEnd w:id="262"/>
                          </w:p>
                        </w:txbxContent>
                      </wps:txbx>
                      <wps:bodyPr wrap="none" lIns="0" tIns="0" rIns="0" bIns="0">
                        <a:noAutoFit/>
                      </wps:bodyPr>
                    </wps:wsp>
                  </a:graphicData>
                </a:graphic>
              </wp:anchor>
            </w:drawing>
          </mc:Choice>
          <mc:Fallback>
            <w:pict>
              <v:shape id="_x0000_s1080" type="#_x0000_t202" style="position:absolute;margin-left:217.90000000000001pt;margin-top:0;width:170.90000000000001pt;height:19.199999999999999pt;z-index:-125829373;mso-wrap-distance-left:0;mso-wrap-distance-right:0;mso-wrap-distance-bottom:22.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260" w:name="bookmark260"/>
                      <w:bookmarkStart w:id="261" w:name="bookmark261"/>
                      <w:bookmarkStart w:id="262" w:name="bookmark262"/>
                      <w:r>
                        <w:rPr>
                          <w:color w:val="000000"/>
                          <w:spacing w:val="0"/>
                          <w:w w:val="100"/>
                          <w:position w:val="0"/>
                        </w:rPr>
                        <w:t>第七节优先股相关情况</w:t>
                      </w:r>
                      <w:bookmarkEnd w:id="260"/>
                      <w:bookmarkEnd w:id="261"/>
                      <w:bookmarkEnd w:id="262"/>
                    </w:p>
                  </w:txbxContent>
                </v:textbox>
                <w10:wrap type="topAndBottom" anchorx="page"/>
              </v:shape>
            </w:pict>
          </mc:Fallback>
        </mc:AlternateContent>
      </w:r>
    </w:p>
    <w:p>
      <w:pPr>
        <w:pStyle w:val="Style29"/>
        <w:keepNext w:val="0"/>
        <w:keepLines w:val="0"/>
        <w:widowControl w:val="0"/>
        <w:shd w:val="clear" w:color="auto" w:fill="auto"/>
        <w:bidi w:val="0"/>
        <w:spacing w:before="0" w:after="30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500" w:name="bookmark500"/>
      <w:bookmarkStart w:id="501" w:name="bookmark501"/>
      <w:bookmarkStart w:id="502" w:name="bookmark502"/>
      <w:r>
        <w:rPr>
          <w:color w:val="000000"/>
          <w:spacing w:val="0"/>
          <w:w w:val="100"/>
          <w:position w:val="0"/>
        </w:rPr>
        <w:t>第八节董事、监事、高级管理人员和员工情况</w:t>
      </w:r>
      <w:bookmarkEnd w:id="500"/>
      <w:bookmarkEnd w:id="501"/>
      <w:bookmarkEnd w:id="502"/>
    </w:p>
    <w:p>
      <w:pPr>
        <w:pStyle w:val="Style27"/>
        <w:keepNext/>
        <w:keepLines/>
        <w:widowControl w:val="0"/>
        <w:shd w:val="clear" w:color="auto" w:fill="auto"/>
        <w:bidi w:val="0"/>
        <w:spacing w:before="0" w:after="400" w:line="240" w:lineRule="auto"/>
        <w:ind w:left="0" w:right="0" w:firstLine="320"/>
        <w:jc w:val="left"/>
      </w:pPr>
      <w:bookmarkStart w:id="503" w:name="bookmark503"/>
      <w:bookmarkStart w:id="504" w:name="bookmark504"/>
      <w:bookmarkStart w:id="505" w:name="bookmark505"/>
      <w:bookmarkStart w:id="506" w:name="bookmark506"/>
      <w:r>
        <w:rPr>
          <w:color w:val="000000"/>
          <w:spacing w:val="0"/>
          <w:w w:val="100"/>
          <w:position w:val="0"/>
        </w:rPr>
        <w:t>一</w:t>
      </w:r>
      <w:bookmarkEnd w:id="505"/>
      <w:r>
        <w:rPr>
          <w:color w:val="000000"/>
          <w:spacing w:val="0"/>
          <w:w w:val="100"/>
          <w:position w:val="0"/>
        </w:rPr>
        <w:t>、董事、监事和高级管理人员持股变动</w:t>
      </w:r>
      <w:bookmarkEnd w:id="503"/>
      <w:bookmarkEnd w:id="504"/>
      <w:bookmarkEnd w:id="506"/>
    </w:p>
    <w:tbl>
      <w:tblPr>
        <w:tblOverlap w:val="never"/>
        <w:jc w:val="center"/>
        <w:tblLayout w:type="fixed"/>
      </w:tblPr>
      <w:tblGrid>
        <w:gridCol w:w="854"/>
        <w:gridCol w:w="850"/>
        <w:gridCol w:w="854"/>
        <w:gridCol w:w="566"/>
        <w:gridCol w:w="566"/>
        <w:gridCol w:w="994"/>
        <w:gridCol w:w="989"/>
        <w:gridCol w:w="994"/>
        <w:gridCol w:w="830"/>
        <w:gridCol w:w="802"/>
        <w:gridCol w:w="797"/>
        <w:gridCol w:w="984"/>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任期起始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任期终止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126,958,612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256,207,220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256,807,304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114,318,403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翟一兵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董事、首 席运营官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1,802,002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58,307,149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42,792,265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董事、副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10,517,063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115,489,027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71,486,462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刘铁民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蓝伯雄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刘凯湘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54"/>
        <w:gridCol w:w="850"/>
        <w:gridCol w:w="854"/>
        <w:gridCol w:w="566"/>
        <w:gridCol w:w="566"/>
        <w:gridCol w:w="994"/>
        <w:gridCol w:w="989"/>
        <w:gridCol w:w="994"/>
        <w:gridCol w:w="830"/>
        <w:gridCol w:w="802"/>
        <w:gridCol w:w="797"/>
        <w:gridCol w:w="984"/>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江锡如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李广刚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丁彦超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郝岩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徐元区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9,675,886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梁德兴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副总裁、 董事会秘</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5,912,202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艾东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副总裁、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许芃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14,206,054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朱健松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张振鹏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7,320,606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刘豪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孙海粟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刘丁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840,057,179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838,273,847</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、公司董事、监事、高级管理人员变动情况</w:t>
      </w:r>
      <w:bookmarkEnd w:id="507"/>
      <w:bookmarkEnd w:id="508"/>
      <w:bookmarkEnd w:id="510"/>
    </w:p>
    <w:tbl>
      <w:tblPr>
        <w:tblOverlap w:val="never"/>
        <w:jc w:val="center"/>
        <w:tblLayout w:type="fixed"/>
      </w:tblPr>
      <w:tblGrid>
        <w:gridCol w:w="1334"/>
        <w:gridCol w:w="1896"/>
        <w:gridCol w:w="1138"/>
        <w:gridCol w:w="1982"/>
        <w:gridCol w:w="2563"/>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蓝伯雄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刘凯湘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江锡如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许芃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张振鹏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朱健松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孙海粟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任期届满离任</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月份逝世</w:t>
            </w:r>
          </w:p>
        </w:tc>
      </w:tr>
    </w:tbl>
    <w:p>
      <w:pPr>
        <w:widowControl w:val="0"/>
        <w:spacing w:after="399" w:line="1" w:lineRule="exact"/>
      </w:pPr>
    </w:p>
    <w:p>
      <w:pPr>
        <w:pStyle w:val="Style27"/>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、任职情况</w:t>
      </w:r>
      <w:bookmarkEnd w:id="511"/>
      <w:bookmarkEnd w:id="512"/>
      <w:bookmarkEnd w:id="514"/>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468" w:lineRule="exact"/>
        <w:ind w:left="0" w:right="0"/>
        <w:jc w:val="both"/>
      </w:pPr>
      <w:bookmarkStart w:id="515" w:name="bookmark515"/>
      <w:r>
        <w:rPr>
          <w:rFonts w:ascii="Times New Roman" w:eastAsia="Times New Roman" w:hAnsi="Times New Roman" w:cs="Times New Roman"/>
          <w:b/>
          <w:bCs/>
          <w:color w:val="000000"/>
          <w:spacing w:val="0"/>
          <w:w w:val="100"/>
          <w:position w:val="0"/>
          <w:sz w:val="18"/>
          <w:szCs w:val="18"/>
        </w:rPr>
        <w:t>1</w:t>
      </w:r>
      <w:bookmarkEnd w:id="515"/>
      <w:r>
        <w:rPr>
          <w:b/>
          <w:bCs/>
          <w:color w:val="000000"/>
          <w:spacing w:val="0"/>
          <w:w w:val="100"/>
          <w:position w:val="0"/>
        </w:rPr>
        <w:t>、董事会成员简介</w:t>
      </w:r>
    </w:p>
    <w:p>
      <w:pPr>
        <w:pStyle w:val="Style29"/>
        <w:keepNext w:val="0"/>
        <w:keepLines w:val="0"/>
        <w:widowControl w:val="0"/>
        <w:shd w:val="clear" w:color="auto" w:fill="auto"/>
        <w:bidi w:val="0"/>
        <w:spacing w:before="0" w:after="0" w:line="468" w:lineRule="exact"/>
        <w:ind w:left="0" w:right="0"/>
        <w:jc w:val="both"/>
      </w:pPr>
      <w:r>
        <w:rPr>
          <w:b/>
          <w:bCs/>
          <w:color w:val="000000"/>
          <w:spacing w:val="0"/>
          <w:w w:val="100"/>
          <w:position w:val="0"/>
        </w:rPr>
        <w:t>公司董事会由十一名董事组成，其中独立董事四名，具体如下：</w:t>
      </w:r>
    </w:p>
    <w:p>
      <w:pPr>
        <w:pStyle w:val="Style29"/>
        <w:keepNext w:val="0"/>
        <w:keepLines w:val="0"/>
        <w:widowControl w:val="0"/>
        <w:shd w:val="clear" w:color="auto" w:fill="auto"/>
        <w:bidi w:val="0"/>
        <w:spacing w:before="0" w:after="0" w:line="468" w:lineRule="exact"/>
        <w:ind w:left="0" w:right="0"/>
        <w:jc w:val="both"/>
      </w:pPr>
      <w:r>
        <w:rPr>
          <w:b/>
          <w:bCs/>
          <w:color w:val="000000"/>
          <w:spacing w:val="0"/>
          <w:w w:val="100"/>
          <w:position w:val="0"/>
        </w:rPr>
        <w:t>王宁</w:t>
      </w:r>
      <w:r>
        <w:rPr>
          <w:color w:val="000000"/>
          <w:spacing w:val="0"/>
          <w:w w:val="100"/>
          <w:position w:val="0"/>
        </w:rPr>
        <w:t>先生，董事长，简历见第六节之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三、股东和实际控制人情况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b/>
          <w:bCs/>
          <w:color w:val="000000"/>
          <w:spacing w:val="0"/>
          <w:w w:val="100"/>
          <w:position w:val="0"/>
        </w:rPr>
        <w:t>李力</w:t>
      </w:r>
      <w:r>
        <w:rPr>
          <w:color w:val="000000"/>
          <w:spacing w:val="0"/>
          <w:w w:val="100"/>
          <w:position w:val="0"/>
        </w:rPr>
        <w:t>先生，总裁，简历见第六节之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三、股东和实际控制人情况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320" w:line="468" w:lineRule="exact"/>
        <w:ind w:left="0" w:right="0"/>
        <w:jc w:val="left"/>
      </w:pPr>
      <w:r>
        <w:rPr>
          <w:b/>
          <w:bCs/>
          <w:color w:val="000000"/>
          <w:spacing w:val="0"/>
          <w:w w:val="100"/>
          <w:position w:val="0"/>
        </w:rPr>
        <w:t>黄松浪</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年出生，中国国籍，无境外永久居留权。毕业于清华大学，软件工程硕士学位，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年获美国新泽西 州立大学</w:t>
      </w:r>
      <w:r>
        <w:rPr>
          <w:rFonts w:ascii="Times New Roman" w:eastAsia="Times New Roman" w:hAnsi="Times New Roman" w:cs="Times New Roman"/>
          <w:color w:val="000000"/>
          <w:spacing w:val="0"/>
          <w:w w:val="100"/>
          <w:position w:val="0"/>
          <w:sz w:val="18"/>
          <w:szCs w:val="18"/>
        </w:rPr>
        <w:t>Rutgers</w:t>
      </w:r>
      <w:r>
        <w:rPr>
          <w:color w:val="000000"/>
          <w:spacing w:val="0"/>
          <w:w w:val="100"/>
          <w:position w:val="0"/>
        </w:rPr>
        <w:t>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学位；曾任吉通通信有限公司技术总体部经理、中国惠普有限公司软件业务部总经理、上海联 盈数码技术有限公司董事、总经理；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月至今担任公司副董事长，其中，</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月兼任公司董事会秘书。 现兼任大连华信计算机技术股份有限公司董事、重庆新媒农信科技有限公司执行董事、重庆新媒亿网科技有限公司执行董事、 重庆新迈峰科技有限公司执行董事、北京启天同信科技有限公司董事、北京中清龙图网络技术有限公司董事、</w:t>
      </w:r>
      <w:r>
        <w:rPr>
          <w:rFonts w:ascii="Times New Roman" w:eastAsia="Times New Roman" w:hAnsi="Times New Roman" w:cs="Times New Roman"/>
          <w:color w:val="000000"/>
          <w:spacing w:val="0"/>
          <w:w w:val="100"/>
          <w:position w:val="0"/>
          <w:sz w:val="18"/>
          <w:szCs w:val="18"/>
        </w:rPr>
        <w:t xml:space="preserve">UItrapower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 xml:space="preserve">Pte Ltd </w:t>
      </w:r>
      <w:r>
        <w:rPr>
          <w:color w:val="000000"/>
          <w:spacing w:val="0"/>
          <w:w w:val="100"/>
          <w:position w:val="0"/>
        </w:rPr>
        <w:t>董事。</w:t>
      </w:r>
    </w:p>
    <w:p>
      <w:pPr>
        <w:pStyle w:val="Style29"/>
        <w:keepNext w:val="0"/>
        <w:keepLines w:val="0"/>
        <w:widowControl w:val="0"/>
        <w:shd w:val="clear" w:color="auto" w:fill="auto"/>
        <w:bidi w:val="0"/>
        <w:spacing w:before="0" w:after="0" w:line="471" w:lineRule="exact"/>
        <w:ind w:left="0" w:right="0"/>
        <w:jc w:val="left"/>
      </w:pPr>
      <w:r>
        <w:rPr>
          <w:b/>
          <w:bCs/>
          <w:color w:val="000000"/>
          <w:spacing w:val="0"/>
          <w:w w:val="100"/>
          <w:position w:val="0"/>
        </w:rPr>
        <w:t>翟一兵</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年出生，中国国籍，无永久境外居留权，教授级高级工程师。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年毕业于北京邮电学院无线电工程 专业，同年留校任计算机工程系助教；先后获得挪威商学院硕士学位和法国雷恩商学院博士学位。曾在邮电部电信总局工作， 任科员、主任、局长助理；在地方挂职锻炼任职副市长；中国移动通信集团公司筹备办公室主任、网络部副部长；在中国联 合通信有限公司工作期间曾任移动部、增值业务部、营销部副总经理、联通时科信息技术有限公司董事、首席执行官</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月，担任公司首席运营官</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月至今担任公司董事兼首席运营官。兼任北京神州泰岳智能数据技术有限 公司执行董事。</w:t>
      </w:r>
    </w:p>
    <w:p>
      <w:pPr>
        <w:pStyle w:val="Style29"/>
        <w:keepNext w:val="0"/>
        <w:keepLines w:val="0"/>
        <w:widowControl w:val="0"/>
        <w:shd w:val="clear" w:color="auto" w:fill="auto"/>
        <w:bidi w:val="0"/>
        <w:spacing w:before="0" w:after="0" w:line="471" w:lineRule="exact"/>
        <w:ind w:left="0" w:right="0"/>
        <w:jc w:val="left"/>
      </w:pPr>
      <w:r>
        <w:rPr>
          <w:b/>
          <w:bCs/>
          <w:color w:val="000000"/>
          <w:spacing w:val="0"/>
          <w:w w:val="100"/>
          <w:position w:val="0"/>
        </w:rPr>
        <w:t>徐斯平</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年出生，中国国籍，无永久境外居留权。毕业于大连理工大学；曾先后任职于国家计委、国家经贸委、 香港江胜集团、北京思乐信息技术有限公司；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月至今任公司董事。兼任北京互联时代通讯科技有限公司董事、北京 启天同信科技有限公司董事、上海大渡新物流有限公司执行董事及总经理、北京顺通典当有限责任公司董事。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汪铖</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月出生，中国国籍，无永久境外居留权。毕业于武汉测绘科技大学，学士学位。曾任兆维集团通信 工程师、联想集团销售经理，北京互联时代通讯科技有限公司总经理，北京新媒传信科技有限公司总经理；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 任公司副总经理，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月至今任公司董事。兼任北京新媒传信科技有限公司执行董事、北京启天同信科技有限公司董事、 </w:t>
      </w:r>
      <w:r>
        <w:rPr>
          <w:rFonts w:ascii="Times New Roman" w:eastAsia="Times New Roman" w:hAnsi="Times New Roman" w:cs="Times New Roman"/>
          <w:color w:val="000000"/>
          <w:spacing w:val="0"/>
          <w:w w:val="100"/>
          <w:position w:val="0"/>
          <w:sz w:val="18"/>
          <w:szCs w:val="18"/>
        </w:rPr>
        <w:t xml:space="preserve">Ultrapower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Pte Ltd</w:t>
      </w:r>
      <w:r>
        <w:rPr>
          <w:color w:val="000000"/>
          <w:spacing w:val="0"/>
          <w:w w:val="100"/>
          <w:position w:val="0"/>
        </w:rPr>
        <w:t>董事、北京神州泰奇互动科技有限公司执行董事、北京泰岳智桥信息技术有限公司执行董事及总经理、 宁波泰岳梧桐投资管理有限公司董事及总经理、北京光合起源网络科技有限公司董事、北京诚行天下投资咨询有限公司董事。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杨凯程</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年出生，中国国籍，无境外永久居留权。毕业于国防科学技术大学，软件工程硕士学位。曾荣获中国 人民解放军三等军功一次，国防科技技术进步奖二等奖三次和三等奖三次。曾任总装备部系统工程研究所助理研究员，中国 惠普有限公司高级技术顾问和高级产品经理，上海联盈数码技术有限公司常务副总经理，北京神州泰岳软件股份有限公司副 总裁和总经理助理，酷六网首席技术官，东南融通集团高级总监，文思海辉集团副总裁；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月担任公司董事、副总裁, 兼任中科鼎富(北京)科技发展有限公司执行董事、大理白族自治州苍洱公益关爱中心理事长。</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罗建北</w:t>
      </w:r>
      <w:r>
        <w:rPr>
          <w:color w:val="000000"/>
          <w:spacing w:val="0"/>
          <w:w w:val="100"/>
          <w:position w:val="0"/>
        </w:rPr>
        <w:t>女士，</w:t>
      </w:r>
      <w:r>
        <w:rPr>
          <w:rFonts w:ascii="Times New Roman" w:eastAsia="Times New Roman" w:hAnsi="Times New Roman" w:cs="Times New Roman"/>
          <w:color w:val="000000"/>
          <w:spacing w:val="0"/>
          <w:w w:val="100"/>
          <w:position w:val="0"/>
          <w:sz w:val="18"/>
          <w:szCs w:val="18"/>
        </w:rPr>
        <w:t>1945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月出生，中国国籍，无永久境外居留权，本科学历、研究员。</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月任清华大学计 算机系党委书记、副教授；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月任清华大学软件技术中心主任；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月任清华同方股份 有限公司董事、常务副总裁；</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月任清华科技园副主任、启迪控股股份有限公司副总裁；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月正式 退休。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月至今担任公司独立董事。兼任北京昆仑万维科技股份有限公司独立董事、山东齐星铁塔科技股份有限公司 独立董事、双清诚德科技(北京)有限公司董事、苏州清桥电子科技有限公司董事。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刘铁民</w:t>
      </w:r>
      <w:r>
        <w:rPr>
          <w:color w:val="000000"/>
          <w:spacing w:val="0"/>
          <w:w w:val="100"/>
          <w:position w:val="0"/>
        </w:rPr>
        <w:t>先生，汉族，</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月出生，中国国籍，无永久境外居留权。曾先后任职中国医科大学讲师；煤炭部职业医学 研究所室主任、讲师；比利时兰纳肯医学研究所访问学者；煤炭部职业医学研究所室主任、副研；劳动部劳动保护科学技术 研究所副所长、研究员；国家经贸委安全科学技术研究中心副主任、研究员；国家经贸委安全科学技术研究中心主任、研究 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国家安全生产监督管理局安全科学技术研究中心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主任、研究员；中国安全生产科学研究院院长、研究员；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至今任中国安全生产协会副会长；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月至今担任公司独立董事；兼任湖北华舟重工应急装备股份有限公司独立董事。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王雪春</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月，任东北财经大学职业技术学院教师；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月，任大连欣鑫会计师事务所审计经理；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月，任中国华录集团有限公司内审、子 公司财务总监；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至今，任北京博华百校教育投资集团有限公司财务总监；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月至今担任公司独立董事。兼 任北京光线传媒股份有限公司独立董事、北京立思辰科技股份有限公司独立董事、北京北陆药业股份有限公司独立董事。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沈阳</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年出生，中国国籍、无永久境外居留权，清华大学新闻与传播学院教授，博士生导师，清华大学新闻研 究中心研究员。曾任武汉大学信息管理学院，教授、博士生导师，武汉大学新闻与传播学院兼职教授博导，武汉大学计算机 学院硕导，中国人民大学新闻学院兼职教授，美国</w:t>
      </w:r>
      <w:r>
        <w:rPr>
          <w:rFonts w:ascii="Times New Roman" w:eastAsia="Times New Roman" w:hAnsi="Times New Roman" w:cs="Times New Roman"/>
          <w:color w:val="000000"/>
          <w:spacing w:val="0"/>
          <w:w w:val="100"/>
          <w:position w:val="0"/>
          <w:sz w:val="18"/>
          <w:szCs w:val="18"/>
        </w:rPr>
        <w:t>PSU</w:t>
      </w:r>
      <w:r>
        <w:rPr>
          <w:color w:val="000000"/>
          <w:spacing w:val="0"/>
          <w:w w:val="100"/>
          <w:position w:val="0"/>
        </w:rPr>
        <w:t>等校访问学者。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月至今担任公司独立董事。</w:t>
      </w:r>
    </w:p>
    <w:p>
      <w:pPr>
        <w:pStyle w:val="Style29"/>
        <w:keepNext w:val="0"/>
        <w:keepLines w:val="0"/>
        <w:widowControl w:val="0"/>
        <w:shd w:val="clear" w:color="auto" w:fill="auto"/>
        <w:tabs>
          <w:tab w:pos="688" w:val="left"/>
        </w:tabs>
        <w:bidi w:val="0"/>
        <w:spacing w:before="0" w:after="0" w:line="471" w:lineRule="exact"/>
        <w:ind w:left="0" w:right="0"/>
        <w:jc w:val="both"/>
      </w:pPr>
      <w:bookmarkStart w:id="516" w:name="bookmark516"/>
      <w:r>
        <w:rPr>
          <w:rFonts w:ascii="Times New Roman" w:eastAsia="Times New Roman" w:hAnsi="Times New Roman" w:cs="Times New Roman"/>
          <w:b/>
          <w:bCs/>
          <w:color w:val="000000"/>
          <w:spacing w:val="0"/>
          <w:w w:val="100"/>
          <w:position w:val="0"/>
          <w:sz w:val="18"/>
          <w:szCs w:val="18"/>
        </w:rPr>
        <w:t>2</w:t>
      </w:r>
      <w:bookmarkEnd w:id="516"/>
      <w:r>
        <w:rPr>
          <w:b/>
          <w:bCs/>
          <w:color w:val="000000"/>
          <w:spacing w:val="0"/>
          <w:w w:val="100"/>
          <w:position w:val="0"/>
        </w:rPr>
        <w:t>、</w:t>
        <w:tab/>
        <w:t>监事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李广刚</w:t>
      </w:r>
      <w:r>
        <w:rPr>
          <w:color w:val="000000"/>
          <w:spacing w:val="0"/>
          <w:w w:val="100"/>
          <w:position w:val="0"/>
        </w:rPr>
        <w:t>先生，公司监事会主席，</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年出生，中国国籍，无永久境外居留权。毕业于济南大学；曾任北京泰立特科技发 展有限公司青岛分公司软件工程师、北京新晨科技股份有限公司客户经理、联盈数码公司客户经理；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年加入神州泰岳， 历任公司销售经理、销售总监、政企事业部副总经理、正启分公司副总经理；现任正启分公司总经理。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 公司监事会主席。</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丁彦超</w:t>
      </w:r>
      <w:r>
        <w:rPr>
          <w:color w:val="000000"/>
          <w:spacing w:val="0"/>
          <w:w w:val="100"/>
          <w:position w:val="0"/>
        </w:rPr>
        <w:t>先生，公司监事，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年出生，中国国籍，无永久境外居留权。毕业于西北大学计算机系；曾任天津石化公司计 算机中心软件工程师，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年至今历任公司研发工程师、网管项目管理部技术主管；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年至今担任公司项目管理部技术主 管。</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郝岩</w:t>
      </w:r>
      <w:r>
        <w:rPr>
          <w:color w:val="000000"/>
          <w:spacing w:val="0"/>
          <w:w w:val="100"/>
          <w:position w:val="0"/>
        </w:rPr>
        <w:t>女士，公司职工监事，</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年出生，中国国籍，无永久境外居留权。毕业于北京林业大学；</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月至今历任公 司行政部经理助理、经理。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月起任公司职工监事。</w:t>
      </w:r>
    </w:p>
    <w:p>
      <w:pPr>
        <w:pStyle w:val="Style29"/>
        <w:keepNext w:val="0"/>
        <w:keepLines w:val="0"/>
        <w:widowControl w:val="0"/>
        <w:shd w:val="clear" w:color="auto" w:fill="auto"/>
        <w:tabs>
          <w:tab w:pos="688" w:val="left"/>
        </w:tabs>
        <w:bidi w:val="0"/>
        <w:spacing w:before="0" w:after="0" w:line="471" w:lineRule="exact"/>
        <w:ind w:left="0" w:right="0"/>
        <w:jc w:val="both"/>
      </w:pPr>
      <w:bookmarkStart w:id="517" w:name="bookmark517"/>
      <w:r>
        <w:rPr>
          <w:rFonts w:ascii="Times New Roman" w:eastAsia="Times New Roman" w:hAnsi="Times New Roman" w:cs="Times New Roman"/>
          <w:b/>
          <w:bCs/>
          <w:color w:val="000000"/>
          <w:spacing w:val="0"/>
          <w:w w:val="100"/>
          <w:position w:val="0"/>
          <w:sz w:val="18"/>
          <w:szCs w:val="18"/>
        </w:rPr>
        <w:t>3</w:t>
      </w:r>
      <w:bookmarkEnd w:id="517"/>
      <w:r>
        <w:rPr>
          <w:b/>
          <w:bCs/>
          <w:color w:val="000000"/>
          <w:spacing w:val="0"/>
          <w:w w:val="100"/>
          <w:position w:val="0"/>
        </w:rPr>
        <w:t>、</w:t>
        <w:tab/>
        <w:t>高级管理人员</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截止</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日，公司高级管理人员具体情况如下：</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李力</w:t>
      </w:r>
      <w:r>
        <w:rPr>
          <w:color w:val="000000"/>
          <w:spacing w:val="0"/>
          <w:w w:val="100"/>
          <w:position w:val="0"/>
        </w:rPr>
        <w:t>先生，公司总裁，简历见本节之</w:t>
      </w:r>
      <w:r>
        <w:rPr>
          <w:color w:val="000000"/>
          <w:spacing w:val="0"/>
          <w:w w:val="100"/>
          <w:position w:val="0"/>
        </w:rPr>
        <w:t>T、</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翟一兵</w:t>
      </w:r>
      <w:r>
        <w:rPr>
          <w:color w:val="000000"/>
          <w:spacing w:val="0"/>
          <w:w w:val="100"/>
          <w:position w:val="0"/>
        </w:rPr>
        <w:t>先生，首席运营官，简历见本节之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杨凯程</w:t>
      </w:r>
      <w:r>
        <w:rPr>
          <w:color w:val="000000"/>
          <w:spacing w:val="0"/>
          <w:w w:val="100"/>
          <w:position w:val="0"/>
        </w:rPr>
        <w:t>先生，公司副总裁，简历见本节之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徐元区</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年出生，中国国籍，无境外永久居留权。毕业于北京信息工程学院，通信工程学士学位，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年获北 京邮电大学软件工程硕士学位；曾任北京信息工程学院团委副书记、北京多润信息科技有限公司</w:t>
      </w:r>
      <w:r>
        <w:rPr>
          <w:rFonts w:ascii="Times New Roman" w:eastAsia="Times New Roman" w:hAnsi="Times New Roman" w:cs="Times New Roman"/>
          <w:color w:val="000000"/>
          <w:spacing w:val="0"/>
          <w:w w:val="100"/>
          <w:position w:val="0"/>
          <w:sz w:val="18"/>
          <w:szCs w:val="18"/>
        </w:rPr>
        <w:t>CTO</w:t>
      </w:r>
      <w:r>
        <w:rPr>
          <w:color w:val="000000"/>
          <w:spacing w:val="0"/>
          <w:w w:val="100"/>
          <w:position w:val="0"/>
        </w:rPr>
        <w:t>、</w:t>
      </w:r>
      <w:r>
        <w:rPr>
          <w:color w:val="000000"/>
          <w:spacing w:val="0"/>
          <w:w w:val="100"/>
          <w:position w:val="0"/>
        </w:rPr>
        <w:t>微软（中国）有限公 司</w:t>
      </w:r>
      <w:r>
        <w:rPr>
          <w:rFonts w:ascii="Times New Roman" w:eastAsia="Times New Roman" w:hAnsi="Times New Roman" w:cs="Times New Roman"/>
          <w:color w:val="000000"/>
          <w:spacing w:val="0"/>
          <w:w w:val="100"/>
          <w:position w:val="0"/>
          <w:sz w:val="18"/>
          <w:szCs w:val="18"/>
        </w:rPr>
        <w:t>MCS</w:t>
      </w:r>
      <w:r>
        <w:rPr>
          <w:color w:val="000000"/>
          <w:spacing w:val="0"/>
          <w:w w:val="100"/>
          <w:position w:val="0"/>
        </w:rPr>
        <w:t>部资深顾问、北京新媒传信科技有限公司副总经理；现任公司副总裁，兼任北京新媒传信科技有限公司总经理。</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高峰</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年出生，中国国籍，无永久境外居留权。毕业于沈阳航空工业学院；</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年至今历任公司销售经理、高 级销售经理、行业销售总监、副总裁。现兼任北京神州泰岳信息安全技术有限公司总经理。</w:t>
      </w:r>
    </w:p>
    <w:p>
      <w:pPr>
        <w:pStyle w:val="Style29"/>
        <w:keepNext w:val="0"/>
        <w:keepLines w:val="0"/>
        <w:widowControl w:val="0"/>
        <w:shd w:val="clear" w:color="auto" w:fill="auto"/>
        <w:bidi w:val="0"/>
        <w:spacing w:before="0" w:after="0" w:line="471" w:lineRule="exact"/>
        <w:ind w:left="0" w:right="0"/>
        <w:jc w:val="both"/>
      </w:pPr>
      <w:r>
        <w:rPr>
          <w:b/>
          <w:bCs/>
          <w:color w:val="000000"/>
          <w:spacing w:val="0"/>
          <w:w w:val="100"/>
          <w:position w:val="0"/>
        </w:rPr>
        <w:t>董越</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久居留权。毕业于北京邮电大学，通信与电子系统专业硕士学位，</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年获挪威管理学院信息通信管理专业工商管理硕士学位；曾任中国电信信元公众信息发展有限责任公司总经理助理、中国电 信数据通信事业部规划计划处副处长、中国联通增值业务部移动互联网中心经理、中国联通营销部一中心经理、联通时科信 息技术有限公司总经理助理、副总经理；现任公司副总裁、网络技术分公司总经理。</w:t>
      </w:r>
    </w:p>
    <w:p>
      <w:pPr>
        <w:pStyle w:val="Style29"/>
        <w:keepNext w:val="0"/>
        <w:keepLines w:val="0"/>
        <w:widowControl w:val="0"/>
        <w:shd w:val="clear" w:color="auto" w:fill="auto"/>
        <w:bidi w:val="0"/>
        <w:spacing w:before="0" w:after="0" w:line="470" w:lineRule="exact"/>
        <w:ind w:left="0" w:right="0"/>
        <w:jc w:val="both"/>
      </w:pPr>
      <w:r>
        <w:rPr>
          <w:b/>
          <w:bCs/>
          <w:color w:val="000000"/>
          <w:spacing w:val="0"/>
          <w:w w:val="100"/>
          <w:position w:val="0"/>
        </w:rPr>
        <w:t>任杰</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年出生，中国国籍，无境外永久居留权。毕业于宁夏大学，计算机软件学士学位。曾任微软（中国）有 限公司顾问咨询经理；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月加入北京新媒传信科技有限公司担任高级副总经理；现任公司副总裁、北京泰岳智桥信息 技术有限公司总经理。</w:t>
      </w:r>
    </w:p>
    <w:p>
      <w:pPr>
        <w:pStyle w:val="Style29"/>
        <w:keepNext w:val="0"/>
        <w:keepLines w:val="0"/>
        <w:widowControl w:val="0"/>
        <w:shd w:val="clear" w:color="auto" w:fill="auto"/>
        <w:bidi w:val="0"/>
        <w:spacing w:before="0" w:after="0" w:line="470" w:lineRule="exact"/>
        <w:ind w:left="0" w:right="0"/>
        <w:jc w:val="both"/>
      </w:pPr>
      <w:r>
        <w:rPr>
          <w:b/>
          <w:bCs/>
          <w:color w:val="000000"/>
          <w:spacing w:val="0"/>
          <w:w w:val="100"/>
          <w:position w:val="0"/>
        </w:rPr>
        <w:t>梁德兴</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年出生，中国国籍，无境外永久居留权。毕业于哈尔滨理工大学，获得精密仪器专业学士学位，</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年获北京大学光华管理学院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学位。曾任北京齿轮总厂质检员、北京冠群金辰软件公司研发经理；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月加入北京神 州泰岳软件股份有限公司，先后任信息安全事业部总监、副总经理，运维服务中心总经理、人力资源部总经理、市场部总经 理，现担任公司副总裁、运营支撑中心总经理，兼任北京神州泰岳系统集成有限公司总经理。</w:t>
      </w:r>
    </w:p>
    <w:p>
      <w:pPr>
        <w:pStyle w:val="Style29"/>
        <w:keepNext w:val="0"/>
        <w:keepLines w:val="0"/>
        <w:widowControl w:val="0"/>
        <w:shd w:val="clear" w:color="auto" w:fill="auto"/>
        <w:bidi w:val="0"/>
        <w:spacing w:before="0" w:after="0" w:line="470" w:lineRule="exact"/>
        <w:ind w:left="0" w:right="0"/>
        <w:jc w:val="both"/>
      </w:pPr>
      <w:r>
        <w:rPr>
          <w:b/>
          <w:bCs/>
          <w:color w:val="000000"/>
          <w:spacing w:val="0"/>
          <w:w w:val="100"/>
          <w:position w:val="0"/>
        </w:rPr>
        <w:t>张黔山</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年出生，北京大学工商管理硕士；曾任北京西单商场股份有限公司证券部副部长、大鹏证券投资银行 高级经理、公司资本运营部经理、北京德业投资有限公司总经理、互联无限（北京）科技有限公司副总经理；现任公司副总 裁、董事会秘书，兼任公司资本运营中心总经理，北京神州良品电子商务科技股份有限公司董事。</w:t>
      </w:r>
    </w:p>
    <w:p>
      <w:pPr>
        <w:pStyle w:val="Style29"/>
        <w:keepNext w:val="0"/>
        <w:keepLines w:val="0"/>
        <w:widowControl w:val="0"/>
        <w:shd w:val="clear" w:color="auto" w:fill="auto"/>
        <w:bidi w:val="0"/>
        <w:spacing w:before="0" w:after="0" w:line="470" w:lineRule="exact"/>
        <w:ind w:left="0" w:right="0"/>
        <w:jc w:val="both"/>
      </w:pPr>
      <w:r>
        <w:rPr>
          <w:b/>
          <w:bCs/>
          <w:color w:val="000000"/>
          <w:spacing w:val="0"/>
          <w:w w:val="100"/>
          <w:position w:val="0"/>
        </w:rPr>
        <w:t>艾东</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年出生，中国国籍，无境外永久居留权。毕业于西北纺织工学院，机械制造专业；曾任西安仪表厂销售 处销售经理、北京高阳圣思园科技有限公司西南区总经理、西区总经理，北京神州泰岳软件股份有限公司重庆销售经理，西 区总经理；现任公司副总裁、信息技术分公司总经理。</w:t>
      </w:r>
    </w:p>
    <w:p>
      <w:pPr>
        <w:pStyle w:val="Style29"/>
        <w:keepNext w:val="0"/>
        <w:keepLines w:val="0"/>
        <w:widowControl w:val="0"/>
        <w:shd w:val="clear" w:color="auto" w:fill="auto"/>
        <w:bidi w:val="0"/>
        <w:spacing w:before="0" w:after="0" w:line="470" w:lineRule="exact"/>
        <w:ind w:left="0" w:right="0"/>
        <w:jc w:val="both"/>
      </w:pPr>
      <w:r>
        <w:rPr>
          <w:b/>
          <w:bCs/>
          <w:color w:val="000000"/>
          <w:spacing w:val="0"/>
          <w:w w:val="100"/>
          <w:position w:val="0"/>
        </w:rPr>
        <w:t>林红女士，</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 xml:space="preserve">年出生，中国国籍，无境外永久居留权。本科学历，高级会计师职称。曾任北京市海淀区畜牧水产总公 司出纳、主管会计，北京市直机动车检测场财务经理、北京神州泰岳计算机公司财务部副经理、北京神州泰岳软件股份有限 公司财务部总经理，现任公司副总裁、财务总监、财务管理中心总经理。兼任富思特新材料科技发展股份有限公司独立董事。 </w:t>
      </w:r>
      <w:r>
        <w:rPr>
          <w:b/>
          <w:bCs/>
          <w:color w:val="000000"/>
          <w:spacing w:val="0"/>
          <w:w w:val="100"/>
          <w:position w:val="0"/>
        </w:rPr>
        <w:t>在股东单位任职情况</w:t>
      </w:r>
    </w:p>
    <w:p>
      <w:pPr>
        <w:pStyle w:val="Style29"/>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220" w:line="470" w:lineRule="exact"/>
        <w:ind w:left="0" w:right="0" w:firstLine="0"/>
        <w:jc w:val="both"/>
      </w:pPr>
      <w:r>
        <w:rPr>
          <w:b/>
          <w:bCs/>
          <w:color w:val="000000"/>
          <w:spacing w:val="0"/>
          <w:w w:val="100"/>
          <w:position w:val="0"/>
        </w:rPr>
        <w:t>在其他单位任职情况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019"/>
        <w:gridCol w:w="1133"/>
        <w:gridCol w:w="1560"/>
        <w:gridCol w:w="1277"/>
        <w:gridCol w:w="1387"/>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在其他单位是否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北京新媒传信科技有限公司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北京互联时代通讯科技有限公司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北京神州良品电子商务科技股份有限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北京华泰德丰技术有限公司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北京启天同信科技有限公司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北京善聚投资管理有限公司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北京互联时代通讯科技有限公司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神州泰岳（香港）有限公司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019"/>
        <w:gridCol w:w="1133"/>
        <w:gridCol w:w="1560"/>
        <w:gridCol w:w="1277"/>
        <w:gridCol w:w="1387"/>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北京启天同信科技有限公司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Ultrapower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Pte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360 </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北京善聚投资管理有限公司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北京良业环境技术有限公司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重庆新媒农信科技有限公司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大连华信计算机技术股份有限公司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重庆新媒亿网科技有限公司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重庆新迈峰科技有限公司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北京神州泰岳系统集成有限公司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北京启天同信科技有限公司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北京中清龙图网络技术有限公司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Ultrapower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Pte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360 </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北京善聚投资管理有限公司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北京碧水源净水电子商务有限公司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翟一兵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北京神州泰岳智能数据技术有限公司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北京互联时代通讯科技有限公司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北京启天同信科技有限公司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上海大渡新物流有限公司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北京顺通典当有限责任公司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北京新媒传信科技有限公司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重庆新媒农信科技有限公司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北京互联时代通讯科技有限公司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北京启天同信科技有限公司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Ultrapower </w:t>
            </w:r>
            <w:r>
              <w:rPr>
                <w:rFonts w:ascii="Times New Roman" w:eastAsia="Times New Roman" w:hAnsi="Times New Roman" w:cs="Times New Roman"/>
                <w:color w:val="000000"/>
                <w:spacing w:val="0"/>
                <w:w w:val="100"/>
                <w:position w:val="0"/>
                <w:sz w:val="18"/>
                <w:szCs w:val="18"/>
              </w:rPr>
              <w:t xml:space="preserve">360 </w:t>
            </w:r>
            <w:r>
              <w:rPr>
                <w:rFonts w:ascii="Times New Roman" w:eastAsia="Times New Roman" w:hAnsi="Times New Roman" w:cs="Times New Roman"/>
                <w:color w:val="000000"/>
                <w:spacing w:val="0"/>
                <w:w w:val="100"/>
                <w:position w:val="0"/>
                <w:sz w:val="18"/>
                <w:szCs w:val="18"/>
              </w:rPr>
              <w:t>Pte Ltd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360 </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北京神州泰奇互动科技有限公司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北京泰岳智桥信息技术有限公司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宁波泰岳梧桐投资管理有限公司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北京光合起源网络科技有限公司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北京诚行天下投资咨询有限公司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北京神州泰岳教育科技有限公司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北京云中融信网络科技有限公司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北京融聚世界网络科技有限公司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019"/>
        <w:gridCol w:w="1133"/>
        <w:gridCol w:w="1560"/>
        <w:gridCol w:w="1277"/>
        <w:gridCol w:w="1387"/>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深圳市前海泰岳梧桐投资基金管理有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珠海泰岳梧桐投资管理有限公司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重庆泰岳优才科技有限公司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上海煌拓网络科技有限公司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广州市奔耀信息科技有限公司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大理白族自治州苍洱公益关爱中心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北京昆仑万维科技股份有限公司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双清诚德科技（北京）有限公司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山东齐星铁塔科技股份有限公司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苏州清桥电子科技有限公司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刘铁民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湖北华舟重工应急装备股份有限公司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北京博华百校教育投资集团有限公司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北京光线传媒股份有限公司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北京立思辰科技股份有限公司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北京北陆药业股份有限公司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北京人文大学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北京邮电大学世纪学院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清华大学新闻学院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北京新媒传信科技有限公司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徐元区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北京国信安石科技有限责任公司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北京泰岳智桥信息技术有限公司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北京裂变科技有限公司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北京左岸风暴科技有限公司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裂变科技有限公司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北京融聚世界网络科技有限公司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信时科技（北京）有限公司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梁德兴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北京神州泰岳系统集成有限公司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北京融聚世界网络科技有限公司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深圳市前海泰岳梧桐投资基金管理有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019"/>
        <w:gridCol w:w="1133"/>
        <w:gridCol w:w="1560"/>
        <w:gridCol w:w="1277"/>
        <w:gridCol w:w="1387"/>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北京神州泰奇互动科技有限公司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北京泰岳智桥信息技术有限公司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北京云中融信网络科技有限公司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北京神州良品电子商务科技股份有限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北京神州泰岳教育科技有限公司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宁波泰岳梧桐投资管理有限公司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富思特新材料科技发展股份有限公司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9"/>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四</w:t>
      </w:r>
      <w:bookmarkEnd w:id="520"/>
      <w:r>
        <w:rPr>
          <w:color w:val="000000"/>
          <w:spacing w:val="0"/>
          <w:w w:val="100"/>
          <w:position w:val="0"/>
        </w:rPr>
        <w:t>、董事、监事、高级管理人员报酬情况</w:t>
      </w:r>
      <w:bookmarkEnd w:id="518"/>
      <w:bookmarkEnd w:id="519"/>
      <w:bookmarkEnd w:id="521"/>
    </w:p>
    <w:p>
      <w:pPr>
        <w:pStyle w:val="Style29"/>
        <w:keepNext w:val="0"/>
        <w:keepLines w:val="0"/>
        <w:widowControl w:val="0"/>
        <w:shd w:val="clear" w:color="auto" w:fill="auto"/>
        <w:bidi w:val="0"/>
        <w:spacing w:before="0" w:after="0" w:line="475" w:lineRule="exact"/>
        <w:ind w:left="0" w:right="0" w:firstLine="0"/>
        <w:jc w:val="left"/>
      </w:pPr>
      <w:r>
        <w:rPr>
          <w:b/>
          <w:bCs/>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704" w:val="left"/>
        </w:tabs>
        <w:bidi w:val="0"/>
        <w:spacing w:before="0" w:after="0" w:line="475" w:lineRule="exact"/>
        <w:ind w:left="0" w:right="0" w:firstLine="360"/>
        <w:jc w:val="both"/>
      </w:pPr>
      <w:bookmarkStart w:id="522" w:name="bookmark522"/>
      <w:r>
        <w:rPr>
          <w:rFonts w:ascii="Times New Roman" w:eastAsia="Times New Roman" w:hAnsi="Times New Roman" w:cs="Times New Roman"/>
          <w:color w:val="000000"/>
          <w:spacing w:val="0"/>
          <w:w w:val="100"/>
          <w:position w:val="0"/>
          <w:sz w:val="18"/>
          <w:szCs w:val="18"/>
        </w:rPr>
        <w:t>1</w:t>
      </w:r>
      <w:bookmarkEnd w:id="522"/>
      <w:r>
        <w:rPr>
          <w:color w:val="000000"/>
          <w:spacing w:val="0"/>
          <w:w w:val="100"/>
          <w:position w:val="0"/>
        </w:rPr>
        <w:t>、</w:t>
        <w:tab/>
        <w:t>董事、监事、高级管理人员报酬的决策程序：公司董事、监事报酬由股东大会决定，高级管理人员报酬由董事会决 定；在公司担任工作职务的董事、监事、高级管理人员报酬由公司支付，非独立董事、监事不另外支付津贴。独立董事津贴 根据股东大会所通过的决议来进行支付。</w:t>
      </w:r>
    </w:p>
    <w:p>
      <w:pPr>
        <w:pStyle w:val="Style29"/>
        <w:keepNext w:val="0"/>
        <w:keepLines w:val="0"/>
        <w:widowControl w:val="0"/>
        <w:shd w:val="clear" w:color="auto" w:fill="auto"/>
        <w:tabs>
          <w:tab w:pos="704" w:val="left"/>
        </w:tabs>
        <w:bidi w:val="0"/>
        <w:spacing w:before="0" w:after="0" w:line="475" w:lineRule="exact"/>
        <w:ind w:left="0" w:right="0" w:firstLine="360"/>
        <w:jc w:val="both"/>
      </w:pPr>
      <w:bookmarkStart w:id="523" w:name="bookmark523"/>
      <w:r>
        <w:rPr>
          <w:rFonts w:ascii="Times New Roman" w:eastAsia="Times New Roman" w:hAnsi="Times New Roman" w:cs="Times New Roman"/>
          <w:color w:val="000000"/>
          <w:spacing w:val="0"/>
          <w:w w:val="100"/>
          <w:position w:val="0"/>
          <w:sz w:val="18"/>
          <w:szCs w:val="18"/>
        </w:rPr>
        <w:t>2</w:t>
      </w:r>
      <w:bookmarkEnd w:id="523"/>
      <w:r>
        <w:rPr>
          <w:color w:val="000000"/>
          <w:spacing w:val="0"/>
          <w:w w:val="100"/>
          <w:position w:val="0"/>
        </w:rPr>
        <w:t>、</w:t>
        <w:tab/>
        <w:t>董事、监事、高级管理人员报酬的确定依据：依据公司盈利水平及各董事、监事、高级管理人员的分工及履职情况 确定。</w:t>
      </w:r>
    </w:p>
    <w:p>
      <w:pPr>
        <w:pStyle w:val="Style29"/>
        <w:keepNext w:val="0"/>
        <w:keepLines w:val="0"/>
        <w:widowControl w:val="0"/>
        <w:shd w:val="clear" w:color="auto" w:fill="auto"/>
        <w:tabs>
          <w:tab w:pos="709" w:val="left"/>
        </w:tabs>
        <w:bidi w:val="0"/>
        <w:spacing w:before="0" w:after="0" w:line="475" w:lineRule="exact"/>
        <w:ind w:left="0" w:right="0" w:firstLine="360"/>
        <w:jc w:val="both"/>
      </w:pPr>
      <w:bookmarkStart w:id="524" w:name="bookmark524"/>
      <w:r>
        <w:rPr>
          <w:rFonts w:ascii="Times New Roman" w:eastAsia="Times New Roman" w:hAnsi="Times New Roman" w:cs="Times New Roman"/>
          <w:color w:val="000000"/>
          <w:spacing w:val="0"/>
          <w:w w:val="100"/>
          <w:position w:val="0"/>
          <w:sz w:val="18"/>
          <w:szCs w:val="18"/>
        </w:rPr>
        <w:t>3</w:t>
      </w:r>
      <w:bookmarkEnd w:id="524"/>
      <w:r>
        <w:rPr>
          <w:color w:val="000000"/>
          <w:spacing w:val="0"/>
          <w:w w:val="100"/>
          <w:position w:val="0"/>
        </w:rPr>
        <w:t>、</w:t>
        <w:tab/>
        <w:t>董事、监事、高级管理人员报酬的实际支付情况：公司严格按照董事、监事、高级管理人员薪酬的决策程序与确定 依据支付薪酬。</w:t>
      </w:r>
    </w:p>
    <w:p>
      <w:pPr>
        <w:pStyle w:val="Style29"/>
        <w:keepNext w:val="0"/>
        <w:keepLines w:val="0"/>
        <w:widowControl w:val="0"/>
        <w:shd w:val="clear" w:color="auto" w:fill="auto"/>
        <w:bidi w:val="0"/>
        <w:spacing w:before="0" w:after="280" w:line="475" w:lineRule="exact"/>
        <w:ind w:left="0" w:right="0" w:firstLine="0"/>
        <w:jc w:val="left"/>
      </w:pPr>
      <w:r>
        <w:rPr>
          <w:b/>
          <w:bCs/>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152"/>
        <w:gridCol w:w="1584"/>
        <w:gridCol w:w="1363"/>
        <w:gridCol w:w="1368"/>
        <w:gridCol w:w="1368"/>
        <w:gridCol w:w="137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从公司获得的税</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是否在公司关联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黄松浪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152"/>
        <w:gridCol w:w="1584"/>
        <w:gridCol w:w="1373"/>
        <w:gridCol w:w="1358"/>
        <w:gridCol w:w="1368"/>
        <w:gridCol w:w="1378"/>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翟一兵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董事、首席运 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杨凯程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刘铁民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蓝伯雄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刘凯湘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江锡如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李广刚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丁彦超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郝岩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徐元区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董越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任杰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梁德兴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张黔山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副总裁、董事</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艾东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副总裁、财务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许芃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朱健松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张振鹏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刘豪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color w:val="000000"/>
                <w:spacing w:val="0"/>
                <w:w w:val="100"/>
                <w:position w:val="0"/>
                <w:sz w:val="17"/>
                <w:szCs w:val="17"/>
              </w:rPr>
              <w:t>孙海粟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刘丁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475" w:lineRule="exact"/>
        <w:ind w:left="0" w:right="0" w:firstLine="380"/>
        <w:jc w:val="left"/>
      </w:pPr>
      <w:r>
        <w:rPr>
          <w:b w:val="0"/>
          <w:bCs w:val="0"/>
          <w:color w:val="000000"/>
          <w:spacing w:val="0"/>
          <w:w w:val="100"/>
          <w:position w:val="0"/>
        </w:rPr>
        <w:t>注：江锡如先生已于</w:t>
      </w:r>
      <w:r>
        <w:rPr>
          <w:rFonts w:ascii="Times New Roman" w:eastAsia="Times New Roman" w:hAnsi="Times New Roman" w:cs="Times New Roman"/>
          <w:b w:val="0"/>
          <w:bCs w:val="0"/>
          <w:color w:val="000000"/>
          <w:spacing w:val="0"/>
          <w:w w:val="100"/>
          <w:position w:val="0"/>
        </w:rPr>
        <w:t>2015</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21</w:t>
      </w:r>
      <w:r>
        <w:rPr>
          <w:b w:val="0"/>
          <w:bCs w:val="0"/>
          <w:color w:val="000000"/>
          <w:spacing w:val="0"/>
          <w:w w:val="100"/>
          <w:position w:val="0"/>
        </w:rPr>
        <w:t>日申请辞去公司独立董事职务，并于</w:t>
      </w:r>
      <w:r>
        <w:rPr>
          <w:rFonts w:ascii="Times New Roman" w:eastAsia="Times New Roman" w:hAnsi="Times New Roman" w:cs="Times New Roman"/>
          <w:b w:val="0"/>
          <w:bCs w:val="0"/>
          <w:color w:val="000000"/>
          <w:spacing w:val="0"/>
          <w:w w:val="100"/>
          <w:position w:val="0"/>
        </w:rPr>
        <w:t>2015</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月开始停止领取公司 独董津贴。根据相关规定，辞职将自公司股东大会选举产生新任独立董事填补空缺后生效。</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27</w:t>
      </w:r>
      <w:r>
        <w:rPr>
          <w:b w:val="0"/>
          <w:bCs w:val="0"/>
          <w:color w:val="000000"/>
          <w:spacing w:val="0"/>
          <w:w w:val="100"/>
          <w:position w:val="0"/>
        </w:rPr>
        <w:t>日， 公司召开股东大会选举产生新任独立董事，江锡如先生正式离任。</w:t>
      </w:r>
    </w:p>
    <w:p>
      <w:pPr>
        <w:pStyle w:val="Style29"/>
        <w:keepNext w:val="0"/>
        <w:keepLines w:val="0"/>
        <w:widowControl w:val="0"/>
        <w:shd w:val="clear" w:color="auto" w:fill="auto"/>
        <w:bidi w:val="0"/>
        <w:spacing w:before="0" w:after="280" w:line="475" w:lineRule="exact"/>
        <w:ind w:left="0" w:right="0" w:firstLine="0"/>
        <w:jc w:val="left"/>
      </w:pPr>
      <w:r>
        <w:rPr>
          <w:b/>
          <w:bCs/>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520" w:line="475" w:lineRule="exact"/>
        <w:ind w:left="0" w:right="0"/>
        <w:jc w:val="left"/>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年度业绩未达到《股权激励计划》规定的第四个行权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解锁期的业绩考核要求，经董事会审议通过，公司注 销了激励对象在第四个行权期的股票期权，回购注销了激励对象在第四个解锁期内尚未解锁的限制性股票。</w:t>
      </w:r>
    </w:p>
    <w:p>
      <w:pPr>
        <w:pStyle w:val="Style27"/>
        <w:keepNext/>
        <w:keepLines/>
        <w:widowControl w:val="0"/>
        <w:shd w:val="clear" w:color="auto" w:fill="auto"/>
        <w:bidi w:val="0"/>
        <w:spacing w:before="0" w:after="52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五</w:t>
      </w:r>
      <w:bookmarkEnd w:id="527"/>
      <w:r>
        <w:rPr>
          <w:color w:val="000000"/>
          <w:spacing w:val="0"/>
          <w:w w:val="100"/>
          <w:position w:val="0"/>
        </w:rPr>
        <w:t>、公司员工情况</w:t>
      </w:r>
      <w:bookmarkEnd w:id="525"/>
      <w:bookmarkEnd w:id="526"/>
      <w:bookmarkEnd w:id="528"/>
    </w:p>
    <w:p>
      <w:pPr>
        <w:pStyle w:val="Style39"/>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、员工数量、专业构成及教育程度</w:t>
      </w:r>
      <w:bookmarkEnd w:id="529"/>
      <w:bookmarkEnd w:id="530"/>
      <w:bookmarkEnd w:id="53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3,386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4,268</w:t>
            </w:r>
          </w:p>
        </w:tc>
      </w:tr>
    </w:tbl>
    <w:p>
      <w:pPr>
        <w:pStyle w:val="Style39"/>
        <w:keepNext/>
        <w:keepLines/>
        <w:widowControl w:val="0"/>
        <w:shd w:val="clear" w:color="auto" w:fill="auto"/>
        <w:tabs>
          <w:tab w:pos="318"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薪酬政策</w:t>
      </w:r>
      <w:bookmarkEnd w:id="533"/>
      <w:bookmarkEnd w:id="534"/>
      <w:bookmarkEnd w:id="536"/>
    </w:p>
    <w:p>
      <w:pPr>
        <w:pStyle w:val="Style29"/>
        <w:keepNext w:val="0"/>
        <w:keepLines w:val="0"/>
        <w:widowControl w:val="0"/>
        <w:shd w:val="clear" w:color="auto" w:fill="auto"/>
        <w:bidi w:val="0"/>
        <w:spacing w:before="0" w:after="540" w:line="469" w:lineRule="exact"/>
        <w:ind w:left="0" w:right="0"/>
        <w:jc w:val="both"/>
      </w:pPr>
      <w:r>
        <w:rPr>
          <w:color w:val="000000"/>
          <w:spacing w:val="0"/>
          <w:w w:val="100"/>
          <w:position w:val="0"/>
        </w:rPr>
        <w:t>公司根据国家人力资源和社会劳动保障的相关政策，结合地区、行业和公司的实际情况，制订了具有竞争力的薪酬策略。 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的一贯宗旨，推行职位、职等管理模式，成立了薪酬与考核委员会来完成员工职等、薪酬的确定和评审， 为员工设立专业及管理的双重职业发展路径，同时为员工薪酬确定、培训发展、绩效考核提供相关信息、依据。公司以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贡献、高绩效、高回报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为指导思想，实行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制度，即：将工作性质、工作内容和管理内容相似或者相同职类集合 成为序列，员工薪酬的确定和调整，依据序列对应的薪酬区间进行管理和控制，为员工的晋级、晋升明确了方向和路径，更 好地帮助员工实现自己的职业生涯规划。对于骨干员工，公司实行结构化薪酬策略，兼顾短期收益和长期收益，绩效工资、 股权激励、多样化福利多管齐下，全方位的激励员工，从而实现提升公司核心竞争力的目标。</w:t>
      </w:r>
    </w:p>
    <w:p>
      <w:pPr>
        <w:pStyle w:val="Style39"/>
        <w:keepNext/>
        <w:keepLines/>
        <w:widowControl w:val="0"/>
        <w:shd w:val="clear" w:color="auto" w:fill="auto"/>
        <w:tabs>
          <w:tab w:pos="318"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培训计划</w:t>
      </w:r>
      <w:bookmarkEnd w:id="537"/>
      <w:bookmarkEnd w:id="538"/>
      <w:bookmarkEnd w:id="540"/>
    </w:p>
    <w:p>
      <w:pPr>
        <w:pStyle w:val="Style29"/>
        <w:keepNext w:val="0"/>
        <w:keepLines w:val="0"/>
        <w:widowControl w:val="0"/>
        <w:shd w:val="clear" w:color="auto" w:fill="auto"/>
        <w:bidi w:val="0"/>
        <w:spacing w:before="0" w:after="540" w:line="469" w:lineRule="exact"/>
        <w:ind w:left="0" w:right="0"/>
        <w:jc w:val="both"/>
      </w:pPr>
      <w:r>
        <w:rPr>
          <w:color w:val="000000"/>
          <w:spacing w:val="0"/>
          <w:w w:val="100"/>
          <w:position w:val="0"/>
        </w:rPr>
        <w:t>根据公司战略发展方向和业务规划布局，结合各部门的业务要求及人才培养规划，制定全面完善的培训培养方案，包含 领导力培训、业务培训、新员工培训等。为了打造一支素质过硬，能力突出，招之即来，来则能战，战则能胜的干部队伍， 公司以全面提升干部领导力，打造公司企业家群为培养目标，设计并实施了包含危机处理、演讲技巧、经营沙盘等课程，并 深入影响到干部的日常管理思维和经营思维。为了提升公司业务专家的技术水平，公司从</w:t>
      </w:r>
      <w:r>
        <w:rPr>
          <w:rFonts w:ascii="Times New Roman" w:eastAsia="Times New Roman" w:hAnsi="Times New Roman" w:cs="Times New Roman"/>
          <w:color w:val="000000"/>
          <w:spacing w:val="0"/>
          <w:w w:val="100"/>
          <w:position w:val="0"/>
          <w:sz w:val="18"/>
          <w:szCs w:val="18"/>
        </w:rPr>
        <w:t>ITIL</w:t>
      </w:r>
      <w:r>
        <w:rPr>
          <w:color w:val="000000"/>
          <w:spacing w:val="0"/>
          <w:w w:val="100"/>
          <w:position w:val="0"/>
        </w:rPr>
        <w:t>、</w:t>
      </w:r>
      <w:r>
        <w:rPr>
          <w:color w:val="000000"/>
          <w:spacing w:val="0"/>
          <w:w w:val="100"/>
          <w:position w:val="0"/>
        </w:rPr>
        <w:t>信息安全、大数据等方面通 过不同形式对业务人员进行了培训及培养，使业务人员能够掌握前沿技术，并应用到工作中。为了让新入职员工能尽快适应 工作场景和内容，公司每个月都会针对新员工进行公司业务介绍、企业文化介绍，并通过团队拓展等形式让新员工快速融入 公司。</w:t>
      </w:r>
    </w:p>
    <w:p>
      <w:pPr>
        <w:pStyle w:val="Style39"/>
        <w:keepNext/>
        <w:keepLines/>
        <w:widowControl w:val="0"/>
        <w:shd w:val="clear" w:color="auto" w:fill="auto"/>
        <w:tabs>
          <w:tab w:pos="318" w:val="left"/>
        </w:tabs>
        <w:bidi w:val="0"/>
        <w:spacing w:before="0" w:after="2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w:t>
        <w:tab/>
        <w:t>劳务外包情况</w:t>
      </w:r>
      <w:bookmarkEnd w:id="541"/>
      <w:bookmarkEnd w:id="542"/>
      <w:bookmarkEnd w:id="544"/>
    </w:p>
    <w:p>
      <w:pPr>
        <w:pStyle w:val="Style29"/>
        <w:keepNext w:val="0"/>
        <w:keepLines w:val="0"/>
        <w:widowControl w:val="0"/>
        <w:shd w:val="clear" w:color="auto" w:fill="auto"/>
        <w:bidi w:val="0"/>
        <w:spacing w:before="0" w:after="400" w:line="469" w:lineRule="exact"/>
        <w:ind w:left="0" w:right="0" w:firstLine="0"/>
        <w:jc w:val="left"/>
        <w:sectPr>
          <w:footnotePr>
            <w:pos w:val="pageBottom"/>
            <w:numFmt w:val="decimal"/>
            <w:numRestart w:val="continuous"/>
          </w:footnotePr>
          <w:pgSz w:w="11900" w:h="16840"/>
          <w:pgMar w:top="1457" w:right="601" w:bottom="1247" w:left="6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16"/>
        <w:keepNext/>
        <w:keepLines/>
        <w:widowControl w:val="0"/>
        <w:shd w:val="clear" w:color="auto" w:fill="auto"/>
        <w:bidi w:val="0"/>
        <w:spacing w:after="560" w:line="240" w:lineRule="auto"/>
        <w:ind w:left="0" w:right="0" w:firstLine="0"/>
        <w:jc w:val="center"/>
      </w:pPr>
      <w:bookmarkStart w:id="545" w:name="bookmark545"/>
      <w:bookmarkStart w:id="546" w:name="bookmark546"/>
      <w:bookmarkStart w:id="547" w:name="bookmark547"/>
      <w:r>
        <w:rPr>
          <w:color w:val="000000"/>
          <w:spacing w:val="0"/>
          <w:w w:val="100"/>
          <w:position w:val="0"/>
        </w:rPr>
        <w:t>第九节公司治理</w:t>
      </w:r>
      <w:bookmarkEnd w:id="545"/>
      <w:bookmarkEnd w:id="546"/>
      <w:bookmarkEnd w:id="547"/>
    </w:p>
    <w:p>
      <w:pPr>
        <w:pStyle w:val="Style27"/>
        <w:keepNext/>
        <w:keepLines/>
        <w:widowControl w:val="0"/>
        <w:shd w:val="clear" w:color="auto" w:fill="auto"/>
        <w:bidi w:val="0"/>
        <w:spacing w:before="0" w:after="260" w:line="240" w:lineRule="auto"/>
        <w:ind w:left="0" w:right="0" w:firstLine="420"/>
        <w:jc w:val="both"/>
      </w:pPr>
      <w:bookmarkStart w:id="548" w:name="bookmark548"/>
      <w:bookmarkStart w:id="549" w:name="bookmark549"/>
      <w:bookmarkStart w:id="550" w:name="bookmark550"/>
      <w:bookmarkStart w:id="551" w:name="bookmark551"/>
      <w:r>
        <w:rPr>
          <w:color w:val="000000"/>
          <w:spacing w:val="0"/>
          <w:w w:val="100"/>
          <w:position w:val="0"/>
        </w:rPr>
        <w:t>一</w:t>
      </w:r>
      <w:bookmarkEnd w:id="550"/>
      <w:r>
        <w:rPr>
          <w:color w:val="000000"/>
          <w:spacing w:val="0"/>
          <w:w w:val="100"/>
          <w:position w:val="0"/>
        </w:rPr>
        <w:t>、公司治理的基本状况</w:t>
      </w:r>
      <w:bookmarkEnd w:id="548"/>
      <w:bookmarkEnd w:id="549"/>
      <w:bookmarkEnd w:id="551"/>
    </w:p>
    <w:p>
      <w:pPr>
        <w:pStyle w:val="Style29"/>
        <w:keepNext w:val="0"/>
        <w:keepLines w:val="0"/>
        <w:widowControl w:val="0"/>
        <w:shd w:val="clear" w:color="auto" w:fill="auto"/>
        <w:bidi w:val="0"/>
        <w:spacing w:before="0" w:after="0" w:line="471" w:lineRule="exact"/>
        <w:ind w:left="420" w:right="0" w:firstLine="360"/>
        <w:jc w:val="both"/>
      </w:pPr>
      <w:r>
        <w:rPr>
          <w:color w:val="000000"/>
          <w:spacing w:val="0"/>
          <w:w w:val="100"/>
          <w:position w:val="0"/>
        </w:rPr>
        <w:t>公司严格按照《公司法》、《证券法》、《上市公司治理准则》、《深圳证券交易所创业板股票上市规则》、《深圳证 券交易所创业板上市公司规范运作指引》及中国证监会有关法律法规等的要求，确立了股东大会、董事会、监事会及经营管 理层的分层治理结构，并在公司董事会下设立了战略、审计、提名、薪酬与考核等专门委员会。报告期内，公司不断完善法 人治理结构，提高公司治理水平，建立健全各项内部管控制度，规范公司日常经营和整体运作，严格按照相关规定对公司重 大事项进行信息披露，确保真实、准确、完整、及时、公平披露原则，有效保护广大投资者利益。</w:t>
      </w:r>
    </w:p>
    <w:p>
      <w:pPr>
        <w:pStyle w:val="Style29"/>
        <w:keepNext w:val="0"/>
        <w:keepLines w:val="0"/>
        <w:widowControl w:val="0"/>
        <w:shd w:val="clear" w:color="auto" w:fill="auto"/>
        <w:bidi w:val="0"/>
        <w:spacing w:before="0" w:after="0" w:line="471" w:lineRule="exact"/>
        <w:ind w:left="42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年末，公司实际治理状况符合《上市公司治理准则》和《深圳证券交易所创业板上市公司规范运作指引》的要 求，重大生产经营决策、投资决策及财务决策均按照《公司章程》及有关内控制度的规定执行，相关机构和人员依法运作、 尽职尽责，未出现违法、违规现象。</w:t>
      </w:r>
    </w:p>
    <w:p>
      <w:pPr>
        <w:pStyle w:val="Style29"/>
        <w:keepNext w:val="0"/>
        <w:keepLines w:val="0"/>
        <w:widowControl w:val="0"/>
        <w:shd w:val="clear" w:color="auto" w:fill="auto"/>
        <w:tabs>
          <w:tab w:pos="1073" w:val="left"/>
        </w:tabs>
        <w:bidi w:val="0"/>
        <w:spacing w:before="0" w:after="0" w:line="471" w:lineRule="exact"/>
        <w:ind w:left="0" w:right="0" w:firstLine="780"/>
        <w:jc w:val="both"/>
      </w:pPr>
      <w:bookmarkStart w:id="552" w:name="bookmark552"/>
      <w:r>
        <w:rPr>
          <w:rFonts w:ascii="Times New Roman" w:eastAsia="Times New Roman" w:hAnsi="Times New Roman" w:cs="Times New Roman"/>
          <w:b/>
          <w:bCs/>
          <w:color w:val="000000"/>
          <w:spacing w:val="0"/>
          <w:w w:val="100"/>
          <w:position w:val="0"/>
          <w:sz w:val="18"/>
          <w:szCs w:val="18"/>
        </w:rPr>
        <w:t>1</w:t>
      </w:r>
      <w:bookmarkEnd w:id="552"/>
      <w:r>
        <w:rPr>
          <w:b/>
          <w:bCs/>
          <w:color w:val="000000"/>
          <w:spacing w:val="0"/>
          <w:w w:val="100"/>
          <w:position w:val="0"/>
        </w:rPr>
        <w:t>、</w:t>
        <w:tab/>
        <w:t>股东与股东大会</w:t>
      </w:r>
    </w:p>
    <w:p>
      <w:pPr>
        <w:pStyle w:val="Style29"/>
        <w:keepNext w:val="0"/>
        <w:keepLines w:val="0"/>
        <w:widowControl w:val="0"/>
        <w:shd w:val="clear" w:color="auto" w:fill="auto"/>
        <w:bidi w:val="0"/>
        <w:spacing w:before="0" w:after="0" w:line="471" w:lineRule="exact"/>
        <w:ind w:left="420" w:right="0" w:firstLine="360"/>
        <w:jc w:val="left"/>
      </w:pPr>
      <w:r>
        <w:rPr>
          <w:color w:val="000000"/>
          <w:spacing w:val="0"/>
          <w:w w:val="100"/>
          <w:position w:val="0"/>
        </w:rPr>
        <w:t>公司严格按照《上市公司股东大会规则》、《公司章程》、《股东大会议事规则》等规定的要求，召集、召开股东大会， 并为股东参加会议提供便利，使其充分行使股东权利。公司股东大会在审议每项议案过程中设有议事程序，能够平等对待所 有股东，就股东的质询作出解释和说明，听取股东的建议与意见，保证了中小股东的话语权，并通过聘请律师出席见证保证 了会议的召集、召开和表决程序的合法性。</w:t>
      </w:r>
    </w:p>
    <w:p>
      <w:pPr>
        <w:pStyle w:val="Style29"/>
        <w:keepNext w:val="0"/>
        <w:keepLines w:val="0"/>
        <w:widowControl w:val="0"/>
        <w:shd w:val="clear" w:color="auto" w:fill="auto"/>
        <w:tabs>
          <w:tab w:pos="1087" w:val="left"/>
        </w:tabs>
        <w:bidi w:val="0"/>
        <w:spacing w:before="0" w:after="0" w:line="471" w:lineRule="exact"/>
        <w:ind w:left="0" w:right="0" w:firstLine="780"/>
        <w:jc w:val="left"/>
      </w:pPr>
      <w:bookmarkStart w:id="553" w:name="bookmark553"/>
      <w:r>
        <w:rPr>
          <w:rFonts w:ascii="Times New Roman" w:eastAsia="Times New Roman" w:hAnsi="Times New Roman" w:cs="Times New Roman"/>
          <w:b/>
          <w:bCs/>
          <w:color w:val="000000"/>
          <w:spacing w:val="0"/>
          <w:w w:val="100"/>
          <w:position w:val="0"/>
          <w:sz w:val="18"/>
          <w:szCs w:val="18"/>
        </w:rPr>
        <w:t>2</w:t>
      </w:r>
      <w:bookmarkEnd w:id="553"/>
      <w:r>
        <w:rPr>
          <w:b/>
          <w:bCs/>
          <w:color w:val="000000"/>
          <w:spacing w:val="0"/>
          <w:w w:val="100"/>
          <w:position w:val="0"/>
        </w:rPr>
        <w:t>、</w:t>
        <w:tab/>
        <w:t>控股股东与上市公司</w:t>
      </w:r>
    </w:p>
    <w:p>
      <w:pPr>
        <w:pStyle w:val="Style29"/>
        <w:keepNext w:val="0"/>
        <w:keepLines w:val="0"/>
        <w:widowControl w:val="0"/>
        <w:shd w:val="clear" w:color="auto" w:fill="auto"/>
        <w:bidi w:val="0"/>
        <w:spacing w:before="0" w:after="0" w:line="471" w:lineRule="exact"/>
        <w:ind w:left="420" w:right="0" w:firstLine="360"/>
        <w:jc w:val="both"/>
      </w:pPr>
      <w:r>
        <w:rPr>
          <w:color w:val="000000"/>
          <w:spacing w:val="0"/>
          <w:w w:val="100"/>
          <w:position w:val="0"/>
        </w:rPr>
        <w:t>公司严格按照《公司法》、《证券法》、《公司章程》及证券监管部门的有关规定正确处理与控股股东的关系。公司控 股股东严格规范自身行为，依法行使其权利并承担相应义务，没有超越股东大会直接或间接干预本公司的决策和生产经营活 动。公司拥有独立完整的业务和自主经营能力，董事会、监事会和其他内部机构独立运作。报告期内，未发生超越股东大会 和董事会的授权权限，直接或间接干预公司决策和经营活动及利用其控制地位侵害其他股东利益的行为出现。</w:t>
      </w:r>
    </w:p>
    <w:p>
      <w:pPr>
        <w:pStyle w:val="Style29"/>
        <w:keepNext w:val="0"/>
        <w:keepLines w:val="0"/>
        <w:widowControl w:val="0"/>
        <w:shd w:val="clear" w:color="auto" w:fill="auto"/>
        <w:tabs>
          <w:tab w:pos="1083" w:val="left"/>
        </w:tabs>
        <w:bidi w:val="0"/>
        <w:spacing w:before="0" w:after="0" w:line="471" w:lineRule="exact"/>
        <w:ind w:left="0" w:right="0" w:firstLine="780"/>
        <w:jc w:val="left"/>
      </w:pPr>
      <w:bookmarkStart w:id="554" w:name="bookmark554"/>
      <w:r>
        <w:rPr>
          <w:rFonts w:ascii="Times New Roman" w:eastAsia="Times New Roman" w:hAnsi="Times New Roman" w:cs="Times New Roman"/>
          <w:b/>
          <w:bCs/>
          <w:color w:val="000000"/>
          <w:spacing w:val="0"/>
          <w:w w:val="100"/>
          <w:position w:val="0"/>
          <w:sz w:val="18"/>
          <w:szCs w:val="18"/>
        </w:rPr>
        <w:t>3</w:t>
      </w:r>
      <w:bookmarkEnd w:id="554"/>
      <w:r>
        <w:rPr>
          <w:b/>
          <w:bCs/>
          <w:color w:val="000000"/>
          <w:spacing w:val="0"/>
          <w:w w:val="100"/>
          <w:position w:val="0"/>
        </w:rPr>
        <w:t>、</w:t>
        <w:tab/>
        <w:t>董事和董事会</w:t>
      </w:r>
    </w:p>
    <w:p>
      <w:pPr>
        <w:pStyle w:val="Style29"/>
        <w:keepNext w:val="0"/>
        <w:keepLines w:val="0"/>
        <w:widowControl w:val="0"/>
        <w:shd w:val="clear" w:color="auto" w:fill="auto"/>
        <w:bidi w:val="0"/>
        <w:spacing w:before="0" w:after="0" w:line="471" w:lineRule="exact"/>
        <w:ind w:left="42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名，董事会的人数及人员构成符合法律、法规和《公司章程》的要求。任职期 间，公司全体董事勤勉尽责开展工作，持续关注公司经营状况，主动参加相关培训，提高规范运作水平；积极参加董事会会 议，充分发挥各自的专业特长，审慎决策，维护公司和广大股东的利益。公司董事会会议的召集、召开等程序均符合相关规 定的要求；历次董事会会议记录内容真实、准确、完整，保存安全；会议决议做到充分准确且及时披露。董事会下设战略委 员会、审计委员会、薪酬与考核委员会、提名委员会。</w:t>
      </w:r>
    </w:p>
    <w:p>
      <w:pPr>
        <w:pStyle w:val="Style29"/>
        <w:keepNext w:val="0"/>
        <w:keepLines w:val="0"/>
        <w:widowControl w:val="0"/>
        <w:shd w:val="clear" w:color="auto" w:fill="auto"/>
        <w:tabs>
          <w:tab w:pos="1083" w:val="left"/>
        </w:tabs>
        <w:bidi w:val="0"/>
        <w:spacing w:before="0" w:after="120" w:line="471" w:lineRule="exact"/>
        <w:ind w:left="0" w:right="0" w:firstLine="780"/>
        <w:jc w:val="left"/>
      </w:pPr>
      <w:bookmarkStart w:id="555" w:name="bookmark555"/>
      <w:r>
        <w:rPr>
          <w:rFonts w:ascii="Times New Roman" w:eastAsia="Times New Roman" w:hAnsi="Times New Roman" w:cs="Times New Roman"/>
          <w:b/>
          <w:bCs/>
          <w:color w:val="000000"/>
          <w:spacing w:val="0"/>
          <w:w w:val="100"/>
          <w:position w:val="0"/>
          <w:sz w:val="18"/>
          <w:szCs w:val="18"/>
        </w:rPr>
        <w:t>4</w:t>
      </w:r>
      <w:bookmarkEnd w:id="555"/>
      <w:r>
        <w:rPr>
          <w:b/>
          <w:bCs/>
          <w:color w:val="000000"/>
          <w:spacing w:val="0"/>
          <w:w w:val="100"/>
          <w:position w:val="0"/>
        </w:rPr>
        <w:t>、</w:t>
        <w:tab/>
        <w:t>监事和监事会</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名，监事会的人数和构成符合法律、法规的要求。公司监事能够按照《监事会议 事规则》的要求，认真履行自己的职责，对公司重大事项、关联交易、财务状况以及董事、高管人员履行职责的合法合规性 进行监督。</w:t>
      </w:r>
    </w:p>
    <w:p>
      <w:pPr>
        <w:pStyle w:val="Style29"/>
        <w:keepNext w:val="0"/>
        <w:keepLines w:val="0"/>
        <w:widowControl w:val="0"/>
        <w:shd w:val="clear" w:color="auto" w:fill="auto"/>
        <w:tabs>
          <w:tab w:pos="1110" w:val="left"/>
        </w:tabs>
        <w:bidi w:val="0"/>
        <w:spacing w:before="0" w:after="0" w:line="468" w:lineRule="exact"/>
        <w:ind w:left="0" w:right="0" w:firstLine="780"/>
        <w:jc w:val="left"/>
      </w:pPr>
      <w:bookmarkStart w:id="556" w:name="bookmark556"/>
      <w:r>
        <w:rPr>
          <w:rFonts w:ascii="Times New Roman" w:eastAsia="Times New Roman" w:hAnsi="Times New Roman" w:cs="Times New Roman"/>
          <w:b/>
          <w:bCs/>
          <w:color w:val="000000"/>
          <w:spacing w:val="0"/>
          <w:w w:val="100"/>
          <w:position w:val="0"/>
          <w:sz w:val="18"/>
          <w:szCs w:val="18"/>
        </w:rPr>
        <w:t>5</w:t>
      </w:r>
      <w:bookmarkEnd w:id="556"/>
      <w:r>
        <w:rPr>
          <w:b/>
          <w:bCs/>
          <w:color w:val="000000"/>
          <w:spacing w:val="0"/>
          <w:w w:val="100"/>
          <w:position w:val="0"/>
        </w:rPr>
        <w:t>、</w:t>
        <w:tab/>
        <w:t>绩效评价与激励约束机制</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公司已建立企业绩效评价激励体系，并在报告期内不断完善。董事、监事和高级管理人员的绩效评价标准和激励约束机 制公开、透明，符合法律、法规的规定。</w:t>
      </w:r>
    </w:p>
    <w:p>
      <w:pPr>
        <w:pStyle w:val="Style29"/>
        <w:keepNext w:val="0"/>
        <w:keepLines w:val="0"/>
        <w:widowControl w:val="0"/>
        <w:shd w:val="clear" w:color="auto" w:fill="auto"/>
        <w:tabs>
          <w:tab w:pos="1115" w:val="left"/>
        </w:tabs>
        <w:bidi w:val="0"/>
        <w:spacing w:before="0" w:after="0" w:line="468" w:lineRule="exact"/>
        <w:ind w:left="0" w:right="0" w:firstLine="780"/>
        <w:jc w:val="left"/>
      </w:pPr>
      <w:bookmarkStart w:id="557" w:name="bookmark557"/>
      <w:r>
        <w:rPr>
          <w:rFonts w:ascii="Times New Roman" w:eastAsia="Times New Roman" w:hAnsi="Times New Roman" w:cs="Times New Roman"/>
          <w:b/>
          <w:bCs/>
          <w:color w:val="000000"/>
          <w:spacing w:val="0"/>
          <w:w w:val="100"/>
          <w:position w:val="0"/>
          <w:sz w:val="18"/>
          <w:szCs w:val="18"/>
        </w:rPr>
        <w:t>6</w:t>
      </w:r>
      <w:bookmarkEnd w:id="557"/>
      <w:r>
        <w:rPr>
          <w:b/>
          <w:bCs/>
          <w:color w:val="000000"/>
          <w:spacing w:val="0"/>
          <w:w w:val="100"/>
          <w:position w:val="0"/>
        </w:rPr>
        <w:t>、</w:t>
        <w:tab/>
        <w:t>关于信息披露与透明度</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公司严格按照有关法律法规以及《信息披露制度》、《投资者关系管理制度》等的要求，真实、准确、完整、及时、公 平地披露有关信息；并指定公司董事会秘书负责信息披露工作，协调公司与投资者的关系</w:t>
      </w:r>
      <w:r>
        <w:rPr>
          <w:color w:val="000000"/>
          <w:spacing w:val="0"/>
          <w:w w:val="100"/>
          <w:position w:val="0"/>
          <w:sz w:val="18"/>
          <w:szCs w:val="18"/>
        </w:rPr>
        <w:t>，</w:t>
      </w:r>
      <w:r>
        <w:rPr>
          <w:color w:val="000000"/>
          <w:spacing w:val="0"/>
          <w:w w:val="100"/>
          <w:position w:val="0"/>
        </w:rPr>
        <w:t>接待投资者来访调研，回答投资 者咨询；并指定《证券时报》、《中国证券报》以及巨潮资讯网为公司信息披露的指定报纸和网站，确保公司所有投资者能 够以平等的机会获得信息。</w:t>
      </w:r>
    </w:p>
    <w:p>
      <w:pPr>
        <w:pStyle w:val="Style29"/>
        <w:keepNext w:val="0"/>
        <w:keepLines w:val="0"/>
        <w:widowControl w:val="0"/>
        <w:shd w:val="clear" w:color="auto" w:fill="auto"/>
        <w:tabs>
          <w:tab w:pos="1115" w:val="left"/>
        </w:tabs>
        <w:bidi w:val="0"/>
        <w:spacing w:before="0" w:after="0" w:line="468" w:lineRule="exact"/>
        <w:ind w:left="0" w:right="0" w:firstLine="780"/>
        <w:jc w:val="left"/>
      </w:pPr>
      <w:bookmarkStart w:id="558" w:name="bookmark558"/>
      <w:r>
        <w:rPr>
          <w:rFonts w:ascii="Times New Roman" w:eastAsia="Times New Roman" w:hAnsi="Times New Roman" w:cs="Times New Roman"/>
          <w:b/>
          <w:bCs/>
          <w:color w:val="000000"/>
          <w:spacing w:val="0"/>
          <w:w w:val="100"/>
          <w:position w:val="0"/>
          <w:sz w:val="18"/>
          <w:szCs w:val="18"/>
        </w:rPr>
        <w:t>7</w:t>
      </w:r>
      <w:bookmarkEnd w:id="558"/>
      <w:r>
        <w:rPr>
          <w:b/>
          <w:bCs/>
          <w:color w:val="000000"/>
          <w:spacing w:val="0"/>
          <w:w w:val="100"/>
          <w:position w:val="0"/>
        </w:rPr>
        <w:t>、</w:t>
        <w:tab/>
        <w:t>关于相关利益者</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9"/>
        <w:keepNext w:val="0"/>
        <w:keepLines w:val="0"/>
        <w:widowControl w:val="0"/>
        <w:shd w:val="clear" w:color="auto" w:fill="auto"/>
        <w:tabs>
          <w:tab w:pos="1115" w:val="left"/>
        </w:tabs>
        <w:bidi w:val="0"/>
        <w:spacing w:before="0" w:after="0" w:line="468" w:lineRule="exact"/>
        <w:ind w:left="0" w:right="0" w:firstLine="780"/>
        <w:jc w:val="left"/>
      </w:pPr>
      <w:bookmarkStart w:id="559" w:name="bookmark559"/>
      <w:r>
        <w:rPr>
          <w:rFonts w:ascii="Times New Roman" w:eastAsia="Times New Roman" w:hAnsi="Times New Roman" w:cs="Times New Roman"/>
          <w:b/>
          <w:bCs/>
          <w:color w:val="000000"/>
          <w:spacing w:val="0"/>
          <w:w w:val="100"/>
          <w:position w:val="0"/>
          <w:sz w:val="18"/>
          <w:szCs w:val="18"/>
        </w:rPr>
        <w:t>8</w:t>
      </w:r>
      <w:bookmarkEnd w:id="559"/>
      <w:r>
        <w:rPr>
          <w:b/>
          <w:bCs/>
          <w:color w:val="000000"/>
          <w:spacing w:val="0"/>
          <w:w w:val="100"/>
          <w:position w:val="0"/>
        </w:rPr>
        <w:t>、</w:t>
        <w:tab/>
        <w:t>关于内部审计体系</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公司董事会下设审计委员会，主要负责公司内部审计与外部审计之间进行沟通，并监督公司内部审计制度的实施，审查 公司内部控制制度的执行情况，审查公司的财务信息及披露正常等。审计委员会下设独立的内审部，内审部直接对审计委员 会负责及报告工作。公司严格根据《公司法》、《证券法》、《企业内部控制基本规范》等有关法律、法规和规章制度，结 合公司的实际情况、自身特点和管理需要，制定了贯穿于公司生产经营各层面、各环节的内部控制体系，规范经营，控制风 险。</w:t>
      </w:r>
    </w:p>
    <w:p>
      <w:pPr>
        <w:pStyle w:val="Style29"/>
        <w:keepNext w:val="0"/>
        <w:keepLines w:val="0"/>
        <w:widowControl w:val="0"/>
        <w:shd w:val="clear" w:color="auto" w:fill="auto"/>
        <w:bidi w:val="0"/>
        <w:spacing w:before="0" w:after="260" w:line="468" w:lineRule="exact"/>
        <w:ind w:left="0" w:right="0" w:firstLine="420"/>
        <w:jc w:val="left"/>
      </w:pPr>
      <w:r>
        <w:rPr>
          <w:b/>
          <w:bCs/>
          <w:color w:val="000000"/>
          <w:spacing w:val="0"/>
          <w:w w:val="100"/>
          <w:position w:val="0"/>
        </w:rPr>
        <w:t>公司治理的实际状况与中国证监会发布的有关上市公司治理的规范性文件是否存在重大差异</w:t>
      </w:r>
    </w:p>
    <w:p>
      <w:pPr>
        <w:pStyle w:val="Style63"/>
        <w:keepNext w:val="0"/>
        <w:keepLines w:val="0"/>
        <w:widowControl w:val="0"/>
        <w:shd w:val="clear" w:color="auto" w:fill="auto"/>
        <w:bidi w:val="0"/>
        <w:spacing w:before="0" w:after="260" w:line="542" w:lineRule="auto"/>
        <w:ind w:left="0" w:right="0" w:firstLine="420"/>
        <w:jc w:val="left"/>
      </w:pPr>
      <w:r>
        <w:rPr>
          <w:rFonts w:ascii="Times New Roman" w:eastAsia="Times New Roman" w:hAnsi="Times New Roman" w:cs="Times New Roman"/>
          <w:b w:val="0"/>
          <w:bCs w:val="0"/>
          <w:i w:val="0"/>
          <w:iCs w:val="0"/>
          <w:color w:val="000000"/>
          <w:spacing w:val="0"/>
          <w:w w:val="100"/>
          <w:position w:val="0"/>
          <w:sz w:val="18"/>
          <w:szCs w:val="18"/>
        </w:rPr>
        <w:t>□</w:t>
      </w:r>
      <w:r>
        <w:rPr>
          <w:rFonts w:ascii="SimSun" w:eastAsia="SimSun" w:hAnsi="SimSun" w:cs="SimSun"/>
          <w:b w:val="0"/>
          <w:bCs w:val="0"/>
          <w:i w:val="0"/>
          <w:iCs w:val="0"/>
          <w:color w:val="000000"/>
          <w:spacing w:val="0"/>
          <w:w w:val="100"/>
          <w:position w:val="0"/>
          <w:sz w:val="17"/>
          <w:szCs w:val="17"/>
        </w:rPr>
        <w:t>是</w:t>
      </w:r>
      <w:r>
        <w:rPr>
          <w:rFonts w:ascii="SimSun" w:eastAsia="SimSun" w:hAnsi="SimSun" w:cs="SimSun"/>
          <w:color w:val="000000"/>
          <w:spacing w:val="0"/>
          <w:w w:val="100"/>
          <w:position w:val="0"/>
          <w:sz w:val="17"/>
          <w:szCs w:val="17"/>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420"/>
        <w:jc w:val="left"/>
      </w:pPr>
      <w:bookmarkStart w:id="560" w:name="bookmark560"/>
      <w:bookmarkStart w:id="561" w:name="bookmark561"/>
      <w:bookmarkStart w:id="562" w:name="bookmark562"/>
      <w:bookmarkStart w:id="563" w:name="bookmark563"/>
      <w:r>
        <w:rPr>
          <w:color w:val="000000"/>
          <w:spacing w:val="0"/>
          <w:w w:val="100"/>
          <w:position w:val="0"/>
        </w:rPr>
        <w:t>二</w:t>
      </w:r>
      <w:bookmarkEnd w:id="562"/>
      <w:r>
        <w:rPr>
          <w:color w:val="000000"/>
          <w:spacing w:val="0"/>
          <w:w w:val="100"/>
          <w:position w:val="0"/>
        </w:rPr>
        <w:t>、公司相对于控股股东在业务、人员、资产、机构、财务等方面的独立情况</w:t>
      </w:r>
      <w:bookmarkEnd w:id="560"/>
      <w:bookmarkEnd w:id="561"/>
      <w:bookmarkEnd w:id="563"/>
    </w:p>
    <w:p>
      <w:pPr>
        <w:pStyle w:val="Style29"/>
        <w:keepNext w:val="0"/>
        <w:keepLines w:val="0"/>
        <w:widowControl w:val="0"/>
        <w:shd w:val="clear" w:color="auto" w:fill="auto"/>
        <w:bidi w:val="0"/>
        <w:spacing w:before="0" w:after="0" w:line="470" w:lineRule="exact"/>
        <w:ind w:left="420" w:right="0" w:firstLine="360"/>
        <w:jc w:val="left"/>
      </w:pPr>
      <w:r>
        <w:rPr>
          <w:color w:val="000000"/>
          <w:spacing w:val="0"/>
          <w:w w:val="100"/>
          <w:position w:val="0"/>
        </w:rPr>
        <w:t>公司与控股股东实行了人员、资产、财务分开，机构、业务独立，各自独立核算、独立承担责任和风险，公司具有独立、 完整的业务和自主经营的能力。</w:t>
      </w:r>
    </w:p>
    <w:p>
      <w:pPr>
        <w:pStyle w:val="Style29"/>
        <w:keepNext w:val="0"/>
        <w:keepLines w:val="0"/>
        <w:widowControl w:val="0"/>
        <w:shd w:val="clear" w:color="auto" w:fill="auto"/>
        <w:tabs>
          <w:tab w:pos="1091" w:val="left"/>
        </w:tabs>
        <w:bidi w:val="0"/>
        <w:spacing w:before="0" w:after="0" w:line="470" w:lineRule="exact"/>
        <w:ind w:left="0" w:right="0" w:firstLine="780"/>
        <w:jc w:val="left"/>
      </w:pPr>
      <w:bookmarkStart w:id="564" w:name="bookmark564"/>
      <w:r>
        <w:rPr>
          <w:rFonts w:ascii="Times New Roman" w:eastAsia="Times New Roman" w:hAnsi="Times New Roman" w:cs="Times New Roman"/>
          <w:color w:val="000000"/>
          <w:spacing w:val="0"/>
          <w:w w:val="100"/>
          <w:position w:val="0"/>
          <w:sz w:val="18"/>
          <w:szCs w:val="18"/>
        </w:rPr>
        <w:t>1</w:t>
      </w:r>
      <w:bookmarkEnd w:id="564"/>
      <w:r>
        <w:rPr>
          <w:color w:val="000000"/>
          <w:spacing w:val="0"/>
          <w:w w:val="100"/>
          <w:position w:val="0"/>
        </w:rPr>
        <w:t>、</w:t>
        <w:tab/>
        <w:t>业务方面：公司在业务方面完全独立于控股股东及其关联人，具有独立自主地开展生产经营活动的能力。</w:t>
      </w:r>
    </w:p>
    <w:p>
      <w:pPr>
        <w:pStyle w:val="Style29"/>
        <w:keepNext w:val="0"/>
        <w:keepLines w:val="0"/>
        <w:widowControl w:val="0"/>
        <w:shd w:val="clear" w:color="auto" w:fill="auto"/>
        <w:tabs>
          <w:tab w:pos="1101" w:val="left"/>
        </w:tabs>
        <w:bidi w:val="0"/>
        <w:spacing w:before="0" w:after="0" w:line="470" w:lineRule="exact"/>
        <w:ind w:left="420" w:right="0" w:firstLine="360"/>
        <w:jc w:val="both"/>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w:t>
        <w:tab/>
        <w:t>人员方面：公司设有独立的人力资源部，负责人力资源开发与管理，与控股股东在劳动、人事及工资管理等方面相 互独立。</w:t>
      </w:r>
    </w:p>
    <w:p>
      <w:pPr>
        <w:pStyle w:val="Style29"/>
        <w:keepNext w:val="0"/>
        <w:keepLines w:val="0"/>
        <w:widowControl w:val="0"/>
        <w:shd w:val="clear" w:color="auto" w:fill="auto"/>
        <w:tabs>
          <w:tab w:pos="1119" w:val="left"/>
        </w:tabs>
        <w:bidi w:val="0"/>
        <w:spacing w:before="0" w:after="0" w:line="474" w:lineRule="exact"/>
        <w:ind w:left="420" w:right="0" w:firstLine="360"/>
        <w:jc w:val="left"/>
      </w:pPr>
      <w:bookmarkStart w:id="566" w:name="bookmark566"/>
      <w:r>
        <w:rPr>
          <w:rFonts w:ascii="Times New Roman" w:eastAsia="Times New Roman" w:hAnsi="Times New Roman" w:cs="Times New Roman"/>
          <w:color w:val="000000"/>
          <w:spacing w:val="0"/>
          <w:w w:val="100"/>
          <w:position w:val="0"/>
          <w:sz w:val="18"/>
          <w:szCs w:val="18"/>
        </w:rPr>
        <w:t>3</w:t>
      </w:r>
      <w:bookmarkEnd w:id="566"/>
      <w:r>
        <w:rPr>
          <w:color w:val="000000"/>
          <w:spacing w:val="0"/>
          <w:w w:val="100"/>
          <w:position w:val="0"/>
        </w:rPr>
        <w:t>、</w:t>
        <w:tab/>
        <w:t>资产方面：公司具有独立的法人资格，对公司财产拥有独立的法人财产权，公司拥有独立的土地使用权、房屋产权 和经营权，公司的资产完全独立于控股股东。</w:t>
      </w:r>
    </w:p>
    <w:p>
      <w:pPr>
        <w:pStyle w:val="Style29"/>
        <w:keepNext w:val="0"/>
        <w:keepLines w:val="0"/>
        <w:widowControl w:val="0"/>
        <w:shd w:val="clear" w:color="auto" w:fill="auto"/>
        <w:tabs>
          <w:tab w:pos="1119" w:val="left"/>
        </w:tabs>
        <w:bidi w:val="0"/>
        <w:spacing w:before="0" w:after="0" w:line="474" w:lineRule="exact"/>
        <w:ind w:left="420" w:right="0" w:firstLine="360"/>
        <w:jc w:val="left"/>
      </w:pPr>
      <w:bookmarkStart w:id="567" w:name="bookmark567"/>
      <w:r>
        <w:rPr>
          <w:rFonts w:ascii="Times New Roman" w:eastAsia="Times New Roman" w:hAnsi="Times New Roman" w:cs="Times New Roman"/>
          <w:color w:val="000000"/>
          <w:spacing w:val="0"/>
          <w:w w:val="100"/>
          <w:position w:val="0"/>
          <w:sz w:val="18"/>
          <w:szCs w:val="18"/>
        </w:rPr>
        <w:t>4</w:t>
      </w:r>
      <w:bookmarkEnd w:id="567"/>
      <w:r>
        <w:rPr>
          <w:color w:val="000000"/>
          <w:spacing w:val="0"/>
          <w:w w:val="100"/>
          <w:position w:val="0"/>
        </w:rPr>
        <w:t>、</w:t>
        <w:tab/>
        <w:t>机构方面：公司的董事会、监事会及其他内部机构独立运作，独立行使经营管理权，不存在与控股股东、实际控制 人及其关联人机构混同等影响公司独立运营的情形。</w:t>
      </w:r>
    </w:p>
    <w:p>
      <w:pPr>
        <w:pStyle w:val="Style29"/>
        <w:keepNext w:val="0"/>
        <w:keepLines w:val="0"/>
        <w:widowControl w:val="0"/>
        <w:shd w:val="clear" w:color="auto" w:fill="auto"/>
        <w:tabs>
          <w:tab w:pos="1129" w:val="left"/>
        </w:tabs>
        <w:bidi w:val="0"/>
        <w:spacing w:before="0" w:after="520" w:line="474" w:lineRule="exact"/>
        <w:ind w:left="420" w:right="0" w:firstLine="360"/>
        <w:jc w:val="left"/>
      </w:pPr>
      <w:bookmarkStart w:id="568" w:name="bookmark568"/>
      <w:r>
        <w:rPr>
          <w:rFonts w:ascii="Times New Roman" w:eastAsia="Times New Roman" w:hAnsi="Times New Roman" w:cs="Times New Roman"/>
          <w:color w:val="000000"/>
          <w:spacing w:val="0"/>
          <w:w w:val="100"/>
          <w:position w:val="0"/>
          <w:sz w:val="18"/>
          <w:szCs w:val="18"/>
        </w:rPr>
        <w:t>5</w:t>
      </w:r>
      <w:bookmarkEnd w:id="568"/>
      <w:r>
        <w:rPr>
          <w:color w:val="000000"/>
          <w:spacing w:val="0"/>
          <w:w w:val="100"/>
          <w:position w:val="0"/>
        </w:rPr>
        <w:t>、</w:t>
        <w:tab/>
        <w:t>财务方面：公司设有完全独立的财务部门，拥有独立的会计核算体系、健全的财务管理制度，公司独立在银行开户， 控股股东不存在干预公司财务、会计活动的情况。</w:t>
      </w:r>
    </w:p>
    <w:p>
      <w:pPr>
        <w:pStyle w:val="Style27"/>
        <w:keepNext/>
        <w:keepLines/>
        <w:widowControl w:val="0"/>
        <w:shd w:val="clear" w:color="auto" w:fill="auto"/>
        <w:tabs>
          <w:tab w:pos="987" w:val="left"/>
        </w:tabs>
        <w:bidi w:val="0"/>
        <w:spacing w:before="0" w:after="260" w:line="240" w:lineRule="auto"/>
        <w:ind w:left="0" w:right="0" w:firstLine="420"/>
        <w:jc w:val="both"/>
      </w:pPr>
      <w:bookmarkStart w:id="569" w:name="bookmark569"/>
      <w:bookmarkStart w:id="570" w:name="bookmark570"/>
      <w:bookmarkStart w:id="571" w:name="bookmark571"/>
      <w:bookmarkStart w:id="572" w:name="bookmark572"/>
      <w:r>
        <w:rPr>
          <w:color w:val="000000"/>
          <w:spacing w:val="0"/>
          <w:w w:val="100"/>
          <w:position w:val="0"/>
        </w:rPr>
        <w:t>三</w:t>
      </w:r>
      <w:bookmarkEnd w:id="571"/>
      <w:r>
        <w:rPr>
          <w:color w:val="000000"/>
          <w:spacing w:val="0"/>
          <w:w w:val="100"/>
          <w:position w:val="0"/>
        </w:rPr>
        <w:t>、</w:t>
        <w:tab/>
        <w:t>同业竞争情况</w:t>
      </w:r>
      <w:bookmarkEnd w:id="569"/>
      <w:bookmarkEnd w:id="570"/>
      <w:bookmarkEnd w:id="572"/>
    </w:p>
    <w:p>
      <w:pPr>
        <w:pStyle w:val="Style29"/>
        <w:keepNext w:val="0"/>
        <w:keepLines w:val="0"/>
        <w:widowControl w:val="0"/>
        <w:shd w:val="clear" w:color="auto" w:fill="auto"/>
        <w:bidi w:val="0"/>
        <w:spacing w:before="0" w:after="520" w:line="474"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tabs>
          <w:tab w:pos="987" w:val="left"/>
        </w:tabs>
        <w:bidi w:val="0"/>
        <w:spacing w:before="0" w:after="520" w:line="240" w:lineRule="auto"/>
        <w:ind w:left="0" w:right="0" w:firstLine="420"/>
        <w:jc w:val="left"/>
      </w:pPr>
      <w:bookmarkStart w:id="573" w:name="bookmark573"/>
      <w:bookmarkStart w:id="574" w:name="bookmark574"/>
      <w:bookmarkStart w:id="575" w:name="bookmark575"/>
      <w:bookmarkStart w:id="576" w:name="bookmark576"/>
      <w:r>
        <w:rPr>
          <w:color w:val="000000"/>
          <w:spacing w:val="0"/>
          <w:w w:val="100"/>
          <w:position w:val="0"/>
        </w:rPr>
        <w:t>四</w:t>
      </w:r>
      <w:bookmarkEnd w:id="575"/>
      <w:r>
        <w:rPr>
          <w:color w:val="000000"/>
          <w:spacing w:val="0"/>
          <w:w w:val="100"/>
          <w:position w:val="0"/>
        </w:rPr>
        <w:t>、</w:t>
        <w:tab/>
        <w:t>报告期内召开的年度股东大会和临时股东大会的有关情况</w:t>
      </w:r>
      <w:bookmarkEnd w:id="573"/>
      <w:bookmarkEnd w:id="574"/>
      <w:bookmarkEnd w:id="576"/>
    </w:p>
    <w:p>
      <w:pPr>
        <w:pStyle w:val="Style39"/>
        <w:keepNext/>
        <w:keepLines/>
        <w:widowControl w:val="0"/>
        <w:shd w:val="clear" w:color="auto" w:fill="auto"/>
        <w:bidi w:val="0"/>
        <w:spacing w:before="0" w:after="400" w:line="240" w:lineRule="auto"/>
        <w:ind w:left="0" w:right="0" w:firstLine="42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、本报告期股东大会情况</w:t>
      </w:r>
      <w:bookmarkEnd w:id="577"/>
      <w:bookmarkEnd w:id="578"/>
      <w:bookmarkEnd w:id="580"/>
    </w:p>
    <w:tbl>
      <w:tblPr>
        <w:tblOverlap w:val="never"/>
        <w:jc w:val="center"/>
        <w:tblLayout w:type="fixed"/>
      </w:tblPr>
      <w:tblGrid>
        <w:gridCol w:w="1282"/>
        <w:gridCol w:w="1282"/>
        <w:gridCol w:w="1416"/>
        <w:gridCol w:w="1704"/>
        <w:gridCol w:w="1699"/>
        <w:gridCol w:w="312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年第一次临时股东大会决议公告 公告编号：</w:t>
            </w:r>
            <w:r>
              <w:rPr>
                <w:rFonts w:ascii="Times New Roman" w:eastAsia="Times New Roman" w:hAnsi="Times New Roman" w:cs="Times New Roman"/>
                <w:color w:val="000000"/>
                <w:spacing w:val="0"/>
                <w:w w:val="100"/>
                <w:position w:val="0"/>
                <w:sz w:val="18"/>
                <w:szCs w:val="18"/>
              </w:rPr>
              <w:t>2016-001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年第二次临时股东大会决议公告 公告编号：</w:t>
            </w:r>
            <w:r>
              <w:rPr>
                <w:rFonts w:ascii="Times New Roman" w:eastAsia="Times New Roman" w:hAnsi="Times New Roman" w:cs="Times New Roman"/>
                <w:color w:val="000000"/>
                <w:spacing w:val="0"/>
                <w:w w:val="100"/>
                <w:position w:val="0"/>
                <w:sz w:val="18"/>
                <w:szCs w:val="18"/>
              </w:rPr>
              <w:t>2016-010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rPr>
                <w:sz w:val="17"/>
                <w:szCs w:val="17"/>
              </w:rPr>
            </w:pPr>
            <w:r>
              <w:fldChar w:fldCharType="begin"/>
            </w:r>
            <w:r>
              <w:rPr/>
              <w:instrText> HYPERLINK "http://www.cninfo.com.cn2015" </w:instrText>
            </w:r>
            <w:r>
              <w:fldChar w:fldCharType="separate"/>
            </w:r>
            <w:r>
              <w:rPr>
                <w:rFonts w:ascii="Times New Roman" w:eastAsia="Times New Roman" w:hAnsi="Times New Roman" w:cs="Times New Roman"/>
                <w:color w:val="000000"/>
                <w:spacing w:val="0"/>
                <w:w w:val="100"/>
                <w:position w:val="0"/>
                <w:sz w:val="18"/>
                <w:szCs w:val="18"/>
              </w:rPr>
              <w:t>http://www.cninfo.com.cn2015</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年年度股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东大会决议公告公告编号：</w:t>
            </w:r>
            <w:r>
              <w:rPr>
                <w:rFonts w:ascii="Times New Roman" w:eastAsia="Times New Roman" w:hAnsi="Times New Roman" w:cs="Times New Roman"/>
                <w:color w:val="000000"/>
                <w:spacing w:val="0"/>
                <w:w w:val="100"/>
                <w:position w:val="0"/>
                <w:sz w:val="18"/>
                <w:szCs w:val="18"/>
              </w:rPr>
              <w:t>2016-040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年第三次临时股东大会决议公告 公告编号：</w:t>
            </w:r>
            <w:r>
              <w:rPr>
                <w:rFonts w:ascii="Times New Roman" w:eastAsia="Times New Roman" w:hAnsi="Times New Roman" w:cs="Times New Roman"/>
                <w:color w:val="000000"/>
                <w:spacing w:val="0"/>
                <w:w w:val="100"/>
                <w:position w:val="0"/>
                <w:sz w:val="18"/>
                <w:szCs w:val="18"/>
              </w:rPr>
              <w:t>2016-044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年第四次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年第三次临时股东大会决议公告 公告编号：</w:t>
            </w:r>
            <w:r>
              <w:rPr>
                <w:rFonts w:ascii="Times New Roman" w:eastAsia="Times New Roman" w:hAnsi="Times New Roman" w:cs="Times New Roman"/>
                <w:color w:val="000000"/>
                <w:spacing w:val="0"/>
                <w:w w:val="100"/>
                <w:position w:val="0"/>
                <w:sz w:val="18"/>
                <w:szCs w:val="18"/>
              </w:rPr>
              <w:t>2016-052</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年第五次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年第三次临时股东大会决议公告 公告编号：</w:t>
            </w:r>
            <w:r>
              <w:rPr>
                <w:rFonts w:ascii="Times New Roman" w:eastAsia="Times New Roman" w:hAnsi="Times New Roman" w:cs="Times New Roman"/>
                <w:color w:val="000000"/>
                <w:spacing w:val="0"/>
                <w:w w:val="100"/>
                <w:position w:val="0"/>
                <w:sz w:val="18"/>
                <w:szCs w:val="18"/>
              </w:rPr>
              <w:t>2016-078</w:t>
            </w:r>
          </w:p>
        </w:tc>
      </w:tr>
    </w:tbl>
    <w:p>
      <w:pPr>
        <w:pStyle w:val="Style39"/>
        <w:keepNext/>
        <w:keepLines/>
        <w:widowControl w:val="0"/>
        <w:shd w:val="clear" w:color="auto" w:fill="auto"/>
        <w:bidi w:val="0"/>
        <w:spacing w:before="0" w:after="540" w:line="240" w:lineRule="auto"/>
        <w:ind w:left="0" w:right="0" w:firstLine="42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、表决权恢复的优先股股东请求召开临时股东大会</w:t>
      </w:r>
      <w:bookmarkEnd w:id="581"/>
      <w:bookmarkEnd w:id="582"/>
      <w:bookmarkEnd w:id="584"/>
    </w:p>
    <w:p>
      <w:pPr>
        <w:pStyle w:val="Style29"/>
        <w:keepNext w:val="0"/>
        <w:keepLines w:val="0"/>
        <w:widowControl w:val="0"/>
        <w:shd w:val="clear" w:color="auto" w:fill="auto"/>
        <w:bidi w:val="0"/>
        <w:spacing w:before="0" w:after="5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7"/>
        <w:keepNext/>
        <w:keepLines/>
        <w:widowControl w:val="0"/>
        <w:shd w:val="clear" w:color="auto" w:fill="auto"/>
        <w:bidi w:val="0"/>
        <w:spacing w:before="0" w:after="540" w:line="240" w:lineRule="auto"/>
        <w:ind w:left="0" w:right="0" w:firstLine="420"/>
        <w:jc w:val="left"/>
      </w:pPr>
      <w:bookmarkStart w:id="585" w:name="bookmark585"/>
      <w:bookmarkStart w:id="586" w:name="bookmark586"/>
      <w:bookmarkStart w:id="587" w:name="bookmark587"/>
      <w:bookmarkStart w:id="588" w:name="bookmark588"/>
      <w:r>
        <w:rPr>
          <w:color w:val="000000"/>
          <w:spacing w:val="0"/>
          <w:w w:val="100"/>
          <w:position w:val="0"/>
        </w:rPr>
        <w:t>五</w:t>
      </w:r>
      <w:bookmarkEnd w:id="587"/>
      <w:r>
        <w:rPr>
          <w:color w:val="000000"/>
          <w:spacing w:val="0"/>
          <w:w w:val="100"/>
          <w:position w:val="0"/>
        </w:rPr>
        <w:t>、报告期内独立董事履行职责的情况</w:t>
      </w:r>
      <w:bookmarkEnd w:id="585"/>
      <w:bookmarkEnd w:id="586"/>
      <w:bookmarkEnd w:id="588"/>
    </w:p>
    <w:p>
      <w:pPr>
        <w:pStyle w:val="Style39"/>
        <w:keepNext/>
        <w:keepLines/>
        <w:widowControl w:val="0"/>
        <w:shd w:val="clear" w:color="auto" w:fill="auto"/>
        <w:bidi w:val="0"/>
        <w:spacing w:before="0" w:after="400" w:line="240" w:lineRule="auto"/>
        <w:ind w:left="0" w:right="0" w:firstLine="42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、独立董事出席董事会及股东大会的情况</w:t>
      </w:r>
      <w:bookmarkEnd w:id="589"/>
      <w:bookmarkEnd w:id="590"/>
      <w:bookmarkEnd w:id="592"/>
    </w:p>
    <w:tbl>
      <w:tblPr>
        <w:tblOverlap w:val="never"/>
        <w:jc w:val="center"/>
        <w:tblLayout w:type="fixed"/>
      </w:tblPr>
      <w:tblGrid>
        <w:gridCol w:w="1349"/>
        <w:gridCol w:w="1325"/>
        <w:gridCol w:w="1325"/>
        <w:gridCol w:w="1325"/>
        <w:gridCol w:w="1200"/>
        <w:gridCol w:w="989"/>
        <w:gridCol w:w="1430"/>
      </w:tblGrid>
      <w:tr>
        <w:trPr>
          <w:trHeight w:val="56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罗建北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蓝伯雄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刘凯湘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江锡如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刘铁民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王雪春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571"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99" w:line="1" w:lineRule="exact"/>
      </w:pPr>
    </w:p>
    <w:p>
      <w:pPr>
        <w:pStyle w:val="Style39"/>
        <w:keepNext/>
        <w:keepLines/>
        <w:widowControl w:val="0"/>
        <w:shd w:val="clear" w:color="auto" w:fill="auto"/>
        <w:tabs>
          <w:tab w:pos="798" w:val="left"/>
        </w:tabs>
        <w:bidi w:val="0"/>
        <w:spacing w:before="0" w:after="540" w:line="240" w:lineRule="auto"/>
        <w:ind w:left="0" w:right="0" w:firstLine="42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独立董事对公司有关事项提出异议的情况</w:t>
      </w:r>
      <w:bookmarkEnd w:id="593"/>
      <w:bookmarkEnd w:id="594"/>
      <w:bookmarkEnd w:id="596"/>
    </w:p>
    <w:p>
      <w:pPr>
        <w:pStyle w:val="Style29"/>
        <w:keepNext w:val="0"/>
        <w:keepLines w:val="0"/>
        <w:widowControl w:val="0"/>
        <w:shd w:val="clear" w:color="auto" w:fill="auto"/>
        <w:bidi w:val="0"/>
        <w:spacing w:before="0" w:after="280" w:line="240" w:lineRule="auto"/>
        <w:ind w:left="0" w:right="0" w:firstLine="420"/>
        <w:jc w:val="left"/>
      </w:pPr>
      <w:r>
        <w:rPr>
          <w:b/>
          <w:bCs/>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sz w:val="19"/>
          <w:szCs w:val="19"/>
        </w:rPr>
        <w:t>寸</w:t>
      </w:r>
      <w:r>
        <w:rPr>
          <w:b/>
          <w:bCs/>
          <w:color w:val="000000"/>
          <w:spacing w:val="0"/>
          <w:w w:val="100"/>
          <w:position w:val="0"/>
        </w:rPr>
        <w:t>否</w:t>
      </w:r>
    </w:p>
    <w:p>
      <w:pPr>
        <w:pStyle w:val="Style29"/>
        <w:keepNext w:val="0"/>
        <w:keepLines w:val="0"/>
        <w:widowControl w:val="0"/>
        <w:shd w:val="clear" w:color="auto" w:fill="auto"/>
        <w:bidi w:val="0"/>
        <w:spacing w:before="0" w:after="540" w:line="240" w:lineRule="auto"/>
        <w:ind w:left="0" w:right="0" w:firstLine="700"/>
        <w:jc w:val="left"/>
      </w:pPr>
      <w:r>
        <w:rPr>
          <w:color w:val="000000"/>
          <w:spacing w:val="0"/>
          <w:w w:val="100"/>
          <w:position w:val="0"/>
        </w:rPr>
        <w:t>报告期内独立董事对公司有关事项未提出异议。</w:t>
      </w:r>
    </w:p>
    <w:p>
      <w:pPr>
        <w:pStyle w:val="Style39"/>
        <w:keepNext/>
        <w:keepLines/>
        <w:widowControl w:val="0"/>
        <w:shd w:val="clear" w:color="auto" w:fill="auto"/>
        <w:tabs>
          <w:tab w:pos="798" w:val="left"/>
        </w:tabs>
        <w:bidi w:val="0"/>
        <w:spacing w:before="0" w:after="540" w:line="240" w:lineRule="auto"/>
        <w:ind w:left="0" w:right="0" w:firstLine="42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独立董事履行职责的其他说明</w:t>
      </w:r>
      <w:bookmarkEnd w:id="597"/>
      <w:bookmarkEnd w:id="598"/>
      <w:bookmarkEnd w:id="600"/>
    </w:p>
    <w:p>
      <w:pPr>
        <w:pStyle w:val="Style29"/>
        <w:keepNext w:val="0"/>
        <w:keepLines w:val="0"/>
        <w:widowControl w:val="0"/>
        <w:shd w:val="clear" w:color="auto" w:fill="auto"/>
        <w:bidi w:val="0"/>
        <w:spacing w:before="0" w:after="280" w:line="240" w:lineRule="auto"/>
        <w:ind w:left="0" w:right="0" w:firstLine="420"/>
        <w:jc w:val="left"/>
      </w:pPr>
      <w:r>
        <w:rPr>
          <w:b/>
          <w:bCs/>
          <w:color w:val="000000"/>
          <w:spacing w:val="0"/>
          <w:w w:val="100"/>
          <w:position w:val="0"/>
        </w:rPr>
        <w:t>独立董事对公司有关建议是否被采纳</w:t>
      </w:r>
    </w:p>
    <w:p>
      <w:pPr>
        <w:pStyle w:val="Style29"/>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280" w:line="240" w:lineRule="auto"/>
        <w:ind w:left="0" w:right="0" w:firstLine="420"/>
        <w:jc w:val="left"/>
      </w:pPr>
      <w:r>
        <w:rPr>
          <w:b/>
          <w:bCs/>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280" w:line="240" w:lineRule="auto"/>
        <w:ind w:left="0" w:right="0" w:firstLine="7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年度，独立董事对公司以下事项发表了独立意见：</w:t>
      </w:r>
    </w:p>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日，公司第五届董事会第六十八次会议，对公司与深圳市前海梧桐并购投资基金管理有限公司、宁波梅山保 </w:t>
      </w:r>
      <w:r>
        <w:rPr>
          <w:color w:val="000000"/>
          <w:spacing w:val="0"/>
          <w:w w:val="100"/>
          <w:position w:val="0"/>
        </w:rPr>
        <w:t>税港区泰梧投资管理合伙企业（有限合伙联合设立面向移动游戏领域的专业化投资管理有限公司的事项，进行了认真检查和 审核</w:t>
      </w:r>
      <w:r>
        <w:rPr>
          <w:color w:val="000000"/>
          <w:spacing w:val="0"/>
          <w:w w:val="100"/>
          <w:position w:val="0"/>
          <w:sz w:val="18"/>
          <w:szCs w:val="18"/>
        </w:rPr>
        <w:t>，</w:t>
      </w:r>
      <w:r>
        <w:rPr>
          <w:color w:val="000000"/>
          <w:spacing w:val="0"/>
          <w:w w:val="100"/>
          <w:position w:val="0"/>
        </w:rPr>
        <w:t>发表了事前认可意见和独立专项意见，同意上述关联交易事项。</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日，公司第五届董事会第七十五次会议，对公司与北京光合起源网络科技有限公司关联交易事项，进行认 真检查和审核，发表了事前认可意见和独立意见，同意上述关联交易事项。</w:t>
      </w:r>
    </w:p>
    <w:p>
      <w:pPr>
        <w:pStyle w:val="Style29"/>
        <w:keepNext w:val="0"/>
        <w:keepLines w:val="0"/>
        <w:widowControl w:val="0"/>
        <w:shd w:val="clear" w:color="auto" w:fill="auto"/>
        <w:bidi w:val="0"/>
        <w:spacing w:before="0" w:after="26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日，公司第五届董事会第七十六次会议，对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年度关于控股股东及其他关联方占用公司资金、公司对外 担保情况、公司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年度内部控制自我评价报告、公司聘任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年度公司募集资金存放与使用、</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年度公司关联交易事项＞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年度利润分配预案等事项发表了同意的独立意见；对公司股票期权与限制性股票激励计划第四 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解锁期不可行权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解锁、注销已不符合激励条件的股票期权、回购注销已不符合激励条件的限制性股票等事项发表了 同意的独立意见；对公司及子公司申请银行综合授信及担保事项发表了同意的独立意见。</w:t>
      </w:r>
    </w:p>
    <w:p>
      <w:pPr>
        <w:pStyle w:val="Style29"/>
        <w:keepNext w:val="0"/>
        <w:keepLines w:val="0"/>
        <w:widowControl w:val="0"/>
        <w:shd w:val="clear" w:color="auto" w:fill="auto"/>
        <w:bidi w:val="0"/>
        <w:spacing w:before="0" w:after="0" w:line="552" w:lineRule="auto"/>
        <w:ind w:left="0" w:right="0" w:firstLine="7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日，公司第五届董事会第七十七次会议，对公司换届选举事项进行认真审核，发表了同意的独立意见。</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日，公司第六届董事会第一次会议，对公司聘任高级管理人员、聘任公司董事会秘书等事项进行认真审核， 发表了同意的独立意见。</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日，公司第六届董事会第二次会议，对公司董事、监事及高级管理人员薪酬方案进行了审核，发表了同意的 独立意见。</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日，公司第六届董事会第四次会议，对公司与蓝鸥科技有限公司、北京水泽林投资咨询有限公司联合设立面 向职业教育领域的专业化投资管理有限公司暨关联交易事项进行了认真检查和审核，发表了事前认可意见和独立意见，同意 上述事项。</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日，公司第六届董事会第六次会议，对公司控股子公司</w:t>
      </w:r>
      <w:r>
        <w:rPr>
          <w:color w:val="000000"/>
          <w:spacing w:val="0"/>
          <w:w w:val="100"/>
          <w:position w:val="0"/>
          <w:sz w:val="18"/>
          <w:szCs w:val="18"/>
        </w:rPr>
        <w:t>一</w:t>
      </w:r>
      <w:r>
        <w:rPr>
          <w:color w:val="000000"/>
          <w:spacing w:val="0"/>
          <w:w w:val="100"/>
          <w:position w:val="0"/>
        </w:rPr>
        <w:t>北京裂变科技有限公司对外融资事项进行认真检查 和审核，发表了事前认可意见和独立意见，同意上述事项。</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日，公司第六届董事会第七次会议，对公司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年上半年控股股东及其他关联方占用公司资金、公司对外 担保情况、募集资金存放与使用情况进行认真检查和审核，发表了同意的独立意见。</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日，公司第六届董事会第十次会议，对公司增选董事及聘任高级管理人员事项，发表了独立意见，同意增 选杨凯程先生为董事、聘任杨凯程先生为副总裁。</w:t>
      </w:r>
    </w:p>
    <w:p>
      <w:pPr>
        <w:pStyle w:val="Style29"/>
        <w:keepNext w:val="0"/>
        <w:keepLines w:val="0"/>
        <w:widowControl w:val="0"/>
        <w:shd w:val="clear" w:color="auto" w:fill="auto"/>
        <w:bidi w:val="0"/>
        <w:spacing w:before="0" w:after="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日，公司第六届董事会第十三次会议，对公司使用自有资金与关联方共同对控股子公司</w:t>
      </w:r>
      <w:r>
        <w:rPr>
          <w:color w:val="000000"/>
          <w:spacing w:val="0"/>
          <w:w w:val="100"/>
          <w:position w:val="0"/>
          <w:sz w:val="18"/>
          <w:szCs w:val="18"/>
        </w:rPr>
        <w:t>一</w:t>
      </w:r>
      <w:r>
        <w:rPr>
          <w:color w:val="000000"/>
          <w:spacing w:val="0"/>
          <w:w w:val="100"/>
          <w:position w:val="0"/>
        </w:rPr>
        <w:t>北京神州泰岳智 能数据技术有限公司增资的事项进行认真检查和审核</w:t>
      </w:r>
      <w:r>
        <w:rPr>
          <w:color w:val="000000"/>
          <w:spacing w:val="0"/>
          <w:w w:val="100"/>
          <w:position w:val="0"/>
          <w:sz w:val="18"/>
          <w:szCs w:val="18"/>
        </w:rPr>
        <w:t>，</w:t>
      </w:r>
      <w:r>
        <w:rPr>
          <w:color w:val="000000"/>
          <w:spacing w:val="0"/>
          <w:w w:val="100"/>
          <w:position w:val="0"/>
        </w:rPr>
        <w:t>发表事前认可意见和独立意见。同意上述事项。</w:t>
      </w:r>
    </w:p>
    <w:p>
      <w:pPr>
        <w:pStyle w:val="Style29"/>
        <w:keepNext w:val="0"/>
        <w:keepLines w:val="0"/>
        <w:widowControl w:val="0"/>
        <w:shd w:val="clear" w:color="auto" w:fill="auto"/>
        <w:bidi w:val="0"/>
        <w:spacing w:before="0" w:after="120" w:line="475" w:lineRule="exact"/>
        <w:ind w:left="42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日，公司第六届董事会第十四次会议，对公司转让控股公司</w:t>
      </w:r>
      <w:r>
        <w:rPr>
          <w:color w:val="000000"/>
          <w:spacing w:val="0"/>
          <w:w w:val="100"/>
          <w:position w:val="0"/>
          <w:sz w:val="18"/>
          <w:szCs w:val="18"/>
        </w:rPr>
        <w:t>一</w:t>
      </w:r>
      <w:r>
        <w:rPr>
          <w:color w:val="000000"/>
          <w:spacing w:val="0"/>
          <w:w w:val="100"/>
          <w:position w:val="0"/>
        </w:rPr>
        <w:t>宁波金信通讯技术有限公司土地使用权及附 属建筑物房产权益事项进行认真检查和审核</w:t>
      </w:r>
      <w:r>
        <w:rPr>
          <w:color w:val="000000"/>
          <w:spacing w:val="0"/>
          <w:w w:val="100"/>
          <w:position w:val="0"/>
          <w:sz w:val="18"/>
          <w:szCs w:val="18"/>
        </w:rPr>
        <w:t>，</w:t>
      </w:r>
      <w:r>
        <w:rPr>
          <w:color w:val="000000"/>
          <w:spacing w:val="0"/>
          <w:w w:val="100"/>
          <w:position w:val="0"/>
        </w:rPr>
        <w:t>发表事前认可意见和独立意见，同意上述事项。</w:t>
      </w:r>
    </w:p>
    <w:p>
      <w:pPr>
        <w:pStyle w:val="Style27"/>
        <w:keepNext/>
        <w:keepLines/>
        <w:widowControl w:val="0"/>
        <w:shd w:val="clear" w:color="auto" w:fill="auto"/>
        <w:tabs>
          <w:tab w:pos="900" w:val="left"/>
        </w:tabs>
        <w:bidi w:val="0"/>
        <w:spacing w:before="0" w:after="260" w:line="240" w:lineRule="auto"/>
        <w:ind w:left="0" w:right="0" w:firstLine="420"/>
        <w:jc w:val="both"/>
      </w:pPr>
      <w:bookmarkStart w:id="601" w:name="bookmark601"/>
      <w:bookmarkStart w:id="602" w:name="bookmark602"/>
      <w:bookmarkStart w:id="603" w:name="bookmark603"/>
      <w:bookmarkStart w:id="604" w:name="bookmark604"/>
      <w:r>
        <w:rPr>
          <w:color w:val="000000"/>
          <w:spacing w:val="0"/>
          <w:w w:val="100"/>
          <w:position w:val="0"/>
        </w:rPr>
        <w:t>六</w:t>
      </w:r>
      <w:bookmarkEnd w:id="603"/>
      <w:r>
        <w:rPr>
          <w:color w:val="000000"/>
          <w:spacing w:val="0"/>
          <w:w w:val="100"/>
          <w:position w:val="0"/>
        </w:rPr>
        <w:t>、</w:t>
        <w:tab/>
        <w:t>董事会下设专门委员会在报告期内履行职责情况</w:t>
      </w:r>
      <w:bookmarkEnd w:id="601"/>
      <w:bookmarkEnd w:id="602"/>
      <w:bookmarkEnd w:id="604"/>
    </w:p>
    <w:p>
      <w:pPr>
        <w:pStyle w:val="Style29"/>
        <w:keepNext w:val="0"/>
        <w:keepLines w:val="0"/>
        <w:widowControl w:val="0"/>
        <w:shd w:val="clear" w:color="auto" w:fill="auto"/>
        <w:bidi w:val="0"/>
        <w:spacing w:before="0" w:after="0" w:line="468" w:lineRule="exact"/>
        <w:ind w:left="0" w:right="0" w:firstLine="780"/>
        <w:jc w:val="both"/>
      </w:pPr>
      <w:r>
        <w:rPr>
          <w:color w:val="000000"/>
          <w:spacing w:val="0"/>
          <w:w w:val="100"/>
          <w:position w:val="0"/>
        </w:rPr>
        <w:t>公司董事会下设立了战略、提名、薪酬与考核、审计等四个专门委员会，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年各委员会工作情况如下：</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战略委员会，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年对公司各项对外投资事项召开了相关会议，进行了讨论、分析，并向董事会提出了意见。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共召开十九次战略委员会会议，认真研究并审议通过了《关于对外投资联合设立专业化投资管理有限公司的议案》、《关于 受让部分股权并控股深圳市前海泰岳梧桐投资基金管理有限公司的补充议案》、《关于对子公司</w:t>
      </w:r>
      <w:r>
        <w:rPr>
          <w:color w:val="000000"/>
          <w:spacing w:val="0"/>
          <w:w w:val="100"/>
          <w:position w:val="0"/>
          <w:sz w:val="18"/>
          <w:szCs w:val="18"/>
        </w:rPr>
        <w:t>一</w:t>
      </w:r>
      <w:r>
        <w:rPr>
          <w:color w:val="000000"/>
          <w:spacing w:val="0"/>
          <w:w w:val="100"/>
          <w:position w:val="0"/>
        </w:rPr>
        <w:t xml:space="preserve">宁波普天通信技术有限公 司增资的议案》、《关于泰岳教育与职航教育业务整合的议案》、《关于收购蓝鸥科技有限公司部分股权并增资的议案》、 《与北京光合起源网络科技有限公司关联交易的议案》、《关于参股公司泰岳教育对外融资的议案》、《关于收购鼎富科技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股权的议案》、《关于对外投资联合设立专业化投资管理有限公司的议案》、《关于转让参股公司</w:t>
      </w:r>
      <w:r>
        <w:rPr>
          <w:color w:val="000000"/>
          <w:spacing w:val="0"/>
          <w:w w:val="100"/>
          <w:position w:val="0"/>
          <w:sz w:val="18"/>
          <w:szCs w:val="18"/>
        </w:rPr>
        <w:t>一</w:t>
      </w:r>
      <w:r>
        <w:rPr>
          <w:color w:val="000000"/>
          <w:spacing w:val="0"/>
          <w:w w:val="100"/>
          <w:position w:val="0"/>
        </w:rPr>
        <w:t>盈海益讯股权的 议案》、《关于转让控股子公司</w:t>
      </w:r>
      <w:r>
        <w:rPr>
          <w:color w:val="000000"/>
          <w:spacing w:val="0"/>
          <w:w w:val="100"/>
          <w:position w:val="0"/>
          <w:sz w:val="18"/>
          <w:szCs w:val="18"/>
        </w:rPr>
        <w:t>一</w:t>
      </w:r>
      <w:r>
        <w:rPr>
          <w:color w:val="000000"/>
          <w:spacing w:val="0"/>
          <w:w w:val="100"/>
          <w:position w:val="0"/>
        </w:rPr>
        <w:t>融聚世界部分股权的议案》、《关于出售闲置无形资产的议案》、《关于对外投资设立物 联网专业化行业整体解决方案公司的议案》、《关于转让控股公司土地使用权及附属建筑物房产权益的议案》等议案，并向 董事会提出了专业委员会意见。</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提名委员会，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年召开了三次提名委员会会议，认真研究并审议通过了《第六届董事会董事候选人提名》、《关于聘 任公司高级管理人员的议案》、《关于聘任公司董事会秘书及证券事务代表的议案》、《关于聘任公司内审负责人的议案》、 《关于增选杨凯程先生为公司董事的议案》、《关于聘任杨凯程先生公司高级管理人员的议案》等议案，并向董事会提出了 意见。</w:t>
      </w:r>
    </w:p>
    <w:p>
      <w:pPr>
        <w:pStyle w:val="Style29"/>
        <w:keepNext w:val="0"/>
        <w:keepLines w:val="0"/>
        <w:widowControl w:val="0"/>
        <w:shd w:val="clear" w:color="auto" w:fill="auto"/>
        <w:bidi w:val="0"/>
        <w:spacing w:before="0" w:after="0" w:line="468" w:lineRule="exact"/>
        <w:ind w:left="420" w:right="0" w:firstLine="360"/>
        <w:jc w:val="both"/>
      </w:pPr>
      <w:r>
        <w:rPr>
          <w:color w:val="000000"/>
          <w:spacing w:val="0"/>
          <w:w w:val="100"/>
          <w:position w:val="0"/>
        </w:rPr>
        <w:t>薪酬与考核委员会，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年召开了二次薪酬与考核委员会会议。认真研究并审议通过了《关于公司股票期权与限制性股 票激励计划第四个行权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解锁期不可行权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解锁的议案》、《关于注销已不符合激励条件的股票期权的议案》、《关于回购注 销已不符合激励条件的限制性股票的议案》、《关于董事、监事及高级管理人员薪酬的议案》等议案，并向董事会提出了意 见。</w:t>
      </w:r>
    </w:p>
    <w:p>
      <w:pPr>
        <w:pStyle w:val="Style29"/>
        <w:keepNext w:val="0"/>
        <w:keepLines w:val="0"/>
        <w:widowControl w:val="0"/>
        <w:shd w:val="clear" w:color="auto" w:fill="auto"/>
        <w:bidi w:val="0"/>
        <w:spacing w:before="0" w:after="540" w:line="468" w:lineRule="exact"/>
        <w:ind w:left="420" w:right="0" w:firstLine="360"/>
        <w:jc w:val="both"/>
      </w:pPr>
      <w:r>
        <w:rPr>
          <w:color w:val="000000"/>
          <w:spacing w:val="0"/>
          <w:w w:val="100"/>
          <w:position w:val="0"/>
        </w:rPr>
        <w:t>审计委员会，在公司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年度审计报告的编制和披露过程中，切实履行独立董事的责任和义务，认真听取管理层对公司 全年生产经营情况和重大事项进展情况的汇报，认真阅读公司出具的相关材料；了解、掌握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年年报审计工作安排及审计 工作进展情况，听取注册会计师介绍初审意见情况，并就相关问题与注册会计师、公司管理层进行了充分的沟通；在注册会 计师进场后积极关注审计进程，就审计过程中发现的问题进行有效沟通；审计结束后认真阅读了年审注册会计师出具的公司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年度审计报告，并同意提交董事会审阅。</w:t>
      </w:r>
    </w:p>
    <w:p>
      <w:pPr>
        <w:pStyle w:val="Style27"/>
        <w:keepNext/>
        <w:keepLines/>
        <w:widowControl w:val="0"/>
        <w:shd w:val="clear" w:color="auto" w:fill="auto"/>
        <w:tabs>
          <w:tab w:pos="900" w:val="left"/>
        </w:tabs>
        <w:bidi w:val="0"/>
        <w:spacing w:before="0" w:after="260" w:line="240" w:lineRule="auto"/>
        <w:ind w:left="0" w:right="0" w:firstLine="420"/>
        <w:jc w:val="both"/>
      </w:pPr>
      <w:bookmarkStart w:id="605" w:name="bookmark605"/>
      <w:bookmarkStart w:id="606" w:name="bookmark606"/>
      <w:bookmarkStart w:id="607" w:name="bookmark607"/>
      <w:bookmarkStart w:id="608" w:name="bookmark608"/>
      <w:r>
        <w:rPr>
          <w:color w:val="000000"/>
          <w:spacing w:val="0"/>
          <w:w w:val="100"/>
          <w:position w:val="0"/>
        </w:rPr>
        <w:t>七</w:t>
      </w:r>
      <w:bookmarkEnd w:id="607"/>
      <w:r>
        <w:rPr>
          <w:color w:val="000000"/>
          <w:spacing w:val="0"/>
          <w:w w:val="100"/>
          <w:position w:val="0"/>
        </w:rPr>
        <w:t>、</w:t>
        <w:tab/>
        <w:t>监事会工作情况</w:t>
      </w:r>
      <w:bookmarkEnd w:id="605"/>
      <w:bookmarkEnd w:id="606"/>
      <w:bookmarkEnd w:id="608"/>
    </w:p>
    <w:p>
      <w:pPr>
        <w:pStyle w:val="Style29"/>
        <w:keepNext w:val="0"/>
        <w:keepLines w:val="0"/>
        <w:widowControl w:val="0"/>
        <w:shd w:val="clear" w:color="auto" w:fill="auto"/>
        <w:bidi w:val="0"/>
        <w:spacing w:before="0" w:after="300" w:line="468" w:lineRule="exact"/>
        <w:ind w:left="0" w:right="0" w:firstLine="420"/>
        <w:jc w:val="both"/>
      </w:pPr>
      <w:r>
        <w:rPr>
          <w:b/>
          <w:bCs/>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280" w:line="542"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b/>
          <w:bCs/>
          <w:color w:val="000000"/>
          <w:spacing w:val="0"/>
          <w:w w:val="100"/>
          <w:position w:val="0"/>
          <w:sz w:val="19"/>
          <w:szCs w:val="19"/>
        </w:rPr>
        <w:t>寸</w:t>
      </w:r>
      <w:r>
        <w:rPr>
          <w:b/>
          <w:bCs/>
          <w:color w:val="000000"/>
          <w:spacing w:val="0"/>
          <w:w w:val="100"/>
          <w:position w:val="0"/>
        </w:rPr>
        <w:t>否</w:t>
      </w:r>
    </w:p>
    <w:p>
      <w:pPr>
        <w:pStyle w:val="Style27"/>
        <w:keepNext/>
        <w:keepLines/>
        <w:widowControl w:val="0"/>
        <w:shd w:val="clear" w:color="auto" w:fill="auto"/>
        <w:tabs>
          <w:tab w:pos="927" w:val="left"/>
        </w:tabs>
        <w:bidi w:val="0"/>
        <w:spacing w:before="0" w:after="260" w:line="240" w:lineRule="auto"/>
        <w:ind w:left="0" w:right="0" w:firstLine="420"/>
        <w:jc w:val="left"/>
      </w:pPr>
      <w:bookmarkStart w:id="609" w:name="bookmark609"/>
      <w:bookmarkStart w:id="610" w:name="bookmark610"/>
      <w:bookmarkStart w:id="611" w:name="bookmark611"/>
      <w:bookmarkStart w:id="612" w:name="bookmark612"/>
      <w:r>
        <w:rPr>
          <w:color w:val="000000"/>
          <w:spacing w:val="0"/>
          <w:w w:val="100"/>
          <w:position w:val="0"/>
        </w:rPr>
        <w:t>八</w:t>
      </w:r>
      <w:bookmarkEnd w:id="611"/>
      <w:r>
        <w:rPr>
          <w:color w:val="000000"/>
          <w:spacing w:val="0"/>
          <w:w w:val="100"/>
          <w:position w:val="0"/>
        </w:rPr>
        <w:t>、</w:t>
        <w:tab/>
        <w:t>高级管理人员的考评及激励情况</w:t>
      </w:r>
      <w:bookmarkEnd w:id="609"/>
      <w:bookmarkEnd w:id="610"/>
      <w:bookmarkEnd w:id="612"/>
    </w:p>
    <w:p>
      <w:pPr>
        <w:pStyle w:val="Style29"/>
        <w:keepNext w:val="0"/>
        <w:keepLines w:val="0"/>
        <w:widowControl w:val="0"/>
        <w:shd w:val="clear" w:color="auto" w:fill="auto"/>
        <w:bidi w:val="0"/>
        <w:spacing w:before="0" w:after="0" w:line="469" w:lineRule="exact"/>
        <w:ind w:left="420" w:right="0" w:firstLine="360"/>
        <w:jc w:val="both"/>
      </w:pPr>
      <w:r>
        <w:rPr>
          <w:color w:val="000000"/>
          <w:spacing w:val="0"/>
          <w:w w:val="100"/>
          <w:position w:val="0"/>
        </w:rPr>
        <w:t>公司建立了高级管理人员的选择、考评、激励与约束机制。公司高级管理人员均由董事会聘任，直接对董事会负责，承 担董事会下达的经营指标。董事会下设的薪酬与考核委员会负责对高级管理人员的工作能力、履职情况、责任目标完成情况 等进行年终考评，制定薪酬方案并报董事会审批。</w:t>
      </w:r>
    </w:p>
    <w:p>
      <w:pPr>
        <w:pStyle w:val="Style29"/>
        <w:keepNext w:val="0"/>
        <w:keepLines w:val="0"/>
        <w:widowControl w:val="0"/>
        <w:shd w:val="clear" w:color="auto" w:fill="auto"/>
        <w:bidi w:val="0"/>
        <w:spacing w:before="0" w:after="460" w:line="469" w:lineRule="exact"/>
        <w:ind w:left="420" w:right="0" w:firstLine="360"/>
        <w:jc w:val="both"/>
      </w:pPr>
      <w:r>
        <w:rPr>
          <w:color w:val="000000"/>
          <w:spacing w:val="0"/>
          <w:w w:val="100"/>
          <w:position w:val="0"/>
        </w:rPr>
        <w:t>报告期内，高级管理人员能够严格按照《公司法》、《公司章程》及国家有关法律法规认真履行职责，积极落实公司股 东大会和董事会相关决议。根据公司薪酬绩效考核制度，公司高级管理人员的薪酬由公司董事会依据每位的年度绩效目标确 定范围，并由公司董事会进行考评。对高管人员的考评，既评估当年的绩效完成情况，也兼顾公司长期发展的要求，年度经 营目标与年度考评结果直接挂钩。高管人员的薪酬主要由基本薪酬、年度绩效奖金和股权激励三部分构成，其中，基本薪酬 按月发放，年度绩效奖金根据高管人员年度绩效目标完成情况在年末考评后一次性兑现，股权激励依据公司股权激励计划执 行。</w:t>
      </w:r>
    </w:p>
    <w:p>
      <w:pPr>
        <w:pStyle w:val="Style27"/>
        <w:keepNext/>
        <w:keepLines/>
        <w:widowControl w:val="0"/>
        <w:shd w:val="clear" w:color="auto" w:fill="auto"/>
        <w:tabs>
          <w:tab w:pos="927" w:val="left"/>
        </w:tabs>
        <w:bidi w:val="0"/>
        <w:spacing w:before="0" w:line="240" w:lineRule="auto"/>
        <w:ind w:left="0" w:right="0" w:firstLine="420"/>
        <w:jc w:val="left"/>
      </w:pPr>
      <w:bookmarkStart w:id="613" w:name="bookmark613"/>
      <w:bookmarkStart w:id="614" w:name="bookmark614"/>
      <w:bookmarkStart w:id="615" w:name="bookmark615"/>
      <w:bookmarkStart w:id="616" w:name="bookmark616"/>
      <w:r>
        <w:rPr>
          <w:color w:val="000000"/>
          <w:spacing w:val="0"/>
          <w:w w:val="100"/>
          <w:position w:val="0"/>
        </w:rPr>
        <w:t>九</w:t>
      </w:r>
      <w:bookmarkEnd w:id="615"/>
      <w:r>
        <w:rPr>
          <w:color w:val="000000"/>
          <w:spacing w:val="0"/>
          <w:w w:val="100"/>
          <w:position w:val="0"/>
        </w:rPr>
        <w:t>、</w:t>
        <w:tab/>
        <w:t>内部控制评价报告</w:t>
      </w:r>
      <w:bookmarkEnd w:id="613"/>
      <w:bookmarkEnd w:id="614"/>
      <w:bookmarkEnd w:id="616"/>
    </w:p>
    <w:p>
      <w:pPr>
        <w:pStyle w:val="Style39"/>
        <w:keepNext/>
        <w:keepLines/>
        <w:widowControl w:val="0"/>
        <w:shd w:val="clear" w:color="auto" w:fill="auto"/>
        <w:tabs>
          <w:tab w:pos="830" w:val="left"/>
        </w:tabs>
        <w:bidi w:val="0"/>
        <w:spacing w:before="0" w:line="240" w:lineRule="auto"/>
        <w:ind w:left="0" w:right="0" w:firstLine="42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w:t>
        <w:tab/>
        <w:t>报告期内发现的内部控制重大缺陷的具体情况</w:t>
      </w:r>
      <w:bookmarkEnd w:id="617"/>
      <w:bookmarkEnd w:id="618"/>
      <w:bookmarkEnd w:id="620"/>
    </w:p>
    <w:p>
      <w:pPr>
        <w:pStyle w:val="Style63"/>
        <w:keepNext w:val="0"/>
        <w:keepLines w:val="0"/>
        <w:widowControl w:val="0"/>
        <w:shd w:val="clear" w:color="auto" w:fill="auto"/>
        <w:bidi w:val="0"/>
        <w:spacing w:before="0" w:after="120" w:line="545" w:lineRule="auto"/>
        <w:ind w:left="0" w:right="0" w:firstLine="420"/>
        <w:jc w:val="left"/>
      </w:pPr>
      <w:r>
        <w:rPr>
          <w:rFonts w:ascii="Times New Roman" w:eastAsia="Times New Roman" w:hAnsi="Times New Roman" w:cs="Times New Roman"/>
          <w:b w:val="0"/>
          <w:bCs w:val="0"/>
          <w:i w:val="0"/>
          <w:iCs w:val="0"/>
          <w:color w:val="000000"/>
          <w:spacing w:val="0"/>
          <w:w w:val="100"/>
          <w:position w:val="0"/>
          <w:sz w:val="18"/>
          <w:szCs w:val="18"/>
        </w:rPr>
        <w:t>□</w:t>
      </w:r>
      <w:r>
        <w:rPr>
          <w:rFonts w:ascii="SimSun" w:eastAsia="SimSun" w:hAnsi="SimSun" w:cs="SimSun"/>
          <w:b w:val="0"/>
          <w:bCs w:val="0"/>
          <w:i w:val="0"/>
          <w:iCs w:val="0"/>
          <w:color w:val="000000"/>
          <w:spacing w:val="0"/>
          <w:w w:val="100"/>
          <w:position w:val="0"/>
          <w:sz w:val="17"/>
          <w:szCs w:val="17"/>
        </w:rPr>
        <w:t>是</w:t>
      </w:r>
      <w:r>
        <w:rPr>
          <w:rFonts w:ascii="SimSun" w:eastAsia="SimSun" w:hAnsi="SimSun" w:cs="SimSun"/>
          <w:color w:val="000000"/>
          <w:spacing w:val="0"/>
          <w:w w:val="100"/>
          <w:position w:val="0"/>
          <w:sz w:val="17"/>
          <w:szCs w:val="17"/>
        </w:rPr>
        <w:t>V</w:t>
      </w:r>
      <w:r>
        <w:rPr>
          <w:color w:val="000000"/>
          <w:spacing w:val="0"/>
          <w:w w:val="100"/>
          <w:position w:val="0"/>
        </w:rPr>
        <w:t>否</w:t>
      </w:r>
    </w:p>
    <w:p>
      <w:pPr>
        <w:pStyle w:val="Style39"/>
        <w:keepNext/>
        <w:keepLines/>
        <w:widowControl w:val="0"/>
        <w:shd w:val="clear" w:color="auto" w:fill="auto"/>
        <w:tabs>
          <w:tab w:pos="830" w:val="left"/>
        </w:tabs>
        <w:bidi w:val="0"/>
        <w:spacing w:before="0" w:line="240" w:lineRule="auto"/>
        <w:ind w:left="0" w:right="0" w:firstLine="42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内控自我评价报告</w:t>
      </w:r>
      <w:bookmarkEnd w:id="621"/>
      <w:bookmarkEnd w:id="622"/>
      <w:bookmarkEnd w:id="62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具体详见巨潮资讯网</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31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一、重大缺陷：单独缺陷或连同其他缺陷， 导致不能及时防止或发现并纠正财务报告 中的重大错报。出现下列情形的，认定为 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）董事、监事和高级管理人 员舞弊</w:t>
            </w:r>
            <w:r>
              <w:rPr>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）注册会计师发现当期财务报 告存在重大错报，而内部控制在运行过程 中未能发现该错报；（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）董事会或其授权 机构及内审部门对公司的内部控制监督无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一、重大缺陷：（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）严重缺乏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三重一 大''决策程序，决策过程不民主，造成 决策严重失误；（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）经营行为严重违反 国家有关法律、法规；（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）管理人员或 技术人员大量流失；（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）内部控制评价 结果特别是重大缺陷未得到整改；（</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重要业务缺乏制度控制或制度系统性 失效；（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）其造成的负面影响波及范围 极广、普遍引起公众关注，为公司声誉 带来无法弥补的损害；（</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）政府或监管</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33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tabs>
                <w:tab w:pos="331" w:val="left"/>
              </w:tabs>
              <w:bidi w:val="0"/>
              <w:spacing w:before="0" w:after="0" w:line="314" w:lineRule="exact"/>
              <w:ind w:left="0" w:right="0" w:firstLine="0"/>
              <w:jc w:val="both"/>
              <w:rPr>
                <w:sz w:val="17"/>
                <w:szCs w:val="17"/>
              </w:rPr>
            </w:pPr>
            <w:r>
              <w:rPr>
                <w:color w:val="000000"/>
                <w:spacing w:val="0"/>
                <w:w w:val="100"/>
                <w:position w:val="0"/>
                <w:sz w:val="17"/>
                <w:szCs w:val="17"/>
              </w:rPr>
              <w:t>二、</w:t>
              <w:tab/>
              <w:t>重要缺陷：单独缺陷或连同其他缺陷， 导致不能及时防止或发现并纠正财务报告 中虽不构成重大错报但应仍引起管理层重 视的错报。</w:t>
            </w:r>
          </w:p>
          <w:p>
            <w:pPr>
              <w:pStyle w:val="Style2"/>
              <w:keepNext w:val="0"/>
              <w:keepLines w:val="0"/>
              <w:widowControl w:val="0"/>
              <w:shd w:val="clear" w:color="auto" w:fill="auto"/>
              <w:tabs>
                <w:tab w:pos="360" w:val="left"/>
              </w:tabs>
              <w:bidi w:val="0"/>
              <w:spacing w:before="0" w:after="0" w:line="317" w:lineRule="exact"/>
              <w:ind w:left="0" w:right="0" w:firstLine="0"/>
              <w:jc w:val="both"/>
              <w:rPr>
                <w:sz w:val="17"/>
                <w:szCs w:val="17"/>
              </w:rPr>
            </w:pPr>
            <w:r>
              <w:rPr>
                <w:color w:val="000000"/>
                <w:spacing w:val="0"/>
                <w:w w:val="100"/>
                <w:position w:val="0"/>
                <w:sz w:val="17"/>
                <w:szCs w:val="17"/>
              </w:rPr>
              <w:t>三、</w:t>
              <w:tab/>
              <w:t>一般缺陷：不构成重大缺陷或重要缺 陷的其他内部控制缺陷。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机构已经针对相关方面进行调查。</w:t>
            </w:r>
          </w:p>
          <w:p>
            <w:pPr>
              <w:pStyle w:val="Style2"/>
              <w:keepNext w:val="0"/>
              <w:keepLines w:val="0"/>
              <w:widowControl w:val="0"/>
              <w:shd w:val="clear" w:color="auto" w:fill="auto"/>
              <w:tabs>
                <w:tab w:pos="326" w:val="left"/>
              </w:tabs>
              <w:bidi w:val="0"/>
              <w:spacing w:before="0" w:after="0" w:line="312" w:lineRule="exact"/>
              <w:ind w:left="0" w:right="0" w:firstLine="0"/>
              <w:jc w:val="left"/>
              <w:rPr>
                <w:sz w:val="17"/>
                <w:szCs w:val="17"/>
              </w:rPr>
            </w:pPr>
            <w:r>
              <w:rPr>
                <w:color w:val="000000"/>
                <w:spacing w:val="0"/>
                <w:w w:val="100"/>
                <w:position w:val="0"/>
                <w:sz w:val="17"/>
                <w:szCs w:val="17"/>
              </w:rPr>
              <w:t>二、</w:t>
              <w:tab/>
              <w:t>重要缺陷：除上述重大缺陷的其他 情形按影响程度分别确定为重要缺陷 或一般缺陷。</w:t>
            </w:r>
          </w:p>
          <w:p>
            <w:pPr>
              <w:pStyle w:val="Style2"/>
              <w:keepNext w:val="0"/>
              <w:keepLines w:val="0"/>
              <w:widowControl w:val="0"/>
              <w:shd w:val="clear" w:color="auto" w:fill="auto"/>
              <w:tabs>
                <w:tab w:pos="326" w:val="left"/>
              </w:tabs>
              <w:bidi w:val="0"/>
              <w:spacing w:before="0" w:after="0" w:line="314" w:lineRule="exact"/>
              <w:ind w:left="0" w:right="0" w:firstLine="0"/>
              <w:jc w:val="left"/>
              <w:rPr>
                <w:sz w:val="17"/>
                <w:szCs w:val="17"/>
              </w:rPr>
            </w:pPr>
            <w:r>
              <w:rPr>
                <w:color w:val="000000"/>
                <w:spacing w:val="0"/>
                <w:w w:val="100"/>
                <w:position w:val="0"/>
                <w:sz w:val="17"/>
                <w:szCs w:val="17"/>
              </w:rPr>
              <w:t>三、</w:t>
              <w:tab/>
              <w:t>一般缺陷：除上述重大缺陷的其他 情形按影响程度分别确定为重要缺陷 或一般缺陷。</w:t>
            </w:r>
          </w:p>
        </w:tc>
      </w:tr>
      <w:tr>
        <w:trPr>
          <w:trHeight w:val="298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100" w:line="316" w:lineRule="exact"/>
              <w:ind w:left="0" w:right="0" w:firstLine="0"/>
              <w:jc w:val="both"/>
              <w:rPr>
                <w:sz w:val="17"/>
                <w:szCs w:val="17"/>
              </w:rPr>
            </w:pPr>
            <w:r>
              <w:rPr>
                <w:color w:val="000000"/>
                <w:spacing w:val="0"/>
                <w:w w:val="100"/>
                <w:position w:val="0"/>
                <w:sz w:val="17"/>
                <w:szCs w:val="17"/>
              </w:rPr>
              <w:t>一、</w:t>
              <w:tab/>
              <w:t>重大缺陷定量标准：错报</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总资产的</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或者错报</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color w:val="000000"/>
                <w:spacing w:val="0"/>
                <w:w w:val="100"/>
                <w:position w:val="0"/>
                <w:sz w:val="17"/>
                <w:szCs w:val="17"/>
              </w:rPr>
              <w:t>二、</w:t>
              <w:tab/>
              <w:t>重要缺陷定量标准总资产的</w:t>
            </w:r>
            <w:r>
              <w:rPr>
                <w:rFonts w:ascii="Times New Roman" w:eastAsia="Times New Roman" w:hAnsi="Times New Roman" w:cs="Times New Roman"/>
                <w:color w:val="000000"/>
                <w:spacing w:val="0"/>
                <w:w w:val="100"/>
                <w:position w:val="0"/>
                <w:sz w:val="18"/>
                <w:szCs w:val="18"/>
              </w:rPr>
              <w:t>2%M</w:t>
            </w:r>
            <w:r>
              <w:rPr>
                <w:color w:val="000000"/>
                <w:spacing w:val="0"/>
                <w:w w:val="100"/>
                <w:position w:val="0"/>
                <w:sz w:val="17"/>
                <w:szCs w:val="17"/>
              </w:rPr>
              <w:t>错报 〈总资产的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或者营业收入总额的</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错报〈营业收入总额的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tabs>
                <w:tab w:pos="322" w:val="left"/>
              </w:tabs>
              <w:bidi w:val="0"/>
              <w:spacing w:before="0" w:after="60" w:line="317" w:lineRule="exact"/>
              <w:ind w:left="0" w:right="0" w:firstLine="0"/>
              <w:jc w:val="both"/>
              <w:rPr>
                <w:sz w:val="17"/>
                <w:szCs w:val="17"/>
              </w:rPr>
            </w:pPr>
            <w:r>
              <w:rPr>
                <w:color w:val="000000"/>
                <w:spacing w:val="0"/>
                <w:w w:val="100"/>
                <w:position w:val="0"/>
                <w:sz w:val="17"/>
                <w:szCs w:val="17"/>
              </w:rPr>
              <w:t>三、</w:t>
              <w:tab/>
              <w:t>一般缺陷：错报〈总资产的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或者错 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26" w:val="left"/>
              </w:tabs>
              <w:bidi w:val="0"/>
              <w:spacing w:before="0" w:after="40" w:line="310" w:lineRule="exact"/>
              <w:ind w:left="0" w:right="0" w:firstLine="0"/>
              <w:jc w:val="left"/>
              <w:rPr>
                <w:sz w:val="17"/>
                <w:szCs w:val="17"/>
              </w:rPr>
            </w:pPr>
            <w:r>
              <w:rPr>
                <w:color w:val="000000"/>
                <w:spacing w:val="0"/>
                <w:w w:val="100"/>
                <w:position w:val="0"/>
                <w:sz w:val="17"/>
                <w:szCs w:val="17"/>
              </w:rPr>
              <w:t>一、</w:t>
              <w:tab/>
              <w:t>重大缺陷定量标准：错报</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总资产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或者错报</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7"/>
                <w:szCs w:val="17"/>
              </w:rPr>
              <w:t xml:space="preserve">营业收入总额的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tabs>
                <w:tab w:pos="365" w:val="left"/>
              </w:tabs>
              <w:bidi w:val="0"/>
              <w:spacing w:before="0" w:after="40" w:line="312" w:lineRule="exact"/>
              <w:ind w:left="0" w:right="0" w:firstLine="0"/>
              <w:jc w:val="left"/>
              <w:rPr>
                <w:sz w:val="17"/>
                <w:szCs w:val="17"/>
              </w:rPr>
            </w:pPr>
            <w:r>
              <w:rPr>
                <w:color w:val="000000"/>
                <w:spacing w:val="0"/>
                <w:w w:val="100"/>
                <w:position w:val="0"/>
                <w:sz w:val="17"/>
                <w:szCs w:val="17"/>
              </w:rPr>
              <w:t>二、</w:t>
              <w:tab/>
              <w:t>重要缺陷定量标准总资产的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二 错报〈总资产的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或者营业收入总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二错报《营业收入总额的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tabs>
                <w:tab w:pos="360" w:val="left"/>
              </w:tabs>
              <w:bidi w:val="0"/>
              <w:spacing w:before="0" w:after="40" w:line="312" w:lineRule="exact"/>
              <w:ind w:left="0" w:right="0" w:firstLine="0"/>
              <w:jc w:val="left"/>
              <w:rPr>
                <w:sz w:val="17"/>
                <w:szCs w:val="17"/>
              </w:rPr>
            </w:pPr>
            <w:r>
              <w:rPr>
                <w:color w:val="000000"/>
                <w:spacing w:val="0"/>
                <w:w w:val="100"/>
                <w:position w:val="0"/>
                <w:sz w:val="17"/>
                <w:szCs w:val="17"/>
              </w:rPr>
              <w:t>三、</w:t>
              <w:tab/>
              <w:t>一般缺陷：影响〈总资产的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或 者影响《营业收入总额的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400"/>
        <w:jc w:val="left"/>
      </w:pPr>
      <w:bookmarkStart w:id="625" w:name="bookmark625"/>
      <w:bookmarkStart w:id="626" w:name="bookmark626"/>
      <w:bookmarkStart w:id="627" w:name="bookmark627"/>
      <w:r>
        <w:rPr>
          <w:color w:val="000000"/>
          <w:spacing w:val="0"/>
          <w:w w:val="100"/>
          <w:position w:val="0"/>
        </w:rPr>
        <w:t>十、内部控制审计报告或鉴证报告</w:t>
      </w:r>
      <w:bookmarkEnd w:id="625"/>
      <w:bookmarkEnd w:id="626"/>
      <w:bookmarkEnd w:id="627"/>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 面保持了与财务报表相关的有效的内部控制。本结论是在受到鉴证报告中指出的固有限制的条件下形成的。</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具体详见巨潮资讯网</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无保留意见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会计师事务所是否出具非标准意见的内部控制鉴证报告</w:t>
      </w:r>
    </w:p>
    <w:p>
      <w:pPr>
        <w:widowControl w:val="0"/>
        <w:spacing w:after="299" w:line="1" w:lineRule="exact"/>
      </w:pPr>
    </w:p>
    <w:p>
      <w:pPr>
        <w:pStyle w:val="Style29"/>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否</w:t>
      </w:r>
    </w:p>
    <w:p>
      <w:pPr>
        <w:pStyle w:val="Style29"/>
        <w:keepNext w:val="0"/>
        <w:keepLines w:val="0"/>
        <w:widowControl w:val="0"/>
        <w:shd w:val="clear" w:color="auto" w:fill="auto"/>
        <w:bidi w:val="0"/>
        <w:spacing w:before="0" w:after="220" w:line="240" w:lineRule="auto"/>
        <w:ind w:left="0" w:right="0" w:firstLine="40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628" w:name="bookmark628"/>
      <w:bookmarkStart w:id="629" w:name="bookmark629"/>
      <w:bookmarkStart w:id="630" w:name="bookmark630"/>
      <w:r>
        <w:rPr>
          <w:color w:val="000000"/>
          <w:spacing w:val="0"/>
          <w:w w:val="100"/>
          <w:position w:val="0"/>
        </w:rPr>
        <w:t>第十节公司债券相关情况</w:t>
      </w:r>
      <w:bookmarkEnd w:id="628"/>
      <w:bookmarkEnd w:id="629"/>
      <w:bookmarkEnd w:id="630"/>
    </w:p>
    <w:p>
      <w:pPr>
        <w:pStyle w:val="Style29"/>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460" w:line="240" w:lineRule="auto"/>
        <w:ind w:left="0" w:right="0" w:firstLine="420"/>
        <w:jc w:val="left"/>
        <w:sectPr>
          <w:footnotePr>
            <w:pos w:val="pageBottom"/>
            <w:numFmt w:val="decimal"/>
            <w:numRestart w:val="continuous"/>
          </w:footnotePr>
          <w:pgSz w:w="11900" w:h="16840"/>
          <w:pgMar w:top="1468" w:right="699" w:bottom="1399" w:left="699" w:header="0" w:footer="3" w:gutter="0"/>
          <w:cols w:space="720"/>
          <w:noEndnote/>
          <w:rtlGutter w:val="0"/>
          <w:docGrid w:linePitch="360"/>
        </w:sectPr>
      </w:pPr>
      <w:r>
        <w:rPr>
          <w:b/>
          <w:bCs/>
          <w:color w:val="000000"/>
          <w:spacing w:val="0"/>
          <w:w w:val="100"/>
          <w:position w:val="0"/>
        </w:rPr>
        <w:t>否</w:t>
      </w:r>
    </w:p>
    <w:p>
      <w:pPr>
        <w:pStyle w:val="Style16"/>
        <w:keepNext/>
        <w:keepLines/>
        <w:widowControl w:val="0"/>
        <w:shd w:val="clear" w:color="auto" w:fill="auto"/>
        <w:bidi w:val="0"/>
        <w:spacing w:before="0" w:after="540" w:line="240" w:lineRule="auto"/>
        <w:ind w:left="0" w:right="0" w:firstLine="0"/>
        <w:jc w:val="center"/>
      </w:pPr>
      <w:bookmarkStart w:id="631" w:name="bookmark631"/>
      <w:bookmarkStart w:id="632" w:name="bookmark632"/>
      <w:bookmarkStart w:id="633" w:name="bookmark633"/>
      <w:r>
        <w:rPr>
          <w:color w:val="000000"/>
          <w:spacing w:val="0"/>
          <w:w w:val="100"/>
          <w:position w:val="0"/>
        </w:rPr>
        <w:t>第十一节财务报告</w:t>
      </w:r>
      <w:bookmarkEnd w:id="631"/>
      <w:bookmarkEnd w:id="632"/>
      <w:bookmarkEnd w:id="633"/>
    </w:p>
    <w:p>
      <w:pPr>
        <w:pStyle w:val="Style27"/>
        <w:keepNext/>
        <w:keepLines/>
        <w:widowControl w:val="0"/>
        <w:shd w:val="clear" w:color="auto" w:fill="auto"/>
        <w:bidi w:val="0"/>
        <w:spacing w:before="0" w:after="300" w:line="240" w:lineRule="auto"/>
        <w:ind w:left="0" w:right="0" w:firstLine="660"/>
        <w:jc w:val="left"/>
      </w:pPr>
      <w:bookmarkStart w:id="634" w:name="bookmark634"/>
      <w:bookmarkStart w:id="635" w:name="bookmark635"/>
      <w:bookmarkStart w:id="636" w:name="bookmark636"/>
      <w:r>
        <w:rPr>
          <w:color w:val="000000"/>
          <w:spacing w:val="0"/>
          <w:w w:val="100"/>
          <w:position w:val="0"/>
        </w:rPr>
        <w:t>、审计报告</w:t>
      </w:r>
      <w:bookmarkEnd w:id="634"/>
      <w:bookmarkEnd w:id="635"/>
      <w:bookmarkEnd w:id="63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ZA13794</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肖菲、陈迅骅</w:t>
            </w:r>
          </w:p>
        </w:tc>
      </w:tr>
    </w:tbl>
    <w:p>
      <w:pPr>
        <w:sectPr>
          <w:footnotePr>
            <w:pos w:val="pageBottom"/>
            <w:numFmt w:val="decimal"/>
            <w:numRestart w:val="continuous"/>
          </w:footnotePr>
          <w:pgSz w:w="11900" w:h="16840"/>
          <w:pgMar w:top="1935" w:right="701" w:bottom="1935" w:left="696" w:header="0" w:footer="3" w:gutter="0"/>
          <w:cols w:space="720"/>
          <w:noEndnote/>
          <w:rtlGutter w:val="0"/>
          <w:docGrid w:linePitch="360"/>
        </w:sectPr>
      </w:pPr>
    </w:p>
    <w:p>
      <w:pPr>
        <w:pStyle w:val="Style18"/>
        <w:keepNext w:val="0"/>
        <w:keepLines w:val="0"/>
        <w:widowControl w:val="0"/>
        <w:shd w:val="clear" w:color="auto" w:fill="auto"/>
        <w:bidi w:val="0"/>
        <w:spacing w:before="260" w:after="120" w:line="240" w:lineRule="auto"/>
        <w:ind w:left="0" w:right="0" w:firstLine="0"/>
        <w:jc w:val="center"/>
        <w:rPr>
          <w:sz w:val="22"/>
          <w:szCs w:val="22"/>
        </w:rPr>
      </w:pPr>
      <w:r>
        <w:rPr>
          <w:color w:val="000000"/>
          <w:spacing w:val="0"/>
          <w:w w:val="100"/>
          <w:position w:val="0"/>
          <w:sz w:val="22"/>
          <w:szCs w:val="22"/>
        </w:rPr>
        <w:t>审计报告</w:t>
      </w:r>
    </w:p>
    <w:p>
      <w:pPr>
        <w:pStyle w:val="Style81"/>
        <w:keepNext w:val="0"/>
        <w:keepLines w:val="0"/>
        <w:widowControl w:val="0"/>
        <w:shd w:val="clear" w:color="auto" w:fill="auto"/>
        <w:bidi w:val="0"/>
        <w:spacing w:before="0" w:line="240" w:lineRule="auto"/>
        <w:ind w:left="0" w:firstLine="0"/>
        <w:jc w:val="right"/>
      </w:pPr>
      <w:r>
        <w:rPr>
          <w:rFonts w:ascii="SimSun" w:eastAsia="SimSun" w:hAnsi="SimSun" w:cs="SimSun"/>
          <w:color w:val="000000"/>
          <w:spacing w:val="0"/>
          <w:w w:val="100"/>
          <w:position w:val="0"/>
        </w:rPr>
        <w:t>信会师报字</w:t>
      </w:r>
      <w:r>
        <w:rPr>
          <w:color w:val="000000"/>
          <w:spacing w:val="0"/>
          <w:w w:val="100"/>
          <w:position w:val="0"/>
        </w:rPr>
        <w:t>［2017</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ZA13794</w:t>
      </w:r>
      <w:r>
        <w:rPr>
          <w:rFonts w:ascii="SimSun" w:eastAsia="SimSun" w:hAnsi="SimSun" w:cs="SimSun"/>
          <w:color w:val="000000"/>
          <w:spacing w:val="0"/>
          <w:w w:val="100"/>
          <w:position w:val="0"/>
        </w:rPr>
        <w:t>号</w:t>
      </w:r>
    </w:p>
    <w:p>
      <w:pPr>
        <w:pStyle w:val="Style29"/>
        <w:keepNext w:val="0"/>
        <w:keepLines w:val="0"/>
        <w:widowControl w:val="0"/>
        <w:shd w:val="clear" w:color="auto" w:fill="auto"/>
        <w:bidi w:val="0"/>
        <w:spacing w:before="0" w:after="200" w:line="469" w:lineRule="exact"/>
        <w:ind w:left="0" w:right="0" w:firstLine="420"/>
        <w:jc w:val="left"/>
      </w:pPr>
      <w:r>
        <w:rPr>
          <w:b/>
          <w:bCs/>
          <w:color w:val="000000"/>
          <w:spacing w:val="0"/>
          <w:w w:val="100"/>
          <w:position w:val="0"/>
        </w:rPr>
        <w:t>北京神州泰岳软件股份有限公司全体股东：</w:t>
      </w:r>
    </w:p>
    <w:p>
      <w:pPr>
        <w:pStyle w:val="Style29"/>
        <w:keepNext w:val="0"/>
        <w:keepLines w:val="0"/>
        <w:widowControl w:val="0"/>
        <w:shd w:val="clear" w:color="auto" w:fill="auto"/>
        <w:bidi w:val="0"/>
        <w:spacing w:before="0" w:after="0" w:line="469" w:lineRule="exact"/>
        <w:ind w:left="420" w:right="0" w:firstLine="580"/>
        <w:jc w:val="left"/>
      </w:pPr>
      <w:r>
        <w:rPr>
          <w:color w:val="000000"/>
          <w:spacing w:val="0"/>
          <w:w w:val="100"/>
          <w:position w:val="0"/>
        </w:rPr>
        <w:t>我们审计了后附的北京神州泰岳软件股份有限公司（以下简称神州泰岳）财务报表，包括</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9"/>
        <w:keepNext w:val="0"/>
        <w:keepLines w:val="0"/>
        <w:widowControl w:val="0"/>
        <w:shd w:val="clear" w:color="auto" w:fill="auto"/>
        <w:tabs>
          <w:tab w:pos="1440" w:val="left"/>
        </w:tabs>
        <w:bidi w:val="0"/>
        <w:spacing w:before="0" w:after="0" w:line="469" w:lineRule="exact"/>
        <w:ind w:left="0" w:right="0" w:firstLine="1000"/>
        <w:jc w:val="left"/>
      </w:pPr>
      <w:bookmarkStart w:id="637" w:name="bookmark637"/>
      <w:r>
        <w:rPr>
          <w:b/>
          <w:bCs/>
          <w:color w:val="000000"/>
          <w:spacing w:val="0"/>
          <w:w w:val="100"/>
          <w:position w:val="0"/>
        </w:rPr>
        <w:t>一</w:t>
      </w:r>
      <w:bookmarkEnd w:id="637"/>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469" w:lineRule="exact"/>
        <w:ind w:left="420" w:right="0" w:firstLine="580"/>
        <w:jc w:val="left"/>
      </w:pPr>
      <w:r>
        <w:rPr>
          <w:color w:val="000000"/>
          <w:spacing w:val="0"/>
          <w:w w:val="100"/>
          <w:position w:val="0"/>
        </w:rPr>
        <w:t>编制和公允列报财务报表是神州泰岳管理层的责任。这种责任包括：（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1440" w:val="left"/>
        </w:tabs>
        <w:bidi w:val="0"/>
        <w:spacing w:before="0" w:after="0" w:line="469" w:lineRule="exact"/>
        <w:ind w:left="0" w:right="0" w:firstLine="1000"/>
        <w:jc w:val="left"/>
      </w:pPr>
      <w:bookmarkStart w:id="638" w:name="bookmark638"/>
      <w:r>
        <w:rPr>
          <w:b/>
          <w:bCs/>
          <w:color w:val="000000"/>
          <w:spacing w:val="0"/>
          <w:w w:val="100"/>
          <w:position w:val="0"/>
        </w:rPr>
        <w:t>二</w:t>
      </w:r>
      <w:bookmarkEnd w:id="638"/>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469" w:lineRule="exact"/>
        <w:ind w:left="420" w:right="0" w:firstLine="580"/>
        <w:jc w:val="left"/>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29"/>
        <w:keepNext w:val="0"/>
        <w:keepLines w:val="0"/>
        <w:widowControl w:val="0"/>
        <w:shd w:val="clear" w:color="auto" w:fill="auto"/>
        <w:bidi w:val="0"/>
        <w:spacing w:before="0" w:after="0" w:line="469" w:lineRule="exact"/>
        <w:ind w:left="420" w:right="0" w:firstLine="580"/>
        <w:jc w:val="left"/>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允列报相关的内部控制，以设计恰当的审计程序，但目的并非对内部控制的有效性发表意见。审计工作还包括评价管理层选 用会计政策的恰当性和作出会计估计的合理性，以及评价财务报表的总体列报。</w:t>
      </w:r>
    </w:p>
    <w:p>
      <w:pPr>
        <w:pStyle w:val="Style29"/>
        <w:keepNext w:val="0"/>
        <w:keepLines w:val="0"/>
        <w:widowControl w:val="0"/>
        <w:shd w:val="clear" w:color="auto" w:fill="auto"/>
        <w:bidi w:val="0"/>
        <w:spacing w:before="0" w:after="0" w:line="469" w:lineRule="exact"/>
        <w:ind w:left="420" w:right="0" w:firstLine="5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1440" w:val="left"/>
        </w:tabs>
        <w:bidi w:val="0"/>
        <w:spacing w:before="0" w:after="0" w:line="469" w:lineRule="exact"/>
        <w:ind w:left="0" w:right="0" w:firstLine="1000"/>
        <w:jc w:val="left"/>
      </w:pPr>
      <w:bookmarkStart w:id="639" w:name="bookmark639"/>
      <w:r>
        <w:rPr>
          <w:b/>
          <w:bCs/>
          <w:color w:val="000000"/>
          <w:spacing w:val="0"/>
          <w:w w:val="100"/>
          <w:position w:val="0"/>
        </w:rPr>
        <w:t>三</w:t>
      </w:r>
      <w:bookmarkEnd w:id="639"/>
      <w:r>
        <w:rPr>
          <w:b/>
          <w:bCs/>
          <w:color w:val="000000"/>
          <w:spacing w:val="0"/>
          <w:w w:val="100"/>
          <w:position w:val="0"/>
        </w:rPr>
        <w:t>、</w:t>
        <w:tab/>
        <w:t>审计意见</w:t>
      </w:r>
    </w:p>
    <w:p>
      <w:pPr>
        <w:pStyle w:val="Style29"/>
        <w:keepNext w:val="0"/>
        <w:keepLines w:val="0"/>
        <w:widowControl w:val="0"/>
        <w:shd w:val="clear" w:color="auto" w:fill="auto"/>
        <w:bidi w:val="0"/>
        <w:spacing w:before="0" w:after="740" w:line="469" w:lineRule="exact"/>
        <w:ind w:left="420" w:right="0" w:firstLine="580"/>
        <w:jc w:val="left"/>
      </w:pPr>
      <w:r>
        <w:rPr>
          <w:color w:val="000000"/>
          <w:spacing w:val="0"/>
          <w:w w:val="100"/>
          <w:position w:val="0"/>
        </w:rPr>
        <w:t>我们认为，神州泰岳财务报表在所有重大方面按照企业会计准则的规定编制，公允反映了神州泰岳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年度的合并及公司经营成果和现金流量。</w:t>
      </w:r>
    </w:p>
    <w:p>
      <w:pPr>
        <w:pStyle w:val="Style29"/>
        <w:keepNext w:val="0"/>
        <w:keepLines w:val="0"/>
        <w:widowControl w:val="0"/>
        <w:shd w:val="clear" w:color="auto" w:fill="auto"/>
        <w:tabs>
          <w:tab w:pos="6459" w:val="left"/>
        </w:tabs>
        <w:bidi w:val="0"/>
        <w:spacing w:before="0" w:after="200" w:line="240" w:lineRule="auto"/>
        <w:ind w:left="0" w:right="0" w:firstLine="700"/>
        <w:jc w:val="left"/>
      </w:pPr>
      <w:r>
        <w:rPr>
          <w:b/>
          <w:bCs/>
          <w:color w:val="000000"/>
          <w:spacing w:val="0"/>
          <w:w w:val="100"/>
          <w:position w:val="0"/>
        </w:rPr>
        <w:t>立信会计师事务所</w:t>
        <w:tab/>
        <w:t>中国注册会计师：肖菲</w:t>
      </w:r>
    </w:p>
    <w:p>
      <w:pPr>
        <w:pStyle w:val="Style29"/>
        <w:keepNext w:val="0"/>
        <w:keepLines w:val="0"/>
        <w:widowControl w:val="0"/>
        <w:shd w:val="clear" w:color="auto" w:fill="auto"/>
        <w:tabs>
          <w:tab w:pos="6459" w:val="left"/>
        </w:tabs>
        <w:bidi w:val="0"/>
        <w:spacing w:before="0" w:after="120" w:line="240" w:lineRule="auto"/>
        <w:ind w:left="0" w:right="0" w:firstLine="600"/>
        <w:jc w:val="left"/>
      </w:pPr>
      <w:r>
        <w:rPr>
          <w:b/>
          <w:bCs/>
          <w:color w:val="000000"/>
          <w:spacing w:val="0"/>
          <w:w w:val="100"/>
          <w:position w:val="0"/>
        </w:rPr>
        <w:t>（特殊普通合伙）</w:t>
        <w:tab/>
        <w:t>中国注册会计师：陈迅骅</w:t>
      </w:r>
    </w:p>
    <w:p>
      <w:pPr>
        <w:pStyle w:val="Style29"/>
        <w:keepNext w:val="0"/>
        <w:keepLines w:val="0"/>
        <w:widowControl w:val="0"/>
        <w:shd w:val="clear" w:color="auto" w:fill="auto"/>
        <w:tabs>
          <w:tab w:pos="6459" w:val="left"/>
        </w:tabs>
        <w:bidi w:val="0"/>
        <w:spacing w:before="0" w:after="160" w:line="469" w:lineRule="exact"/>
        <w:ind w:left="112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t>二</w:t>
      </w:r>
      <w:r>
        <w:rPr>
          <w:rFonts w:ascii="Times New Roman" w:eastAsia="Times New Roman" w:hAnsi="Times New Roman" w:cs="Times New Roman"/>
          <w:b/>
          <w:bCs/>
          <w:color w:val="000000"/>
          <w:spacing w:val="0"/>
          <w:w w:val="100"/>
          <w:position w:val="0"/>
          <w:sz w:val="18"/>
          <w:szCs w:val="18"/>
        </w:rPr>
        <w:t>O</w:t>
      </w:r>
      <w:r>
        <w:rPr>
          <w:b/>
          <w:bCs/>
          <w:color w:val="000000"/>
          <w:spacing w:val="0"/>
          <w:w w:val="100"/>
          <w:position w:val="0"/>
        </w:rPr>
        <w:t>一^年四月二十四日</w:t>
      </w:r>
      <w:r>
        <w:br w:type="page"/>
      </w:r>
    </w:p>
    <w:p>
      <w:pPr>
        <w:pStyle w:val="Style27"/>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r>
        <w:rPr>
          <w:color w:val="000000"/>
          <w:spacing w:val="0"/>
          <w:w w:val="100"/>
          <w:position w:val="0"/>
        </w:rPr>
        <w:t>二、财务报表</w:t>
      </w:r>
      <w:bookmarkEnd w:id="640"/>
      <w:bookmarkEnd w:id="641"/>
      <w:bookmarkEnd w:id="64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、合并资产负债表</w:t>
      </w:r>
      <w:bookmarkEnd w:id="643"/>
      <w:bookmarkEnd w:id="644"/>
      <w:bookmarkEnd w:id="646"/>
    </w:p>
    <w:p>
      <w:pPr>
        <w:pStyle w:val="Style29"/>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5842635</wp:posOffset>
                </wp:positionH>
                <wp:positionV relativeFrom="paragraph">
                  <wp:posOffset>12700</wp:posOffset>
                </wp:positionV>
                <wp:extent cx="972185" cy="149225"/>
                <wp:wrapSquare wrapText="left"/>
                <wp:docPr id="56" name="Shape 56"/>
                <a:graphic xmlns:a="http://schemas.openxmlformats.org/drawingml/2006/main">
                  <a:graphicData uri="http://schemas.microsoft.com/office/word/2010/wordprocessingShape">
                    <wps:wsp>
                      <wps:cNvSpPr txBox="1"/>
                      <wps:spPr>
                        <a:xfrm>
                          <a:ext cx="972185" cy="14922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82" type="#_x0000_t202" style="position:absolute;margin-left:460.05000000000001pt;margin-top:1.pt;width:76.549999999999997pt;height:11.75pt;z-index:-125829371;mso-wrap-distance-left:9.pt;mso-wrap-distance-right: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v:textbox>
                <w10:wrap type="square" side="left" anchorx="page"/>
              </v:shape>
            </w:pict>
          </mc:Fallback>
        </mc:AlternateContent>
      </w:r>
      <w:r>
        <w:rPr>
          <w:color w:val="000000"/>
          <w:spacing w:val="0"/>
          <w:w w:val="100"/>
          <w:position w:val="0"/>
        </w:rPr>
        <w:t>编制单位：北京神州泰岳软件股份有限公司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855,390,068.14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708,865,243.77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548,420,189.00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424,211,193.66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1,116,607,697.35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891,983,364.90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17,827,959.21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95,678,406.72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46,006,392.66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25,397,240.17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326,386,971.29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348,054,144.14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110,258,075.63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26,745,713.53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3,040,897,353.28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2,540,935,306.89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602,561,043.10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497,468,163.62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333,597,917.93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455,612,834.79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164,062,029.92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168,143,492.12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431,072,690.73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343,239,077.07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87,960,565.87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309,222,066.14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212,909,507.07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30,651,193.70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53,116,806.33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2,069,215,454.86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1,497,677,757.08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20,024,766.31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17,169,072.84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26,148,522.94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31,481,286.33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2,042,891.17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865,532.67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3,990,211,464.76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3,365,644,095.79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7,031,108,818.04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5,906,579,402.68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414,686,106.00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109,913,814.00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61,900,080.00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173,220,208.63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144,685,628.21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93,288,935.79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110,825,561.31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94,267,282.13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88,746,167.68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207,502,502.14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87,037,751.22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8,474,319.45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175,184,379.60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259,397,212.88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2,321,106.60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15,905,926.84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1,668,944,840.34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878,412,142.14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297,375,433.30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17,773,113.14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18,043,501.68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9,030,773.46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22,940,009.06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2,316,828.12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327,543,883.56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43,300,338.86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1,996,488,723.90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921,712,481.00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1,994,479,926.00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377,830,811.74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524,688,463.03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15,905,926.84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161,325,546.59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225,840,997.25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197,376,909.01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2,468,546,635.77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2,084,045,123.13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5,033,349,236.74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4,946,010,040.92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38,856,880.76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5,034,620,094.14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4,984,866,921.68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7,031,108,818.04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5,906,579,402.68</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031105" simplePos="0" relativeHeight="125829384" behindDoc="0" locked="0" layoutInCell="1" allowOverlap="1">
                <wp:simplePos x="0" y="0"/>
                <wp:positionH relativeFrom="page">
                  <wp:posOffset>709295</wp:posOffset>
                </wp:positionH>
                <wp:positionV relativeFrom="margin">
                  <wp:posOffset>1499870</wp:posOffset>
                </wp:positionV>
                <wp:extent cx="1167130" cy="149225"/>
                <wp:wrapTopAndBottom/>
                <wp:docPr id="58" name="Shape 58"/>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法定代表人：王宁先生</w:t>
                            </w:r>
                          </w:p>
                        </w:txbxContent>
                      </wps:txbx>
                      <wps:bodyPr wrap="none" lIns="0" tIns="0" rIns="0" bIns="0">
                        <a:noAutoFit/>
                      </wps:bodyPr>
                    </wps:wsp>
                  </a:graphicData>
                </a:graphic>
              </wp:anchor>
            </w:drawing>
          </mc:Choice>
          <mc:Fallback>
            <w:pict>
              <v:shape id="_x0000_s1084" type="#_x0000_t202" style="position:absolute;margin-left:55.850000000000001pt;margin-top:118.10000000000001pt;width:91.900000000000006pt;height:11.75pt;z-index:-125829369;mso-wrap-distance-left:9.pt;mso-wrap-distance-top:12.pt;mso-wrap-distance-right:396.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法定代表人：王宁先生</w:t>
                      </w:r>
                    </w:p>
                  </w:txbxContent>
                </v:textbox>
                <w10:wrap type="topAndBottom" anchorx="page" anchory="margin"/>
              </v:shape>
            </w:pict>
          </mc:Fallback>
        </mc:AlternateContent>
      </w:r>
      <w:r>
        <mc:AlternateContent>
          <mc:Choice Requires="wps">
            <w:drawing>
              <wp:anchor distT="152400" distB="3175" distL="2232660" distR="2455545" simplePos="0" relativeHeight="125829386" behindDoc="0" locked="0" layoutInCell="1" allowOverlap="1">
                <wp:simplePos x="0" y="0"/>
                <wp:positionH relativeFrom="page">
                  <wp:posOffset>2827655</wp:posOffset>
                </wp:positionH>
                <wp:positionV relativeFrom="margin">
                  <wp:posOffset>1499870</wp:posOffset>
                </wp:positionV>
                <wp:extent cx="1624330" cy="146050"/>
                <wp:wrapTopAndBottom/>
                <wp:docPr id="60" name="Shape 60"/>
                <a:graphic xmlns:a="http://schemas.openxmlformats.org/drawingml/2006/main">
                  <a:graphicData uri="http://schemas.microsoft.com/office/word/2010/wordprocessingShape">
                    <wps:wsp>
                      <wps:cNvSpPr txBox="1"/>
                      <wps:spPr>
                        <a:xfrm>
                          <a:ext cx="1624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主管会计工作负责人：林红女士</w:t>
                            </w:r>
                          </w:p>
                        </w:txbxContent>
                      </wps:txbx>
                      <wps:bodyPr wrap="none" lIns="0" tIns="0" rIns="0" bIns="0">
                        <a:noAutoFit/>
                      </wps:bodyPr>
                    </wps:wsp>
                  </a:graphicData>
                </a:graphic>
              </wp:anchor>
            </w:drawing>
          </mc:Choice>
          <mc:Fallback>
            <w:pict>
              <v:shape id="_x0000_s1086" type="#_x0000_t202" style="position:absolute;margin-left:222.65000000000001pt;margin-top:118.10000000000001pt;width:127.90000000000001pt;height:11.5pt;z-index:-125829367;mso-wrap-distance-left:175.80000000000001pt;mso-wrap-distance-top:12.pt;mso-wrap-distance-right:193.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主管会计工作负责人：林红女士</w:t>
                      </w:r>
                    </w:p>
                  </w:txbxContent>
                </v:textbox>
                <w10:wrap type="topAndBottom" anchorx="page" anchory="margin"/>
              </v:shape>
            </w:pict>
          </mc:Fallback>
        </mc:AlternateContent>
      </w:r>
      <w:r>
        <mc:AlternateContent>
          <mc:Choice Requires="wps">
            <w:drawing>
              <wp:anchor distT="152400" distB="0" distL="4799330" distR="114300" simplePos="0" relativeHeight="125829388" behindDoc="0" locked="0" layoutInCell="1" allowOverlap="1">
                <wp:simplePos x="0" y="0"/>
                <wp:positionH relativeFrom="page">
                  <wp:posOffset>5394325</wp:posOffset>
                </wp:positionH>
                <wp:positionV relativeFrom="margin">
                  <wp:posOffset>1499870</wp:posOffset>
                </wp:positionV>
                <wp:extent cx="1398905" cy="149225"/>
                <wp:wrapTopAndBottom/>
                <wp:docPr id="62" name="Shape 62"/>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会计机构负责人：王辉先生</w:t>
                            </w:r>
                          </w:p>
                        </w:txbxContent>
                      </wps:txbx>
                      <wps:bodyPr wrap="none" lIns="0" tIns="0" rIns="0" bIns="0">
                        <a:noAutoFit/>
                      </wps:bodyPr>
                    </wps:wsp>
                  </a:graphicData>
                </a:graphic>
              </wp:anchor>
            </w:drawing>
          </mc:Choice>
          <mc:Fallback>
            <w:pict>
              <v:shape id="_x0000_s1088" type="#_x0000_t202" style="position:absolute;margin-left:424.75pt;margin-top:118.10000000000001pt;width:110.15000000000001pt;height:11.75pt;z-index:-125829365;mso-wrap-distance-left:377.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会计机构负责人：王辉先生</w:t>
                      </w:r>
                    </w:p>
                  </w:txbxContent>
                </v:textbox>
                <w10:wrap type="topAndBottom" anchorx="page" anchory="margin"/>
              </v:shape>
            </w:pict>
          </mc:Fallback>
        </mc:AlternateContent>
      </w: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、母公司资产负债表</w:t>
      </w:r>
      <w:bookmarkEnd w:id="647"/>
      <w:bookmarkEnd w:id="648"/>
      <w:bookmarkEnd w:id="6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247,315,168.95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225,841,852.38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602,219,153.86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539,358,682.94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3,409,455.59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4,739,838.34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591,936,105.51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623,308,921.66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142,303,179.26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81,933,582.21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40,075,463.55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1,647,258,526.72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1,495,182,877.53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582,043,656.83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479,786,616.94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2,910,206,552.96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2,429,484,972.31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164,062,029.92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168,143,492.12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224,343,331.64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222,819,800.48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142,893,313.12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85,046,711.39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11,898,253.47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27,174,364.91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26,903,829.54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4,050,723,249.38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3,424,083,676.25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5,697,981,776.10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4,919,266,553.78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114,021,502.15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75,350,859.32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37,415,198.31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36,528,710.91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45,803,001.20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38,029,475.14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159,286,093.24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45,465,041.34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8,474,319.45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888,774,729.91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948,055,200.39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15,905,926.84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1,788,774,844.26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1,159,335,213.94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297,375,433.30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11,192,429.57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11,630,934.04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19,039,645.32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313,492,582.95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30,670,579.36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2,102,267,427.21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1,190,005,793.30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1,961,091,984.00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1,994,479,926.00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383,682,677.79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528,063,563.32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15,905,926.84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1,909,490.13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163,867,779.06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224,935,699.97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196,471,611.73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1,024,094,497.00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862,283,807.21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3,595,714,348.89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3,729,260,760.48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5,697,981,776.10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4,919,266,553.78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、合并利润表</w:t>
      </w:r>
      <w:bookmarkEnd w:id="651"/>
      <w:bookmarkEnd w:id="652"/>
      <w:bookmarkEnd w:id="6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2,936,581,930.55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2,773,487,308.85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2,936,581,930.55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2,773,487,308.85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2,654,336,086.67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2,561,223,902.10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1,713,331,012.59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1,754,785,287.90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15,693,979.80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9,787,423.66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175,401,170.69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163,190,854.25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669,394,532.10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588,987,655.44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8,726,708.12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-12,690,219.15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71,788,683.37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57,162,900.00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191,196,425.88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80,190,731.65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10,113,511.21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11,555,622.47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473,442,269.76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292,454,138.40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41,776,458.70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49,358,001.97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608,283.13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18,894,264.70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402,834.89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18,604,432.94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160,576.81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496,324,463.76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341,409,305.48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27,265,390.00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47,632,844.61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469,059,073.76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293,776,460.87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507,331,705.29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351,341,166.79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-38,272,631.53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-57,564,705.92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-160,419,176.44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168,116,173.84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-161,286,738.61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168,130,482.23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权益法下在被投资单位不能重分类 进损益的其他综合收益中享有的份额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-161,286,738.61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168,130,482.23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权益法下在被投资单位以后将重分类 进损益的其他综合收益中享有的份额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4,928,328.01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-1,939,968.03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166,886,616.94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3,183,833.32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308,639,897.32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461,892,634.71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346,044,966.68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519,471,649.02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-37,405,069.36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-57,579,014.31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0.1768</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322" w:val="left"/>
          <w:tab w:pos="7373" w:val="left"/>
        </w:tabs>
        <w:bidi w:val="0"/>
        <w:spacing w:before="0" w:after="400" w:line="240" w:lineRule="auto"/>
        <w:ind w:left="0" w:right="0" w:firstLine="0"/>
        <w:jc w:val="left"/>
      </w:pPr>
      <w:r>
        <w:rPr>
          <w:color w:val="000000"/>
          <w:spacing w:val="0"/>
          <w:w w:val="100"/>
          <w:position w:val="0"/>
        </w:rPr>
        <w:t>法定代表人：王宁先生</w:t>
        <w:tab/>
        <w:t>主管会计工作负责人：林红女士</w:t>
        <w:tab/>
        <w:t>会计机构负责人：王辉先生</w:t>
      </w:r>
    </w:p>
    <w:p>
      <w:pPr>
        <w:pStyle w:val="Style39"/>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、母公司利润表</w:t>
      </w:r>
      <w:bookmarkEnd w:id="655"/>
      <w:bookmarkEnd w:id="656"/>
      <w:bookmarkEnd w:id="6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643,398,930.25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572,486,342.65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171,733,648.79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115,314,285.00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7,195,983.62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6,362,512.05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51,519,812.91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44,491,813.95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264,333,153.96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204,115,693.69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8,316,550.73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-9,379,049.07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50,417,749.57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73,982,226.08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173,468,181.15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61,074,686.93</w:t>
            </w:r>
          </w:p>
        </w:tc>
      </w:tr>
    </w:tbl>
    <w:p>
      <w:pPr>
        <w:widowControl w:val="0"/>
        <w:spacing w:line="1" w:lineRule="exact"/>
      </w:pPr>
      <w:r>
        <w:br w:type="page"/>
      </w:r>
    </w:p>
    <w:tbl>
      <w:tblPr>
        <w:tblOverlap w:val="never"/>
        <w:jc w:val="center"/>
        <w:tblLayout w:type="fixed"/>
      </w:tblPr>
      <w:tblGrid>
        <w:gridCol w:w="2971"/>
        <w:gridCol w:w="3302"/>
        <w:gridCol w:w="3307"/>
      </w:tblGrid>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10,750,656.87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-3,984,088.65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263,350,211.82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198,673,547.88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29,726,073.85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35,363,505.78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465,582.61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292,919,049.37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234,036,353.66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8,278,166.93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31,241,403.43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284,640,882.44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202,794,950.23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-161,958,288.93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164,967,228.77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-161,958,288.93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164,967,228.77</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4,928,328.01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-1,919,388.17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166,886,616.94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122,682,593.51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367,762,179.00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、合并现金流量表</w:t>
      </w:r>
      <w:bookmarkEnd w:id="659"/>
      <w:bookmarkEnd w:id="660"/>
      <w:bookmarkEnd w:id="6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2,798,834,795.98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3,102,701,612.07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20,600,103.25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52,842,940.49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85,218,553.61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139,778,628.01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2,904,653,452.84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3,295,323,180.57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1,852,208,659.37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2,221,238,075.37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568,016,199.97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544,180,402.56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98,817,341.84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121,878,678.01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294,319,874.11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343,786,561.83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2,813,362,075.29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3,231,083,717.77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91,291,377.55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64,239,462.80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668,044,379.57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4,892,745.99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7,492,170.00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22,872,692.00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3,281,665.76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22,986,566.93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-1,943,311.06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2,825,041.10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676,874,904.27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53,577,046.02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178,942,220.65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223,371,149.02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922,394,873.52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484,602,411.19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39,229,516.06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1,585,939,505.36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314,500,665.08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-909,064,601.09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-260,923,619.06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35,306,197.54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169,973,634.72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15,015,280.00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137,456,190.00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1,210,921,144.32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109,913,814.00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20,476,974.11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15,171,962.21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1,266,704,315.97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295,059,410.93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76,826,439.32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66,072,061.00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108,200,641.32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164,155,167.57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117,220,698.97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453,727,119.66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302,247,779.61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683,954,348.23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964,456,536.36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-388,894,937.30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14,555,419.92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10,003,016.60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161,238,732.74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-575,576,076.96</w:t>
            </w: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681,871,871.18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1,257,447,948.14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843,110,603.92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681,871,871.18</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6</w:t>
      </w:r>
      <w:bookmarkEnd w:id="665"/>
      <w:r>
        <w:rPr>
          <w:color w:val="000000"/>
          <w:spacing w:val="0"/>
          <w:w w:val="100"/>
          <w:position w:val="0"/>
        </w:rPr>
        <w:t>、母公司现金流量表</w:t>
      </w:r>
      <w:bookmarkEnd w:id="663"/>
      <w:bookmarkEnd w:id="664"/>
      <w:bookmarkEnd w:id="6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617,411,088.26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599,262,687.16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7,061,223.27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19,029,057.24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858,732,348.05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964,435,880.25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1,483,204,659.58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1,582,727,624.65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218,654,914.09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152,616,578.11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211,261,115.37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166,917,722.01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42,788,822.81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53,690,193.33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903,404,758.17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1,133,172,391.62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1,376,109,610.44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1,506,396,885.07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107,095,049.14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76,330,739.58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520,544,657.31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22,872,692.00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1,387,259.46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2,825,041.10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528,198,827.31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27,120,292.56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70,853,662.93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56,231,112.46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1,205,030,866.20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1,275,884,529.13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314,631,112.46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-747,685,701.82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-287,510,819.90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20,290,917.54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32,517,444.72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889,926,439.32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7,917,646.44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13,871,913.60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918,135,003.30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46,389,358.32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55,826,439.32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96,781,780.06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159,312,333.05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100,377,358.97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103,287,306.19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252,985,578.35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262,599,639.24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665,149,424.95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-216,210,280.92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24,558,772.27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-427,390,361.24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211,433,607.46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638,823,968.70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235,992,379.73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211,433,607.46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7</w:t>
      </w:r>
      <w:bookmarkEnd w:id="669"/>
      <w:r>
        <w:rPr>
          <w:color w:val="000000"/>
          <w:spacing w:val="0"/>
          <w:w w:val="100"/>
          <w:position w:val="0"/>
        </w:rPr>
        <w:t>、合并所有者权益变动表</w:t>
      </w:r>
      <w:bookmarkEnd w:id="667"/>
      <w:bookmarkEnd w:id="668"/>
      <w:bookmarkEnd w:id="670"/>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少数股东</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所有者权</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减：库存</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一般风险</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未分配利</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1,994,4</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79,926.</w:t>
            </w:r>
          </w:p>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524,688,4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15,905,92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161,325,5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197,376,9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2,084,045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38,856,88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4,984,866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color w:val="000000"/>
                <w:spacing w:val="0"/>
                <w:w w:val="100"/>
                <w:position w:val="0"/>
                <w:sz w:val="14"/>
                <w:szCs w:val="14"/>
              </w:rPr>
              <w:t>加：会计政策变</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620"/>
              <w:jc w:val="left"/>
              <w:rPr>
                <w:sz w:val="14"/>
                <w:szCs w:val="14"/>
              </w:rPr>
            </w:pPr>
            <w:r>
              <w:rPr>
                <w:color w:val="000000"/>
                <w:spacing w:val="0"/>
                <w:w w:val="100"/>
                <w:position w:val="0"/>
                <w:sz w:val="14"/>
                <w:szCs w:val="14"/>
              </w:rPr>
              <w:t>前期差错更</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620"/>
              <w:jc w:val="left"/>
              <w:rPr>
                <w:sz w:val="14"/>
                <w:szCs w:val="14"/>
              </w:rPr>
            </w:pPr>
            <w:r>
              <w:rPr>
                <w:color w:val="000000"/>
                <w:spacing w:val="0"/>
                <w:w w:val="100"/>
                <w:position w:val="0"/>
                <w:sz w:val="14"/>
                <w:szCs w:val="14"/>
              </w:rPr>
              <w:t>同一控制下</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524,688,4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2,084,045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4,984,866</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9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79,926.</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63.03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46.59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,123.13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,921.68</w:t>
            </w:r>
          </w:p>
        </w:tc>
      </w:tr>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-146,857,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384,501,5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-37,586,0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49,753,17</w:t>
            </w:r>
          </w:p>
        </w:tc>
      </w:tr>
      <w:tr>
        <w:trPr>
          <w:trHeight w:val="30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额（减少以</w:t>
            </w:r>
            <w:r>
              <w:rPr>
                <w:i/>
                <w:iCs/>
                <w:color w:val="000000"/>
                <w:spacing w:val="0"/>
                <w:w w:val="100"/>
                <w:position w:val="0"/>
                <w:sz w:val="14"/>
                <w:szCs w:val="14"/>
              </w:rPr>
              <w:t>j</w:t>
            </w:r>
            <w:r>
              <w:rPr>
                <w:i/>
                <w:iCs/>
                <w:color w:val="000000"/>
                <w:spacing w:val="0"/>
                <w:w w:val="100"/>
                <w:position w:val="0"/>
                <w:sz w:val="14"/>
                <w:szCs w:val="14"/>
              </w:rPr>
              <w:t>号</w:t>
            </w:r>
            <w:r>
              <w:rPr>
                <w:color w:val="000000"/>
                <w:spacing w:val="0"/>
                <w:w w:val="100"/>
                <w:position w:val="0"/>
                <w:sz w:val="14"/>
                <w:szCs w:val="14"/>
              </w:rPr>
              <w:t>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651.29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23.36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507,331,7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308,639,8</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69.36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w:t>
            </w: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-155,740,</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480.49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449.65</w:t>
            </w: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27,430,27</w:t>
            </w:r>
          </w:p>
        </w:tc>
      </w:tr>
      <w:tr>
        <w:trPr>
          <w:trHeight w:val="43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股东投入的普通股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-15,224,6</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w:t>
            </w: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-167,946,</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076.09</w:t>
            </w: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-94,366,1</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04.41</w:t>
            </w: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-94,366,1</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部结转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-8,780,17</w:t>
            </w:r>
          </w:p>
        </w:tc>
      </w:tr>
      <w:tr>
        <w:trPr>
          <w:trHeight w:val="437" w:hRule="exact"/>
        </w:trPr>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bl>
    <w:p>
      <w:pPr>
        <w:sectPr>
          <w:footnotePr>
            <w:pos w:val="pageBottom"/>
            <w:numFmt w:val="decimal"/>
            <w:numRestart w:val="continuous"/>
          </w:footnotePr>
          <w:pgSz w:w="11900" w:h="16840"/>
          <w:pgMar w:top="1444" w:right="693" w:bottom="1230" w:left="705" w:header="0" w:footer="3" w:gutter="0"/>
          <w:cols w:space="720"/>
          <w:noEndnote/>
          <w:rtlGutter w:val="0"/>
          <w:docGrid w:linePitch="360"/>
        </w:sectPr>
      </w:pPr>
    </w:p>
    <w:p>
      <w:pPr>
        <w:widowControl w:val="0"/>
        <w:spacing w:line="1" w:lineRule="exact"/>
      </w:pPr>
      <w:r>
        <mc:AlternateContent>
          <mc:Choice Requires="wps">
            <w:drawing>
              <wp:anchor distT="194945" distB="475615" distL="0" distR="0" simplePos="0" relativeHeight="125829390" behindDoc="0" locked="0" layoutInCell="1" allowOverlap="1">
                <wp:simplePos x="0" y="0"/>
                <wp:positionH relativeFrom="page">
                  <wp:posOffset>728980</wp:posOffset>
                </wp:positionH>
                <wp:positionV relativeFrom="paragraph">
                  <wp:posOffset>194945</wp:posOffset>
                </wp:positionV>
                <wp:extent cx="780415" cy="128270"/>
                <wp:wrapTopAndBottom/>
                <wp:docPr id="64" name="Shape 64"/>
                <a:graphic xmlns:a="http://schemas.openxmlformats.org/drawingml/2006/main">
                  <a:graphicData uri="http://schemas.microsoft.com/office/word/2010/wordprocessingShape">
                    <wps:wsp>
                      <wps:cNvSpPr txBox="1"/>
                      <wps:spPr>
                        <a:xfrm>
                          <a:ext cx="780415"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wps:txbx>
                      <wps:bodyPr wrap="none" lIns="0" tIns="0" rIns="0" bIns="0">
                        <a:noAutoFit/>
                      </wps:bodyPr>
                    </wps:wsp>
                  </a:graphicData>
                </a:graphic>
              </wp:anchor>
            </w:drawing>
          </mc:Choice>
          <mc:Fallback>
            <w:pict>
              <v:shape id="_x0000_s1090" type="#_x0000_t202" style="position:absolute;margin-left:57.399999999999999pt;margin-top:15.35pt;width:61.450000000000003pt;height:10.1pt;z-index:-125829363;mso-wrap-distance-left:0;mso-wrap-distance-top:15.35pt;mso-wrap-distance-right:0;mso-wrap-distance-bottom:37.450000000000003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v:textbox>
                <w10:wrap type="topAndBottom" anchorx="page"/>
              </v:shape>
            </w:pict>
          </mc:Fallback>
        </mc:AlternateContent>
      </w:r>
      <w:r>
        <mc:AlternateContent>
          <mc:Choice Requires="wps">
            <w:drawing>
              <wp:anchor distT="0" distB="277495" distL="0" distR="0" simplePos="0" relativeHeight="125829392" behindDoc="0" locked="0" layoutInCell="1" allowOverlap="1">
                <wp:simplePos x="0" y="0"/>
                <wp:positionH relativeFrom="page">
                  <wp:posOffset>1671320</wp:posOffset>
                </wp:positionH>
                <wp:positionV relativeFrom="paragraph">
                  <wp:posOffset>0</wp:posOffset>
                </wp:positionV>
                <wp:extent cx="313690" cy="521335"/>
                <wp:wrapTopAndBottom/>
                <wp:docPr id="66" name="Shape 66"/>
                <a:graphic xmlns:a="http://schemas.openxmlformats.org/drawingml/2006/main">
                  <a:graphicData uri="http://schemas.microsoft.com/office/word/2010/wordprocessingShape">
                    <wps:wsp>
                      <wps:cNvSpPr txBox="1"/>
                      <wps:spPr>
                        <a:xfrm>
                          <a:ext cx="313690" cy="521335"/>
                        </a:xfrm>
                        <a:prstGeom prst="rect"/>
                        <a:noFill/>
                      </wps:spPr>
                      <wps:txbx>
                        <w:txbxContent>
                          <w:p>
                            <w:pPr>
                              <w:pStyle w:val="Style78"/>
                              <w:keepNext w:val="0"/>
                              <w:keepLines w:val="0"/>
                              <w:widowControl w:val="0"/>
                              <w:shd w:val="clear" w:color="auto" w:fill="auto"/>
                              <w:bidi w:val="0"/>
                              <w:spacing w:before="0" w:after="140" w:line="240" w:lineRule="auto"/>
                              <w:ind w:left="0" w:right="0" w:firstLine="0"/>
                              <w:jc w:val="left"/>
                            </w:pPr>
                            <w:r>
                              <w:rPr>
                                <w:color w:val="000000"/>
                                <w:spacing w:val="0"/>
                                <w:w w:val="100"/>
                                <w:position w:val="0"/>
                              </w:rPr>
                              <w:t>1,961,0</w:t>
                            </w:r>
                          </w:p>
                          <w:p>
                            <w:pPr>
                              <w:pStyle w:val="Style78"/>
                              <w:keepNext w:val="0"/>
                              <w:keepLines w:val="0"/>
                              <w:widowControl w:val="0"/>
                              <w:shd w:val="clear" w:color="auto" w:fill="auto"/>
                              <w:bidi w:val="0"/>
                              <w:spacing w:before="0" w:after="140" w:line="240" w:lineRule="auto"/>
                              <w:ind w:left="0" w:right="0" w:firstLine="0"/>
                              <w:jc w:val="left"/>
                            </w:pPr>
                            <w:r>
                              <w:rPr>
                                <w:color w:val="000000"/>
                                <w:spacing w:val="0"/>
                                <w:w w:val="100"/>
                                <w:position w:val="0"/>
                              </w:rPr>
                              <w:t>91,984.</w:t>
                            </w:r>
                          </w:p>
                          <w:p>
                            <w:pPr>
                              <w:pStyle w:val="Style7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00</w:t>
                            </w:r>
                          </w:p>
                        </w:txbxContent>
                      </wps:txbx>
                      <wps:bodyPr lIns="0" tIns="0" rIns="0" bIns="0">
                        <a:noAutoFit/>
                      </wps:bodyPr>
                    </wps:wsp>
                  </a:graphicData>
                </a:graphic>
              </wp:anchor>
            </w:drawing>
          </mc:Choice>
          <mc:Fallback>
            <w:pict>
              <v:shape id="_x0000_s1092" type="#_x0000_t202" style="position:absolute;margin-left:131.59999999999999pt;margin-top:0;width:24.699999999999999pt;height:41.050000000000004pt;z-index:-125829361;mso-wrap-distance-left:0;mso-wrap-distance-right:0;mso-wrap-distance-bottom:21.850000000000001pt;mso-position-horizontal-relative:page" filled="f" stroked="f">
                <v:textbox inset="0,0,0,0">
                  <w:txbxContent>
                    <w:p>
                      <w:pPr>
                        <w:pStyle w:val="Style78"/>
                        <w:keepNext w:val="0"/>
                        <w:keepLines w:val="0"/>
                        <w:widowControl w:val="0"/>
                        <w:shd w:val="clear" w:color="auto" w:fill="auto"/>
                        <w:bidi w:val="0"/>
                        <w:spacing w:before="0" w:after="140" w:line="240" w:lineRule="auto"/>
                        <w:ind w:left="0" w:right="0" w:firstLine="0"/>
                        <w:jc w:val="left"/>
                      </w:pPr>
                      <w:r>
                        <w:rPr>
                          <w:color w:val="000000"/>
                          <w:spacing w:val="0"/>
                          <w:w w:val="100"/>
                          <w:position w:val="0"/>
                        </w:rPr>
                        <w:t>1,961,0</w:t>
                      </w:r>
                    </w:p>
                    <w:p>
                      <w:pPr>
                        <w:pStyle w:val="Style78"/>
                        <w:keepNext w:val="0"/>
                        <w:keepLines w:val="0"/>
                        <w:widowControl w:val="0"/>
                        <w:shd w:val="clear" w:color="auto" w:fill="auto"/>
                        <w:bidi w:val="0"/>
                        <w:spacing w:before="0" w:after="140" w:line="240" w:lineRule="auto"/>
                        <w:ind w:left="0" w:right="0" w:firstLine="0"/>
                        <w:jc w:val="left"/>
                      </w:pPr>
                      <w:r>
                        <w:rPr>
                          <w:color w:val="000000"/>
                          <w:spacing w:val="0"/>
                          <w:w w:val="100"/>
                          <w:position w:val="0"/>
                        </w:rPr>
                        <w:t>91,984.</w:t>
                      </w:r>
                    </w:p>
                    <w:p>
                      <w:pPr>
                        <w:pStyle w:val="Style7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00</w:t>
                      </w:r>
                    </w:p>
                  </w:txbxContent>
                </v:textbox>
                <w10:wrap type="topAndBottom" anchorx="page"/>
              </v:shape>
            </w:pict>
          </mc:Fallback>
        </mc:AlternateContent>
      </w:r>
      <w:r>
        <mc:AlternateContent>
          <mc:Choice Requires="wps">
            <w:drawing>
              <wp:anchor distT="100330" distB="378460" distL="0" distR="0" simplePos="0" relativeHeight="125829394" behindDoc="0" locked="0" layoutInCell="1" allowOverlap="1">
                <wp:simplePos x="0" y="0"/>
                <wp:positionH relativeFrom="page">
                  <wp:posOffset>3006090</wp:posOffset>
                </wp:positionH>
                <wp:positionV relativeFrom="paragraph">
                  <wp:posOffset>100330</wp:posOffset>
                </wp:positionV>
                <wp:extent cx="414655" cy="320040"/>
                <wp:wrapTopAndBottom/>
                <wp:docPr id="68" name="Shape 68"/>
                <a:graphic xmlns:a="http://schemas.openxmlformats.org/drawingml/2006/main">
                  <a:graphicData uri="http://schemas.microsoft.com/office/word/2010/wordprocessingShape">
                    <wps:wsp>
                      <wps:cNvSpPr txBox="1"/>
                      <wps:spPr>
                        <a:xfrm>
                          <a:ext cx="414655" cy="320040"/>
                        </a:xfrm>
                        <a:prstGeom prst="rect"/>
                        <a:noFill/>
                      </wps:spPr>
                      <wps:txbx>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377,830,8</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xbxContent>
                      </wps:txbx>
                      <wps:bodyPr lIns="0" tIns="0" rIns="0" bIns="0">
                        <a:noAutoFit/>
                      </wps:bodyPr>
                    </wps:wsp>
                  </a:graphicData>
                </a:graphic>
              </wp:anchor>
            </w:drawing>
          </mc:Choice>
          <mc:Fallback>
            <w:pict>
              <v:shape id="_x0000_s1094" type="#_x0000_t202" style="position:absolute;margin-left:236.70000000000002pt;margin-top:7.9000000000000004pt;width:32.649999999999999pt;height:25.199999999999999pt;z-index:-125829359;mso-wrap-distance-left:0;mso-wrap-distance-top:7.9000000000000004pt;mso-wrap-distance-right:0;mso-wrap-distance-bottom:29.800000000000001pt;mso-position-horizontal-relative:page" filled="f" stroked="f">
                <v:textbox inset="0,0,0,0">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377,830,8</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xbxContent>
                </v:textbox>
                <w10:wrap type="topAndBottom" anchorx="page"/>
              </v:shape>
            </w:pict>
          </mc:Fallback>
        </mc:AlternateContent>
      </w:r>
      <w:r>
        <mc:AlternateContent>
          <mc:Choice Requires="wps">
            <w:drawing>
              <wp:anchor distT="198120" distB="478790" distL="0" distR="0" simplePos="0" relativeHeight="125829396" behindDoc="0" locked="0" layoutInCell="1" allowOverlap="1">
                <wp:simplePos x="0" y="0"/>
                <wp:positionH relativeFrom="page">
                  <wp:posOffset>3850640</wp:posOffset>
                </wp:positionH>
                <wp:positionV relativeFrom="paragraph">
                  <wp:posOffset>198120</wp:posOffset>
                </wp:positionV>
                <wp:extent cx="411480" cy="121920"/>
                <wp:wrapTopAndBottom/>
                <wp:docPr id="70" name="Shape 70"/>
                <a:graphic xmlns:a="http://schemas.openxmlformats.org/drawingml/2006/main">
                  <a:graphicData uri="http://schemas.microsoft.com/office/word/2010/wordprocessingShape">
                    <wps:wsp>
                      <wps:cNvSpPr txBox="1"/>
                      <wps:spPr>
                        <a:xfrm>
                          <a:ext cx="411480" cy="12192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38,807.98</w:t>
                            </w:r>
                          </w:p>
                        </w:txbxContent>
                      </wps:txbx>
                      <wps:bodyPr wrap="none" lIns="0" tIns="0" rIns="0" bIns="0">
                        <a:noAutoFit/>
                      </wps:bodyPr>
                    </wps:wsp>
                  </a:graphicData>
                </a:graphic>
              </wp:anchor>
            </w:drawing>
          </mc:Choice>
          <mc:Fallback>
            <w:pict>
              <v:shape id="_x0000_s1096" type="#_x0000_t202" style="position:absolute;margin-left:303.19999999999999pt;margin-top:15.6pt;width:32.399999999999999pt;height:9.5999999999999996pt;z-index:-125829357;mso-wrap-distance-left:0;mso-wrap-distance-top:15.6pt;mso-wrap-distance-right:0;mso-wrap-distance-bottom:37.700000000000003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38,807.98</w:t>
                      </w:r>
                    </w:p>
                  </w:txbxContent>
                </v:textbox>
                <w10:wrap type="topAndBottom" anchorx="page"/>
              </v:shape>
            </w:pict>
          </mc:Fallback>
        </mc:AlternateContent>
      </w:r>
      <w:r>
        <mc:AlternateContent>
          <mc:Choice Requires="wps">
            <w:drawing>
              <wp:anchor distT="100330" distB="378460" distL="0" distR="0" simplePos="0" relativeHeight="125829398" behindDoc="0" locked="0" layoutInCell="1" allowOverlap="1">
                <wp:simplePos x="0" y="0"/>
                <wp:positionH relativeFrom="page">
                  <wp:posOffset>4694555</wp:posOffset>
                </wp:positionH>
                <wp:positionV relativeFrom="paragraph">
                  <wp:posOffset>100330</wp:posOffset>
                </wp:positionV>
                <wp:extent cx="414655" cy="320040"/>
                <wp:wrapTopAndBottom/>
                <wp:docPr id="72" name="Shape 72"/>
                <a:graphic xmlns:a="http://schemas.openxmlformats.org/drawingml/2006/main">
                  <a:graphicData uri="http://schemas.microsoft.com/office/word/2010/wordprocessingShape">
                    <wps:wsp>
                      <wps:cNvSpPr txBox="1"/>
                      <wps:spPr>
                        <a:xfrm>
                          <a:ext cx="414655" cy="320040"/>
                        </a:xfrm>
                        <a:prstGeom prst="rect"/>
                        <a:noFill/>
                      </wps:spPr>
                      <wps:txbx>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225,840,9</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97.25</w:t>
                            </w:r>
                          </w:p>
                        </w:txbxContent>
                      </wps:txbx>
                      <wps:bodyPr lIns="0" tIns="0" rIns="0" bIns="0">
                        <a:noAutoFit/>
                      </wps:bodyPr>
                    </wps:wsp>
                  </a:graphicData>
                </a:graphic>
              </wp:anchor>
            </w:drawing>
          </mc:Choice>
          <mc:Fallback>
            <w:pict>
              <v:shape id="_x0000_s1098" type="#_x0000_t202" style="position:absolute;margin-left:369.65000000000003pt;margin-top:7.9000000000000004pt;width:32.649999999999999pt;height:25.199999999999999pt;z-index:-125829355;mso-wrap-distance-left:0;mso-wrap-distance-top:7.9000000000000004pt;mso-wrap-distance-right:0;mso-wrap-distance-bottom:29.800000000000001pt;mso-position-horizontal-relative:page" filled="f" stroked="f">
                <v:textbox inset="0,0,0,0">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225,840,9</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97.25</w:t>
                      </w:r>
                    </w:p>
                  </w:txbxContent>
                </v:textbox>
                <w10:wrap type="topAndBottom" anchorx="page"/>
              </v:shape>
            </w:pict>
          </mc:Fallback>
        </mc:AlternateContent>
      </w:r>
      <w:r>
        <mc:AlternateContent>
          <mc:Choice Requires="wps">
            <w:drawing>
              <wp:anchor distT="100330" distB="378460" distL="0" distR="0" simplePos="0" relativeHeight="125829400" behindDoc="0" locked="0" layoutInCell="1" allowOverlap="1">
                <wp:simplePos x="0" y="0"/>
                <wp:positionH relativeFrom="page">
                  <wp:posOffset>5539105</wp:posOffset>
                </wp:positionH>
                <wp:positionV relativeFrom="paragraph">
                  <wp:posOffset>100330</wp:posOffset>
                </wp:positionV>
                <wp:extent cx="1252855" cy="320040"/>
                <wp:wrapTopAndBottom/>
                <wp:docPr id="74" name="Shape 74"/>
                <a:graphic xmlns:a="http://schemas.openxmlformats.org/drawingml/2006/main">
                  <a:graphicData uri="http://schemas.microsoft.com/office/word/2010/wordprocessingShape">
                    <wps:wsp>
                      <wps:cNvSpPr txBox="1"/>
                      <wps:spPr>
                        <a:xfrm>
                          <a:ext cx="1252855" cy="320040"/>
                        </a:xfrm>
                        <a:prstGeom prst="rect"/>
                        <a:noFill/>
                      </wps:spPr>
                      <wps:txbx>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2,468,546 1,270,857 5,034,620</w:t>
                            </w:r>
                          </w:p>
                          <w:p>
                            <w:pPr>
                              <w:pStyle w:val="Style78"/>
                              <w:keepNext w:val="0"/>
                              <w:keepLines w:val="0"/>
                              <w:widowControl w:val="0"/>
                              <w:shd w:val="clear" w:color="auto" w:fill="auto"/>
                              <w:tabs>
                                <w:tab w:pos="926" w:val="left"/>
                                <w:tab w:pos="1315" w:val="left"/>
                              </w:tabs>
                              <w:bidi w:val="0"/>
                              <w:spacing w:before="0" w:after="0" w:line="240" w:lineRule="auto"/>
                              <w:ind w:left="0" w:right="0" w:firstLine="0"/>
                              <w:jc w:val="right"/>
                            </w:pPr>
                            <w:r>
                              <w:rPr>
                                <w:color w:val="000000"/>
                                <w:spacing w:val="0"/>
                                <w:w w:val="100"/>
                                <w:position w:val="0"/>
                              </w:rPr>
                              <w:t>,635.77</w:t>
                              <w:tab/>
                              <w:t>.40</w:t>
                              <w:tab/>
                              <w:t>,094.14</w:t>
                            </w:r>
                          </w:p>
                        </w:txbxContent>
                      </wps:txbx>
                      <wps:bodyPr lIns="0" tIns="0" rIns="0" bIns="0">
                        <a:noAutoFit/>
                      </wps:bodyPr>
                    </wps:wsp>
                  </a:graphicData>
                </a:graphic>
              </wp:anchor>
            </w:drawing>
          </mc:Choice>
          <mc:Fallback>
            <w:pict>
              <v:shape id="_x0000_s1100" type="#_x0000_t202" style="position:absolute;margin-left:436.15000000000003pt;margin-top:7.9000000000000004pt;width:98.650000000000006pt;height:25.199999999999999pt;z-index:-125829353;mso-wrap-distance-left:0;mso-wrap-distance-top:7.9000000000000004pt;mso-wrap-distance-right:0;mso-wrap-distance-bottom:29.800000000000001pt;mso-position-horizontal-relative:page" filled="f" stroked="f">
                <v:textbox inset="0,0,0,0">
                  <w:txbxContent>
                    <w:p>
                      <w:pPr>
                        <w:pStyle w:val="Style78"/>
                        <w:keepNext w:val="0"/>
                        <w:keepLines w:val="0"/>
                        <w:widowControl w:val="0"/>
                        <w:shd w:val="clear" w:color="auto" w:fill="auto"/>
                        <w:bidi w:val="0"/>
                        <w:spacing w:before="0" w:line="240" w:lineRule="auto"/>
                        <w:ind w:left="0" w:right="0" w:firstLine="0"/>
                        <w:jc w:val="right"/>
                      </w:pPr>
                      <w:r>
                        <w:rPr>
                          <w:color w:val="000000"/>
                          <w:spacing w:val="0"/>
                          <w:w w:val="100"/>
                          <w:position w:val="0"/>
                        </w:rPr>
                        <w:t>2,468,546 1,270,857 5,034,620</w:t>
                      </w:r>
                    </w:p>
                    <w:p>
                      <w:pPr>
                        <w:pStyle w:val="Style78"/>
                        <w:keepNext w:val="0"/>
                        <w:keepLines w:val="0"/>
                        <w:widowControl w:val="0"/>
                        <w:shd w:val="clear" w:color="auto" w:fill="auto"/>
                        <w:tabs>
                          <w:tab w:pos="926" w:val="left"/>
                          <w:tab w:pos="1315" w:val="left"/>
                        </w:tabs>
                        <w:bidi w:val="0"/>
                        <w:spacing w:before="0" w:after="0" w:line="240" w:lineRule="auto"/>
                        <w:ind w:left="0" w:right="0" w:firstLine="0"/>
                        <w:jc w:val="right"/>
                      </w:pPr>
                      <w:r>
                        <w:rPr>
                          <w:color w:val="000000"/>
                          <w:spacing w:val="0"/>
                          <w:w w:val="100"/>
                          <w:position w:val="0"/>
                        </w:rPr>
                        <w:t>,635.77</w:t>
                        <w:tab/>
                        <w:t>.40</w:t>
                        <w:tab/>
                        <w:t>,094.14</w:t>
                      </w:r>
                    </w:p>
                  </w:txbxContent>
                </v:textbox>
                <w10:wrap type="topAndBottom" anchorx="page"/>
              </v:shape>
            </w:pict>
          </mc:Fallback>
        </mc:AlternateContent>
      </w:r>
      <w:r>
        <mc:AlternateContent>
          <mc:Choice Requires="wps">
            <w:drawing>
              <wp:anchor distT="636905" distB="12700" distL="0" distR="0" simplePos="0" relativeHeight="125829402" behindDoc="0" locked="0" layoutInCell="1" allowOverlap="1">
                <wp:simplePos x="0" y="0"/>
                <wp:positionH relativeFrom="page">
                  <wp:posOffset>704850</wp:posOffset>
                </wp:positionH>
                <wp:positionV relativeFrom="paragraph">
                  <wp:posOffset>636905</wp:posOffset>
                </wp:positionV>
                <wp:extent cx="484505" cy="149225"/>
                <wp:wrapTopAndBottom/>
                <wp:docPr id="76" name="Shape 7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102" type="#_x0000_t202" style="position:absolute;margin-left:55.5pt;margin-top:50.149999999999999pt;width:38.149999999999999pt;height:11.75pt;z-index:-125829351;mso-wrap-distance-left:0;mso-wrap-distance-top:50.149999999999999pt;mso-wrap-distance-right:0;mso-wrap-distance-bottom: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type="topAndBottom" anchorx="page"/>
              </v:shape>
            </w:pict>
          </mc:Fallback>
        </mc:AlternateContent>
      </w:r>
    </w:p>
    <w:p>
      <w:pPr>
        <w:pStyle w:val="Style7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少数股</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所有者权</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减：库存</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一般风险</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未分配利</w:t>
            </w:r>
          </w:p>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1,472,188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1,912,583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4,960,197</w:t>
            </w:r>
          </w:p>
        </w:tc>
      </w:tr>
      <w:tr>
        <w:trPr>
          <w:trHeight w:val="30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,957.80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,124.09</w:t>
            </w: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加：会计政策变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前期差错更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同一控制下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1,472,188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1,912,583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4,960,197</w:t>
            </w:r>
          </w:p>
        </w:tc>
      </w:tr>
      <w:tr>
        <w:trPr>
          <w:trHeight w:val="30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,957.80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,124.09</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24,669,79</w:t>
            </w:r>
          </w:p>
        </w:tc>
      </w:tr>
      <w:tr>
        <w:trPr>
          <w:trHeight w:val="30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额（减少以</w:t>
            </w:r>
            <w:r>
              <w:rPr>
                <w:i/>
                <w:iCs/>
                <w:color w:val="000000"/>
                <w:spacing w:val="0"/>
                <w:w w:val="100"/>
                <w:position w:val="0"/>
                <w:sz w:val="14"/>
                <w:szCs w:val="14"/>
              </w:rPr>
              <w:t>j</w:t>
            </w:r>
            <w:r>
              <w:rPr>
                <w:i/>
                <w:iCs/>
                <w:color w:val="000000"/>
                <w:spacing w:val="0"/>
                <w:w w:val="100"/>
                <w:position w:val="0"/>
                <w:sz w:val="14"/>
                <w:szCs w:val="14"/>
              </w:rPr>
              <w:t>号</w:t>
            </w:r>
            <w:r>
              <w:rPr>
                <w:color w:val="000000"/>
                <w:spacing w:val="0"/>
                <w:w w:val="100"/>
                <w:position w:val="0"/>
                <w:sz w:val="14"/>
                <w:szCs w:val="14"/>
              </w:rPr>
              <w:t>填</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494.77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39.97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列）</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351,341,1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-57,579,0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461,892,6</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w:t>
            </w: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-277,772,</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025.73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676.03</w:t>
            </w: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54,334,00</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股东投入的普通股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18,615,36</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-350,722,</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15.66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-159,312,</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8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20,566,81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-20,566,8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-159,312,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-159,312,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（四）所有者权益内</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663,920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-663,920,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663,920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-663,920,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-137,828.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-137,828.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1,994,4</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79,926.</w:t>
            </w:r>
          </w:p>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524,688,4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15,905,92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161,325,5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197,376,9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2,084,045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38,856,8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4,984,866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,921.68</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8</w:t>
      </w:r>
      <w:bookmarkEnd w:id="673"/>
      <w:r>
        <w:rPr>
          <w:color w:val="000000"/>
          <w:spacing w:val="0"/>
          <w:w w:val="100"/>
          <w:position w:val="0"/>
        </w:rPr>
        <w:t>、母公司所有者权益变动表</w:t>
      </w:r>
      <w:bookmarkEnd w:id="671"/>
      <w:bookmarkEnd w:id="672"/>
      <w:bookmarkEnd w:id="67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7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未分配利</w:t>
            </w:r>
          </w:p>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160" w:firstLine="0"/>
              <w:jc w:val="right"/>
              <w:rPr>
                <w:sz w:val="14"/>
                <w:szCs w:val="14"/>
              </w:rPr>
            </w:pPr>
            <w:r>
              <w:rPr>
                <w:color w:val="000000"/>
                <w:spacing w:val="0"/>
                <w:w w:val="100"/>
                <w:position w:val="0"/>
                <w:sz w:val="14"/>
                <w:szCs w:val="14"/>
              </w:rPr>
              <w:t>所有者权</w:t>
            </w:r>
          </w:p>
          <w:p>
            <w:pPr>
              <w:pStyle w:val="Style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1,994,479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528,063,56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163,867,77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196,471,61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862,283,8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3,729,260,7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color w:val="000000"/>
                <w:spacing w:val="0"/>
                <w:w w:val="100"/>
                <w:position w:val="0"/>
                <w:sz w:val="14"/>
                <w:szCs w:val="14"/>
              </w:rPr>
              <w:t>加：会计政策变</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620"/>
              <w:jc w:val="left"/>
              <w:rPr>
                <w:sz w:val="14"/>
                <w:szCs w:val="14"/>
              </w:rPr>
            </w:pPr>
            <w:r>
              <w:rPr>
                <w:color w:val="000000"/>
                <w:spacing w:val="0"/>
                <w:w w:val="100"/>
                <w:position w:val="0"/>
                <w:sz w:val="14"/>
                <w:szCs w:val="14"/>
              </w:rPr>
              <w:t>前期差错更</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802"/>
        <w:gridCol w:w="792"/>
        <w:gridCol w:w="797"/>
        <w:gridCol w:w="797"/>
        <w:gridCol w:w="677"/>
        <w:gridCol w:w="792"/>
      </w:tblGrid>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1,994,479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528,063,56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163,867,77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196,471,61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862,283,8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3,729,260,7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三、本期增减变动金</w:t>
            </w:r>
          </w:p>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额（减少以</w:t>
            </w:r>
            <w:r>
              <w:rPr>
                <w:i/>
                <w:iCs/>
                <w:color w:val="000000"/>
                <w:spacing w:val="0"/>
                <w:w w:val="100"/>
                <w:position w:val="0"/>
                <w:sz w:val="14"/>
                <w:szCs w:val="14"/>
              </w:rPr>
              <w:t>j</w:t>
            </w:r>
            <w:r>
              <w:rPr>
                <w:i/>
                <w:iCs/>
                <w:color w:val="000000"/>
                <w:spacing w:val="0"/>
                <w:w w:val="100"/>
                <w:position w:val="0"/>
                <w:sz w:val="14"/>
                <w:szCs w:val="14"/>
              </w:rPr>
              <w:t>号</w:t>
            </w:r>
            <w:r>
              <w:rPr>
                <w:color w:val="000000"/>
                <w:spacing w:val="0"/>
                <w:w w:val="100"/>
                <w:position w:val="0"/>
                <w:sz w:val="14"/>
                <w:szCs w:val="14"/>
              </w:rPr>
              <w:t>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-33,387,9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-144,380,88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-161,958,28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28,464,088.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161,810,6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-133,546,41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-161,958,28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284,640,8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122,682,59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（二）所有者投入和</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-33,387,9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-135,600,71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-153,082,72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-3,863,35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32,891,886.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29,028,534.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-31,130,573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-15,224,647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-29,524,5</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-137,362,02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-166,886,61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28,464,088.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-122,830,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-94,366,104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28,464,088.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-28,464,0</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.对所有者（或股东）</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-94,366,1</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-94,366,104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（四）所有者权益内</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-8,780,170.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-8,780,170.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spacing w:lineRule="exact" w:line="1"/>
        <w:rPr>
          <w:sz w:val="2"/>
          <w:szCs w:val="2"/>
        </w:rPr>
      </w:pPr>
      <w:r>
        <w:br w:type="page"/>
      </w:r>
    </w:p>
    <w:p>
      <w:pPr>
        <w:widowControl w:val="0"/>
        <w:spacing w:line="1" w:lineRule="exact"/>
      </w:pPr>
      <w:r>
        <mc:AlternateContent>
          <mc:Choice Requires="wps">
            <w:drawing>
              <wp:anchor distT="94615" distB="384175" distL="0" distR="0" simplePos="0" relativeHeight="125829404" behindDoc="0" locked="0" layoutInCell="1" allowOverlap="1">
                <wp:simplePos x="0" y="0"/>
                <wp:positionH relativeFrom="page">
                  <wp:posOffset>728980</wp:posOffset>
                </wp:positionH>
                <wp:positionV relativeFrom="paragraph">
                  <wp:posOffset>94615</wp:posOffset>
                </wp:positionV>
                <wp:extent cx="780415" cy="121920"/>
                <wp:wrapTopAndBottom/>
                <wp:docPr id="78" name="Shape 78"/>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wps:txbx>
                      <wps:bodyPr wrap="none" lIns="0" tIns="0" rIns="0" bIns="0">
                        <a:noAutoFit/>
                      </wps:bodyPr>
                    </wps:wsp>
                  </a:graphicData>
                </a:graphic>
              </wp:anchor>
            </w:drawing>
          </mc:Choice>
          <mc:Fallback>
            <w:pict>
              <v:shape id="_x0000_s1104" type="#_x0000_t202" style="position:absolute;margin-left:57.399999999999999pt;margin-top:7.4500000000000002pt;width:61.450000000000003pt;height:9.5999999999999996pt;z-index:-125829349;mso-wrap-distance-left:0;mso-wrap-distance-top:7.4500000000000002pt;mso-wrap-distance-right:0;mso-wrap-distance-bottom:3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v:textbox>
                <w10:wrap type="topAndBottom" anchorx="page"/>
              </v:shape>
            </w:pict>
          </mc:Fallback>
        </mc:AlternateContent>
      </w:r>
      <w:r>
        <mc:AlternateContent>
          <mc:Choice Requires="wps">
            <w:drawing>
              <wp:anchor distT="0" distB="277495" distL="0" distR="0" simplePos="0" relativeHeight="125829406" behindDoc="0" locked="0" layoutInCell="1" allowOverlap="1">
                <wp:simplePos x="0" y="0"/>
                <wp:positionH relativeFrom="page">
                  <wp:posOffset>1668145</wp:posOffset>
                </wp:positionH>
                <wp:positionV relativeFrom="paragraph">
                  <wp:posOffset>0</wp:posOffset>
                </wp:positionV>
                <wp:extent cx="399415" cy="323215"/>
                <wp:wrapTopAndBottom/>
                <wp:docPr id="80" name="Shape 80"/>
                <a:graphic xmlns:a="http://schemas.openxmlformats.org/drawingml/2006/main">
                  <a:graphicData uri="http://schemas.microsoft.com/office/word/2010/wordprocessingShape">
                    <wps:wsp>
                      <wps:cNvSpPr txBox="1"/>
                      <wps:spPr>
                        <a:xfrm>
                          <a:ext cx="399415" cy="323215"/>
                        </a:xfrm>
                        <a:prstGeom prst="rect"/>
                        <a:noFill/>
                      </wps:spPr>
                      <wps:txbx>
                        <w:txbxContent>
                          <w:p>
                            <w:pPr>
                              <w:pStyle w:val="Style7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1,961,091</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w:t>
                            </w:r>
                          </w:p>
                        </w:txbxContent>
                      </wps:txbx>
                      <wps:bodyPr lIns="0" tIns="0" rIns="0" bIns="0">
                        <a:noAutoFit/>
                      </wps:bodyPr>
                    </wps:wsp>
                  </a:graphicData>
                </a:graphic>
              </wp:anchor>
            </w:drawing>
          </mc:Choice>
          <mc:Fallback>
            <w:pict>
              <v:shape id="_x0000_s1106" type="#_x0000_t202" style="position:absolute;margin-left:131.34999999999999pt;margin-top:0;width:31.449999999999999pt;height:25.449999999999999pt;z-index:-125829347;mso-wrap-distance-left:0;mso-wrap-distance-right:0;mso-wrap-distance-bottom:21.850000000000001pt;mso-position-horizontal-relative:page" filled="f" stroked="f">
                <v:textbox inset="0,0,0,0">
                  <w:txbxContent>
                    <w:p>
                      <w:pPr>
                        <w:pStyle w:val="Style7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1,961,091</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w:t>
                      </w:r>
                    </w:p>
                  </w:txbxContent>
                </v:textbox>
                <w10:wrap type="topAndBottom" anchorx="page"/>
              </v:shape>
            </w:pict>
          </mc:Fallback>
        </mc:AlternateContent>
      </w:r>
      <w:r>
        <mc:AlternateContent>
          <mc:Choice Requires="wps">
            <w:drawing>
              <wp:anchor distT="0" distB="277495" distL="0" distR="0" simplePos="0" relativeHeight="125829408" behindDoc="0" locked="0" layoutInCell="1" allowOverlap="1">
                <wp:simplePos x="0" y="0"/>
                <wp:positionH relativeFrom="page">
                  <wp:posOffset>3383915</wp:posOffset>
                </wp:positionH>
                <wp:positionV relativeFrom="paragraph">
                  <wp:posOffset>0</wp:posOffset>
                </wp:positionV>
                <wp:extent cx="457200" cy="323215"/>
                <wp:wrapTopAndBottom/>
                <wp:docPr id="82" name="Shape 82"/>
                <a:graphic xmlns:a="http://schemas.openxmlformats.org/drawingml/2006/main">
                  <a:graphicData uri="http://schemas.microsoft.com/office/word/2010/wordprocessingShape">
                    <wps:wsp>
                      <wps:cNvSpPr txBox="1"/>
                      <wps:spPr>
                        <a:xfrm>
                          <a:ext cx="457200" cy="323215"/>
                        </a:xfrm>
                        <a:prstGeom prst="rect"/>
                        <a:noFill/>
                      </wps:spPr>
                      <wps:txbx>
                        <w:txbxContent>
                          <w:p>
                            <w:pPr>
                              <w:pStyle w:val="Style7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383,682,67</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xbxContent>
                      </wps:txbx>
                      <wps:bodyPr lIns="0" tIns="0" rIns="0" bIns="0">
                        <a:noAutoFit/>
                      </wps:bodyPr>
                    </wps:wsp>
                  </a:graphicData>
                </a:graphic>
              </wp:anchor>
            </w:drawing>
          </mc:Choice>
          <mc:Fallback>
            <w:pict>
              <v:shape id="_x0000_s1108" type="#_x0000_t202" style="position:absolute;margin-left:266.44999999999999pt;margin-top:0;width:36.pt;height:25.449999999999999pt;z-index:-125829345;mso-wrap-distance-left:0;mso-wrap-distance-right:0;mso-wrap-distance-bottom:21.850000000000001pt;mso-position-horizontal-relative:page" filled="f" stroked="f">
                <v:textbox inset="0,0,0,0">
                  <w:txbxContent>
                    <w:p>
                      <w:pPr>
                        <w:pStyle w:val="Style7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383,682,67</w:t>
                      </w:r>
                    </w:p>
                    <w:p>
                      <w:pPr>
                        <w:pStyle w:val="Style7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xbxContent>
                </v:textbox>
                <w10:wrap type="topAndBottom" anchorx="page"/>
              </v:shape>
            </w:pict>
          </mc:Fallback>
        </mc:AlternateContent>
      </w:r>
      <w:r>
        <mc:AlternateContent>
          <mc:Choice Requires="wps">
            <w:drawing>
              <wp:anchor distT="0" distB="277495" distL="0" distR="0" simplePos="0" relativeHeight="125829410" behindDoc="0" locked="0" layoutInCell="1" allowOverlap="1">
                <wp:simplePos x="0" y="0"/>
                <wp:positionH relativeFrom="page">
                  <wp:posOffset>4380865</wp:posOffset>
                </wp:positionH>
                <wp:positionV relativeFrom="paragraph">
                  <wp:posOffset>0</wp:posOffset>
                </wp:positionV>
                <wp:extent cx="2414270" cy="323215"/>
                <wp:wrapTopAndBottom/>
                <wp:docPr id="84" name="Shape 84"/>
                <a:graphic xmlns:a="http://schemas.openxmlformats.org/drawingml/2006/main">
                  <a:graphicData uri="http://schemas.microsoft.com/office/word/2010/wordprocessingShape">
                    <wps:wsp>
                      <wps:cNvSpPr txBox="1"/>
                      <wps:spPr>
                        <a:xfrm>
                          <a:ext cx="2414270" cy="323215"/>
                        </a:xfrm>
                        <a:prstGeom prst="rect"/>
                        <a:noFill/>
                      </wps:spPr>
                      <wps:txbx>
                        <w:txbxContent>
                          <w:p>
                            <w:pPr>
                              <w:pStyle w:val="Style78"/>
                              <w:keepNext w:val="0"/>
                              <w:keepLines w:val="0"/>
                              <w:widowControl w:val="0"/>
                              <w:shd w:val="clear" w:color="auto" w:fill="auto"/>
                              <w:tabs>
                                <w:tab w:pos="1598" w:val="left"/>
                              </w:tabs>
                              <w:bidi w:val="0"/>
                              <w:spacing w:before="0" w:after="140" w:line="240" w:lineRule="auto"/>
                              <w:ind w:left="0" w:right="0" w:firstLine="0"/>
                              <w:jc w:val="right"/>
                            </w:pPr>
                            <w:r>
                              <w:rPr>
                                <w:color w:val="000000"/>
                                <w:spacing w:val="0"/>
                                <w:w w:val="100"/>
                                <w:position w:val="0"/>
                              </w:rPr>
                              <w:t>1,909,490.1</w:t>
                              <w:tab/>
                            </w:r>
                            <w:r>
                              <w:rPr>
                                <w:color w:val="000000"/>
                                <w:spacing w:val="0"/>
                                <w:w w:val="100"/>
                                <w:position w:val="0"/>
                              </w:rPr>
                              <w:t>224,935,69 1,024,094 3,595,714,3</w:t>
                            </w:r>
                          </w:p>
                          <w:p>
                            <w:pPr>
                              <w:pStyle w:val="Style78"/>
                              <w:keepNext w:val="0"/>
                              <w:keepLines w:val="0"/>
                              <w:widowControl w:val="0"/>
                              <w:shd w:val="clear" w:color="auto" w:fill="auto"/>
                              <w:tabs>
                                <w:tab w:pos="1402" w:val="left"/>
                                <w:tab w:pos="1891" w:val="left"/>
                                <w:tab w:pos="2784" w:val="left"/>
                              </w:tabs>
                              <w:bidi w:val="0"/>
                              <w:spacing w:before="0" w:after="0" w:line="240" w:lineRule="auto"/>
                              <w:ind w:left="0" w:right="0" w:firstLine="0"/>
                              <w:jc w:val="right"/>
                            </w:pPr>
                            <w:r>
                              <w:rPr>
                                <w:color w:val="000000"/>
                                <w:spacing w:val="0"/>
                                <w:w w:val="100"/>
                                <w:position w:val="0"/>
                              </w:rPr>
                              <w:t>3</w:t>
                              <w:tab/>
                            </w:r>
                            <w:r>
                              <w:rPr>
                                <w:color w:val="000000"/>
                                <w:spacing w:val="0"/>
                                <w:w w:val="100"/>
                                <w:position w:val="0"/>
                              </w:rPr>
                              <w:t>9.97</w:t>
                              <w:tab/>
                              <w:t>,497.00</w:t>
                              <w:tab/>
                              <w:t>48.89</w:t>
                            </w:r>
                          </w:p>
                        </w:txbxContent>
                      </wps:txbx>
                      <wps:bodyPr lIns="0" tIns="0" rIns="0" bIns="0">
                        <a:noAutoFit/>
                      </wps:bodyPr>
                    </wps:wsp>
                  </a:graphicData>
                </a:graphic>
              </wp:anchor>
            </w:drawing>
          </mc:Choice>
          <mc:Fallback>
            <w:pict>
              <v:shape id="_x0000_s1110" type="#_x0000_t202" style="position:absolute;margin-left:344.94999999999999pt;margin-top:0;width:190.09999999999999pt;height:25.449999999999999pt;z-index:-125829343;mso-wrap-distance-left:0;mso-wrap-distance-right:0;mso-wrap-distance-bottom:21.850000000000001pt;mso-position-horizontal-relative:page" filled="f" stroked="f">
                <v:textbox inset="0,0,0,0">
                  <w:txbxContent>
                    <w:p>
                      <w:pPr>
                        <w:pStyle w:val="Style78"/>
                        <w:keepNext w:val="0"/>
                        <w:keepLines w:val="0"/>
                        <w:widowControl w:val="0"/>
                        <w:shd w:val="clear" w:color="auto" w:fill="auto"/>
                        <w:tabs>
                          <w:tab w:pos="1598" w:val="left"/>
                        </w:tabs>
                        <w:bidi w:val="0"/>
                        <w:spacing w:before="0" w:after="140" w:line="240" w:lineRule="auto"/>
                        <w:ind w:left="0" w:right="0" w:firstLine="0"/>
                        <w:jc w:val="right"/>
                      </w:pPr>
                      <w:r>
                        <w:rPr>
                          <w:color w:val="000000"/>
                          <w:spacing w:val="0"/>
                          <w:w w:val="100"/>
                          <w:position w:val="0"/>
                        </w:rPr>
                        <w:t>1,909,490.1</w:t>
                        <w:tab/>
                      </w:r>
                      <w:r>
                        <w:rPr>
                          <w:color w:val="000000"/>
                          <w:spacing w:val="0"/>
                          <w:w w:val="100"/>
                          <w:position w:val="0"/>
                        </w:rPr>
                        <w:t>224,935,69 1,024,094 3,595,714,3</w:t>
                      </w:r>
                    </w:p>
                    <w:p>
                      <w:pPr>
                        <w:pStyle w:val="Style78"/>
                        <w:keepNext w:val="0"/>
                        <w:keepLines w:val="0"/>
                        <w:widowControl w:val="0"/>
                        <w:shd w:val="clear" w:color="auto" w:fill="auto"/>
                        <w:tabs>
                          <w:tab w:pos="1402" w:val="left"/>
                          <w:tab w:pos="1891" w:val="left"/>
                          <w:tab w:pos="2784" w:val="left"/>
                        </w:tabs>
                        <w:bidi w:val="0"/>
                        <w:spacing w:before="0" w:after="0" w:line="240" w:lineRule="auto"/>
                        <w:ind w:left="0" w:right="0" w:firstLine="0"/>
                        <w:jc w:val="right"/>
                      </w:pPr>
                      <w:r>
                        <w:rPr>
                          <w:color w:val="000000"/>
                          <w:spacing w:val="0"/>
                          <w:w w:val="100"/>
                          <w:position w:val="0"/>
                        </w:rPr>
                        <w:t>3</w:t>
                        <w:tab/>
                      </w:r>
                      <w:r>
                        <w:rPr>
                          <w:color w:val="000000"/>
                          <w:spacing w:val="0"/>
                          <w:w w:val="100"/>
                          <w:position w:val="0"/>
                        </w:rPr>
                        <w:t>9.97</w:t>
                        <w:tab/>
                        <w:t>,497.00</w:t>
                        <w:tab/>
                        <w:t>48.89</w:t>
                      </w:r>
                    </w:p>
                  </w:txbxContent>
                </v:textbox>
                <w10:wrap type="topAndBottom" anchorx="page"/>
              </v:shape>
            </w:pict>
          </mc:Fallback>
        </mc:AlternateContent>
      </w:r>
      <w:r>
        <mc:AlternateContent>
          <mc:Choice Requires="wps">
            <w:drawing>
              <wp:anchor distT="438785" distB="12700" distL="0" distR="0" simplePos="0" relativeHeight="125829412" behindDoc="0" locked="0" layoutInCell="1" allowOverlap="1">
                <wp:simplePos x="0" y="0"/>
                <wp:positionH relativeFrom="page">
                  <wp:posOffset>704850</wp:posOffset>
                </wp:positionH>
                <wp:positionV relativeFrom="paragraph">
                  <wp:posOffset>438785</wp:posOffset>
                </wp:positionV>
                <wp:extent cx="484505" cy="149225"/>
                <wp:wrapTopAndBottom/>
                <wp:docPr id="86" name="Shape 8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112" type="#_x0000_t202" style="position:absolute;margin-left:55.5pt;margin-top:34.550000000000004pt;width:38.149999999999999pt;height:11.75pt;z-index:-125829341;mso-wrap-distance-left:0;mso-wrap-distance-top:34.550000000000004pt;mso-wrap-distance-right:0;mso-wrap-distance-bottom: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type="topAndBottom" anchorx="page"/>
              </v:shape>
            </w:pict>
          </mc:Fallback>
        </mc:AlternateContent>
      </w:r>
    </w:p>
    <w:p>
      <w:pPr>
        <w:pStyle w:val="Style7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240" w:firstLine="0"/>
              <w:jc w:val="righ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未分配利</w:t>
            </w:r>
          </w:p>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160" w:firstLine="0"/>
              <w:jc w:val="right"/>
              <w:rPr>
                <w:sz w:val="14"/>
                <w:szCs w:val="14"/>
              </w:rPr>
            </w:pPr>
            <w:r>
              <w:rPr>
                <w:color w:val="000000"/>
                <w:spacing w:val="0"/>
                <w:w w:val="100"/>
                <w:position w:val="0"/>
                <w:sz w:val="14"/>
                <w:szCs w:val="14"/>
              </w:rPr>
              <w:t>所有者权</w:t>
            </w:r>
          </w:p>
          <w:p>
            <w:pPr>
              <w:pStyle w:val="Style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1,461,847,8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26,448,852.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175,904,79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839,368,0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3,777,053,9</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加：会计政策变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前期差错更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1,461,847,8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26,448,852.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175,904,79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839,368,0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3,777,053,9</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w:t>
            </w:r>
          </w:p>
        </w:tc>
      </w:tr>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-933,784,33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20,566,813.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-47,793,174</w:t>
            </w:r>
          </w:p>
        </w:tc>
      </w:tr>
      <w:tr>
        <w:trPr>
          <w:trHeight w:val="30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额（减少以</w:t>
            </w:r>
            <w:r>
              <w:rPr>
                <w:i/>
                <w:iCs/>
                <w:color w:val="000000"/>
                <w:spacing w:val="0"/>
                <w:w w:val="100"/>
                <w:position w:val="0"/>
                <w:sz w:val="14"/>
                <w:szCs w:val="14"/>
              </w:rPr>
              <w:t>j</w:t>
            </w:r>
            <w:r>
              <w:rPr>
                <w:i/>
                <w:iCs/>
                <w:color w:val="000000"/>
                <w:spacing w:val="0"/>
                <w:w w:val="100"/>
                <w:position w:val="0"/>
                <w:sz w:val="14"/>
                <w:szCs w:val="14"/>
              </w:rPr>
              <w:t>号</w:t>
            </w:r>
            <w:r>
              <w:rPr>
                <w:color w:val="000000"/>
                <w:spacing w:val="0"/>
                <w:w w:val="100"/>
                <w:position w:val="0"/>
                <w:sz w:val="14"/>
                <w:szCs w:val="14"/>
              </w:rPr>
              <w:t>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202,794,9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367,762,17</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-269,725,86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-256,105,19</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8,369,220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29,381,769.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37,750,989.</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股东投入的普通股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8,072,441.1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18,615,366.</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者权益的金额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-312,471,54</w:t>
            </w:r>
          </w:p>
        </w:tc>
      </w:tr>
      <w:tr>
        <w:trPr>
          <w:trHeight w:val="42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r>
      <w:tr>
        <w:trPr>
          <w:trHeight w:val="2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20,566,813.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-159,312,33</w:t>
            </w:r>
          </w:p>
        </w:tc>
      </w:tr>
      <w:tr>
        <w:trPr>
          <w:trHeight w:val="42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r>
      <w:tr>
        <w:trPr>
          <w:trHeight w:val="28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20,566,813.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-20,566,8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13.16</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-159,312,33</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802"/>
        <w:gridCol w:w="792"/>
        <w:gridCol w:w="797"/>
        <w:gridCol w:w="797"/>
        <w:gridCol w:w="677"/>
        <w:gridCol w:w="792"/>
      </w:tblGrid>
      <w:tr>
        <w:trPr>
          <w:trHeight w:val="7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（四）所有者权益内</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663,920,6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-663,920,64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663,920,6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-663,920,64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-137,828.04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1,994,479</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528,063,56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15,905,926.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163,867,77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196,471,61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862,283,8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3,729,260,7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r>
    </w:tbl>
    <w:p>
      <w:pPr>
        <w:widowControl w:val="0"/>
        <w:spacing w:after="319" w:line="1" w:lineRule="exact"/>
      </w:pPr>
    </w:p>
    <w:p>
      <w:pPr>
        <w:pStyle w:val="Style27"/>
        <w:keepNext/>
        <w:keepLines/>
        <w:widowControl w:val="0"/>
        <w:shd w:val="clear" w:color="auto" w:fill="auto"/>
        <w:bidi w:val="0"/>
        <w:spacing w:before="0" w:after="1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、公司基本情况</w:t>
      </w:r>
      <w:bookmarkEnd w:id="675"/>
      <w:bookmarkEnd w:id="676"/>
      <w:bookmarkEnd w:id="678"/>
    </w:p>
    <w:p>
      <w:pPr>
        <w:pStyle w:val="Style29"/>
        <w:keepNext w:val="0"/>
        <w:keepLines w:val="0"/>
        <w:widowControl w:val="0"/>
        <w:shd w:val="clear" w:color="auto" w:fill="auto"/>
        <w:bidi w:val="0"/>
        <w:spacing w:before="0" w:after="0" w:line="466" w:lineRule="exact"/>
        <w:ind w:left="0" w:right="0" w:firstLine="360"/>
        <w:jc w:val="both"/>
      </w:pPr>
      <w:r>
        <w:rPr>
          <w:b/>
          <w:bCs/>
          <w:color w:val="000000"/>
          <w:spacing w:val="0"/>
          <w:w w:val="100"/>
          <w:position w:val="0"/>
        </w:rPr>
        <w:t>（一）公司概况</w:t>
      </w:r>
    </w:p>
    <w:p>
      <w:pPr>
        <w:pStyle w:val="Style29"/>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北京神州泰岳软件股份有限公司（以下简称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）前身系北京神州泰岳软件有限公司，成立于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日，成立时注册资本为人民币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9"/>
        <w:keepNext w:val="0"/>
        <w:keepLines w:val="0"/>
        <w:widowControl w:val="0"/>
        <w:shd w:val="clear" w:color="auto" w:fill="auto"/>
        <w:tabs>
          <w:tab w:pos="7617" w:val="left"/>
        </w:tabs>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日，经股东会表决通过，以截至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日经审计的净资产为基数，按照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的比例折股，整体变更设</w:t>
      </w:r>
    </w:p>
    <w:p>
      <w:pPr>
        <w:pStyle w:val="Style29"/>
        <w:keepNext w:val="0"/>
        <w:keepLines w:val="0"/>
        <w:widowControl w:val="0"/>
        <w:shd w:val="clear" w:color="auto" w:fill="auto"/>
        <w:bidi w:val="0"/>
        <w:spacing w:before="0" w:after="0" w:line="466" w:lineRule="exact"/>
        <w:ind w:left="0" w:right="0" w:firstLine="0"/>
        <w:jc w:val="both"/>
      </w:pPr>
      <w:r>
        <w:rPr>
          <w:color w:val="000000"/>
          <w:spacing w:val="0"/>
          <w:w w:val="100"/>
          <w:position w:val="0"/>
        </w:rPr>
        <w:t>立为股份有限公司。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日，北京市人民政府经济体制改革办公室出具京政体改股函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号文批准了公司的上 述整体改制方案。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日，北京京都会计师事务所有限公司出具北京京都验字〔</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号《验资报告》审验 确认，公司注册资本人民币</w:t>
      </w:r>
      <w:r>
        <w:rPr>
          <w:rFonts w:ascii="Times New Roman" w:eastAsia="Times New Roman" w:hAnsi="Times New Roman" w:cs="Times New Roman"/>
          <w:color w:val="000000"/>
          <w:spacing w:val="0"/>
          <w:w w:val="100"/>
          <w:position w:val="0"/>
          <w:sz w:val="18"/>
          <w:szCs w:val="18"/>
        </w:rPr>
        <w:t>2,159.20</w:t>
      </w:r>
      <w:r>
        <w:rPr>
          <w:color w:val="000000"/>
          <w:spacing w:val="0"/>
          <w:w w:val="100"/>
          <w:position w:val="0"/>
        </w:rPr>
        <w:t>万元已缴足。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日，公司在北京市工商行政管理局注册登记并取得注册号为 </w:t>
      </w:r>
      <w:r>
        <w:rPr>
          <w:rFonts w:ascii="Times New Roman" w:eastAsia="Times New Roman" w:hAnsi="Times New Roman" w:cs="Times New Roman"/>
          <w:color w:val="000000"/>
          <w:spacing w:val="0"/>
          <w:w w:val="100"/>
          <w:position w:val="0"/>
          <w:sz w:val="18"/>
          <w:szCs w:val="18"/>
        </w:rPr>
        <w:t>1100001270093</w:t>
      </w:r>
      <w:r>
        <w:rPr>
          <w:color w:val="000000"/>
          <w:spacing w:val="0"/>
          <w:w w:val="100"/>
          <w:position w:val="0"/>
        </w:rPr>
        <w:t>的《企业法人营业执照》。</w:t>
      </w:r>
    </w:p>
    <w:p>
      <w:pPr>
        <w:pStyle w:val="Style29"/>
        <w:keepNext w:val="0"/>
        <w:keepLines w:val="0"/>
        <w:widowControl w:val="0"/>
        <w:shd w:val="clear" w:color="auto" w:fill="auto"/>
        <w:bidi w:val="0"/>
        <w:spacing w:before="0" w:after="0" w:line="466" w:lineRule="exact"/>
        <w:ind w:left="0" w:right="0" w:firstLine="360"/>
        <w:jc w:val="both"/>
      </w:pPr>
      <w:r>
        <w:rPr>
          <w:color w:val="000000"/>
          <w:spacing w:val="0"/>
          <w:w w:val="100"/>
          <w:position w:val="0"/>
        </w:rPr>
        <w:t>经历次股权转让和增资，至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日，公司注册资本为人民币</w:t>
      </w:r>
      <w:r>
        <w:rPr>
          <w:rFonts w:ascii="Times New Roman" w:eastAsia="Times New Roman" w:hAnsi="Times New Roman" w:cs="Times New Roman"/>
          <w:color w:val="000000"/>
          <w:spacing w:val="0"/>
          <w:w w:val="100"/>
          <w:position w:val="0"/>
          <w:sz w:val="18"/>
          <w:szCs w:val="18"/>
        </w:rPr>
        <w:t>9,480</w:t>
      </w:r>
      <w:r>
        <w:rPr>
          <w:color w:val="000000"/>
          <w:spacing w:val="0"/>
          <w:w w:val="100"/>
          <w:position w:val="0"/>
        </w:rPr>
        <w:t>万元。</w:t>
      </w:r>
    </w:p>
    <w:p>
      <w:pPr>
        <w:pStyle w:val="Style29"/>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日，经中国证券监督管理委员会以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文核准，向社会公众公开发行境内上市内资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3,160</w:t>
      </w:r>
      <w:r>
        <w:rPr>
          <w:color w:val="000000"/>
          <w:spacing w:val="0"/>
          <w:w w:val="100"/>
          <w:position w:val="0"/>
        </w:rPr>
        <w:t>万股并在深圳交易所创业板上市交易。</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日，由北京市工商行政管理局换发企业法人营业执照，注 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12,640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18,960</w:t>
      </w:r>
      <w:r>
        <w:rPr>
          <w:color w:val="000000"/>
          <w:spacing w:val="0"/>
          <w:w w:val="100"/>
          <w:position w:val="0"/>
        </w:rPr>
        <w:t>万股。</w:t>
      </w:r>
    </w:p>
    <w:p>
      <w:pPr>
        <w:pStyle w:val="Style29"/>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31,600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6,320</w:t>
      </w:r>
      <w:r>
        <w:rPr>
          <w:color w:val="000000"/>
          <w:spacing w:val="0"/>
          <w:w w:val="100"/>
          <w:position w:val="0"/>
        </w:rPr>
        <w:t>万股。</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年第一次临时股东大会决议通过《北京神州泰岳软件股份有限公司股票期权与限制性股票激励 计划》，向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名自然人发行限制性股票</w:t>
      </w:r>
      <w:r>
        <w:rPr>
          <w:rFonts w:ascii="Times New Roman" w:eastAsia="Times New Roman" w:hAnsi="Times New Roman" w:cs="Times New Roman"/>
          <w:color w:val="000000"/>
          <w:spacing w:val="0"/>
          <w:w w:val="100"/>
          <w:position w:val="0"/>
          <w:sz w:val="18"/>
          <w:szCs w:val="18"/>
        </w:rPr>
        <w:t>418.37</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日，由北京市工商行政管理局换发企业法人营业执照，注 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年度利润分配及资本公积金转增股本预案》，截止</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日，母公司资本公积金为</w:t>
      </w:r>
      <w:r>
        <w:rPr>
          <w:rFonts w:ascii="Times New Roman" w:eastAsia="Times New Roman" w:hAnsi="Times New Roman" w:cs="Times New Roman"/>
          <w:color w:val="000000"/>
          <w:spacing w:val="0"/>
          <w:w w:val="100"/>
          <w:position w:val="0"/>
          <w:sz w:val="18"/>
          <w:szCs w:val="18"/>
        </w:rPr>
        <w:t>1,556,513,432.57</w:t>
      </w:r>
      <w:r>
        <w:rPr>
          <w:color w:val="000000"/>
          <w:spacing w:val="0"/>
          <w:w w:val="100"/>
          <w:position w:val="0"/>
        </w:rPr>
        <w:t>元，本次以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38,338.37</w:t>
      </w:r>
      <w:r>
        <w:rPr>
          <w:color w:val="000000"/>
          <w:spacing w:val="0"/>
          <w:w w:val="100"/>
          <w:position w:val="0"/>
        </w:rPr>
        <w:t>万股为基数，由资本公积 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23,003.02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日，由北京市工商行政管理局换发企业法人营业执照， 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日，公司第五届董事会第六次会议审议通过了《关于回购注销部分已不符合激励条件的原激励对象已获授 的限制性股票的议案》。由于部分原激励对象因个人原因已离职，根据相关规定，其已不具备激励对象资格，公司对该等原 激励对象获授的限制性股票全部注销回购，回购数量为</w:t>
      </w:r>
      <w:r>
        <w:rPr>
          <w:rFonts w:ascii="Times New Roman" w:eastAsia="Times New Roman" w:hAnsi="Times New Roman" w:cs="Times New Roman"/>
          <w:color w:val="000000"/>
          <w:spacing w:val="0"/>
          <w:w w:val="100"/>
          <w:position w:val="0"/>
          <w:sz w:val="18"/>
          <w:szCs w:val="18"/>
        </w:rPr>
        <w:t>280,800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股。注销完成后，公司注册资本由人 民币</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元减少至人民币</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元；公司股份总数由人民币普通股</w:t>
      </w:r>
      <w:r>
        <w:rPr>
          <w:rFonts w:ascii="Times New Roman" w:eastAsia="Times New Roman" w:hAnsi="Times New Roman" w:cs="Times New Roman"/>
          <w:color w:val="000000"/>
          <w:spacing w:val="0"/>
          <w:w w:val="100"/>
          <w:position w:val="0"/>
          <w:sz w:val="18"/>
          <w:szCs w:val="18"/>
        </w:rPr>
        <w:t>613,413,920</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613,133,120</w:t>
      </w:r>
      <w:r>
        <w:rPr>
          <w:color w:val="000000"/>
          <w:spacing w:val="0"/>
          <w:w w:val="100"/>
          <w:position w:val="0"/>
        </w:rPr>
        <w:t>股。</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年第二次临时股东大会审议通过的《公司注册资本变更的议案》和《关于修改</w:t>
      </w:r>
      <w:r>
        <w:rPr>
          <w:color w:val="000000"/>
          <w:spacing w:val="0"/>
          <w:w w:val="100"/>
          <w:position w:val="0"/>
          <w:sz w:val="18"/>
          <w:szCs w:val="18"/>
        </w:rPr>
        <w:t>〈</w:t>
      </w:r>
      <w:r>
        <w:rPr>
          <w:color w:val="000000"/>
          <w:spacing w:val="0"/>
          <w:w w:val="100"/>
          <w:position w:val="0"/>
        </w:rPr>
        <w:t>公司章 程</w:t>
      </w:r>
      <w:r>
        <w:rPr>
          <w:color w:val="000000"/>
          <w:spacing w:val="0"/>
          <w:w w:val="100"/>
          <w:position w:val="0"/>
          <w:sz w:val="18"/>
          <w:szCs w:val="18"/>
        </w:rPr>
        <w:t>〉</w:t>
      </w:r>
      <w:r>
        <w:rPr>
          <w:color w:val="000000"/>
          <w:spacing w:val="0"/>
          <w:w w:val="100"/>
          <w:position w:val="0"/>
        </w:rPr>
        <w:t>的议案》，公司已完成相应的工商变更登记手续，并取得了北京市工商行政管理局换发的《企业法人营业执照》，注册 号为</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的议案》，因公司股权激励计划之股票期权行 权而增加股份数为</w:t>
      </w:r>
      <w:r>
        <w:rPr>
          <w:rFonts w:ascii="Times New Roman" w:eastAsia="Times New Roman" w:hAnsi="Times New Roman" w:cs="Times New Roman"/>
          <w:color w:val="000000"/>
          <w:spacing w:val="0"/>
          <w:w w:val="100"/>
          <w:position w:val="0"/>
          <w:sz w:val="18"/>
          <w:szCs w:val="18"/>
        </w:rPr>
        <w:t>2,083,264</w:t>
      </w:r>
      <w:r>
        <w:rPr>
          <w:color w:val="000000"/>
          <w:spacing w:val="0"/>
          <w:w w:val="100"/>
          <w:position w:val="0"/>
        </w:rPr>
        <w:t>股；同时，根据公司《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年度利润分配及转增股本预案》，以公司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615,216,384</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股，实施 完成后公司注册资本增至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日，由北京市工商行政管理局换发企业法人营业执照，注册号 </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年第一次临时股东大会审议通过《关于变更公司注册资本的议案》、《关于修改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的议案》，公司因发行股份及支付现金购买资产的相关股份上市手续已办理完毕，公司股本增加了</w:t>
      </w:r>
      <w:r>
        <w:rPr>
          <w:rFonts w:ascii="Times New Roman" w:eastAsia="Times New Roman" w:hAnsi="Times New Roman" w:cs="Times New Roman"/>
          <w:color w:val="000000"/>
          <w:spacing w:val="0"/>
          <w:w w:val="100"/>
          <w:position w:val="0"/>
          <w:sz w:val="18"/>
          <w:szCs w:val="18"/>
        </w:rPr>
        <w:t>92,756,183</w:t>
      </w:r>
      <w:r>
        <w:rPr>
          <w:color w:val="000000"/>
          <w:spacing w:val="0"/>
          <w:w w:val="100"/>
          <w:position w:val="0"/>
        </w:rPr>
        <w:t>股，公司股份 总数由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1,323,188,951</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,230,432,768.00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1,323,188,951.00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日，由北京市工商行政管理局换发企业法人营业执照，注册号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 xml:space="preserve">的议案》，因公司股权激励计划第 一个行权期激励对象行权、回购注销不符合激励条件的原激励对象已获授的限制性股票等原因，公司股份总数由 </w:t>
      </w:r>
      <w:r>
        <w:rPr>
          <w:rFonts w:ascii="Times New Roman" w:eastAsia="Times New Roman" w:hAnsi="Times New Roman" w:cs="Times New Roman"/>
          <w:color w:val="000000"/>
          <w:spacing w:val="0"/>
          <w:w w:val="100"/>
          <w:position w:val="0"/>
          <w:sz w:val="18"/>
          <w:szCs w:val="18"/>
        </w:rPr>
        <w:t>1,323,188,951</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1,323,268,087</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1,323,188,951.00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1,323,268,087.00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日，由北京市工商行政管理局换发企业法人营业执照，注册号</w:t>
      </w:r>
      <w:r>
        <w:rPr>
          <w:rFonts w:ascii="Times New Roman" w:eastAsia="Times New Roman" w:hAnsi="Times New Roman" w:cs="Times New Roman"/>
          <w:color w:val="000000"/>
          <w:spacing w:val="0"/>
          <w:w w:val="100"/>
          <w:position w:val="0"/>
          <w:sz w:val="18"/>
          <w:szCs w:val="18"/>
        </w:rPr>
        <w:t>110000002700930</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利润分配及转增股本预案》，以公司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1,327,841,494</w:t>
      </w:r>
      <w:r>
        <w:rPr>
          <w:color w:val="000000"/>
          <w:spacing w:val="0"/>
          <w:w w:val="100"/>
          <w:position w:val="0"/>
        </w:rPr>
        <w:t>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5.020004 </w:t>
      </w:r>
      <w:r>
        <w:rPr>
          <w:color w:val="000000"/>
          <w:spacing w:val="0"/>
          <w:w w:val="100"/>
          <w:position w:val="0"/>
        </w:rPr>
        <w:t xml:space="preserve">股，以及因公司股权激励计划之股票期权行权而增加股份数、因李毅等承诺人应补偿的股份由上市公司注销减少股份数等原 </w:t>
      </w:r>
      <w:r>
        <w:rPr>
          <w:rStyle w:val="CharStyle69"/>
          <w:rFonts w:ascii="SimSun" w:eastAsia="SimSun" w:hAnsi="SimSun" w:cs="SimSun"/>
          <w:sz w:val="17"/>
          <w:szCs w:val="17"/>
        </w:rPr>
        <w:t>因</w:t>
      </w:r>
      <w:r>
        <w:rPr>
          <w:rStyle w:val="CharStyle69"/>
          <w:rFonts w:ascii="SimSun" w:eastAsia="SimSun" w:hAnsi="SimSun" w:cs="SimSun"/>
          <w:i/>
          <w:iCs/>
          <w:sz w:val="17"/>
          <w:szCs w:val="17"/>
        </w:rPr>
        <w:t>,</w:t>
      </w:r>
      <w:r>
        <w:rPr>
          <w:rStyle w:val="CharStyle69"/>
          <w:rFonts w:ascii="SimSun" w:eastAsia="SimSun" w:hAnsi="SimSun" w:cs="SimSun"/>
          <w:sz w:val="17"/>
          <w:szCs w:val="17"/>
        </w:rPr>
        <w:t>公司股份总数由</w:t>
      </w:r>
      <w:r>
        <w:rPr>
          <w:rStyle w:val="CharStyle69"/>
        </w:rPr>
        <w:t>1,323,268,087</w:t>
      </w:r>
      <w:r>
        <w:rPr>
          <w:rStyle w:val="CharStyle69"/>
          <w:rFonts w:ascii="SimSun" w:eastAsia="SimSun" w:hAnsi="SimSun" w:cs="SimSun"/>
          <w:sz w:val="17"/>
          <w:szCs w:val="17"/>
        </w:rPr>
        <w:t>股变更为</w:t>
      </w:r>
      <w:r>
        <w:rPr>
          <w:rStyle w:val="CharStyle69"/>
        </w:rPr>
        <w:t>1,986,470,666</w:t>
      </w:r>
      <w:r>
        <w:rPr>
          <w:rStyle w:val="CharStyle69"/>
          <w:rFonts w:ascii="SimSun" w:eastAsia="SimSun" w:hAnsi="SimSun" w:cs="SimSun"/>
          <w:sz w:val="17"/>
          <w:szCs w:val="17"/>
        </w:rPr>
        <w:t>股，注册资本由人民币</w:t>
      </w:r>
      <w:r>
        <w:rPr>
          <w:rStyle w:val="CharStyle69"/>
        </w:rPr>
        <w:t>1,323,268,087.00</w:t>
      </w:r>
      <w:r>
        <w:rPr>
          <w:rStyle w:val="CharStyle69"/>
          <w:rFonts w:ascii="SimSun" w:eastAsia="SimSun" w:hAnsi="SimSun" w:cs="SimSun"/>
          <w:sz w:val="17"/>
          <w:szCs w:val="17"/>
        </w:rPr>
        <w:t xml:space="preserve">元变更为人民币 </w:t>
      </w:r>
      <w:r>
        <w:rPr>
          <w:rStyle w:val="CharStyle69"/>
        </w:rPr>
        <w:t>1,986,470,666.00</w:t>
      </w:r>
      <w:r>
        <w:rPr>
          <w:rStyle w:val="CharStyle69"/>
          <w:rFonts w:ascii="SimSun" w:eastAsia="SimSun" w:hAnsi="SimSun" w:cs="SimSun"/>
          <w:sz w:val="17"/>
          <w:szCs w:val="17"/>
        </w:rPr>
        <w:t>元。</w:t>
      </w:r>
      <w:r>
        <w:rPr>
          <w:rStyle w:val="CharStyle69"/>
        </w:rPr>
        <w:t>2015</w:t>
      </w:r>
      <w:r>
        <w:rPr>
          <w:rStyle w:val="CharStyle69"/>
          <w:rFonts w:ascii="SimSun" w:eastAsia="SimSun" w:hAnsi="SimSun" w:cs="SimSun"/>
          <w:sz w:val="17"/>
          <w:szCs w:val="17"/>
        </w:rPr>
        <w:t>年</w:t>
      </w:r>
      <w:r>
        <w:rPr>
          <w:rStyle w:val="CharStyle69"/>
        </w:rPr>
        <w:t>9</w:t>
      </w:r>
      <w:r>
        <w:rPr>
          <w:rStyle w:val="CharStyle69"/>
          <w:rFonts w:ascii="SimSun" w:eastAsia="SimSun" w:hAnsi="SimSun" w:cs="SimSun"/>
          <w:sz w:val="17"/>
          <w:szCs w:val="17"/>
        </w:rPr>
        <w:t>月</w:t>
      </w:r>
      <w:r>
        <w:rPr>
          <w:rStyle w:val="CharStyle69"/>
        </w:rPr>
        <w:t>1</w:t>
      </w:r>
      <w:r>
        <w:rPr>
          <w:rStyle w:val="CharStyle69"/>
          <w:rFonts w:ascii="SimSun" w:eastAsia="SimSun" w:hAnsi="SimSun" w:cs="SimSun"/>
          <w:sz w:val="17"/>
          <w:szCs w:val="17"/>
        </w:rPr>
        <w:t>日，由北京市工商行政管理局换发企业法人营业执照，注册号</w:t>
      </w:r>
      <w:r>
        <w:rPr>
          <w:rStyle w:val="CharStyle69"/>
        </w:rPr>
        <w:t>110000002700930</w:t>
      </w:r>
      <w:r>
        <w:rPr>
          <w:rStyle w:val="CharStyle69"/>
          <w:rFonts w:ascii="SimSun" w:eastAsia="SimSun" w:hAnsi="SimSun" w:cs="SimSun"/>
          <w:sz w:val="17"/>
          <w:szCs w:val="17"/>
        </w:rPr>
        <w:t>。</w:t>
      </w:r>
    </w:p>
    <w:p>
      <w:pPr>
        <w:pStyle w:val="Style29"/>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的议案》，因公司股权激励计划激 励对象自主行权、回购注销不符合激励条件的原激励对象已获授的限制性股票等原因，公司股份总数由</w:t>
      </w:r>
      <w:r>
        <w:rPr>
          <w:rFonts w:ascii="Times New Roman" w:eastAsia="Times New Roman" w:hAnsi="Times New Roman" w:cs="Times New Roman"/>
          <w:color w:val="000000"/>
          <w:spacing w:val="0"/>
          <w:w w:val="100"/>
          <w:position w:val="0"/>
          <w:sz w:val="18"/>
          <w:szCs w:val="18"/>
        </w:rPr>
        <w:t>1,986,470,666</w:t>
      </w:r>
      <w:r>
        <w:rPr>
          <w:color w:val="000000"/>
          <w:spacing w:val="0"/>
          <w:w w:val="100"/>
          <w:position w:val="0"/>
        </w:rPr>
        <w:t>股变更 为</w:t>
      </w:r>
      <w:r>
        <w:rPr>
          <w:rFonts w:ascii="Times New Roman" w:eastAsia="Times New Roman" w:hAnsi="Times New Roman" w:cs="Times New Roman"/>
          <w:color w:val="000000"/>
          <w:spacing w:val="0"/>
          <w:w w:val="100"/>
          <w:position w:val="0"/>
          <w:sz w:val="18"/>
          <w:szCs w:val="18"/>
        </w:rPr>
        <w:t>1,993,382,320</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1,986,470,666.00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1,993,382,320.00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日，由北京市工商行 政管理局换发企业法人营业执照，统一社会信用代码</w:t>
      </w:r>
      <w:r>
        <w:rPr>
          <w:rFonts w:ascii="Times New Roman" w:eastAsia="Times New Roman" w:hAnsi="Times New Roman" w:cs="Times New Roman"/>
          <w:color w:val="000000"/>
          <w:spacing w:val="0"/>
          <w:w w:val="100"/>
          <w:position w:val="0"/>
          <w:sz w:val="18"/>
          <w:szCs w:val="18"/>
        </w:rPr>
        <w:t>91110000802090167W</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的议案》，因公司股权激励计划第 三期激励对象自主行权，公司总股本增加</w:t>
      </w:r>
      <w:r>
        <w:rPr>
          <w:rFonts w:ascii="Times New Roman" w:eastAsia="Times New Roman" w:hAnsi="Times New Roman" w:cs="Times New Roman"/>
          <w:color w:val="000000"/>
          <w:spacing w:val="0"/>
          <w:w w:val="100"/>
          <w:position w:val="0"/>
          <w:sz w:val="18"/>
          <w:szCs w:val="18"/>
        </w:rPr>
        <w:t>2,605,548</w:t>
      </w:r>
      <w:r>
        <w:rPr>
          <w:color w:val="000000"/>
          <w:spacing w:val="0"/>
          <w:w w:val="100"/>
          <w:position w:val="0"/>
        </w:rPr>
        <w:t>股；回购注销已不符合激励条件的原激励对象已获授的限制性股票，公司 总股本减少</w:t>
      </w:r>
      <w:r>
        <w:rPr>
          <w:rFonts w:ascii="Times New Roman" w:eastAsia="Times New Roman" w:hAnsi="Times New Roman" w:cs="Times New Roman"/>
          <w:color w:val="000000"/>
          <w:spacing w:val="0"/>
          <w:w w:val="100"/>
          <w:position w:val="0"/>
          <w:sz w:val="18"/>
          <w:szCs w:val="18"/>
        </w:rPr>
        <w:t>5,371,294</w:t>
      </w:r>
      <w:r>
        <w:rPr>
          <w:color w:val="000000"/>
          <w:spacing w:val="0"/>
          <w:w w:val="100"/>
          <w:position w:val="0"/>
        </w:rPr>
        <w:t>股，公司发行股份及支付现金购买资产业绩补偿股票回购注销，公司总股本减少</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股；公司股 份总数由</w:t>
      </w:r>
      <w:r>
        <w:rPr>
          <w:rFonts w:ascii="Times New Roman" w:eastAsia="Times New Roman" w:hAnsi="Times New Roman" w:cs="Times New Roman"/>
          <w:color w:val="000000"/>
          <w:spacing w:val="0"/>
          <w:w w:val="100"/>
          <w:position w:val="0"/>
          <w:sz w:val="18"/>
          <w:szCs w:val="18"/>
        </w:rPr>
        <w:t>1,993,382,320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1,961,091,984</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1,993,382,320.00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1,961,091,984.00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日，由北京市工商行政管理局换发企业法人营业执照，统一社会信用代码</w:t>
      </w:r>
      <w:r>
        <w:rPr>
          <w:rFonts w:ascii="Times New Roman" w:eastAsia="Times New Roman" w:hAnsi="Times New Roman" w:cs="Times New Roman"/>
          <w:color w:val="000000"/>
          <w:spacing w:val="0"/>
          <w:w w:val="100"/>
          <w:position w:val="0"/>
          <w:sz w:val="18"/>
          <w:szCs w:val="18"/>
        </w:rPr>
        <w:t>91110000802090167W</w:t>
      </w:r>
      <w:r>
        <w:rPr>
          <w:color w:val="000000"/>
          <w:spacing w:val="0"/>
          <w:w w:val="100"/>
          <w:position w:val="0"/>
        </w:rPr>
        <w:t>。</w:t>
      </w:r>
    </w:p>
    <w:p>
      <w:pPr>
        <w:pStyle w:val="Style68"/>
        <w:keepNext w:val="0"/>
        <w:keepLines w:val="0"/>
        <w:widowControl w:val="0"/>
        <w:shd w:val="clear" w:color="auto" w:fill="auto"/>
        <w:bidi w:val="0"/>
        <w:spacing w:before="0" w:after="0" w:line="467" w:lineRule="exact"/>
        <w:ind w:left="0" w:right="0" w:firstLine="38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2 016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日止，本公司累计发行股本总数</w:t>
      </w:r>
      <w:r>
        <w:rPr>
          <w:color w:val="000000"/>
          <w:spacing w:val="0"/>
          <w:w w:val="100"/>
          <w:position w:val="0"/>
          <w:sz w:val="18"/>
          <w:szCs w:val="18"/>
        </w:rPr>
        <w:t>1,961,091,984</w:t>
      </w:r>
      <w:r>
        <w:rPr>
          <w:rFonts w:ascii="SimSun" w:eastAsia="SimSun" w:hAnsi="SimSun" w:cs="SimSun"/>
          <w:color w:val="000000"/>
          <w:spacing w:val="0"/>
          <w:w w:val="100"/>
          <w:position w:val="0"/>
          <w:sz w:val="17"/>
          <w:szCs w:val="17"/>
        </w:rPr>
        <w:t>股，注册资本为</w:t>
      </w:r>
      <w:r>
        <w:rPr>
          <w:color w:val="000000"/>
          <w:spacing w:val="0"/>
          <w:w w:val="100"/>
          <w:position w:val="0"/>
          <w:sz w:val="18"/>
          <w:szCs w:val="18"/>
        </w:rPr>
        <w:t>1,961,091,984.00</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本公司所处行业：计算机应用服务业。</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公司经营范围：计算机网络综合管理及网络系统集成、通讯设备技术开发、技术服务、技术转让、技术培训；电子信息 技术咨询（中介除外）；委托生产通讯设备；销售计算机网络软硬件产品、通讯设备；电子信息技术系统工程设计；通讯设 备售后服务；技术进出口、代理进出口、货物进出口；第一类增值电信业务中的互联网接入服务业务、互联网数据中心业务。</w:t>
      </w:r>
    </w:p>
    <w:p>
      <w:pPr>
        <w:pStyle w:val="Style29"/>
        <w:keepNext w:val="0"/>
        <w:keepLines w:val="0"/>
        <w:widowControl w:val="0"/>
        <w:shd w:val="clear" w:color="auto" w:fill="auto"/>
        <w:bidi w:val="0"/>
        <w:spacing w:before="0" w:after="0" w:line="442" w:lineRule="exact"/>
        <w:ind w:left="0" w:right="0" w:firstLine="0"/>
        <w:jc w:val="both"/>
      </w:pPr>
      <w:r>
        <w:rPr>
          <w:color w:val="000000"/>
          <w:spacing w:val="0"/>
          <w:w w:val="100"/>
          <w:position w:val="0"/>
        </w:rPr>
        <w:t>（企业依法自主选择经营项目，开展经营活动；依法须经批准的项目，经相关部门批准后依批准的内容开展经营活动；不得 从事本市产业政策禁止和限制类项目的经营活动。）</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公司的主营业务包括四大核心业务板块，包括：</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领域运营管理软件研发和服务（</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解决方案、系统集成、移动互 联网运营、人工智能与大数据）、手机游戏版块、物联网及通讯技术应用、创新业务，形成信息技术领域内相关多元化发展 格局。</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公司法定代表人：王宁。</w:t>
      </w:r>
    </w:p>
    <w:p>
      <w:pPr>
        <w:pStyle w:val="Style29"/>
        <w:keepNext w:val="0"/>
        <w:keepLines w:val="0"/>
        <w:widowControl w:val="0"/>
        <w:shd w:val="clear" w:color="auto" w:fill="auto"/>
        <w:bidi w:val="0"/>
        <w:spacing w:before="0" w:after="0" w:line="473" w:lineRule="exact"/>
        <w:ind w:left="0" w:right="0"/>
        <w:jc w:val="left"/>
      </w:pPr>
      <w:r>
        <w:rPr>
          <w:color w:val="000000"/>
          <w:spacing w:val="0"/>
          <w:w w:val="100"/>
          <w:position w:val="0"/>
        </w:rPr>
        <w:t>公司注册地址：北京市海淀区万泉庄路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号万柳新贵大厦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p>
      <w:pPr>
        <w:pStyle w:val="Style29"/>
        <w:keepNext w:val="0"/>
        <w:keepLines w:val="0"/>
        <w:widowControl w:val="0"/>
        <w:shd w:val="clear" w:color="auto" w:fill="auto"/>
        <w:bidi w:val="0"/>
        <w:spacing w:before="0" w:after="0" w:line="473" w:lineRule="exact"/>
        <w:ind w:left="0" w:right="0"/>
        <w:jc w:val="left"/>
      </w:pPr>
      <w:r>
        <w:rPr>
          <w:color w:val="000000"/>
          <w:spacing w:val="0"/>
          <w:w w:val="100"/>
          <w:position w:val="0"/>
        </w:rPr>
        <w:t>公司主要办公地址：北京市朝阳区北苑路甲</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号楼北辰泰岳大厦</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p>
      <w:pPr>
        <w:pStyle w:val="Style29"/>
        <w:keepNext w:val="0"/>
        <w:keepLines w:val="0"/>
        <w:widowControl w:val="0"/>
        <w:shd w:val="clear" w:color="auto" w:fill="auto"/>
        <w:bidi w:val="0"/>
        <w:spacing w:before="0" w:after="0" w:line="473" w:lineRule="exact"/>
        <w:ind w:left="0" w:right="0"/>
        <w:jc w:val="left"/>
      </w:pPr>
      <w:r>
        <w:rPr>
          <w:color w:val="000000"/>
          <w:spacing w:val="0"/>
          <w:w w:val="100"/>
          <w:position w:val="0"/>
        </w:rPr>
        <w:t>本公司的实际控制人为王宁、李力。</w:t>
      </w:r>
    </w:p>
    <w:p>
      <w:pPr>
        <w:pStyle w:val="Style29"/>
        <w:keepNext w:val="0"/>
        <w:keepLines w:val="0"/>
        <w:widowControl w:val="0"/>
        <w:shd w:val="clear" w:color="auto" w:fill="auto"/>
        <w:bidi w:val="0"/>
        <w:spacing w:before="0" w:after="0" w:line="473" w:lineRule="exact"/>
        <w:ind w:left="0" w:right="0"/>
        <w:jc w:val="left"/>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p>
      <w:pPr>
        <w:pStyle w:val="Style29"/>
        <w:keepNext w:val="0"/>
        <w:keepLines w:val="0"/>
        <w:widowControl w:val="0"/>
        <w:shd w:val="clear" w:color="auto" w:fill="auto"/>
        <w:bidi w:val="0"/>
        <w:spacing w:before="0" w:after="0" w:line="473" w:lineRule="exact"/>
        <w:ind w:left="0" w:right="0"/>
        <w:jc w:val="left"/>
      </w:pPr>
      <w:r>
        <w:rPr>
          <w:b/>
          <w:bCs/>
          <w:color w:val="000000"/>
          <w:spacing w:val="0"/>
          <w:w w:val="100"/>
          <w:position w:val="0"/>
        </w:rPr>
        <w:t>（二）合并财务报表范围</w:t>
      </w:r>
    </w:p>
    <w:p>
      <w:pPr>
        <w:pStyle w:val="Style29"/>
        <w:keepNext w:val="0"/>
        <w:keepLines w:val="0"/>
        <w:widowControl w:val="0"/>
        <w:shd w:val="clear" w:color="auto" w:fill="auto"/>
        <w:bidi w:val="0"/>
        <w:spacing w:before="0" w:after="120" w:line="47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center"/>
        <w:tblLayout w:type="fixed"/>
      </w:tblPr>
      <w:tblGrid>
        <w:gridCol w:w="5880"/>
        <w:gridCol w:w="3787"/>
      </w:tblGrid>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北京新媒传信科技有限公司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bl>
    <w:p>
      <w:pPr>
        <w:widowControl w:val="0"/>
        <w:spacing w:line="1" w:lineRule="exact"/>
      </w:pPr>
      <w:r>
        <w:br w:type="page"/>
      </w:r>
    </w:p>
    <w:tbl>
      <w:tblPr>
        <w:tblOverlap w:val="never"/>
        <w:jc w:val="center"/>
        <w:tblLayout w:type="fixed"/>
      </w:tblPr>
      <w:tblGrid>
        <w:gridCol w:w="5880"/>
        <w:gridCol w:w="378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北京互联时代通讯科技有限公司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重庆新媒农信科技有限公司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重庆新媒亿网科技有限公司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重庆新迈峰科技有限公司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北京神州泰岳系统集成有限公司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北京融聚世界网络科技有限公司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宁波移畅通信设备有限公司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宁波金信通信技术有限公司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宁波普金通信设备有限公司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宁波神州泰岳锐智信息科技有限公司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宁波高新区捷远科技有限公司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奇点新源国际技术开发（北京）有限公司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北京神州泰岳智能数据技术有限公司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神州泰岳（香港）有限公司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TRUST SOFTWARE AND SERVICE TECHNOLOGY COMPANY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360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848"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Uqsoft (Thailand) Co.</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UQSOFT (RUSSIA) CO.</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神州泰奇软件（新加坡）有限公司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Uqsoft (Hong Kong)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北京泰岳智桥信息技术有限公司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北京神州泰奇互动科技有限公司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UQSOFT YUHAN HOESA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天津壳木软件有限责任公司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北京壳木软件有限责任公司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北京骆骆软件科技有限责任公司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霍尔果斯小小橙软件开发有限责任公司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天津安纳西科技有限公司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北京安纳西科技有限公司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北京安纳西互娱科技有限公司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霍尔果斯于艺网络科技有限公司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天津泰岳小漫科技有限公司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泰岳小漫（香港）有限公司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bl>
    <w:p>
      <w:pPr>
        <w:widowControl w:val="0"/>
        <w:spacing w:line="1" w:lineRule="exact"/>
      </w:pPr>
    </w:p>
    <w:tbl>
      <w:tblPr>
        <w:tblOverlap w:val="never"/>
        <w:jc w:val="center"/>
        <w:tblLayout w:type="fixed"/>
      </w:tblPr>
      <w:tblGrid>
        <w:gridCol w:w="5880"/>
        <w:gridCol w:w="378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北京广通神州网络技术有限公司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广州短讯神州网络技术有限公司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苏州短讯神州网络技术有限公司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北京神州祥升软件有限公司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北京浩宇纵横科技有限公司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北京觉莲软件有限公司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上海奔耀信息科技有限公司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广州市奔耀信息科技有限公司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北京华泰德丰技术有限公司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深圳市前海泰岳梧桐投资基金管理有限公司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重庆泰岳优才科技有限公司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r>
    </w:tbl>
    <w:p>
      <w:pPr>
        <w:pStyle w:val="Style3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459" w:line="1" w:lineRule="exact"/>
      </w:pPr>
    </w:p>
    <w:p>
      <w:pPr>
        <w:pStyle w:val="Style27"/>
        <w:keepNext/>
        <w:keepLines/>
        <w:widowControl w:val="0"/>
        <w:shd w:val="clear" w:color="auto" w:fill="auto"/>
        <w:tabs>
          <w:tab w:pos="498" w:val="left"/>
        </w:tabs>
        <w:bidi w:val="0"/>
        <w:spacing w:before="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四</w:t>
      </w:r>
      <w:bookmarkEnd w:id="681"/>
      <w:r>
        <w:rPr>
          <w:color w:val="000000"/>
          <w:spacing w:val="0"/>
          <w:w w:val="100"/>
          <w:position w:val="0"/>
        </w:rPr>
        <w:t>、</w:t>
        <w:tab/>
        <w:t>财务报表的编制基础</w:t>
      </w:r>
      <w:bookmarkEnd w:id="679"/>
      <w:bookmarkEnd w:id="680"/>
      <w:bookmarkEnd w:id="682"/>
    </w:p>
    <w:p>
      <w:pPr>
        <w:pStyle w:val="Style39"/>
        <w:keepNext/>
        <w:keepLines/>
        <w:widowControl w:val="0"/>
        <w:shd w:val="clear" w:color="auto" w:fill="auto"/>
        <w:tabs>
          <w:tab w:pos="394" w:val="left"/>
        </w:tabs>
        <w:bidi w:val="0"/>
        <w:spacing w:before="0" w:after="180" w:line="240"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w:t>
        <w:tab/>
        <w:t>编制基础</w:t>
      </w:r>
      <w:bookmarkEnd w:id="683"/>
      <w:bookmarkEnd w:id="684"/>
      <w:bookmarkEnd w:id="686"/>
    </w:p>
    <w:p>
      <w:pPr>
        <w:pStyle w:val="Style29"/>
        <w:keepNext w:val="0"/>
        <w:keepLines w:val="0"/>
        <w:widowControl w:val="0"/>
        <w:shd w:val="clear" w:color="auto" w:fill="auto"/>
        <w:bidi w:val="0"/>
        <w:spacing w:before="0" w:after="460" w:line="463" w:lineRule="exact"/>
        <w:ind w:left="0" w:right="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39"/>
        <w:keepNext/>
        <w:keepLines/>
        <w:widowControl w:val="0"/>
        <w:shd w:val="clear" w:color="auto" w:fill="auto"/>
        <w:tabs>
          <w:tab w:pos="394" w:val="left"/>
        </w:tabs>
        <w:bidi w:val="0"/>
        <w:spacing w:before="0" w:after="18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w:t>
        <w:tab/>
        <w:t>持续经营</w:t>
      </w:r>
      <w:bookmarkEnd w:id="687"/>
      <w:bookmarkEnd w:id="688"/>
      <w:bookmarkEnd w:id="690"/>
    </w:p>
    <w:p>
      <w:pPr>
        <w:pStyle w:val="Style29"/>
        <w:keepNext w:val="0"/>
        <w:keepLines w:val="0"/>
        <w:widowControl w:val="0"/>
        <w:shd w:val="clear" w:color="auto" w:fill="auto"/>
        <w:bidi w:val="0"/>
        <w:spacing w:before="0" w:after="460" w:line="464" w:lineRule="exact"/>
        <w:ind w:left="0" w:right="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tabs>
          <w:tab w:pos="517" w:val="left"/>
        </w:tabs>
        <w:bidi w:val="0"/>
        <w:spacing w:before="0" w:after="1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五</w:t>
      </w:r>
      <w:bookmarkEnd w:id="693"/>
      <w:r>
        <w:rPr>
          <w:color w:val="000000"/>
          <w:spacing w:val="0"/>
          <w:w w:val="100"/>
          <w:position w:val="0"/>
        </w:rPr>
        <w:t>、</w:t>
        <w:tab/>
        <w:t>重要会计政策及会计估计</w:t>
      </w:r>
      <w:bookmarkEnd w:id="691"/>
      <w:bookmarkEnd w:id="692"/>
      <w:bookmarkEnd w:id="694"/>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4" w:lineRule="exact"/>
        <w:ind w:left="0" w:right="0"/>
        <w:jc w:val="left"/>
      </w:pPr>
      <w:r>
        <w:rPr>
          <w:b/>
          <w:bCs/>
          <w:color w:val="000000"/>
          <w:spacing w:val="0"/>
          <w:w w:val="100"/>
          <w:position w:val="0"/>
        </w:rPr>
        <w:t>是</w:t>
      </w:r>
    </w:p>
    <w:p>
      <w:pPr>
        <w:pStyle w:val="Style29"/>
        <w:keepNext w:val="0"/>
        <w:keepLines w:val="0"/>
        <w:widowControl w:val="0"/>
        <w:shd w:val="clear" w:color="auto" w:fill="auto"/>
        <w:bidi w:val="0"/>
        <w:spacing w:before="0" w:after="460" w:line="464" w:lineRule="exact"/>
        <w:ind w:left="0" w:right="0"/>
        <w:jc w:val="both"/>
      </w:pPr>
      <w:r>
        <w:rPr>
          <w:b/>
          <w:bCs/>
          <w:color w:val="000000"/>
          <w:spacing w:val="0"/>
          <w:w w:val="100"/>
          <w:position w:val="0"/>
        </w:rPr>
        <w:t>互联网游戏业</w:t>
      </w:r>
    </w:p>
    <w:p>
      <w:pPr>
        <w:pStyle w:val="Style39"/>
        <w:keepNext/>
        <w:keepLines/>
        <w:widowControl w:val="0"/>
        <w:shd w:val="clear" w:color="auto" w:fill="auto"/>
        <w:bidi w:val="0"/>
        <w:spacing w:before="0" w:after="1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、遵循企业会计准则的声明</w:t>
      </w:r>
      <w:bookmarkEnd w:id="695"/>
      <w:bookmarkEnd w:id="696"/>
      <w:bookmarkEnd w:id="698"/>
    </w:p>
    <w:p>
      <w:pPr>
        <w:pStyle w:val="Style29"/>
        <w:keepNext w:val="0"/>
        <w:keepLines w:val="0"/>
        <w:widowControl w:val="0"/>
        <w:shd w:val="clear" w:color="auto" w:fill="auto"/>
        <w:bidi w:val="0"/>
        <w:spacing w:before="0" w:after="280" w:line="466" w:lineRule="exact"/>
        <w:ind w:left="0" w:right="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9"/>
        <w:keepNext/>
        <w:keepLines/>
        <w:widowControl w:val="0"/>
        <w:shd w:val="clear" w:color="auto" w:fill="auto"/>
        <w:tabs>
          <w:tab w:pos="378" w:val="left"/>
        </w:tabs>
        <w:bidi w:val="0"/>
        <w:spacing w:before="0" w:after="46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w:t>
        <w:tab/>
        <w:t>会计期间</w:t>
      </w:r>
      <w:bookmarkEnd w:id="699"/>
      <w:bookmarkEnd w:id="700"/>
      <w:bookmarkEnd w:id="702"/>
    </w:p>
    <w:p>
      <w:pPr>
        <w:pStyle w:val="Style29"/>
        <w:keepNext w:val="0"/>
        <w:keepLines w:val="0"/>
        <w:widowControl w:val="0"/>
        <w:shd w:val="clear" w:color="auto" w:fill="auto"/>
        <w:bidi w:val="0"/>
        <w:spacing w:before="0" w:after="460" w:line="240" w:lineRule="auto"/>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9"/>
        <w:keepNext/>
        <w:keepLines/>
        <w:widowControl w:val="0"/>
        <w:shd w:val="clear" w:color="auto" w:fill="auto"/>
        <w:tabs>
          <w:tab w:pos="378" w:val="left"/>
        </w:tabs>
        <w:bidi w:val="0"/>
        <w:spacing w:before="0" w:after="46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w:t>
        <w:tab/>
        <w:t>营业周期</w:t>
      </w:r>
      <w:bookmarkEnd w:id="703"/>
      <w:bookmarkEnd w:id="704"/>
      <w:bookmarkEnd w:id="706"/>
    </w:p>
    <w:p>
      <w:pPr>
        <w:pStyle w:val="Style29"/>
        <w:keepNext w:val="0"/>
        <w:keepLines w:val="0"/>
        <w:widowControl w:val="0"/>
        <w:shd w:val="clear" w:color="auto" w:fill="auto"/>
        <w:bidi w:val="0"/>
        <w:spacing w:before="0" w:after="460" w:line="240" w:lineRule="auto"/>
        <w:ind w:left="0" w:right="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9"/>
        <w:keepNext/>
        <w:keepLines/>
        <w:widowControl w:val="0"/>
        <w:shd w:val="clear" w:color="auto" w:fill="auto"/>
        <w:tabs>
          <w:tab w:pos="378" w:val="left"/>
        </w:tabs>
        <w:bidi w:val="0"/>
        <w:spacing w:before="0" w:after="4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w:t>
        <w:tab/>
        <w:t>记账本位币</w:t>
      </w:r>
      <w:bookmarkEnd w:id="707"/>
      <w:bookmarkEnd w:id="708"/>
      <w:bookmarkEnd w:id="710"/>
    </w:p>
    <w:p>
      <w:pPr>
        <w:pStyle w:val="Style29"/>
        <w:keepNext w:val="0"/>
        <w:keepLines w:val="0"/>
        <w:widowControl w:val="0"/>
        <w:shd w:val="clear" w:color="auto" w:fill="auto"/>
        <w:tabs>
          <w:tab w:pos="714" w:val="left"/>
        </w:tabs>
        <w:bidi w:val="0"/>
        <w:spacing w:before="0" w:after="240" w:line="240" w:lineRule="auto"/>
        <w:ind w:left="0" w:right="0"/>
        <w:jc w:val="left"/>
      </w:pPr>
      <w:bookmarkStart w:id="711" w:name="bookmark711"/>
      <w:r>
        <w:rPr>
          <w:rFonts w:ascii="Times New Roman" w:eastAsia="Times New Roman" w:hAnsi="Times New Roman" w:cs="Times New Roman"/>
          <w:color w:val="000000"/>
          <w:spacing w:val="0"/>
          <w:w w:val="100"/>
          <w:position w:val="0"/>
          <w:sz w:val="18"/>
          <w:szCs w:val="18"/>
        </w:rPr>
        <w:t>1</w:t>
      </w:r>
      <w:bookmarkEnd w:id="711"/>
      <w:r>
        <w:rPr>
          <w:color w:val="000000"/>
          <w:spacing w:val="0"/>
          <w:w w:val="100"/>
          <w:position w:val="0"/>
        </w:rPr>
        <w:t>、</w:t>
        <w:tab/>
        <w:t>母公司采用人民币为记账本位币。</w:t>
      </w:r>
    </w:p>
    <w:p>
      <w:pPr>
        <w:pStyle w:val="Style29"/>
        <w:keepNext w:val="0"/>
        <w:keepLines w:val="0"/>
        <w:widowControl w:val="0"/>
        <w:shd w:val="clear" w:color="auto" w:fill="auto"/>
        <w:tabs>
          <w:tab w:pos="734" w:val="left"/>
        </w:tabs>
        <w:bidi w:val="0"/>
        <w:spacing w:before="0" w:after="120" w:line="240" w:lineRule="auto"/>
        <w:ind w:left="0" w:right="0"/>
        <w:jc w:val="both"/>
      </w:pPr>
      <w:bookmarkStart w:id="712" w:name="bookmark712"/>
      <w:r>
        <w:rPr>
          <w:rFonts w:ascii="Times New Roman" w:eastAsia="Times New Roman" w:hAnsi="Times New Roman" w:cs="Times New Roman"/>
          <w:color w:val="000000"/>
          <w:spacing w:val="0"/>
          <w:w w:val="100"/>
          <w:position w:val="0"/>
          <w:sz w:val="18"/>
          <w:szCs w:val="18"/>
        </w:rPr>
        <w:t>2</w:t>
      </w:r>
      <w:bookmarkEnd w:id="712"/>
      <w:r>
        <w:rPr>
          <w:color w:val="000000"/>
          <w:spacing w:val="0"/>
          <w:w w:val="100"/>
          <w:position w:val="0"/>
        </w:rPr>
        <w:t>、</w:t>
        <w:tab/>
        <w:t>以下公司记账本位币如下：</w:t>
      </w:r>
    </w:p>
    <w:tbl>
      <w:tblPr>
        <w:tblOverlap w:val="never"/>
        <w:jc w:val="center"/>
        <w:tblLayout w:type="fixed"/>
      </w:tblPr>
      <w:tblGrid>
        <w:gridCol w:w="6542"/>
        <w:gridCol w:w="1560"/>
        <w:gridCol w:w="157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记账本位币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360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新加坡币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神州泰岳（香港）有限公司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TRUST SOFTWARE AND SERVICE TECHNOLOGY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越南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越南盾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YUHAN HOESA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韩国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韩元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85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(Thailand) Co.</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泰国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泰铢</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神州泰奇软件（新加坡）有限公司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(Hong 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泰岳小漫（香港）有限公司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UQ soft (Singapore) Pte.Ltd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Taiwan Branch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新台币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(RUSSIA) CO.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俄罗斯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卢布</w:t>
            </w:r>
          </w:p>
        </w:tc>
      </w:tr>
    </w:tbl>
    <w:p>
      <w:pPr>
        <w:pStyle w:val="Style35"/>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、除上述公司外，其余公司均采用人民币为记账本位币。</w:t>
      </w:r>
    </w:p>
    <w:p>
      <w:pPr>
        <w:widowControl w:val="0"/>
        <w:spacing w:after="459" w:line="1" w:lineRule="exact"/>
      </w:pPr>
    </w:p>
    <w:p>
      <w:pPr>
        <w:pStyle w:val="Style39"/>
        <w:keepNext/>
        <w:keepLines/>
        <w:widowControl w:val="0"/>
        <w:shd w:val="clear" w:color="auto" w:fill="auto"/>
        <w:bidi w:val="0"/>
        <w:spacing w:before="0" w:after="1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5</w:t>
      </w:r>
      <w:bookmarkEnd w:id="715"/>
      <w:r>
        <w:rPr>
          <w:color w:val="000000"/>
          <w:spacing w:val="0"/>
          <w:w w:val="100"/>
          <w:position w:val="0"/>
        </w:rPr>
        <w:t>、同一控制下和非同一控制下企业合并的会计处理方法</w:t>
      </w:r>
      <w:bookmarkEnd w:id="713"/>
      <w:bookmarkEnd w:id="714"/>
      <w:bookmarkEnd w:id="716"/>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同一控制下企业合并：本公司在企业合并中取得的资产和负债，按照合并日被合并方资产、负债（包括最终控制方收购 被合并方而形成的商誉）在最终控制方合并财务报表中的账面价值计量。在合并中取得的净资产账面价值与支付的合并对价 账面价值（或发行股份面值总额）的差额，调整资本公积中的股本溢价，资本公积中的股本溢价不足冲减的，调整留存收益。</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9"/>
        <w:keepNext/>
        <w:keepLines/>
        <w:widowControl w:val="0"/>
        <w:shd w:val="clear" w:color="auto" w:fill="auto"/>
        <w:bidi w:val="0"/>
        <w:spacing w:before="0" w:after="4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6</w:t>
      </w:r>
      <w:bookmarkEnd w:id="719"/>
      <w:r>
        <w:rPr>
          <w:color w:val="000000"/>
          <w:spacing w:val="0"/>
          <w:w w:val="100"/>
          <w:position w:val="0"/>
        </w:rPr>
        <w:t>、合并财务报表的编制方法</w:t>
      </w:r>
      <w:bookmarkEnd w:id="717"/>
      <w:bookmarkEnd w:id="718"/>
      <w:bookmarkEnd w:id="720"/>
    </w:p>
    <w:p>
      <w:pPr>
        <w:pStyle w:val="Style29"/>
        <w:keepNext w:val="0"/>
        <w:keepLines w:val="0"/>
        <w:widowControl w:val="0"/>
        <w:shd w:val="clear" w:color="auto" w:fill="auto"/>
        <w:tabs>
          <w:tab w:pos="659" w:val="left"/>
        </w:tabs>
        <w:bidi w:val="0"/>
        <w:spacing w:before="0" w:after="0" w:line="542" w:lineRule="auto"/>
        <w:ind w:left="0" w:right="0"/>
        <w:jc w:val="both"/>
      </w:pPr>
      <w:bookmarkStart w:id="721" w:name="bookmark721"/>
      <w:r>
        <w:rPr>
          <w:rFonts w:ascii="Times New Roman" w:eastAsia="Times New Roman" w:hAnsi="Times New Roman" w:cs="Times New Roman"/>
          <w:b/>
          <w:bCs/>
          <w:color w:val="000000"/>
          <w:spacing w:val="0"/>
          <w:w w:val="100"/>
          <w:position w:val="0"/>
          <w:sz w:val="18"/>
          <w:szCs w:val="18"/>
        </w:rPr>
        <w:t>1</w:t>
      </w:r>
      <w:bookmarkEnd w:id="721"/>
      <w:r>
        <w:rPr>
          <w:b/>
          <w:bCs/>
          <w:color w:val="000000"/>
          <w:spacing w:val="0"/>
          <w:w w:val="100"/>
          <w:position w:val="0"/>
        </w:rPr>
        <w:t>、</w:t>
        <w:tab/>
        <w:t>合并范围</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29"/>
        <w:keepNext w:val="0"/>
        <w:keepLines w:val="0"/>
        <w:widowControl w:val="0"/>
        <w:shd w:val="clear" w:color="auto" w:fill="auto"/>
        <w:tabs>
          <w:tab w:pos="674" w:val="left"/>
        </w:tabs>
        <w:bidi w:val="0"/>
        <w:spacing w:before="0" w:after="0" w:line="542" w:lineRule="auto"/>
        <w:ind w:left="0" w:right="0"/>
        <w:jc w:val="both"/>
      </w:pPr>
      <w:bookmarkStart w:id="722" w:name="bookmark722"/>
      <w:r>
        <w:rPr>
          <w:rFonts w:ascii="Times New Roman" w:eastAsia="Times New Roman" w:hAnsi="Times New Roman" w:cs="Times New Roman"/>
          <w:b/>
          <w:bCs/>
          <w:color w:val="000000"/>
          <w:spacing w:val="0"/>
          <w:w w:val="100"/>
          <w:position w:val="0"/>
          <w:sz w:val="18"/>
          <w:szCs w:val="18"/>
        </w:rPr>
        <w:t>2</w:t>
      </w:r>
      <w:bookmarkEnd w:id="722"/>
      <w:r>
        <w:rPr>
          <w:b/>
          <w:bCs/>
          <w:color w:val="000000"/>
          <w:spacing w:val="0"/>
          <w:w w:val="100"/>
          <w:position w:val="0"/>
        </w:rPr>
        <w:t>、</w:t>
        <w:tab/>
        <w:t>合并程序</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shd w:val="clear" w:color="auto" w:fill="auto"/>
        <w:bidi w:val="0"/>
        <w:spacing w:before="0" w:after="0" w:line="468" w:lineRule="exact"/>
        <w:ind w:left="0" w:right="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9"/>
        <w:keepNext w:val="0"/>
        <w:keepLines w:val="0"/>
        <w:widowControl w:val="0"/>
        <w:shd w:val="clear" w:color="auto" w:fill="auto"/>
        <w:bidi w:val="0"/>
        <w:spacing w:before="0" w:after="120" w:line="468"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9"/>
        <w:keepNext w:val="0"/>
        <w:keepLines w:val="0"/>
        <w:widowControl w:val="0"/>
        <w:shd w:val="clear" w:color="auto" w:fill="auto"/>
        <w:tabs>
          <w:tab w:pos="800" w:val="left"/>
        </w:tabs>
        <w:bidi w:val="0"/>
        <w:spacing w:before="0" w:after="0" w:line="471" w:lineRule="exact"/>
        <w:ind w:left="0" w:right="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9"/>
        <w:keepNext w:val="0"/>
        <w:keepLines w:val="0"/>
        <w:widowControl w:val="0"/>
        <w:numPr>
          <w:ilvl w:val="0"/>
          <w:numId w:val="15"/>
        </w:numPr>
        <w:shd w:val="clear" w:color="auto" w:fill="auto"/>
        <w:tabs>
          <w:tab w:pos="728" w:val="left"/>
        </w:tabs>
        <w:bidi w:val="0"/>
        <w:spacing w:before="0" w:after="0" w:line="471" w:lineRule="exact"/>
        <w:ind w:left="0" w:right="0"/>
        <w:jc w:val="both"/>
      </w:pPr>
      <w:bookmarkStart w:id="725" w:name="bookmark725"/>
      <w:bookmarkEnd w:id="725"/>
      <w:r>
        <w:rPr>
          <w:color w:val="000000"/>
          <w:spacing w:val="0"/>
          <w:w w:val="100"/>
          <w:position w:val="0"/>
        </w:rPr>
        <w:t>一般处理方法</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因其他投资方对子公司增资而导致本公司持股比例下降从而丧失控制权的，按照上述原则进行会计处理。</w:t>
      </w:r>
    </w:p>
    <w:p>
      <w:pPr>
        <w:pStyle w:val="Style29"/>
        <w:keepNext w:val="0"/>
        <w:keepLines w:val="0"/>
        <w:widowControl w:val="0"/>
        <w:numPr>
          <w:ilvl w:val="0"/>
          <w:numId w:val="15"/>
        </w:numPr>
        <w:shd w:val="clear" w:color="auto" w:fill="auto"/>
        <w:tabs>
          <w:tab w:pos="708" w:val="left"/>
        </w:tabs>
        <w:bidi w:val="0"/>
        <w:spacing w:before="0" w:after="0" w:line="471" w:lineRule="exact"/>
        <w:ind w:left="0" w:right="0" w:firstLine="360"/>
        <w:jc w:val="left"/>
      </w:pPr>
      <w:bookmarkStart w:id="726" w:name="bookmark726"/>
      <w:bookmarkEnd w:id="726"/>
      <w:r>
        <w:rPr>
          <w:color w:val="000000"/>
          <w:spacing w:val="0"/>
          <w:w w:val="100"/>
          <w:position w:val="0"/>
        </w:rPr>
        <w:t>分步处置子公司</w:t>
      </w:r>
    </w:p>
    <w:p>
      <w:pPr>
        <w:pStyle w:val="Style29"/>
        <w:keepNext w:val="0"/>
        <w:keepLines w:val="0"/>
        <w:widowControl w:val="0"/>
        <w:shd w:val="clear" w:color="auto" w:fill="auto"/>
        <w:bidi w:val="0"/>
        <w:spacing w:before="0" w:after="260" w:line="471"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9"/>
        <w:keepNext w:val="0"/>
        <w:keepLines w:val="0"/>
        <w:widowControl w:val="0"/>
        <w:numPr>
          <w:ilvl w:val="0"/>
          <w:numId w:val="17"/>
        </w:numPr>
        <w:shd w:val="clear" w:color="auto" w:fill="auto"/>
        <w:bidi w:val="0"/>
        <w:spacing w:before="0" w:after="0" w:line="547" w:lineRule="auto"/>
        <w:ind w:left="0" w:right="0"/>
        <w:jc w:val="both"/>
      </w:pPr>
      <w:bookmarkStart w:id="727" w:name="bookmark727"/>
      <w:bookmarkEnd w:id="727"/>
      <w:r>
        <w:rPr>
          <w:color w:val="000000"/>
          <w:spacing w:val="0"/>
          <w:w w:val="100"/>
          <w:position w:val="0"/>
        </w:rPr>
        <w:t>这些交易是同时或者在考虑了彼此影响的情况下订立的；</w:t>
      </w:r>
    </w:p>
    <w:p>
      <w:pPr>
        <w:pStyle w:val="Style29"/>
        <w:keepNext w:val="0"/>
        <w:keepLines w:val="0"/>
        <w:widowControl w:val="0"/>
        <w:numPr>
          <w:ilvl w:val="0"/>
          <w:numId w:val="17"/>
        </w:numPr>
        <w:shd w:val="clear" w:color="auto" w:fill="auto"/>
        <w:tabs>
          <w:tab w:pos="743" w:val="left"/>
        </w:tabs>
        <w:bidi w:val="0"/>
        <w:spacing w:before="0" w:after="0" w:line="547" w:lineRule="auto"/>
        <w:ind w:left="0" w:right="0"/>
        <w:jc w:val="both"/>
      </w:pPr>
      <w:bookmarkStart w:id="728" w:name="bookmark728"/>
      <w:bookmarkEnd w:id="728"/>
      <w:r>
        <w:rPr>
          <w:color w:val="000000"/>
          <w:spacing w:val="0"/>
          <w:w w:val="100"/>
          <w:position w:val="0"/>
        </w:rPr>
        <w:t>这些交易整体才能达成一项完整的商业结果；</w:t>
      </w:r>
    </w:p>
    <w:p>
      <w:pPr>
        <w:pStyle w:val="Style29"/>
        <w:keepNext w:val="0"/>
        <w:keepLines w:val="0"/>
        <w:widowControl w:val="0"/>
        <w:numPr>
          <w:ilvl w:val="0"/>
          <w:numId w:val="17"/>
        </w:numPr>
        <w:shd w:val="clear" w:color="auto" w:fill="auto"/>
        <w:tabs>
          <w:tab w:pos="762" w:val="left"/>
        </w:tabs>
        <w:bidi w:val="0"/>
        <w:spacing w:before="0" w:after="0" w:line="547" w:lineRule="auto"/>
        <w:ind w:left="0" w:right="0"/>
        <w:jc w:val="both"/>
      </w:pPr>
      <w:bookmarkStart w:id="729" w:name="bookmark729"/>
      <w:bookmarkEnd w:id="729"/>
      <w:r>
        <w:rPr>
          <w:color w:val="000000"/>
          <w:spacing w:val="0"/>
          <w:w w:val="100"/>
          <w:position w:val="0"/>
        </w:rPr>
        <w:t>一项交易的发生取决于其他至少一项交易的发生；</w:t>
      </w:r>
    </w:p>
    <w:p>
      <w:pPr>
        <w:pStyle w:val="Style29"/>
        <w:keepNext w:val="0"/>
        <w:keepLines w:val="0"/>
        <w:widowControl w:val="0"/>
        <w:numPr>
          <w:ilvl w:val="0"/>
          <w:numId w:val="17"/>
        </w:numPr>
        <w:shd w:val="clear" w:color="auto" w:fill="auto"/>
        <w:tabs>
          <w:tab w:pos="762" w:val="left"/>
        </w:tabs>
        <w:bidi w:val="0"/>
        <w:spacing w:before="0" w:after="0" w:line="547" w:lineRule="auto"/>
        <w:ind w:left="0" w:right="0"/>
        <w:jc w:val="both"/>
      </w:pPr>
      <w:bookmarkStart w:id="730" w:name="bookmark730"/>
      <w:bookmarkEnd w:id="730"/>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9"/>
        <w:keepNext w:val="0"/>
        <w:keepLines w:val="0"/>
        <w:widowControl w:val="0"/>
        <w:shd w:val="clear" w:color="auto" w:fill="auto"/>
        <w:tabs>
          <w:tab w:pos="780" w:val="left"/>
        </w:tabs>
        <w:bidi w:val="0"/>
        <w:spacing w:before="0" w:after="0" w:line="471" w:lineRule="exact"/>
        <w:ind w:left="0" w:right="0" w:firstLine="36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9"/>
        <w:keepNext w:val="0"/>
        <w:keepLines w:val="0"/>
        <w:widowControl w:val="0"/>
        <w:shd w:val="clear" w:color="auto" w:fill="auto"/>
        <w:bidi w:val="0"/>
        <w:spacing w:before="0" w:after="0" w:line="471" w:lineRule="exact"/>
        <w:ind w:left="0" w:right="0"/>
        <w:jc w:val="both"/>
      </w:pPr>
      <w:r>
        <w:rPr>
          <w:color w:val="000000"/>
          <w:spacing w:val="0"/>
          <w:w w:val="100"/>
          <w:position w:val="0"/>
        </w:rPr>
        <w:t xml:space="preserve">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w:t>
      </w:r>
      <w:r>
        <w:rPr>
          <w:color w:val="000000"/>
          <w:spacing w:val="0"/>
          <w:w w:val="100"/>
          <w:position w:val="0"/>
        </w:rPr>
        <w:t>存收益。</w:t>
      </w:r>
    </w:p>
    <w:p>
      <w:pPr>
        <w:pStyle w:val="Style29"/>
        <w:keepNext w:val="0"/>
        <w:keepLines w:val="0"/>
        <w:widowControl w:val="0"/>
        <w:numPr>
          <w:ilvl w:val="0"/>
          <w:numId w:val="19"/>
        </w:numPr>
        <w:shd w:val="clear" w:color="auto" w:fill="auto"/>
        <w:bidi w:val="0"/>
        <w:spacing w:before="0" w:after="0" w:line="466" w:lineRule="exact"/>
        <w:ind w:left="0" w:right="0"/>
        <w:jc w:val="both"/>
      </w:pPr>
      <w:bookmarkStart w:id="732" w:name="bookmark732"/>
      <w:bookmarkEnd w:id="732"/>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9"/>
        <w:keepNext/>
        <w:keepLines/>
        <w:widowControl w:val="0"/>
        <w:shd w:val="clear" w:color="auto" w:fill="auto"/>
        <w:tabs>
          <w:tab w:pos="373" w:val="left"/>
        </w:tabs>
        <w:bidi w:val="0"/>
        <w:spacing w:before="0" w:after="2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w:t>
        <w:tab/>
        <w:t>合营安排分类及共同经营会计处理方法</w:t>
      </w:r>
      <w:bookmarkEnd w:id="733"/>
      <w:bookmarkEnd w:id="734"/>
      <w:bookmarkEnd w:id="736"/>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当本公司是合营安排的合营方，享有该安排相关资产且承担该安排相关负债时，为共同经营。</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numPr>
          <w:ilvl w:val="0"/>
          <w:numId w:val="21"/>
        </w:numPr>
        <w:shd w:val="clear" w:color="auto" w:fill="auto"/>
        <w:tabs>
          <w:tab w:pos="825" w:val="left"/>
        </w:tabs>
        <w:bidi w:val="0"/>
        <w:spacing w:before="0" w:after="0" w:line="470" w:lineRule="exact"/>
        <w:ind w:left="0" w:right="0"/>
        <w:jc w:val="both"/>
      </w:pPr>
      <w:bookmarkStart w:id="737" w:name="bookmark737"/>
      <w:bookmarkEnd w:id="737"/>
      <w:r>
        <w:rPr>
          <w:color w:val="000000"/>
          <w:spacing w:val="0"/>
          <w:w w:val="100"/>
          <w:position w:val="0"/>
        </w:rPr>
        <w:t>确认本公司单独所持有的资产，以及按本公司份额确认共同持有的资产；</w:t>
      </w:r>
    </w:p>
    <w:p>
      <w:pPr>
        <w:pStyle w:val="Style29"/>
        <w:keepNext w:val="0"/>
        <w:keepLines w:val="0"/>
        <w:widowControl w:val="0"/>
        <w:numPr>
          <w:ilvl w:val="0"/>
          <w:numId w:val="21"/>
        </w:numPr>
        <w:shd w:val="clear" w:color="auto" w:fill="auto"/>
        <w:tabs>
          <w:tab w:pos="825" w:val="left"/>
        </w:tabs>
        <w:bidi w:val="0"/>
        <w:spacing w:before="0" w:after="0" w:line="470" w:lineRule="exact"/>
        <w:ind w:left="0" w:right="0"/>
        <w:jc w:val="both"/>
      </w:pPr>
      <w:bookmarkStart w:id="738" w:name="bookmark738"/>
      <w:bookmarkEnd w:id="738"/>
      <w:r>
        <w:rPr>
          <w:color w:val="000000"/>
          <w:spacing w:val="0"/>
          <w:w w:val="100"/>
          <w:position w:val="0"/>
        </w:rPr>
        <w:t>确认本公司单独所承担的负债，以及按本公司份额确认共同承担的负债；</w:t>
      </w:r>
    </w:p>
    <w:p>
      <w:pPr>
        <w:pStyle w:val="Style29"/>
        <w:keepNext w:val="0"/>
        <w:keepLines w:val="0"/>
        <w:widowControl w:val="0"/>
        <w:numPr>
          <w:ilvl w:val="0"/>
          <w:numId w:val="21"/>
        </w:numPr>
        <w:shd w:val="clear" w:color="auto" w:fill="auto"/>
        <w:tabs>
          <w:tab w:pos="825" w:val="left"/>
        </w:tabs>
        <w:bidi w:val="0"/>
        <w:spacing w:before="0" w:after="0" w:line="470" w:lineRule="exact"/>
        <w:ind w:left="0" w:right="0"/>
        <w:jc w:val="both"/>
      </w:pPr>
      <w:bookmarkStart w:id="739" w:name="bookmark739"/>
      <w:bookmarkEnd w:id="739"/>
      <w:r>
        <w:rPr>
          <w:color w:val="000000"/>
          <w:spacing w:val="0"/>
          <w:w w:val="100"/>
          <w:position w:val="0"/>
        </w:rPr>
        <w:t>确认出售本公司享有的共同经营产出份额所产生的收入；</w:t>
      </w:r>
    </w:p>
    <w:p>
      <w:pPr>
        <w:pStyle w:val="Style29"/>
        <w:keepNext w:val="0"/>
        <w:keepLines w:val="0"/>
        <w:widowControl w:val="0"/>
        <w:numPr>
          <w:ilvl w:val="0"/>
          <w:numId w:val="21"/>
        </w:numPr>
        <w:shd w:val="clear" w:color="auto" w:fill="auto"/>
        <w:tabs>
          <w:tab w:pos="825" w:val="left"/>
        </w:tabs>
        <w:bidi w:val="0"/>
        <w:spacing w:before="0" w:after="0" w:line="470" w:lineRule="exact"/>
        <w:ind w:left="0" w:right="0"/>
        <w:jc w:val="both"/>
      </w:pPr>
      <w:bookmarkStart w:id="740" w:name="bookmark740"/>
      <w:bookmarkEnd w:id="740"/>
      <w:r>
        <w:rPr>
          <w:color w:val="000000"/>
          <w:spacing w:val="0"/>
          <w:w w:val="100"/>
          <w:position w:val="0"/>
        </w:rPr>
        <w:t>按本公司份额确认共同经营因出售产出所产生的收入；</w:t>
      </w:r>
    </w:p>
    <w:p>
      <w:pPr>
        <w:pStyle w:val="Style29"/>
        <w:keepNext w:val="0"/>
        <w:keepLines w:val="0"/>
        <w:widowControl w:val="0"/>
        <w:numPr>
          <w:ilvl w:val="0"/>
          <w:numId w:val="21"/>
        </w:numPr>
        <w:shd w:val="clear" w:color="auto" w:fill="auto"/>
        <w:tabs>
          <w:tab w:pos="825" w:val="left"/>
        </w:tabs>
        <w:bidi w:val="0"/>
        <w:spacing w:before="0" w:after="0" w:line="470" w:lineRule="exact"/>
        <w:ind w:left="0" w:right="0"/>
        <w:jc w:val="both"/>
      </w:pPr>
      <w:bookmarkStart w:id="741" w:name="bookmark741"/>
      <w:bookmarkEnd w:id="741"/>
      <w:r>
        <w:rPr>
          <w:color w:val="000000"/>
          <w:spacing w:val="0"/>
          <w:w w:val="100"/>
          <w:position w:val="0"/>
        </w:rPr>
        <w:t>确认单独所发生的费用，以及按本公司份额确认共同经营发生的费用。</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五、(十四)长期股权投资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tabs>
          <w:tab w:pos="378" w:val="left"/>
        </w:tabs>
        <w:bidi w:val="0"/>
        <w:spacing w:before="0" w:after="2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8</w:t>
      </w:r>
      <w:bookmarkEnd w:id="744"/>
      <w:r>
        <w:rPr>
          <w:color w:val="000000"/>
          <w:spacing w:val="0"/>
          <w:w w:val="100"/>
          <w:position w:val="0"/>
        </w:rPr>
        <w:t>、</w:t>
        <w:tab/>
        <w:t>现金及现金等价物的确定标准</w:t>
      </w:r>
      <w:bookmarkEnd w:id="742"/>
      <w:bookmarkEnd w:id="743"/>
      <w:bookmarkEnd w:id="745"/>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9"/>
        <w:keepNext/>
        <w:keepLines/>
        <w:widowControl w:val="0"/>
        <w:shd w:val="clear" w:color="auto" w:fill="auto"/>
        <w:tabs>
          <w:tab w:pos="378" w:val="left"/>
        </w:tabs>
        <w:bidi w:val="0"/>
        <w:spacing w:before="0" w:after="2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9</w:t>
      </w:r>
      <w:bookmarkEnd w:id="748"/>
      <w:r>
        <w:rPr>
          <w:color w:val="000000"/>
          <w:spacing w:val="0"/>
          <w:w w:val="100"/>
          <w:position w:val="0"/>
        </w:rPr>
        <w:t>、</w:t>
        <w:tab/>
        <w:t>外币业务和外币报表折算</w:t>
      </w:r>
      <w:bookmarkEnd w:id="746"/>
      <w:bookmarkEnd w:id="747"/>
      <w:bookmarkEnd w:id="749"/>
    </w:p>
    <w:p>
      <w:pPr>
        <w:pStyle w:val="Style29"/>
        <w:keepNext w:val="0"/>
        <w:keepLines w:val="0"/>
        <w:widowControl w:val="0"/>
        <w:shd w:val="clear" w:color="auto" w:fill="auto"/>
        <w:tabs>
          <w:tab w:pos="719" w:val="left"/>
        </w:tabs>
        <w:bidi w:val="0"/>
        <w:spacing w:before="0" w:after="0" w:line="470" w:lineRule="exact"/>
        <w:ind w:left="0" w:right="0"/>
        <w:jc w:val="both"/>
      </w:pPr>
      <w:bookmarkStart w:id="750" w:name="bookmark750"/>
      <w:r>
        <w:rPr>
          <w:rFonts w:ascii="Times New Roman" w:eastAsia="Times New Roman" w:hAnsi="Times New Roman" w:cs="Times New Roman"/>
          <w:b/>
          <w:bCs/>
          <w:color w:val="000000"/>
          <w:spacing w:val="0"/>
          <w:w w:val="100"/>
          <w:position w:val="0"/>
          <w:sz w:val="18"/>
          <w:szCs w:val="18"/>
        </w:rPr>
        <w:t>1</w:t>
      </w:r>
      <w:bookmarkEnd w:id="750"/>
      <w:r>
        <w:rPr>
          <w:b/>
          <w:bCs/>
          <w:color w:val="000000"/>
          <w:spacing w:val="0"/>
          <w:w w:val="100"/>
          <w:position w:val="0"/>
        </w:rPr>
        <w:t>、</w:t>
        <w:tab/>
        <w:t>外币业务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9"/>
        <w:keepNext w:val="0"/>
        <w:keepLines w:val="0"/>
        <w:widowControl w:val="0"/>
        <w:shd w:val="clear" w:color="auto" w:fill="auto"/>
        <w:tabs>
          <w:tab w:pos="734" w:val="left"/>
        </w:tabs>
        <w:bidi w:val="0"/>
        <w:spacing w:before="0" w:after="0" w:line="470" w:lineRule="exact"/>
        <w:ind w:left="0" w:right="0"/>
        <w:jc w:val="both"/>
      </w:pPr>
      <w:bookmarkStart w:id="751" w:name="bookmark751"/>
      <w:r>
        <w:rPr>
          <w:rFonts w:ascii="Times New Roman" w:eastAsia="Times New Roman" w:hAnsi="Times New Roman" w:cs="Times New Roman"/>
          <w:b/>
          <w:bCs/>
          <w:color w:val="000000"/>
          <w:spacing w:val="0"/>
          <w:w w:val="100"/>
          <w:position w:val="0"/>
          <w:sz w:val="18"/>
          <w:szCs w:val="18"/>
        </w:rPr>
        <w:t>2</w:t>
      </w:r>
      <w:bookmarkEnd w:id="751"/>
      <w:r>
        <w:rPr>
          <w:b/>
          <w:bCs/>
          <w:color w:val="000000"/>
          <w:spacing w:val="0"/>
          <w:w w:val="100"/>
          <w:position w:val="0"/>
        </w:rPr>
        <w:t>、</w:t>
        <w:tab/>
        <w:t>外币财务报表的折算</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w:t>
      </w:r>
    </w:p>
    <w:p>
      <w:pPr>
        <w:pStyle w:val="Style29"/>
        <w:keepNext w:val="0"/>
        <w:keepLines w:val="0"/>
        <w:widowControl w:val="0"/>
        <w:shd w:val="clear" w:color="auto" w:fill="auto"/>
        <w:bidi w:val="0"/>
        <w:spacing w:before="0" w:after="200" w:line="470" w:lineRule="exact"/>
        <w:ind w:left="0" w:right="0"/>
        <w:jc w:val="both"/>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444" w:right="693" w:bottom="1230" w:left="705" w:header="0" w:footer="3" w:gutter="0"/>
          <w:cols w:space="720"/>
          <w:noEndnote/>
          <w:titlePg/>
          <w:rtlGutter w:val="0"/>
          <w:docGrid w:linePitch="360"/>
        </w:sectPr>
      </w:pPr>
      <w:r>
        <w:rPr>
          <w:color w:val="000000"/>
          <w:spacing w:val="0"/>
          <w:w w:val="100"/>
          <w:position w:val="0"/>
        </w:rPr>
        <w:t>处置境外经营时，将与该境外经营相关的外币财务报表折算差额，自所有者权益项目转入处置当期损益。</w:t>
      </w:r>
    </w:p>
    <w:p>
      <w:pPr>
        <w:pStyle w:val="Style39"/>
        <w:keepNext/>
        <w:keepLines/>
        <w:widowControl w:val="0"/>
        <w:shd w:val="clear" w:color="auto" w:fill="auto"/>
        <w:bidi w:val="0"/>
        <w:spacing w:before="0" w:after="1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2"/>
      <w:bookmarkEnd w:id="753"/>
      <w:bookmarkEnd w:id="755"/>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金融工具包括金融资产、金融负债和权益工具。</w:t>
      </w:r>
    </w:p>
    <w:p>
      <w:pPr>
        <w:pStyle w:val="Style29"/>
        <w:keepNext w:val="0"/>
        <w:keepLines w:val="0"/>
        <w:widowControl w:val="0"/>
        <w:shd w:val="clear" w:color="auto" w:fill="auto"/>
        <w:tabs>
          <w:tab w:pos="726" w:val="left"/>
        </w:tabs>
        <w:bidi w:val="0"/>
        <w:spacing w:before="0" w:after="0" w:line="545" w:lineRule="auto"/>
        <w:ind w:left="0" w:right="0"/>
        <w:jc w:val="both"/>
      </w:pPr>
      <w:bookmarkStart w:id="756" w:name="bookmark756"/>
      <w:r>
        <w:rPr>
          <w:rFonts w:ascii="Times New Roman" w:eastAsia="Times New Roman" w:hAnsi="Times New Roman" w:cs="Times New Roman"/>
          <w:b/>
          <w:bCs/>
          <w:color w:val="000000"/>
          <w:spacing w:val="0"/>
          <w:w w:val="100"/>
          <w:position w:val="0"/>
          <w:sz w:val="18"/>
          <w:szCs w:val="18"/>
        </w:rPr>
        <w:t>1</w:t>
      </w:r>
      <w:bookmarkEnd w:id="756"/>
      <w:r>
        <w:rPr>
          <w:b/>
          <w:bCs/>
          <w:color w:val="000000"/>
          <w:spacing w:val="0"/>
          <w:w w:val="100"/>
          <w:position w:val="0"/>
        </w:rPr>
        <w:t>、</w:t>
        <w:tab/>
        <w:t>金融工具的分类</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29"/>
        <w:keepNext w:val="0"/>
        <w:keepLines w:val="0"/>
        <w:widowControl w:val="0"/>
        <w:shd w:val="clear" w:color="auto" w:fill="auto"/>
        <w:tabs>
          <w:tab w:pos="738" w:val="left"/>
        </w:tabs>
        <w:bidi w:val="0"/>
        <w:spacing w:before="0" w:after="0" w:line="545" w:lineRule="auto"/>
        <w:ind w:left="0" w:right="0"/>
        <w:jc w:val="both"/>
      </w:pPr>
      <w:bookmarkStart w:id="757" w:name="bookmark757"/>
      <w:r>
        <w:rPr>
          <w:rFonts w:ascii="Times New Roman" w:eastAsia="Times New Roman" w:hAnsi="Times New Roman" w:cs="Times New Roman"/>
          <w:b/>
          <w:bCs/>
          <w:color w:val="000000"/>
          <w:spacing w:val="0"/>
          <w:w w:val="100"/>
          <w:position w:val="0"/>
          <w:sz w:val="18"/>
          <w:szCs w:val="18"/>
        </w:rPr>
        <w:t>2</w:t>
      </w:r>
      <w:bookmarkEnd w:id="757"/>
      <w:r>
        <w:rPr>
          <w:b/>
          <w:bCs/>
          <w:color w:val="000000"/>
          <w:spacing w:val="0"/>
          <w:w w:val="100"/>
          <w:position w:val="0"/>
        </w:rPr>
        <w:t>、</w:t>
        <w:tab/>
        <w:t>金融工具的确认依据和计量方法</w:t>
      </w:r>
    </w:p>
    <w:p>
      <w:pPr>
        <w:pStyle w:val="Style29"/>
        <w:keepNext w:val="0"/>
        <w:keepLines w:val="0"/>
        <w:widowControl w:val="0"/>
        <w:shd w:val="clear" w:color="auto" w:fill="auto"/>
        <w:tabs>
          <w:tab w:pos="825" w:val="left"/>
        </w:tabs>
        <w:bidi w:val="0"/>
        <w:spacing w:before="0" w:after="0" w:line="469"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shd w:val="clear" w:color="auto" w:fill="auto"/>
        <w:tabs>
          <w:tab w:pos="825" w:val="left"/>
        </w:tabs>
        <w:bidi w:val="0"/>
        <w:spacing w:before="0" w:after="0" w:line="469"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处置时，将所取得价款与该投资账面价值之间的差额计入投资收益。</w:t>
      </w:r>
    </w:p>
    <w:p>
      <w:pPr>
        <w:pStyle w:val="Style29"/>
        <w:keepNext w:val="0"/>
        <w:keepLines w:val="0"/>
        <w:widowControl w:val="0"/>
        <w:shd w:val="clear" w:color="auto" w:fill="auto"/>
        <w:tabs>
          <w:tab w:pos="825" w:val="left"/>
        </w:tabs>
        <w:bidi w:val="0"/>
        <w:spacing w:before="0" w:after="0" w:line="469" w:lineRule="exact"/>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收回或处置时，将取得的价款与该应收款项账面价值之间的差额计入当期损益。</w:t>
      </w:r>
    </w:p>
    <w:p>
      <w:pPr>
        <w:pStyle w:val="Style29"/>
        <w:keepNext w:val="0"/>
        <w:keepLines w:val="0"/>
        <w:widowControl w:val="0"/>
        <w:shd w:val="clear" w:color="auto" w:fill="auto"/>
        <w:tabs>
          <w:tab w:pos="921" w:val="left"/>
        </w:tabs>
        <w:bidi w:val="0"/>
        <w:spacing w:before="0" w:after="0" w:line="469" w:lineRule="exact"/>
        <w:ind w:left="380" w:right="0" w:firstLine="0"/>
        <w:jc w:val="left"/>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 取得时按公允价值（扣除已宣告但尚未发放的现金股利或已到付息期但尚未领取的债券利息）和相关交易费用之和作为</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初始确认金额。</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处置时，将取得的价款与该金融资产账面价值之间的差额，计入投资损益；同时，将原直接计入其他综合收益的公允价 </w:t>
      </w:r>
      <w:r>
        <w:rPr>
          <w:color w:val="000000"/>
          <w:spacing w:val="0"/>
          <w:w w:val="100"/>
          <w:position w:val="0"/>
        </w:rPr>
        <w:t>值变动累计额对应处置部分的金额转出，计入当期损益。</w:t>
      </w:r>
    </w:p>
    <w:p>
      <w:pPr>
        <w:pStyle w:val="Style29"/>
        <w:keepNext w:val="0"/>
        <w:keepLines w:val="0"/>
        <w:widowControl w:val="0"/>
        <w:shd w:val="clear" w:color="auto" w:fill="auto"/>
        <w:bidi w:val="0"/>
        <w:spacing w:before="0" w:after="0" w:line="470"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）其他金融负债</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734" w:val="left"/>
        </w:tabs>
        <w:bidi w:val="0"/>
        <w:spacing w:before="0" w:after="0" w:line="545" w:lineRule="auto"/>
        <w:ind w:left="0" w:right="0"/>
        <w:jc w:val="both"/>
      </w:pPr>
      <w:bookmarkStart w:id="763" w:name="bookmark763"/>
      <w:r>
        <w:rPr>
          <w:rFonts w:ascii="Times New Roman" w:eastAsia="Times New Roman" w:hAnsi="Times New Roman" w:cs="Times New Roman"/>
          <w:b/>
          <w:bCs/>
          <w:color w:val="000000"/>
          <w:spacing w:val="0"/>
          <w:w w:val="100"/>
          <w:position w:val="0"/>
          <w:sz w:val="18"/>
          <w:szCs w:val="18"/>
        </w:rPr>
        <w:t>3</w:t>
      </w:r>
      <w:bookmarkEnd w:id="763"/>
      <w:r>
        <w:rPr>
          <w:b/>
          <w:bCs/>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9"/>
        <w:keepNext w:val="0"/>
        <w:keepLines w:val="0"/>
        <w:widowControl w:val="0"/>
        <w:shd w:val="clear" w:color="auto" w:fill="auto"/>
        <w:tabs>
          <w:tab w:pos="825" w:val="left"/>
        </w:tabs>
        <w:bidi w:val="0"/>
        <w:spacing w:before="0" w:after="0" w:line="470"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9"/>
        <w:keepNext w:val="0"/>
        <w:keepLines w:val="0"/>
        <w:widowControl w:val="0"/>
        <w:shd w:val="clear" w:color="auto" w:fill="auto"/>
        <w:tabs>
          <w:tab w:pos="901" w:val="left"/>
        </w:tabs>
        <w:bidi w:val="0"/>
        <w:spacing w:before="0" w:after="0" w:line="470" w:lineRule="exact"/>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shd w:val="clear" w:color="auto" w:fill="auto"/>
        <w:tabs>
          <w:tab w:pos="825" w:val="left"/>
        </w:tabs>
        <w:bidi w:val="0"/>
        <w:spacing w:before="0" w:after="0" w:line="470" w:lineRule="exact"/>
        <w:ind w:left="0" w:right="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9"/>
        <w:keepNext w:val="0"/>
        <w:keepLines w:val="0"/>
        <w:widowControl w:val="0"/>
        <w:shd w:val="clear" w:color="auto" w:fill="auto"/>
        <w:tabs>
          <w:tab w:pos="901" w:val="left"/>
        </w:tabs>
        <w:bidi w:val="0"/>
        <w:spacing w:before="0" w:after="0" w:line="470"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734" w:val="left"/>
        </w:tabs>
        <w:bidi w:val="0"/>
        <w:spacing w:before="0" w:after="0" w:line="545" w:lineRule="auto"/>
        <w:ind w:left="0" w:right="0"/>
        <w:jc w:val="both"/>
      </w:pPr>
      <w:bookmarkStart w:id="768" w:name="bookmark768"/>
      <w:r>
        <w:rPr>
          <w:rFonts w:ascii="Times New Roman" w:eastAsia="Times New Roman" w:hAnsi="Times New Roman" w:cs="Times New Roman"/>
          <w:b/>
          <w:bCs/>
          <w:color w:val="000000"/>
          <w:spacing w:val="0"/>
          <w:w w:val="100"/>
          <w:position w:val="0"/>
          <w:sz w:val="18"/>
          <w:szCs w:val="18"/>
        </w:rPr>
        <w:t>4</w:t>
      </w:r>
      <w:bookmarkEnd w:id="768"/>
      <w:r>
        <w:rPr>
          <w:b/>
          <w:bCs/>
          <w:color w:val="000000"/>
          <w:spacing w:val="0"/>
          <w:w w:val="100"/>
          <w:position w:val="0"/>
        </w:rPr>
        <w:t>、</w:t>
        <w:tab/>
        <w:t>金融负债终止确认条件</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9"/>
        <w:keepNext w:val="0"/>
        <w:keepLines w:val="0"/>
        <w:widowControl w:val="0"/>
        <w:shd w:val="clear" w:color="auto" w:fill="auto"/>
        <w:tabs>
          <w:tab w:pos="734" w:val="left"/>
        </w:tabs>
        <w:bidi w:val="0"/>
        <w:spacing w:before="0" w:after="0" w:line="545" w:lineRule="auto"/>
        <w:ind w:left="0" w:right="0"/>
        <w:jc w:val="both"/>
      </w:pPr>
      <w:bookmarkStart w:id="769" w:name="bookmark769"/>
      <w:r>
        <w:rPr>
          <w:rFonts w:ascii="Times New Roman" w:eastAsia="Times New Roman" w:hAnsi="Times New Roman" w:cs="Times New Roman"/>
          <w:b/>
          <w:bCs/>
          <w:color w:val="000000"/>
          <w:spacing w:val="0"/>
          <w:w w:val="100"/>
          <w:position w:val="0"/>
          <w:sz w:val="18"/>
          <w:szCs w:val="18"/>
        </w:rPr>
        <w:t>5</w:t>
      </w:r>
      <w:bookmarkEnd w:id="769"/>
      <w:r>
        <w:rPr>
          <w:b/>
          <w:bCs/>
          <w:color w:val="000000"/>
          <w:spacing w:val="0"/>
          <w:w w:val="100"/>
          <w:position w:val="0"/>
        </w:rPr>
        <w:t>、</w:t>
        <w:tab/>
        <w:t>金融资产和金融负债的公允价值的确定方法</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存在活跃市场的金融工具，以活跃市场中的报价确定其公允价值。不存在活跃市场的金融工具，采用估值技术确定其公</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允价值。在估值时，本公司采用在当前情况下适用并且有足够可利用数据和其他信息支持的估值技术，选择与市场参与者在 </w:t>
      </w:r>
      <w:r>
        <w:rPr>
          <w:color w:val="000000"/>
          <w:spacing w:val="0"/>
          <w:w w:val="100"/>
          <w:position w:val="0"/>
        </w:rPr>
        <w:t xml:space="preserve">相关资产或负债的交易中所考虑的资产或负债特征相一致的输入值，并优先使用相关可观察输入值。只有在相关可观察输入 </w:t>
      </w:r>
      <w:r>
        <w:rPr>
          <w:color w:val="000000"/>
          <w:spacing w:val="0"/>
          <w:w w:val="100"/>
          <w:position w:val="0"/>
        </w:rPr>
        <w:t>值无法取得或取得不切实可行的情况下，才使用不可观察输入值。</w:t>
      </w:r>
    </w:p>
    <w:p>
      <w:pPr>
        <w:pStyle w:val="Style29"/>
        <w:keepNext w:val="0"/>
        <w:keepLines w:val="0"/>
        <w:widowControl w:val="0"/>
        <w:shd w:val="clear" w:color="auto" w:fill="auto"/>
        <w:bidi w:val="0"/>
        <w:spacing w:before="0" w:after="260" w:line="240" w:lineRule="auto"/>
        <w:ind w:left="0" w:right="0" w:firstLine="360"/>
        <w:jc w:val="left"/>
      </w:pPr>
      <w:bookmarkStart w:id="770" w:name="bookmark770"/>
      <w:r>
        <w:rPr>
          <w:rFonts w:ascii="Times New Roman" w:eastAsia="Times New Roman" w:hAnsi="Times New Roman" w:cs="Times New Roman"/>
          <w:b/>
          <w:bCs/>
          <w:color w:val="000000"/>
          <w:spacing w:val="0"/>
          <w:w w:val="100"/>
          <w:position w:val="0"/>
          <w:sz w:val="18"/>
          <w:szCs w:val="18"/>
        </w:rPr>
        <w:t>6</w:t>
      </w:r>
      <w:bookmarkEnd w:id="770"/>
      <w:r>
        <w:rPr>
          <w:b/>
          <w:bCs/>
          <w:color w:val="000000"/>
          <w:spacing w:val="0"/>
          <w:w w:val="100"/>
          <w:position w:val="0"/>
        </w:rPr>
        <w:t>、金融资产（不含应收款项）减值的测试方法及会计处理方法</w:t>
      </w:r>
    </w:p>
    <w:p>
      <w:pPr>
        <w:pStyle w:val="Style29"/>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 xml:space="preserve">除以公允价值计量且其变动计入当期损益的金融资产外，本公司于资产负债表日对金融资产的账面价值进行检查，如果 </w:t>
      </w:r>
      <w:r>
        <w:rPr>
          <w:color w:val="000000"/>
          <w:spacing w:val="0"/>
          <w:w w:val="100"/>
          <w:position w:val="0"/>
        </w:rPr>
        <w:t>有客观证据表明某项金融资产发生减值的，计提减值准备。</w:t>
      </w:r>
    </w:p>
    <w:p>
      <w:pPr>
        <w:pStyle w:val="Style29"/>
        <w:keepNext w:val="0"/>
        <w:keepLines w:val="0"/>
        <w:widowControl w:val="0"/>
        <w:shd w:val="clear" w:color="auto" w:fill="auto"/>
        <w:bidi w:val="0"/>
        <w:spacing w:before="0" w:after="260" w:line="240" w:lineRule="auto"/>
        <w:ind w:left="0" w:right="0" w:firstLine="480"/>
        <w:jc w:val="left"/>
      </w:pPr>
      <w:bookmarkStart w:id="771" w:name="bookmark771"/>
      <w:r>
        <w:rPr>
          <w:rFonts w:ascii="Times New Roman" w:eastAsia="Times New Roman" w:hAnsi="Times New Roman" w:cs="Times New Roman"/>
          <w:color w:val="000000"/>
          <w:spacing w:val="0"/>
          <w:w w:val="100"/>
          <w:position w:val="0"/>
          <w:sz w:val="18"/>
          <w:szCs w:val="18"/>
        </w:rPr>
        <w:t>（</w:t>
      </w:r>
      <w:bookmarkEnd w:id="7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）可供出售金融资产的减值准备:</w:t>
      </w:r>
    </w:p>
    <w:p>
      <w:pPr>
        <w:pStyle w:val="Style29"/>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 xml:space="preserve">期末如果可供出售金融资产的公允价值发生严重下降，或在综合考虑各种相关因素后，预期这种下降趋势属于非暂时性 </w:t>
      </w:r>
      <w:r>
        <w:rPr>
          <w:color w:val="000000"/>
          <w:spacing w:val="0"/>
          <w:w w:val="100"/>
          <w:position w:val="0"/>
        </w:rPr>
        <w:t>的，就认定其已发生减值，将原直接计入所有者权益的公允价值下降形成的累计损失一并转出，确认减值损失。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 xml:space="preserve">对于已确认减值损失的可供出售债务工具，在随后的会计期间公允价值已上升且客观上与确认原减值损失确认后发生的 </w:t>
      </w:r>
      <w:r>
        <w:rPr>
          <w:color w:val="000000"/>
          <w:spacing w:val="0"/>
          <w:w w:val="100"/>
          <w:position w:val="0"/>
        </w:rPr>
        <w:t>事项有关的，原确认的减值损失予以转回，计入当期损益。</w:t>
      </w:r>
    </w:p>
    <w:p>
      <w:pPr>
        <w:pStyle w:val="Style29"/>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可供出售权益工具投资发生的减值损失，不通过损益转回。</w:t>
      </w:r>
    </w:p>
    <w:p>
      <w:pPr>
        <w:pStyle w:val="Style29"/>
        <w:keepNext w:val="0"/>
        <w:keepLines w:val="0"/>
        <w:widowControl w:val="0"/>
        <w:shd w:val="clear" w:color="auto" w:fill="auto"/>
        <w:bidi w:val="0"/>
        <w:spacing w:before="0" w:after="260" w:line="240" w:lineRule="auto"/>
        <w:ind w:left="0" w:right="0" w:firstLine="480"/>
        <w:jc w:val="left"/>
      </w:pPr>
      <w:bookmarkStart w:id="772" w:name="bookmark772"/>
      <w:r>
        <w:rPr>
          <w:rFonts w:ascii="Times New Roman" w:eastAsia="Times New Roman" w:hAnsi="Times New Roman" w:cs="Times New Roman"/>
          <w:color w:val="000000"/>
          <w:spacing w:val="0"/>
          <w:w w:val="100"/>
          <w:position w:val="0"/>
          <w:sz w:val="18"/>
          <w:szCs w:val="18"/>
        </w:rPr>
        <w:t>（</w:t>
      </w:r>
      <w:bookmarkEnd w:id="7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）持有至到期投资的减值准备:</w:t>
      </w:r>
    </w:p>
    <w:p>
      <w:pPr>
        <w:pStyle w:val="Style29"/>
        <w:keepNext w:val="0"/>
        <w:keepLines w:val="0"/>
        <w:widowControl w:val="0"/>
        <w:shd w:val="clear" w:color="auto" w:fill="auto"/>
        <w:bidi w:val="0"/>
        <w:spacing w:before="0" w:after="940" w:line="240" w:lineRule="auto"/>
        <w:ind w:left="0" w:right="0" w:firstLine="360"/>
        <w:jc w:val="left"/>
      </w:pPr>
      <w:r>
        <w:rPr>
          <w:color w:val="000000"/>
          <w:spacing w:val="0"/>
          <w:w w:val="100"/>
          <w:position w:val="0"/>
        </w:rPr>
        <w:t>持有至到期投资减值损失的计量比照应收款项减值损失计量方法处理。</w:t>
      </w:r>
    </w:p>
    <w:p>
      <w:pPr>
        <w:pStyle w:val="Style39"/>
        <w:keepNext/>
        <w:keepLines/>
        <w:widowControl w:val="0"/>
        <w:shd w:val="clear" w:color="auto" w:fill="auto"/>
        <w:bidi w:val="0"/>
        <w:spacing w:before="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3"/>
      <w:bookmarkEnd w:id="774"/>
      <w:bookmarkEnd w:id="776"/>
    </w:p>
    <w:p>
      <w:pPr>
        <w:pStyle w:val="Style47"/>
        <w:keepNext/>
        <w:keepLines/>
        <w:widowControl w:val="0"/>
        <w:shd w:val="clear" w:color="auto" w:fill="auto"/>
        <w:bidi w:val="0"/>
        <w:spacing w:before="0" w:after="32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7"/>
      <w:bookmarkEnd w:id="778"/>
      <w:bookmarkEnd w:id="780"/>
    </w:p>
    <w:tbl>
      <w:tblPr>
        <w:tblOverlap w:val="never"/>
        <w:jc w:val="center"/>
        <w:tblLayout w:type="fixed"/>
      </w:tblPr>
      <w:tblGrid>
        <w:gridCol w:w="4790"/>
        <w:gridCol w:w="479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单项金额重大的应收账款是指：余额前五名或占余额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以 上的明细之和。单项金额重大的其他应收款是指：余额大于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万元的款项。</w:t>
            </w: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81"/>
      <w:bookmarkEnd w:id="782"/>
      <w:bookmarkEnd w:id="78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（一般应收账款及其他应收款）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（移动端游戏业务应收账款）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（取得国内信用证的应收账款）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其他方法</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line="1" w:lineRule="exact"/>
      </w:pPr>
      <w:r>
        <w:br w:type="page"/>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86" w:val="left"/>
              </w:tabs>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（一般应收账款及其他应收款）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（移动端游戏业务应收账款）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（取得国内信用证的应收账款）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47"/>
        <w:keepNext/>
        <w:keepLines/>
        <w:widowControl w:val="0"/>
        <w:shd w:val="clear" w:color="auto" w:fill="auto"/>
        <w:bidi w:val="0"/>
        <w:spacing w:before="0" w:after="102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85"/>
      <w:bookmarkEnd w:id="786"/>
      <w:bookmarkEnd w:id="788"/>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除单项金额重大已单独计提坏账准备的应收款项外，公司根 据以往经验结合实际情况判断，以上述组合方式计提的坏账 准备不足以完全覆盖其预计损失额的应收款项，将单独计提 坏账准备。</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根据预计的损失情况足额计提。</w:t>
            </w:r>
          </w:p>
        </w:tc>
      </w:tr>
    </w:tbl>
    <w:p>
      <w:pPr>
        <w:pStyle w:val="Style39"/>
        <w:keepNext/>
        <w:keepLines/>
        <w:widowControl w:val="0"/>
        <w:shd w:val="clear" w:color="auto" w:fill="auto"/>
        <w:tabs>
          <w:tab w:pos="474" w:val="left"/>
        </w:tabs>
        <w:bidi w:val="0"/>
        <w:spacing w:before="0" w:after="40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89"/>
      <w:bookmarkEnd w:id="790"/>
      <w:bookmarkEnd w:id="792"/>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360"/>
        <w:jc w:val="left"/>
      </w:pPr>
      <w:r>
        <w:rPr>
          <w:b/>
          <w:bCs/>
          <w:color w:val="000000"/>
          <w:spacing w:val="0"/>
          <w:w w:val="100"/>
          <w:position w:val="0"/>
        </w:rPr>
        <w:t>是</w:t>
      </w:r>
    </w:p>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互联网游戏业</w:t>
      </w:r>
    </w:p>
    <w:p>
      <w:pPr>
        <w:pStyle w:val="Style29"/>
        <w:keepNext w:val="0"/>
        <w:keepLines w:val="0"/>
        <w:widowControl w:val="0"/>
        <w:shd w:val="clear" w:color="auto" w:fill="auto"/>
        <w:tabs>
          <w:tab w:pos="704" w:val="left"/>
        </w:tabs>
        <w:bidi w:val="0"/>
        <w:spacing w:before="0" w:after="0" w:line="468" w:lineRule="exact"/>
        <w:ind w:left="0" w:right="0" w:firstLine="360"/>
        <w:jc w:val="left"/>
      </w:pPr>
      <w:bookmarkStart w:id="793" w:name="bookmark793"/>
      <w:r>
        <w:rPr>
          <w:rFonts w:ascii="Times New Roman" w:eastAsia="Times New Roman" w:hAnsi="Times New Roman" w:cs="Times New Roman"/>
          <w:b/>
          <w:bCs/>
          <w:color w:val="000000"/>
          <w:spacing w:val="0"/>
          <w:w w:val="100"/>
          <w:position w:val="0"/>
          <w:sz w:val="18"/>
          <w:szCs w:val="18"/>
        </w:rPr>
        <w:t>1</w:t>
      </w:r>
      <w:bookmarkEnd w:id="793"/>
      <w:r>
        <w:rPr>
          <w:b/>
          <w:bCs/>
          <w:color w:val="000000"/>
          <w:spacing w:val="0"/>
          <w:w w:val="100"/>
          <w:position w:val="0"/>
        </w:rPr>
        <w:t>、</w:t>
        <w:tab/>
        <w:t>存货的分类</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存货分类为：原材料、库存商品、外购软硬件及服务、委托加工物资、低值易耗品等。</w:t>
      </w:r>
    </w:p>
    <w:p>
      <w:pPr>
        <w:pStyle w:val="Style29"/>
        <w:keepNext w:val="0"/>
        <w:keepLines w:val="0"/>
        <w:widowControl w:val="0"/>
        <w:shd w:val="clear" w:color="auto" w:fill="auto"/>
        <w:tabs>
          <w:tab w:pos="714" w:val="left"/>
        </w:tabs>
        <w:bidi w:val="0"/>
        <w:spacing w:before="0" w:after="0" w:line="468" w:lineRule="exact"/>
        <w:ind w:left="0" w:right="0" w:firstLine="360"/>
        <w:jc w:val="left"/>
      </w:pPr>
      <w:bookmarkStart w:id="794" w:name="bookmark794"/>
      <w:r>
        <w:rPr>
          <w:rFonts w:ascii="Times New Roman" w:eastAsia="Times New Roman" w:hAnsi="Times New Roman" w:cs="Times New Roman"/>
          <w:b/>
          <w:bCs/>
          <w:color w:val="000000"/>
          <w:spacing w:val="0"/>
          <w:w w:val="100"/>
          <w:position w:val="0"/>
          <w:sz w:val="18"/>
          <w:szCs w:val="18"/>
        </w:rPr>
        <w:t>2</w:t>
      </w:r>
      <w:bookmarkEnd w:id="794"/>
      <w:r>
        <w:rPr>
          <w:b/>
          <w:bCs/>
          <w:color w:val="000000"/>
          <w:spacing w:val="0"/>
          <w:w w:val="100"/>
          <w:position w:val="0"/>
        </w:rPr>
        <w:t>、</w:t>
        <w:tab/>
        <w:t>发出存货的计价方法</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日常核算存货取得时按实际成本计价。</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发出时按以下方式确认：</w:t>
      </w:r>
    </w:p>
    <w:p>
      <w:pPr>
        <w:pStyle w:val="Style29"/>
        <w:keepNext w:val="0"/>
        <w:keepLines w:val="0"/>
        <w:widowControl w:val="0"/>
        <w:shd w:val="clear" w:color="auto" w:fill="auto"/>
        <w:tabs>
          <w:tab w:pos="805" w:val="left"/>
        </w:tabs>
        <w:bidi w:val="0"/>
        <w:spacing w:before="0" w:after="0" w:line="468" w:lineRule="exact"/>
        <w:ind w:left="0" w:right="0" w:firstLine="36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采购存货专门用于单项业务时，按个别计价法确认；</w:t>
      </w:r>
    </w:p>
    <w:p>
      <w:pPr>
        <w:pStyle w:val="Style29"/>
        <w:keepNext w:val="0"/>
        <w:keepLines w:val="0"/>
        <w:widowControl w:val="0"/>
        <w:shd w:val="clear" w:color="auto" w:fill="auto"/>
        <w:tabs>
          <w:tab w:pos="805" w:val="left"/>
        </w:tabs>
        <w:bidi w:val="0"/>
        <w:spacing w:before="0" w:after="0" w:line="468" w:lineRule="exact"/>
        <w:ind w:left="0" w:right="0" w:firstLine="36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非为单项业务单独采购的存货，按加权平均价格计价确认。</w:t>
      </w:r>
    </w:p>
    <w:p>
      <w:pPr>
        <w:pStyle w:val="Style29"/>
        <w:keepNext w:val="0"/>
        <w:keepLines w:val="0"/>
        <w:widowControl w:val="0"/>
        <w:shd w:val="clear" w:color="auto" w:fill="auto"/>
        <w:tabs>
          <w:tab w:pos="738" w:val="left"/>
        </w:tabs>
        <w:bidi w:val="0"/>
        <w:spacing w:before="0" w:after="0" w:line="468" w:lineRule="exact"/>
        <w:ind w:left="0" w:right="0"/>
        <w:jc w:val="both"/>
      </w:pPr>
      <w:bookmarkStart w:id="797" w:name="bookmark797"/>
      <w:r>
        <w:rPr>
          <w:rFonts w:ascii="Times New Roman" w:eastAsia="Times New Roman" w:hAnsi="Times New Roman" w:cs="Times New Roman"/>
          <w:b/>
          <w:bCs/>
          <w:color w:val="000000"/>
          <w:spacing w:val="0"/>
          <w:w w:val="100"/>
          <w:position w:val="0"/>
          <w:sz w:val="18"/>
          <w:szCs w:val="18"/>
        </w:rPr>
        <w:t>3</w:t>
      </w:r>
      <w:bookmarkEnd w:id="797"/>
      <w:r>
        <w:rPr>
          <w:b/>
          <w:bCs/>
          <w:color w:val="000000"/>
          <w:spacing w:val="0"/>
          <w:w w:val="100"/>
          <w:position w:val="0"/>
        </w:rPr>
        <w:t>、</w:t>
        <w:tab/>
        <w:t>不同类别存货可变现净值的确定依据</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除有明确证据表明资产负债表日市场价格异常外，存货项目的可变现净值以资产负债表日市场价格为基础确定。</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本期期末存货项目的可变现净值以资产负债表日市场价格为基础确定。</w:t>
      </w:r>
    </w:p>
    <w:p>
      <w:pPr>
        <w:pStyle w:val="Style29"/>
        <w:keepNext w:val="0"/>
        <w:keepLines w:val="0"/>
        <w:widowControl w:val="0"/>
        <w:shd w:val="clear" w:color="auto" w:fill="auto"/>
        <w:tabs>
          <w:tab w:pos="729" w:val="left"/>
        </w:tabs>
        <w:bidi w:val="0"/>
        <w:spacing w:before="0" w:after="0" w:line="468" w:lineRule="exact"/>
        <w:ind w:left="0" w:right="0"/>
        <w:jc w:val="both"/>
      </w:pPr>
      <w:bookmarkStart w:id="798" w:name="bookmark798"/>
      <w:r>
        <w:rPr>
          <w:rFonts w:ascii="Times New Roman" w:eastAsia="Times New Roman" w:hAnsi="Times New Roman" w:cs="Times New Roman"/>
          <w:b/>
          <w:bCs/>
          <w:color w:val="000000"/>
          <w:spacing w:val="0"/>
          <w:w w:val="100"/>
          <w:position w:val="0"/>
          <w:sz w:val="18"/>
          <w:szCs w:val="18"/>
        </w:rPr>
        <w:t>4</w:t>
      </w:r>
      <w:bookmarkEnd w:id="798"/>
      <w:r>
        <w:rPr>
          <w:b/>
          <w:bCs/>
          <w:color w:val="000000"/>
          <w:spacing w:val="0"/>
          <w:w w:val="100"/>
          <w:position w:val="0"/>
        </w:rPr>
        <w:t>、</w:t>
        <w:tab/>
        <w:t>存货的盘存制度</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采用永续盘存制。</w:t>
      </w:r>
    </w:p>
    <w:p>
      <w:pPr>
        <w:pStyle w:val="Style29"/>
        <w:keepNext w:val="0"/>
        <w:keepLines w:val="0"/>
        <w:widowControl w:val="0"/>
        <w:shd w:val="clear" w:color="auto" w:fill="auto"/>
        <w:tabs>
          <w:tab w:pos="738" w:val="left"/>
        </w:tabs>
        <w:bidi w:val="0"/>
        <w:spacing w:before="0" w:after="0" w:line="468" w:lineRule="exact"/>
        <w:ind w:left="0" w:right="0"/>
        <w:jc w:val="both"/>
      </w:pPr>
      <w:bookmarkStart w:id="799" w:name="bookmark799"/>
      <w:r>
        <w:rPr>
          <w:rFonts w:ascii="Times New Roman" w:eastAsia="Times New Roman" w:hAnsi="Times New Roman" w:cs="Times New Roman"/>
          <w:b/>
          <w:bCs/>
          <w:color w:val="000000"/>
          <w:spacing w:val="0"/>
          <w:w w:val="100"/>
          <w:position w:val="0"/>
          <w:sz w:val="18"/>
          <w:szCs w:val="18"/>
        </w:rPr>
        <w:t>5</w:t>
      </w:r>
      <w:bookmarkEnd w:id="799"/>
      <w:r>
        <w:rPr>
          <w:b/>
          <w:bCs/>
          <w:color w:val="000000"/>
          <w:spacing w:val="0"/>
          <w:w w:val="100"/>
          <w:position w:val="0"/>
        </w:rPr>
        <w:t>、</w:t>
        <w:tab/>
        <w:t>低值易耗品和包装物的摊销方法</w:t>
      </w:r>
    </w:p>
    <w:p>
      <w:pPr>
        <w:pStyle w:val="Style29"/>
        <w:keepNext w:val="0"/>
        <w:keepLines w:val="0"/>
        <w:widowControl w:val="0"/>
        <w:shd w:val="clear" w:color="auto" w:fill="auto"/>
        <w:tabs>
          <w:tab w:pos="825" w:val="left"/>
        </w:tabs>
        <w:bidi w:val="0"/>
        <w:spacing w:before="0" w:after="0" w:line="468"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9"/>
        <w:keepNext w:val="0"/>
        <w:keepLines w:val="0"/>
        <w:widowControl w:val="0"/>
        <w:shd w:val="clear" w:color="auto" w:fill="auto"/>
        <w:tabs>
          <w:tab w:pos="825" w:val="left"/>
        </w:tabs>
        <w:bidi w:val="0"/>
        <w:spacing w:before="0" w:after="460" w:line="468" w:lineRule="exact"/>
        <w:ind w:left="0" w:right="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9"/>
        <w:keepNext/>
        <w:keepLines/>
        <w:widowControl w:val="0"/>
        <w:shd w:val="clear" w:color="auto" w:fill="auto"/>
        <w:tabs>
          <w:tab w:pos="474" w:val="left"/>
        </w:tabs>
        <w:bidi w:val="0"/>
        <w:spacing w:before="0" w:after="20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02"/>
      <w:bookmarkEnd w:id="803"/>
      <w:bookmarkEnd w:id="805"/>
    </w:p>
    <w:p>
      <w:pPr>
        <w:pStyle w:val="Style29"/>
        <w:keepNext w:val="0"/>
        <w:keepLines w:val="0"/>
        <w:widowControl w:val="0"/>
        <w:shd w:val="clear" w:color="auto" w:fill="auto"/>
        <w:bidi w:val="0"/>
        <w:spacing w:before="0" w:after="80" w:line="468" w:lineRule="exact"/>
        <w:ind w:left="0" w:right="0" w:firstLine="360"/>
        <w:jc w:val="both"/>
      </w:pPr>
      <w:r>
        <w:rPr>
          <w:color w:val="000000"/>
          <w:spacing w:val="0"/>
          <w:w w:val="100"/>
          <w:position w:val="0"/>
        </w:rPr>
        <w:t>本公司将同时满足下列条件的组成部分（或非流动资产）确认为持有待售：</w:t>
      </w:r>
    </w:p>
    <w:p>
      <w:pPr>
        <w:pStyle w:val="Style29"/>
        <w:keepNext w:val="0"/>
        <w:keepLines w:val="0"/>
        <w:widowControl w:val="0"/>
        <w:numPr>
          <w:ilvl w:val="0"/>
          <w:numId w:val="23"/>
        </w:numPr>
        <w:shd w:val="clear" w:color="auto" w:fill="auto"/>
        <w:tabs>
          <w:tab w:pos="809" w:val="left"/>
        </w:tabs>
        <w:bidi w:val="0"/>
        <w:spacing w:before="0" w:after="0" w:line="467" w:lineRule="exact"/>
        <w:ind w:left="0" w:right="0"/>
        <w:jc w:val="both"/>
      </w:pPr>
      <w:bookmarkStart w:id="806" w:name="bookmark806"/>
      <w:bookmarkEnd w:id="806"/>
      <w:r>
        <w:rPr>
          <w:color w:val="000000"/>
          <w:spacing w:val="0"/>
          <w:w w:val="100"/>
          <w:position w:val="0"/>
        </w:rPr>
        <w:t>该组成部分必须在其当前状况下仅根据出售此类组成部分的惯常条款即可立即出售；</w:t>
      </w:r>
    </w:p>
    <w:p>
      <w:pPr>
        <w:pStyle w:val="Style29"/>
        <w:keepNext w:val="0"/>
        <w:keepLines w:val="0"/>
        <w:widowControl w:val="0"/>
        <w:numPr>
          <w:ilvl w:val="0"/>
          <w:numId w:val="23"/>
        </w:numPr>
        <w:shd w:val="clear" w:color="auto" w:fill="auto"/>
        <w:tabs>
          <w:tab w:pos="885" w:val="left"/>
        </w:tabs>
        <w:bidi w:val="0"/>
        <w:spacing w:before="0" w:after="0" w:line="485" w:lineRule="exact"/>
        <w:ind w:left="0" w:right="0"/>
        <w:jc w:val="both"/>
      </w:pPr>
      <w:bookmarkStart w:id="807" w:name="bookmark807"/>
      <w:bookmarkEnd w:id="807"/>
      <w:r>
        <w:rPr>
          <w:color w:val="000000"/>
          <w:spacing w:val="0"/>
          <w:w w:val="100"/>
          <w:position w:val="0"/>
        </w:rPr>
        <w:t>公司已经就处置该组成部分(或非流动资产)作出决议，如按规定需得到股东批准的，已经取得股东大会或相应 权力机构的批准；</w:t>
      </w:r>
    </w:p>
    <w:p>
      <w:pPr>
        <w:pStyle w:val="Style29"/>
        <w:keepNext w:val="0"/>
        <w:keepLines w:val="0"/>
        <w:widowControl w:val="0"/>
        <w:numPr>
          <w:ilvl w:val="0"/>
          <w:numId w:val="23"/>
        </w:numPr>
        <w:shd w:val="clear" w:color="auto" w:fill="auto"/>
        <w:tabs>
          <w:tab w:pos="809" w:val="left"/>
        </w:tabs>
        <w:bidi w:val="0"/>
        <w:spacing w:before="0" w:after="0" w:line="467" w:lineRule="exact"/>
        <w:ind w:left="0" w:right="0"/>
        <w:jc w:val="both"/>
      </w:pPr>
      <w:bookmarkStart w:id="808" w:name="bookmark808"/>
      <w:bookmarkEnd w:id="808"/>
      <w:r>
        <w:rPr>
          <w:color w:val="000000"/>
          <w:spacing w:val="0"/>
          <w:w w:val="100"/>
          <w:position w:val="0"/>
        </w:rPr>
        <w:t>公司已与受让方签订了不可撤销的转让协议；</w:t>
      </w:r>
    </w:p>
    <w:p>
      <w:pPr>
        <w:pStyle w:val="Style29"/>
        <w:keepNext w:val="0"/>
        <w:keepLines w:val="0"/>
        <w:widowControl w:val="0"/>
        <w:numPr>
          <w:ilvl w:val="0"/>
          <w:numId w:val="23"/>
        </w:numPr>
        <w:shd w:val="clear" w:color="auto" w:fill="auto"/>
        <w:tabs>
          <w:tab w:pos="809" w:val="left"/>
        </w:tabs>
        <w:bidi w:val="0"/>
        <w:spacing w:before="0" w:after="460" w:line="467" w:lineRule="exact"/>
        <w:ind w:left="0" w:right="0"/>
        <w:jc w:val="both"/>
      </w:pPr>
      <w:bookmarkStart w:id="809" w:name="bookmark809"/>
      <w:bookmarkEnd w:id="809"/>
      <w:r>
        <w:rPr>
          <w:color w:val="000000"/>
          <w:spacing w:val="0"/>
          <w:w w:val="100"/>
          <w:position w:val="0"/>
        </w:rPr>
        <w:t>该项转让将在一年内完成。</w:t>
      </w:r>
    </w:p>
    <w:p>
      <w:pPr>
        <w:pStyle w:val="Style39"/>
        <w:keepNext/>
        <w:keepLines/>
        <w:widowControl w:val="0"/>
        <w:shd w:val="clear" w:color="auto" w:fill="auto"/>
        <w:bidi w:val="0"/>
        <w:spacing w:before="0" w:after="22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10"/>
      <w:bookmarkEnd w:id="811"/>
      <w:bookmarkEnd w:id="813"/>
    </w:p>
    <w:p>
      <w:pPr>
        <w:pStyle w:val="Style29"/>
        <w:keepNext w:val="0"/>
        <w:keepLines w:val="0"/>
        <w:widowControl w:val="0"/>
        <w:shd w:val="clear" w:color="auto" w:fill="auto"/>
        <w:tabs>
          <w:tab w:pos="721" w:val="left"/>
        </w:tabs>
        <w:bidi w:val="0"/>
        <w:spacing w:before="0" w:after="0" w:line="467" w:lineRule="exact"/>
        <w:ind w:left="0" w:right="0"/>
        <w:jc w:val="left"/>
      </w:pPr>
      <w:bookmarkStart w:id="814" w:name="bookmark814"/>
      <w:r>
        <w:rPr>
          <w:rFonts w:ascii="Times New Roman" w:eastAsia="Times New Roman" w:hAnsi="Times New Roman" w:cs="Times New Roman"/>
          <w:b/>
          <w:bCs/>
          <w:color w:val="000000"/>
          <w:spacing w:val="0"/>
          <w:w w:val="100"/>
          <w:position w:val="0"/>
          <w:sz w:val="18"/>
          <w:szCs w:val="18"/>
        </w:rPr>
        <w:t>1</w:t>
      </w:r>
      <w:bookmarkEnd w:id="814"/>
      <w:r>
        <w:rPr>
          <w:b/>
          <w:bCs/>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29"/>
        <w:keepNext w:val="0"/>
        <w:keepLines w:val="0"/>
        <w:widowControl w:val="0"/>
        <w:shd w:val="clear" w:color="auto" w:fill="auto"/>
        <w:tabs>
          <w:tab w:pos="721" w:val="left"/>
        </w:tabs>
        <w:bidi w:val="0"/>
        <w:spacing w:before="0" w:after="0" w:line="467" w:lineRule="exact"/>
        <w:ind w:left="0" w:right="0"/>
        <w:jc w:val="left"/>
      </w:pPr>
      <w:bookmarkStart w:id="815" w:name="bookmark815"/>
      <w:r>
        <w:rPr>
          <w:rFonts w:ascii="Times New Roman" w:eastAsia="Times New Roman" w:hAnsi="Times New Roman" w:cs="Times New Roman"/>
          <w:b/>
          <w:bCs/>
          <w:color w:val="000000"/>
          <w:spacing w:val="0"/>
          <w:w w:val="100"/>
          <w:position w:val="0"/>
          <w:sz w:val="18"/>
          <w:szCs w:val="18"/>
        </w:rPr>
        <w:t>2</w:t>
      </w:r>
      <w:bookmarkEnd w:id="815"/>
      <w:r>
        <w:rPr>
          <w:b/>
          <w:bCs/>
          <w:color w:val="000000"/>
          <w:spacing w:val="0"/>
          <w:w w:val="100"/>
          <w:position w:val="0"/>
        </w:rPr>
        <w:t>、</w:t>
        <w:tab/>
        <w:t>初始投资成本的确定</w:t>
      </w:r>
    </w:p>
    <w:p>
      <w:pPr>
        <w:pStyle w:val="Style29"/>
        <w:keepNext w:val="0"/>
        <w:keepLines w:val="0"/>
        <w:widowControl w:val="0"/>
        <w:numPr>
          <w:ilvl w:val="0"/>
          <w:numId w:val="25"/>
        </w:numPr>
        <w:shd w:val="clear" w:color="auto" w:fill="auto"/>
        <w:tabs>
          <w:tab w:pos="809" w:val="left"/>
        </w:tabs>
        <w:bidi w:val="0"/>
        <w:spacing w:before="0" w:after="0" w:line="467" w:lineRule="exact"/>
        <w:ind w:left="0" w:right="0"/>
        <w:jc w:val="left"/>
      </w:pPr>
      <w:bookmarkStart w:id="816" w:name="bookmark816"/>
      <w:bookmarkEnd w:id="816"/>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9"/>
        <w:keepNext w:val="0"/>
        <w:keepLines w:val="0"/>
        <w:widowControl w:val="0"/>
        <w:numPr>
          <w:ilvl w:val="0"/>
          <w:numId w:val="25"/>
        </w:numPr>
        <w:shd w:val="clear" w:color="auto" w:fill="auto"/>
        <w:tabs>
          <w:tab w:pos="809" w:val="left"/>
        </w:tabs>
        <w:bidi w:val="0"/>
        <w:spacing w:before="0" w:after="0" w:line="467" w:lineRule="exact"/>
        <w:ind w:left="0" w:right="0"/>
        <w:jc w:val="left"/>
      </w:pPr>
      <w:bookmarkStart w:id="817" w:name="bookmark817"/>
      <w:bookmarkEnd w:id="817"/>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w:t>
      </w:r>
      <w:r>
        <w:rPr>
          <w:color w:val="000000"/>
          <w:spacing w:val="0"/>
          <w:w w:val="100"/>
          <w:position w:val="0"/>
        </w:rPr>
        <w:t>资成本。</w:t>
      </w:r>
    </w:p>
    <w:p>
      <w:pPr>
        <w:pStyle w:val="Style29"/>
        <w:keepNext w:val="0"/>
        <w:keepLines w:val="0"/>
        <w:widowControl w:val="0"/>
        <w:shd w:val="clear" w:color="auto" w:fill="auto"/>
        <w:bidi w:val="0"/>
        <w:spacing w:before="0" w:after="260" w:line="468" w:lineRule="exact"/>
        <w:ind w:left="0" w:right="0"/>
        <w:jc w:val="left"/>
      </w:pPr>
      <w:r>
        <w:rPr>
          <w:color w:val="000000"/>
          <w:spacing w:val="0"/>
          <w:w w:val="100"/>
          <w:position w:val="0"/>
        </w:rPr>
        <w:t>通过债务重组取得的长期股权投资，其初始投资成本按照公允价值为基础确定。</w:t>
      </w:r>
    </w:p>
    <w:p>
      <w:pPr>
        <w:pStyle w:val="Style29"/>
        <w:keepNext w:val="0"/>
        <w:keepLines w:val="0"/>
        <w:widowControl w:val="0"/>
        <w:shd w:val="clear" w:color="auto" w:fill="auto"/>
        <w:bidi w:val="0"/>
        <w:spacing w:before="0" w:after="0" w:line="542" w:lineRule="auto"/>
        <w:ind w:left="0" w:right="0"/>
        <w:jc w:val="both"/>
      </w:pPr>
      <w:bookmarkStart w:id="818" w:name="bookmark818"/>
      <w:r>
        <w:rPr>
          <w:rFonts w:ascii="Times New Roman" w:eastAsia="Times New Roman" w:hAnsi="Times New Roman" w:cs="Times New Roman"/>
          <w:b/>
          <w:bCs/>
          <w:color w:val="000000"/>
          <w:spacing w:val="0"/>
          <w:w w:val="100"/>
          <w:position w:val="0"/>
          <w:sz w:val="18"/>
          <w:szCs w:val="18"/>
        </w:rPr>
        <w:t>3</w:t>
      </w:r>
      <w:bookmarkEnd w:id="818"/>
      <w:r>
        <w:rPr>
          <w:b/>
          <w:bCs/>
          <w:color w:val="000000"/>
          <w:spacing w:val="0"/>
          <w:w w:val="100"/>
          <w:position w:val="0"/>
        </w:rPr>
        <w:t>、后续计量及损益确认方法</w:t>
      </w:r>
    </w:p>
    <w:p>
      <w:pPr>
        <w:pStyle w:val="Style29"/>
        <w:keepNext w:val="0"/>
        <w:keepLines w:val="0"/>
        <w:widowControl w:val="0"/>
        <w:shd w:val="clear" w:color="auto" w:fill="auto"/>
        <w:tabs>
          <w:tab w:pos="779" w:val="left"/>
        </w:tabs>
        <w:bidi w:val="0"/>
        <w:spacing w:before="0" w:after="0" w:line="468"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9"/>
        <w:keepNext w:val="0"/>
        <w:keepLines w:val="0"/>
        <w:widowControl w:val="0"/>
        <w:shd w:val="clear" w:color="auto" w:fill="auto"/>
        <w:tabs>
          <w:tab w:pos="779" w:val="left"/>
        </w:tabs>
        <w:bidi w:val="0"/>
        <w:spacing w:before="0" w:after="0" w:line="468" w:lineRule="exact"/>
        <w:ind w:left="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五、（五）同一控制下和非同一控制下企业合并的 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五、（六）合并财务报表的编制方法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9"/>
        <w:keepNext w:val="0"/>
        <w:keepLines w:val="0"/>
        <w:widowControl w:val="0"/>
        <w:shd w:val="clear" w:color="auto" w:fill="auto"/>
        <w:tabs>
          <w:tab w:pos="779" w:val="left"/>
        </w:tabs>
        <w:bidi w:val="0"/>
        <w:spacing w:before="0" w:after="0" w:line="468"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120" w:line="468" w:lineRule="exact"/>
        <w:ind w:left="0" w:right="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w:t>
      </w:r>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综合收益除外。</w:t>
      </w:r>
    </w:p>
    <w:p>
      <w:pPr>
        <w:pStyle w:val="Style29"/>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9"/>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29"/>
        <w:keepNext w:val="0"/>
        <w:keepLines w:val="0"/>
        <w:widowControl w:val="0"/>
        <w:shd w:val="clear" w:color="auto" w:fill="auto"/>
        <w:bidi w:val="0"/>
        <w:spacing w:before="0" w:after="460" w:line="467" w:lineRule="exact"/>
        <w:ind w:left="0" w:right="0" w:firstLine="36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9"/>
        <w:keepNext/>
        <w:keepLines/>
        <w:widowControl w:val="0"/>
        <w:shd w:val="clear" w:color="auto" w:fill="auto"/>
        <w:tabs>
          <w:tab w:pos="439" w:val="left"/>
        </w:tabs>
        <w:bidi w:val="0"/>
        <w:spacing w:before="0" w:after="20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22"/>
      <w:bookmarkEnd w:id="823"/>
      <w:bookmarkEnd w:id="825"/>
    </w:p>
    <w:p>
      <w:pPr>
        <w:pStyle w:val="Style29"/>
        <w:keepNext w:val="0"/>
        <w:keepLines w:val="0"/>
        <w:widowControl w:val="0"/>
        <w:shd w:val="clear" w:color="auto" w:fill="auto"/>
        <w:bidi w:val="0"/>
        <w:spacing w:before="0" w:after="0" w:line="467" w:lineRule="exact"/>
        <w:ind w:left="0" w:right="0" w:firstLine="36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467" w:lineRule="exact"/>
        <w:ind w:left="0" w:right="0" w:firstLine="360"/>
        <w:jc w:val="left"/>
      </w:pPr>
      <w:r>
        <w:rPr>
          <w:color w:val="000000"/>
          <w:spacing w:val="0"/>
          <w:w w:val="100"/>
          <w:position w:val="0"/>
        </w:rPr>
        <w:t>成本法计量</w:t>
      </w:r>
    </w:p>
    <w:p>
      <w:pPr>
        <w:pStyle w:val="Style29"/>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折旧或摊销方法</w:t>
      </w:r>
    </w:p>
    <w:p>
      <w:pPr>
        <w:pStyle w:val="Style29"/>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9"/>
        <w:keepNext w:val="0"/>
        <w:keepLines w:val="0"/>
        <w:widowControl w:val="0"/>
        <w:shd w:val="clear" w:color="auto" w:fill="auto"/>
        <w:bidi w:val="0"/>
        <w:spacing w:before="0" w:after="460" w:line="467" w:lineRule="exact"/>
        <w:ind w:left="0" w:right="0" w:firstLine="36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9"/>
        <w:keepNext/>
        <w:keepLines/>
        <w:widowControl w:val="0"/>
        <w:shd w:val="clear" w:color="auto" w:fill="auto"/>
        <w:tabs>
          <w:tab w:pos="439" w:val="left"/>
        </w:tabs>
        <w:bidi w:val="0"/>
        <w:spacing w:before="0" w:after="3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26"/>
      <w:bookmarkEnd w:id="827"/>
      <w:bookmarkEnd w:id="829"/>
    </w:p>
    <w:p>
      <w:pPr>
        <w:pStyle w:val="Style47"/>
        <w:keepNext/>
        <w:keepLines/>
        <w:widowControl w:val="0"/>
        <w:shd w:val="clear" w:color="auto" w:fill="auto"/>
        <w:bidi w:val="0"/>
        <w:spacing w:before="0" w:after="20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0"/>
      <w:bookmarkEnd w:id="831"/>
      <w:bookmarkEnd w:id="833"/>
    </w:p>
    <w:p>
      <w:pPr>
        <w:pStyle w:val="Style29"/>
        <w:keepNext w:val="0"/>
        <w:keepLines w:val="0"/>
        <w:widowControl w:val="0"/>
        <w:shd w:val="clear" w:color="auto" w:fill="auto"/>
        <w:bidi w:val="0"/>
        <w:spacing w:before="0" w:after="100" w:line="468" w:lineRule="exact"/>
        <w:ind w:left="0" w:right="0" w:firstLine="36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444" w:right="693" w:bottom="1230" w:left="705" w:header="0" w:footer="3" w:gutter="0"/>
          <w:cols w:space="720"/>
          <w:noEndnote/>
          <w:titlePg/>
          <w:rtlGutter w:val="0"/>
          <w:docGrid w:linePitch="360"/>
        </w:sectPr>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w:t>
      </w:r>
    </w:p>
    <w:p>
      <w:pPr>
        <w:pStyle w:val="Style47"/>
        <w:keepNext/>
        <w:keepLines/>
        <w:widowControl w:val="0"/>
        <w:shd w:val="clear" w:color="auto" w:fill="auto"/>
        <w:bidi w:val="0"/>
        <w:spacing w:before="0" w:after="34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4"/>
      <w:bookmarkEnd w:id="835"/>
      <w:bookmarkEnd w:id="837"/>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39" w:line="1" w:lineRule="exact"/>
      </w:pPr>
    </w:p>
    <w:p>
      <w:pPr>
        <w:pStyle w:val="Style47"/>
        <w:keepNext/>
        <w:keepLines/>
        <w:widowControl w:val="0"/>
        <w:shd w:val="clear" w:color="auto" w:fill="auto"/>
        <w:bidi w:val="0"/>
        <w:spacing w:before="0" w:after="20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8"/>
      <w:bookmarkEnd w:id="839"/>
      <w:bookmarkEnd w:id="841"/>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 有权归属于本公司；（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 租赁资产使用寿命的大部分；（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 租开始日，将租赁资产公允价值与最低租赁付款额现值两者中较低者作为租入资产的入账价值，将最低租赁付款额作为长期 应付款的入账价值，其差额作为未确认的融资费。公司本报告期无融资租入固定资产。</w:t>
      </w:r>
    </w:p>
    <w:p>
      <w:pPr>
        <w:pStyle w:val="Style39"/>
        <w:keepNext/>
        <w:keepLines/>
        <w:widowControl w:val="0"/>
        <w:shd w:val="clear" w:color="auto" w:fill="auto"/>
        <w:tabs>
          <w:tab w:pos="474" w:val="left"/>
        </w:tabs>
        <w:bidi w:val="0"/>
        <w:spacing w:before="0" w:after="20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42"/>
      <w:bookmarkEnd w:id="843"/>
      <w:bookmarkEnd w:id="845"/>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6" w:lineRule="exact"/>
        <w:ind w:left="0" w:right="0"/>
        <w:jc w:val="both"/>
      </w:pPr>
      <w:r>
        <w:rPr>
          <w:b/>
          <w:bCs/>
          <w:color w:val="000000"/>
          <w:spacing w:val="0"/>
          <w:w w:val="100"/>
          <w:position w:val="0"/>
        </w:rPr>
        <w:t>是</w:t>
      </w:r>
    </w:p>
    <w:p>
      <w:pPr>
        <w:pStyle w:val="Style29"/>
        <w:keepNext w:val="0"/>
        <w:keepLines w:val="0"/>
        <w:widowControl w:val="0"/>
        <w:shd w:val="clear" w:color="auto" w:fill="auto"/>
        <w:bidi w:val="0"/>
        <w:spacing w:before="0" w:after="0" w:line="466" w:lineRule="exact"/>
        <w:ind w:left="0" w:right="0"/>
        <w:jc w:val="both"/>
      </w:pPr>
      <w:r>
        <w:rPr>
          <w:b/>
          <w:bCs/>
          <w:color w:val="000000"/>
          <w:spacing w:val="0"/>
          <w:w w:val="100"/>
          <w:position w:val="0"/>
        </w:rPr>
        <w:t>互联网游戏业</w:t>
      </w:r>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在建工程项目按建造该项资产达到预定可使用状态前所发生的必要支出，作为固定资产的入账价值。所建造的固定资产 在工程已达到预定可使用状态，但尚未办理竣工决算的，自达到预定可使用状态之日起，根据工程预算、造价或者工程实际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成本等，按估计的价值转入固定资产，并按本公司固定资产折旧政策计提固定资产的折旧，待办理竣工决算后，再按实际成 本调整原来的暂估价值，但不调整原已计提的折旧额。</w:t>
      </w:r>
    </w:p>
    <w:p>
      <w:pPr>
        <w:pStyle w:val="Style39"/>
        <w:keepNext/>
        <w:keepLines/>
        <w:widowControl w:val="0"/>
        <w:shd w:val="clear" w:color="auto" w:fill="auto"/>
        <w:tabs>
          <w:tab w:pos="474" w:val="left"/>
        </w:tabs>
        <w:bidi w:val="0"/>
        <w:spacing w:before="0" w:after="20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46"/>
      <w:bookmarkEnd w:id="847"/>
      <w:bookmarkEnd w:id="849"/>
    </w:p>
    <w:p>
      <w:pPr>
        <w:pStyle w:val="Style29"/>
        <w:keepNext w:val="0"/>
        <w:keepLines w:val="0"/>
        <w:widowControl w:val="0"/>
        <w:shd w:val="clear" w:color="auto" w:fill="auto"/>
        <w:bidi w:val="0"/>
        <w:spacing w:before="0" w:after="0" w:line="461" w:lineRule="exact"/>
        <w:ind w:left="0" w:right="0"/>
        <w:jc w:val="both"/>
      </w:pPr>
      <w:bookmarkStart w:id="850" w:name="bookmark850"/>
      <w:r>
        <w:rPr>
          <w:rFonts w:ascii="Times New Roman" w:eastAsia="Times New Roman" w:hAnsi="Times New Roman" w:cs="Times New Roman"/>
          <w:b/>
          <w:bCs/>
          <w:color w:val="000000"/>
          <w:spacing w:val="0"/>
          <w:w w:val="100"/>
          <w:position w:val="0"/>
          <w:sz w:val="18"/>
          <w:szCs w:val="18"/>
        </w:rPr>
        <w:t>1</w:t>
      </w:r>
      <w:bookmarkEnd w:id="850"/>
      <w:r>
        <w:rPr>
          <w:b/>
          <w:bCs/>
          <w:color w:val="000000"/>
          <w:spacing w:val="0"/>
          <w:w w:val="100"/>
          <w:position w:val="0"/>
        </w:rPr>
        <w:t>、借款费用资本化的确认原则</w:t>
      </w:r>
    </w:p>
    <w:p>
      <w:pPr>
        <w:pStyle w:val="Style29"/>
        <w:keepNext w:val="0"/>
        <w:keepLines w:val="0"/>
        <w:widowControl w:val="0"/>
        <w:shd w:val="clear" w:color="auto" w:fill="auto"/>
        <w:bidi w:val="0"/>
        <w:spacing w:before="0" w:after="0" w:line="461"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461"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9"/>
        <w:keepNext w:val="0"/>
        <w:keepLines w:val="0"/>
        <w:widowControl w:val="0"/>
        <w:shd w:val="clear" w:color="auto" w:fill="auto"/>
        <w:bidi w:val="0"/>
        <w:spacing w:before="0" w:after="0" w:line="461" w:lineRule="exact"/>
        <w:ind w:left="0" w:right="0"/>
        <w:jc w:val="both"/>
      </w:pPr>
      <w:r>
        <w:rPr>
          <w:color w:val="000000"/>
          <w:spacing w:val="0"/>
          <w:w w:val="100"/>
          <w:position w:val="0"/>
        </w:rPr>
        <w:t xml:space="preserve">符合资本化条件的资产，是指需要经过相当长时间的购建或者生产活动才能达到预定可使用或者可销售状态的固定资 </w:t>
      </w:r>
      <w:r>
        <w:rPr>
          <w:color w:val="000000"/>
          <w:spacing w:val="0"/>
          <w:w w:val="100"/>
          <w:position w:val="0"/>
        </w:rPr>
        <w:t>产、投资性房地产和存货等资产。</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901" w:val="left"/>
        </w:tabs>
        <w:bidi w:val="0"/>
        <w:spacing w:before="0" w:after="0" w:line="470"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9"/>
        <w:keepNext w:val="0"/>
        <w:keepLines w:val="0"/>
        <w:widowControl w:val="0"/>
        <w:shd w:val="clear" w:color="auto" w:fill="auto"/>
        <w:tabs>
          <w:tab w:pos="825" w:val="left"/>
        </w:tabs>
        <w:bidi w:val="0"/>
        <w:spacing w:before="0" w:after="0" w:line="470"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9"/>
        <w:keepNext w:val="0"/>
        <w:keepLines w:val="0"/>
        <w:widowControl w:val="0"/>
        <w:shd w:val="clear" w:color="auto" w:fill="auto"/>
        <w:tabs>
          <w:tab w:pos="825" w:val="left"/>
        </w:tabs>
        <w:bidi w:val="0"/>
        <w:spacing w:before="0" w:after="260" w:line="470"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9"/>
        <w:keepNext w:val="0"/>
        <w:keepLines w:val="0"/>
        <w:widowControl w:val="0"/>
        <w:shd w:val="clear" w:color="auto" w:fill="auto"/>
        <w:tabs>
          <w:tab w:pos="734" w:val="left"/>
        </w:tabs>
        <w:bidi w:val="0"/>
        <w:spacing w:before="0" w:after="0" w:line="545" w:lineRule="auto"/>
        <w:ind w:left="0" w:right="0"/>
        <w:jc w:val="both"/>
      </w:pPr>
      <w:bookmarkStart w:id="854" w:name="bookmark854"/>
      <w:r>
        <w:rPr>
          <w:rFonts w:ascii="Times New Roman" w:eastAsia="Times New Roman" w:hAnsi="Times New Roman" w:cs="Times New Roman"/>
          <w:b/>
          <w:bCs/>
          <w:color w:val="000000"/>
          <w:spacing w:val="0"/>
          <w:w w:val="100"/>
          <w:position w:val="0"/>
          <w:sz w:val="18"/>
          <w:szCs w:val="18"/>
        </w:rPr>
        <w:t>2</w:t>
      </w:r>
      <w:bookmarkEnd w:id="854"/>
      <w:r>
        <w:rPr>
          <w:b/>
          <w:bCs/>
          <w:color w:val="000000"/>
          <w:spacing w:val="0"/>
          <w:w w:val="100"/>
          <w:position w:val="0"/>
        </w:rPr>
        <w:t>、</w:t>
        <w:tab/>
        <w:t>借款费用资本化期间</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shd w:val="clear" w:color="auto" w:fill="auto"/>
        <w:tabs>
          <w:tab w:pos="734" w:val="left"/>
        </w:tabs>
        <w:bidi w:val="0"/>
        <w:spacing w:before="0" w:after="0" w:line="545" w:lineRule="auto"/>
        <w:ind w:left="0" w:right="0"/>
        <w:jc w:val="both"/>
      </w:pPr>
      <w:bookmarkStart w:id="855" w:name="bookmark855"/>
      <w:r>
        <w:rPr>
          <w:rFonts w:ascii="Times New Roman" w:eastAsia="Times New Roman" w:hAnsi="Times New Roman" w:cs="Times New Roman"/>
          <w:b/>
          <w:bCs/>
          <w:color w:val="000000"/>
          <w:spacing w:val="0"/>
          <w:w w:val="100"/>
          <w:position w:val="0"/>
          <w:sz w:val="18"/>
          <w:szCs w:val="18"/>
        </w:rPr>
        <w:t>3</w:t>
      </w:r>
      <w:bookmarkEnd w:id="855"/>
      <w:r>
        <w:rPr>
          <w:b/>
          <w:bCs/>
          <w:color w:val="000000"/>
          <w:spacing w:val="0"/>
          <w:w w:val="100"/>
          <w:position w:val="0"/>
        </w:rPr>
        <w:t>、</w:t>
        <w:tab/>
        <w:t>暂停资本化期间</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shd w:val="clear" w:color="auto" w:fill="auto"/>
        <w:tabs>
          <w:tab w:pos="729" w:val="left"/>
        </w:tabs>
        <w:bidi w:val="0"/>
        <w:spacing w:before="0" w:after="0" w:line="545" w:lineRule="auto"/>
        <w:ind w:left="0" w:right="0"/>
        <w:jc w:val="both"/>
      </w:pPr>
      <w:bookmarkStart w:id="856" w:name="bookmark856"/>
      <w:r>
        <w:rPr>
          <w:rFonts w:ascii="Times New Roman" w:eastAsia="Times New Roman" w:hAnsi="Times New Roman" w:cs="Times New Roman"/>
          <w:b/>
          <w:bCs/>
          <w:color w:val="000000"/>
          <w:spacing w:val="0"/>
          <w:w w:val="100"/>
          <w:position w:val="0"/>
          <w:sz w:val="18"/>
          <w:szCs w:val="18"/>
        </w:rPr>
        <w:t>4</w:t>
      </w:r>
      <w:bookmarkEnd w:id="856"/>
      <w:r>
        <w:rPr>
          <w:b/>
          <w:bCs/>
          <w:color w:val="000000"/>
          <w:spacing w:val="0"/>
          <w:w w:val="100"/>
          <w:position w:val="0"/>
        </w:rPr>
        <w:t>、</w:t>
        <w:tab/>
        <w:t>借款费用资本化率、资本化金额的计算方法</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480" w:line="470"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9"/>
        <w:keepNext/>
        <w:keepLines/>
        <w:widowControl w:val="0"/>
        <w:shd w:val="clear" w:color="auto" w:fill="auto"/>
        <w:tabs>
          <w:tab w:pos="474" w:val="left"/>
        </w:tabs>
        <w:bidi w:val="0"/>
        <w:spacing w:before="0" w:after="18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57"/>
      <w:bookmarkEnd w:id="858"/>
      <w:bookmarkEnd w:id="860"/>
    </w:p>
    <w:p>
      <w:pPr>
        <w:pStyle w:val="Style29"/>
        <w:keepNext w:val="0"/>
        <w:keepLines w:val="0"/>
        <w:widowControl w:val="0"/>
        <w:shd w:val="clear" w:color="auto" w:fill="auto"/>
        <w:bidi w:val="0"/>
        <w:spacing w:before="0" w:after="480" w:line="470" w:lineRule="exact"/>
        <w:ind w:left="0" w:right="0"/>
        <w:jc w:val="both"/>
      </w:pPr>
      <w:r>
        <w:rPr>
          <w:color w:val="000000"/>
          <w:spacing w:val="0"/>
          <w:w w:val="100"/>
          <w:position w:val="0"/>
        </w:rPr>
        <w:t>无。</w:t>
      </w:r>
    </w:p>
    <w:p>
      <w:pPr>
        <w:pStyle w:val="Style39"/>
        <w:keepNext/>
        <w:keepLines/>
        <w:widowControl w:val="0"/>
        <w:shd w:val="clear" w:color="auto" w:fill="auto"/>
        <w:tabs>
          <w:tab w:pos="483" w:val="left"/>
        </w:tabs>
        <w:bidi w:val="0"/>
        <w:spacing w:before="0" w:after="18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61"/>
      <w:bookmarkEnd w:id="862"/>
      <w:bookmarkEnd w:id="864"/>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65"/>
      <w:bookmarkEnd w:id="866"/>
      <w:bookmarkEnd w:id="868"/>
    </w:p>
    <w:p>
      <w:pPr>
        <w:pStyle w:val="Style47"/>
        <w:keepNext/>
        <w:keepLines/>
        <w:widowControl w:val="0"/>
        <w:shd w:val="clear" w:color="auto" w:fill="auto"/>
        <w:bidi w:val="0"/>
        <w:spacing w:before="0" w:after="1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9"/>
      <w:bookmarkEnd w:id="870"/>
      <w:bookmarkEnd w:id="872"/>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8" w:lineRule="exact"/>
        <w:ind w:left="0" w:right="0"/>
        <w:jc w:val="left"/>
      </w:pPr>
      <w:r>
        <w:rPr>
          <w:b/>
          <w:bCs/>
          <w:color w:val="000000"/>
          <w:spacing w:val="0"/>
          <w:w w:val="100"/>
          <w:position w:val="0"/>
        </w:rPr>
        <w:t>是</w:t>
      </w:r>
    </w:p>
    <w:p>
      <w:pPr>
        <w:pStyle w:val="Style29"/>
        <w:keepNext w:val="0"/>
        <w:keepLines w:val="0"/>
        <w:widowControl w:val="0"/>
        <w:shd w:val="clear" w:color="auto" w:fill="auto"/>
        <w:bidi w:val="0"/>
        <w:spacing w:before="0" w:after="0" w:line="468" w:lineRule="exact"/>
        <w:ind w:left="0" w:right="0"/>
        <w:jc w:val="both"/>
      </w:pPr>
      <w:r>
        <w:rPr>
          <w:b/>
          <w:bCs/>
          <w:color w:val="000000"/>
          <w:spacing w:val="0"/>
          <w:w w:val="100"/>
          <w:position w:val="0"/>
        </w:rPr>
        <w:t>互联网游戏业</w:t>
      </w:r>
    </w:p>
    <w:p>
      <w:pPr>
        <w:pStyle w:val="Style2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、无形资产的计价方法</w:t>
      </w:r>
    </w:p>
    <w:p>
      <w:pPr>
        <w:pStyle w:val="Style29"/>
        <w:keepNext w:val="0"/>
        <w:keepLines w:val="0"/>
        <w:widowControl w:val="0"/>
        <w:shd w:val="clear" w:color="auto" w:fill="auto"/>
        <w:tabs>
          <w:tab w:pos="825" w:val="left"/>
        </w:tabs>
        <w:bidi w:val="0"/>
        <w:spacing w:before="0" w:after="0" w:line="468" w:lineRule="exact"/>
        <w:ind w:left="0" w:right="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9"/>
        <w:keepNext w:val="0"/>
        <w:keepLines w:val="0"/>
        <w:widowControl w:val="0"/>
        <w:shd w:val="clear" w:color="auto" w:fill="auto"/>
        <w:tabs>
          <w:tab w:pos="825" w:val="left"/>
        </w:tabs>
        <w:bidi w:val="0"/>
        <w:spacing w:before="0" w:after="0" w:line="468" w:lineRule="exact"/>
        <w:ind w:left="0" w:right="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对于使用寿命有限的无形资产，在为企业带来经济利益的期限内按直线法摊销；无法预见无形资产为企业带来经济利益 </w:t>
      </w:r>
      <w:r>
        <w:rPr>
          <w:color w:val="000000"/>
          <w:spacing w:val="0"/>
          <w:w w:val="100"/>
          <w:position w:val="0"/>
        </w:rPr>
        <w:t>期限的，视为使用寿命不确定的无形资产，不予摊销。</w:t>
      </w:r>
    </w:p>
    <w:p>
      <w:pPr>
        <w:pStyle w:val="Style29"/>
        <w:keepNext w:val="0"/>
        <w:keepLines w:val="0"/>
        <w:widowControl w:val="0"/>
        <w:shd w:val="clear" w:color="auto" w:fill="auto"/>
        <w:bidi w:val="0"/>
        <w:spacing w:before="0" w:after="120" w:line="240" w:lineRule="auto"/>
        <w:ind w:left="0" w:right="0"/>
        <w:jc w:val="both"/>
      </w:pPr>
      <w:bookmarkStart w:id="875" w:name="bookmark875"/>
      <w:r>
        <w:rPr>
          <w:rFonts w:ascii="Times New Roman" w:eastAsia="Times New Roman" w:hAnsi="Times New Roman" w:cs="Times New Roman"/>
          <w:b/>
          <w:bCs/>
          <w:color w:val="000000"/>
          <w:spacing w:val="0"/>
          <w:w w:val="100"/>
          <w:position w:val="0"/>
          <w:sz w:val="18"/>
          <w:szCs w:val="18"/>
        </w:rPr>
        <w:t>2</w:t>
      </w:r>
      <w:bookmarkEnd w:id="875"/>
      <w:r>
        <w:rPr>
          <w:b/>
          <w:bCs/>
          <w:color w:val="000000"/>
          <w:spacing w:val="0"/>
          <w:w w:val="100"/>
          <w:position w:val="0"/>
        </w:rPr>
        <w:t>、使用寿命有限的无形资产的使用寿命估计情况:</w:t>
      </w:r>
    </w:p>
    <w:tbl>
      <w:tblPr>
        <w:tblOverlap w:val="never"/>
        <w:jc w:val="center"/>
        <w:tblLayout w:type="fixed"/>
      </w:tblPr>
      <w:tblGrid>
        <w:gridCol w:w="5731"/>
        <w:gridCol w:w="3941"/>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预计使用寿命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外购软件及许可权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自主研发软件（不含移动端游戏自主研发软件）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自主研发软件（移动端游戏自主研发软件）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r>
    </w:tbl>
    <w:p>
      <w:pPr>
        <w:pStyle w:val="Style29"/>
        <w:keepNext w:val="0"/>
        <w:keepLines w:val="0"/>
        <w:widowControl w:val="0"/>
        <w:shd w:val="clear" w:color="auto" w:fill="auto"/>
        <w:bidi w:val="0"/>
        <w:spacing w:before="0" w:after="260" w:line="470" w:lineRule="exact"/>
        <w:ind w:left="380"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pStyle w:val="Style29"/>
        <w:keepNext w:val="0"/>
        <w:keepLines w:val="0"/>
        <w:widowControl w:val="0"/>
        <w:shd w:val="clear" w:color="auto" w:fill="auto"/>
        <w:tabs>
          <w:tab w:pos="738" w:val="left"/>
        </w:tabs>
        <w:bidi w:val="0"/>
        <w:spacing w:before="0" w:after="0" w:line="545" w:lineRule="auto"/>
        <w:ind w:left="0" w:right="0"/>
        <w:jc w:val="both"/>
      </w:pPr>
      <w:bookmarkStart w:id="876" w:name="bookmark876"/>
      <w:r>
        <w:rPr>
          <w:rFonts w:ascii="Times New Roman" w:eastAsia="Times New Roman" w:hAnsi="Times New Roman" w:cs="Times New Roman"/>
          <w:b/>
          <w:bCs/>
          <w:color w:val="000000"/>
          <w:spacing w:val="0"/>
          <w:w w:val="100"/>
          <w:position w:val="0"/>
          <w:sz w:val="18"/>
          <w:szCs w:val="18"/>
        </w:rPr>
        <w:t>3</w:t>
      </w:r>
      <w:bookmarkEnd w:id="876"/>
      <w:r>
        <w:rPr>
          <w:b/>
          <w:bCs/>
          <w:color w:val="000000"/>
          <w:spacing w:val="0"/>
          <w:w w:val="100"/>
          <w:position w:val="0"/>
        </w:rPr>
        <w:t>、</w:t>
        <w:tab/>
        <w:t>使用寿命不确定的无形资产的判断依据以及对其使用寿命进行复核的程序</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每期末，对使用寿命不确定的无形资产的使用寿命进行复核。</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经复核，该类无形资产的使用寿命仍为不确定。</w:t>
      </w:r>
    </w:p>
    <w:p>
      <w:pPr>
        <w:pStyle w:val="Style29"/>
        <w:keepNext w:val="0"/>
        <w:keepLines w:val="0"/>
        <w:widowControl w:val="0"/>
        <w:shd w:val="clear" w:color="auto" w:fill="auto"/>
        <w:tabs>
          <w:tab w:pos="734" w:val="left"/>
        </w:tabs>
        <w:bidi w:val="0"/>
        <w:spacing w:before="0" w:after="260" w:line="545" w:lineRule="auto"/>
        <w:ind w:left="0" w:right="0"/>
        <w:jc w:val="both"/>
      </w:pPr>
      <w:bookmarkStart w:id="877" w:name="bookmark877"/>
      <w:r>
        <w:rPr>
          <w:rFonts w:ascii="Times New Roman" w:eastAsia="Times New Roman" w:hAnsi="Times New Roman" w:cs="Times New Roman"/>
          <w:b/>
          <w:bCs/>
          <w:color w:val="000000"/>
          <w:spacing w:val="0"/>
          <w:w w:val="100"/>
          <w:position w:val="0"/>
          <w:sz w:val="18"/>
          <w:szCs w:val="18"/>
        </w:rPr>
        <w:t>4</w:t>
      </w:r>
      <w:bookmarkEnd w:id="877"/>
      <w:r>
        <w:rPr>
          <w:b/>
          <w:bCs/>
          <w:color w:val="000000"/>
          <w:spacing w:val="0"/>
          <w:w w:val="100"/>
          <w:position w:val="0"/>
        </w:rPr>
        <w:t>、</w:t>
        <w:tab/>
        <w:t>划分研究阶段和开发阶段的具体标准</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260" w:line="473"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9"/>
        <w:keepNext w:val="0"/>
        <w:keepLines w:val="0"/>
        <w:widowControl w:val="0"/>
        <w:shd w:val="clear" w:color="auto" w:fill="auto"/>
        <w:bidi w:val="0"/>
        <w:spacing w:before="0" w:after="0" w:line="550" w:lineRule="auto"/>
        <w:ind w:left="0" w:right="0"/>
        <w:jc w:val="both"/>
      </w:pPr>
      <w:bookmarkStart w:id="878" w:name="bookmark878"/>
      <w:r>
        <w:rPr>
          <w:rFonts w:ascii="Times New Roman" w:eastAsia="Times New Roman" w:hAnsi="Times New Roman" w:cs="Times New Roman"/>
          <w:b/>
          <w:bCs/>
          <w:color w:val="000000"/>
          <w:spacing w:val="0"/>
          <w:w w:val="100"/>
          <w:position w:val="0"/>
          <w:sz w:val="18"/>
          <w:szCs w:val="18"/>
        </w:rPr>
        <w:t>5</w:t>
      </w:r>
      <w:bookmarkEnd w:id="878"/>
      <w:r>
        <w:rPr>
          <w:b/>
          <w:bCs/>
          <w:color w:val="000000"/>
          <w:spacing w:val="0"/>
          <w:w w:val="100"/>
          <w:position w:val="0"/>
        </w:rPr>
        <w:t>、开发阶段支出资本化的具体条件</w:t>
      </w:r>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27"/>
        </w:numPr>
        <w:shd w:val="clear" w:color="auto" w:fill="auto"/>
        <w:tabs>
          <w:tab w:pos="808" w:val="left"/>
        </w:tabs>
        <w:bidi w:val="0"/>
        <w:spacing w:before="0" w:after="0" w:line="473" w:lineRule="exact"/>
        <w:ind w:left="0" w:right="0"/>
        <w:jc w:val="both"/>
      </w:pPr>
      <w:bookmarkStart w:id="879" w:name="bookmark879"/>
      <w:bookmarkEnd w:id="879"/>
      <w:r>
        <w:rPr>
          <w:color w:val="000000"/>
          <w:spacing w:val="0"/>
          <w:w w:val="100"/>
          <w:position w:val="0"/>
        </w:rPr>
        <w:t>完成该无形资产以使其能够使用或出售在技术上具有可行性；</w:t>
      </w:r>
    </w:p>
    <w:p>
      <w:pPr>
        <w:pStyle w:val="Style29"/>
        <w:keepNext w:val="0"/>
        <w:keepLines w:val="0"/>
        <w:widowControl w:val="0"/>
        <w:numPr>
          <w:ilvl w:val="0"/>
          <w:numId w:val="27"/>
        </w:numPr>
        <w:shd w:val="clear" w:color="auto" w:fill="auto"/>
        <w:tabs>
          <w:tab w:pos="808" w:val="left"/>
        </w:tabs>
        <w:bidi w:val="0"/>
        <w:spacing w:before="0" w:after="0" w:line="473" w:lineRule="exact"/>
        <w:ind w:left="0" w:right="0"/>
        <w:jc w:val="both"/>
      </w:pPr>
      <w:bookmarkStart w:id="880" w:name="bookmark880"/>
      <w:bookmarkEnd w:id="880"/>
      <w:r>
        <w:rPr>
          <w:color w:val="000000"/>
          <w:spacing w:val="0"/>
          <w:w w:val="100"/>
          <w:position w:val="0"/>
        </w:rPr>
        <w:t>具有完成该无形资产并使用或出售的意图；</w:t>
      </w:r>
    </w:p>
    <w:p>
      <w:pPr>
        <w:pStyle w:val="Style29"/>
        <w:keepNext w:val="0"/>
        <w:keepLines w:val="0"/>
        <w:widowControl w:val="0"/>
        <w:numPr>
          <w:ilvl w:val="0"/>
          <w:numId w:val="27"/>
        </w:numPr>
        <w:shd w:val="clear" w:color="auto" w:fill="auto"/>
        <w:tabs>
          <w:tab w:pos="884" w:val="left"/>
        </w:tabs>
        <w:bidi w:val="0"/>
        <w:spacing w:before="0" w:after="0" w:line="473" w:lineRule="exact"/>
        <w:ind w:left="0" w:right="0"/>
        <w:jc w:val="both"/>
      </w:pPr>
      <w:bookmarkStart w:id="881" w:name="bookmark881"/>
      <w:bookmarkEnd w:id="881"/>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numPr>
          <w:ilvl w:val="0"/>
          <w:numId w:val="27"/>
        </w:numPr>
        <w:shd w:val="clear" w:color="auto" w:fill="auto"/>
        <w:tabs>
          <w:tab w:pos="808" w:val="left"/>
        </w:tabs>
        <w:bidi w:val="0"/>
        <w:spacing w:before="0" w:after="0" w:line="473" w:lineRule="exact"/>
        <w:ind w:left="0" w:right="0"/>
        <w:jc w:val="both"/>
      </w:pPr>
      <w:bookmarkStart w:id="882" w:name="bookmark882"/>
      <w:bookmarkEnd w:id="882"/>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7"/>
        </w:numPr>
        <w:shd w:val="clear" w:color="auto" w:fill="auto"/>
        <w:tabs>
          <w:tab w:pos="808" w:val="left"/>
        </w:tabs>
        <w:bidi w:val="0"/>
        <w:spacing w:before="0" w:after="0" w:line="473" w:lineRule="exact"/>
        <w:ind w:left="0" w:right="0"/>
        <w:jc w:val="both"/>
      </w:pPr>
      <w:bookmarkStart w:id="883" w:name="bookmark883"/>
      <w:bookmarkEnd w:id="883"/>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60" w:line="473" w:lineRule="exact"/>
        <w:ind w:left="0" w:right="0"/>
        <w:jc w:val="both"/>
      </w:pPr>
      <w:r>
        <w:rPr>
          <w:color w:val="000000"/>
          <w:spacing w:val="0"/>
          <w:w w:val="100"/>
          <w:position w:val="0"/>
        </w:rPr>
        <w:t>开发阶段的支出，若不满足上列条件的，于发生时计入当期损益。研究阶段的支出，在发生时计入当期损益。</w:t>
      </w:r>
    </w:p>
    <w:p>
      <w:pPr>
        <w:pStyle w:val="Style39"/>
        <w:keepNext/>
        <w:keepLines/>
        <w:widowControl w:val="0"/>
        <w:shd w:val="clear" w:color="auto" w:fill="auto"/>
        <w:bidi w:val="0"/>
        <w:spacing w:before="0" w:after="20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84"/>
      <w:bookmarkEnd w:id="885"/>
      <w:bookmarkEnd w:id="887"/>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商誉至少在每年年度终了进行减值测试。</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100" w:line="467"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9"/>
        <w:keepNext/>
        <w:keepLines/>
        <w:widowControl w:val="0"/>
        <w:shd w:val="clear" w:color="auto" w:fill="auto"/>
        <w:tabs>
          <w:tab w:pos="483" w:val="left"/>
        </w:tabs>
        <w:bidi w:val="0"/>
        <w:spacing w:before="0" w:after="20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88"/>
      <w:bookmarkEnd w:id="889"/>
      <w:bookmarkEnd w:id="891"/>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长期待摊费用为已经发生但应由本期和以后各期负担的分摊期限在一年以上的各项费用。本公司长期待摊费用包括租入 固定资产装修和游戏版权金。</w:t>
      </w:r>
    </w:p>
    <w:p>
      <w:pPr>
        <w:pStyle w:val="Style29"/>
        <w:keepNext w:val="0"/>
        <w:keepLines w:val="0"/>
        <w:widowControl w:val="0"/>
        <w:shd w:val="clear" w:color="auto" w:fill="auto"/>
        <w:tabs>
          <w:tab w:pos="724" w:val="left"/>
        </w:tabs>
        <w:bidi w:val="0"/>
        <w:spacing w:before="0" w:after="0" w:line="466" w:lineRule="exact"/>
        <w:ind w:left="0" w:right="0"/>
        <w:jc w:val="both"/>
      </w:pPr>
      <w:bookmarkStart w:id="892" w:name="bookmark892"/>
      <w:r>
        <w:rPr>
          <w:rFonts w:ascii="Times New Roman" w:eastAsia="Times New Roman" w:hAnsi="Times New Roman" w:cs="Times New Roman"/>
          <w:b/>
          <w:bCs/>
          <w:color w:val="000000"/>
          <w:spacing w:val="0"/>
          <w:w w:val="100"/>
          <w:position w:val="0"/>
          <w:sz w:val="18"/>
          <w:szCs w:val="18"/>
        </w:rPr>
        <w:t>1</w:t>
      </w:r>
      <w:bookmarkEnd w:id="892"/>
      <w:r>
        <w:rPr>
          <w:b/>
          <w:bCs/>
          <w:color w:val="000000"/>
          <w:spacing w:val="0"/>
          <w:w w:val="100"/>
          <w:position w:val="0"/>
        </w:rPr>
        <w:t>、</w:t>
        <w:tab/>
        <w:t>摊销方法</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长期待摊费用在受益期内平均摊销。</w:t>
      </w:r>
    </w:p>
    <w:p>
      <w:pPr>
        <w:pStyle w:val="Style29"/>
        <w:keepNext w:val="0"/>
        <w:keepLines w:val="0"/>
        <w:widowControl w:val="0"/>
        <w:shd w:val="clear" w:color="auto" w:fill="auto"/>
        <w:tabs>
          <w:tab w:pos="734" w:val="left"/>
        </w:tabs>
        <w:bidi w:val="0"/>
        <w:spacing w:before="0" w:after="0" w:line="466" w:lineRule="exact"/>
        <w:ind w:left="0" w:right="0"/>
        <w:jc w:val="both"/>
      </w:pPr>
      <w:bookmarkStart w:id="893" w:name="bookmark893"/>
      <w:r>
        <w:rPr>
          <w:rFonts w:ascii="Times New Roman" w:eastAsia="Times New Roman" w:hAnsi="Times New Roman" w:cs="Times New Roman"/>
          <w:b/>
          <w:bCs/>
          <w:color w:val="000000"/>
          <w:spacing w:val="0"/>
          <w:w w:val="100"/>
          <w:position w:val="0"/>
          <w:sz w:val="18"/>
          <w:szCs w:val="18"/>
        </w:rPr>
        <w:t>2</w:t>
      </w:r>
      <w:bookmarkEnd w:id="893"/>
      <w:r>
        <w:rPr>
          <w:b/>
          <w:bCs/>
          <w:color w:val="000000"/>
          <w:spacing w:val="0"/>
          <w:w w:val="100"/>
          <w:position w:val="0"/>
        </w:rPr>
        <w:t>、</w:t>
        <w:tab/>
        <w:t>摊销年限</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经营租赁方式租入的固定资产改良支出，按最佳预期经济利益实现方式合理摊销。</w:t>
      </w:r>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购入游戏版权金，在授权期内合理摊销。</w:t>
      </w:r>
    </w:p>
    <w:p>
      <w:pPr>
        <w:pStyle w:val="Style39"/>
        <w:keepNext/>
        <w:keepLines/>
        <w:widowControl w:val="0"/>
        <w:shd w:val="clear" w:color="auto" w:fill="auto"/>
        <w:tabs>
          <w:tab w:pos="483" w:val="left"/>
        </w:tabs>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4"/>
      <w:bookmarkEnd w:id="895"/>
      <w:bookmarkEnd w:id="897"/>
    </w:p>
    <w:p>
      <w:pPr>
        <w:pStyle w:val="Style47"/>
        <w:keepNext/>
        <w:keepLines/>
        <w:widowControl w:val="0"/>
        <w:shd w:val="clear" w:color="auto" w:fill="auto"/>
        <w:tabs>
          <w:tab w:pos="493" w:val="left"/>
        </w:tabs>
        <w:bidi w:val="0"/>
        <w:spacing w:before="0" w:after="20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8"/>
      <w:bookmarkEnd w:id="899"/>
      <w:bookmarkEnd w:id="901"/>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职工福利费为非货币性福利的，如能够可靠计量的，按照公允价值计量。</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2"/>
      <w:bookmarkEnd w:id="903"/>
      <w:bookmarkEnd w:id="905"/>
    </w:p>
    <w:p>
      <w:pPr>
        <w:pStyle w:val="Style29"/>
        <w:keepNext w:val="0"/>
        <w:keepLines w:val="0"/>
        <w:widowControl w:val="0"/>
        <w:shd w:val="clear" w:color="auto" w:fill="auto"/>
        <w:tabs>
          <w:tab w:pos="825" w:val="left"/>
        </w:tabs>
        <w:bidi w:val="0"/>
        <w:spacing w:before="0" w:after="0" w:line="470" w:lineRule="exact"/>
        <w:ind w:left="0" w:right="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设定提存计划</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 计划。本公司按职工工资总额的一定比例向当地社会保险机构缴费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29"/>
        <w:keepNext w:val="0"/>
        <w:keepLines w:val="0"/>
        <w:widowControl w:val="0"/>
        <w:shd w:val="clear" w:color="auto" w:fill="auto"/>
        <w:tabs>
          <w:tab w:pos="825" w:val="left"/>
        </w:tabs>
        <w:bidi w:val="0"/>
        <w:spacing w:before="0" w:after="0" w:line="470"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设定受益计划</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9"/>
        <w:keepNext w:val="0"/>
        <w:keepLines w:val="0"/>
        <w:widowControl w:val="0"/>
        <w:shd w:val="clear" w:color="auto" w:fill="auto"/>
        <w:bidi w:val="0"/>
        <w:spacing w:before="0" w:after="200" w:line="470"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在设定受益计划结算时，按在结算日确定的设定受益计划义务现值和结算价格两者的差额，确认结算利得或损失。</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8"/>
      <w:bookmarkEnd w:id="909"/>
      <w:bookmarkEnd w:id="911"/>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47"/>
        <w:keepNext/>
        <w:keepLines/>
        <w:widowControl w:val="0"/>
        <w:shd w:val="clear" w:color="auto" w:fill="auto"/>
        <w:tabs>
          <w:tab w:pos="493" w:val="left"/>
        </w:tabs>
        <w:bidi w:val="0"/>
        <w:spacing w:before="0" w:after="20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2"/>
      <w:bookmarkEnd w:id="913"/>
      <w:bookmarkEnd w:id="915"/>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无。</w:t>
      </w:r>
    </w:p>
    <w:p>
      <w:pPr>
        <w:pStyle w:val="Style39"/>
        <w:keepNext/>
        <w:keepLines/>
        <w:widowControl w:val="0"/>
        <w:shd w:val="clear" w:color="auto" w:fill="auto"/>
        <w:bidi w:val="0"/>
        <w:spacing w:before="0" w:after="20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16"/>
      <w:bookmarkEnd w:id="917"/>
      <w:bookmarkEnd w:id="919"/>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预计负债的确认标准</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与诉讼、债务担保、亏损合同、重组事项等或有事项相关的义务同时满足下列条件时，本公司确认为预计负债：</w:t>
      </w:r>
    </w:p>
    <w:p>
      <w:pPr>
        <w:pStyle w:val="Style29"/>
        <w:keepNext w:val="0"/>
        <w:keepLines w:val="0"/>
        <w:widowControl w:val="0"/>
        <w:shd w:val="clear" w:color="auto" w:fill="auto"/>
        <w:tabs>
          <w:tab w:pos="825" w:val="left"/>
        </w:tabs>
        <w:bidi w:val="0"/>
        <w:spacing w:before="0" w:after="0" w:line="469"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9"/>
        <w:keepNext w:val="0"/>
        <w:keepLines w:val="0"/>
        <w:widowControl w:val="0"/>
        <w:shd w:val="clear" w:color="auto" w:fill="auto"/>
        <w:tabs>
          <w:tab w:pos="825" w:val="left"/>
        </w:tabs>
        <w:bidi w:val="0"/>
        <w:spacing w:before="0" w:after="0" w:line="469"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9"/>
        <w:keepNext w:val="0"/>
        <w:keepLines w:val="0"/>
        <w:widowControl w:val="0"/>
        <w:shd w:val="clear" w:color="auto" w:fill="auto"/>
        <w:tabs>
          <w:tab w:pos="825" w:val="left"/>
        </w:tabs>
        <w:bidi w:val="0"/>
        <w:spacing w:before="0" w:after="0" w:line="469"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各类预计负债的计量方法</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9"/>
        <w:keepNext w:val="0"/>
        <w:keepLines w:val="0"/>
        <w:widowControl w:val="0"/>
        <w:shd w:val="clear" w:color="auto" w:fill="auto"/>
        <w:bidi w:val="0"/>
        <w:spacing w:before="0" w:after="200" w:line="469"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val="0"/>
        <w:keepLines w:val="0"/>
        <w:widowControl w:val="0"/>
        <w:shd w:val="clear" w:color="auto" w:fill="auto"/>
        <w:bidi w:val="0"/>
        <w:spacing w:before="0" w:after="440" w:line="469"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color w:val="000000"/>
          <w:spacing w:val="0"/>
          <w:w w:val="100"/>
          <w:position w:val="0"/>
          <w:sz w:val="18"/>
          <w:szCs w:val="18"/>
        </w:rPr>
        <w:t>（</w:t>
      </w:r>
      <w:r>
        <w:rPr>
          <w:color w:val="000000"/>
          <w:spacing w:val="0"/>
          <w:w w:val="100"/>
          <w:position w:val="0"/>
        </w:rPr>
        <w:t>三十二</w:t>
      </w:r>
      <w:r>
        <w:rPr>
          <w:color w:val="000000"/>
          <w:spacing w:val="0"/>
          <w:w w:val="100"/>
          <w:position w:val="0"/>
          <w:sz w:val="18"/>
          <w:szCs w:val="18"/>
        </w:rPr>
        <w:t>）</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tabs>
          <w:tab w:pos="473" w:val="left"/>
        </w:tabs>
        <w:bidi w:val="0"/>
        <w:spacing w:before="0" w:after="20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23"/>
      <w:bookmarkEnd w:id="924"/>
      <w:bookmarkEnd w:id="926"/>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本公司的股份支付是为了获取职工提供服务而授予权益工具或者承担以权益工具为基础确定的负债的交易。本公司的股 份支付为以权益结算的股份支付。</w:t>
      </w:r>
    </w:p>
    <w:p>
      <w:pPr>
        <w:pStyle w:val="Style29"/>
        <w:keepNext w:val="0"/>
        <w:keepLines w:val="0"/>
        <w:widowControl w:val="0"/>
        <w:shd w:val="clear" w:color="auto" w:fill="auto"/>
        <w:bidi w:val="0"/>
        <w:spacing w:before="0" w:after="0" w:line="469" w:lineRule="exact"/>
        <w:ind w:left="0" w:right="0"/>
        <w:jc w:val="both"/>
      </w:pPr>
      <w:r>
        <w:rPr>
          <w:b/>
          <w:bCs/>
          <w:color w:val="000000"/>
          <w:spacing w:val="0"/>
          <w:w w:val="100"/>
          <w:position w:val="0"/>
        </w:rPr>
        <w:t>以权益结算的股份支付及权益工具</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到，则本公司按照事先约定的价格回购股票。本公司取得职工认购限制性股票支付的款项时，按照取得的认股款确认股本和 资本公积（股本溢价），同时就回购义务全额确认一项负债并确认库存股。在等待期内每个资产负债表日，本公司根据最新 取得的可行权职工人数变动、是否达到规定业绩条件等后续信息对可行权权益工具数量作出最佳估计，以此为基础，按照授 予日的公允价值，将当期取得的服务计入相关成本或费用，相应增加资本公积。在可行权日之后不再对已确认的相关成本或 费用和所有者权益总额进行调整。但授予后立即可行权的，在授予日按照公允价值计入相关成本或费用，相应增加资本公积。</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9"/>
        <w:keepNext w:val="0"/>
        <w:keepLines w:val="0"/>
        <w:widowControl w:val="0"/>
        <w:shd w:val="clear" w:color="auto" w:fill="auto"/>
        <w:bidi w:val="0"/>
        <w:spacing w:before="0" w:after="440" w:line="469"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9"/>
        <w:keepNext/>
        <w:keepLines/>
        <w:widowControl w:val="0"/>
        <w:shd w:val="clear" w:color="auto" w:fill="auto"/>
        <w:tabs>
          <w:tab w:pos="473" w:val="left"/>
        </w:tabs>
        <w:bidi w:val="0"/>
        <w:spacing w:before="0" w:after="20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27"/>
      <w:bookmarkEnd w:id="928"/>
      <w:bookmarkEnd w:id="930"/>
    </w:p>
    <w:p>
      <w:pPr>
        <w:pStyle w:val="Style29"/>
        <w:keepNext w:val="0"/>
        <w:keepLines w:val="0"/>
        <w:widowControl w:val="0"/>
        <w:shd w:val="clear" w:color="auto" w:fill="auto"/>
        <w:bidi w:val="0"/>
        <w:spacing w:before="0" w:after="440" w:line="469" w:lineRule="exact"/>
        <w:ind w:left="0" w:right="0"/>
        <w:jc w:val="both"/>
      </w:pPr>
      <w:r>
        <w:rPr>
          <w:color w:val="000000"/>
          <w:spacing w:val="0"/>
          <w:w w:val="100"/>
          <w:position w:val="0"/>
        </w:rPr>
        <w:t>无。</w:t>
      </w:r>
    </w:p>
    <w:p>
      <w:pPr>
        <w:pStyle w:val="Style39"/>
        <w:keepNext/>
        <w:keepLines/>
        <w:widowControl w:val="0"/>
        <w:shd w:val="clear" w:color="auto" w:fill="auto"/>
        <w:tabs>
          <w:tab w:pos="473" w:val="left"/>
        </w:tabs>
        <w:bidi w:val="0"/>
        <w:spacing w:before="0" w:after="20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31"/>
      <w:bookmarkEnd w:id="932"/>
      <w:bookmarkEnd w:id="934"/>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469" w:lineRule="exact"/>
        <w:ind w:left="0" w:right="0"/>
        <w:jc w:val="both"/>
      </w:pPr>
      <w:r>
        <w:rPr>
          <w:b/>
          <w:bCs/>
          <w:color w:val="000000"/>
          <w:spacing w:val="0"/>
          <w:w w:val="100"/>
          <w:position w:val="0"/>
        </w:rPr>
        <w:t>是</w:t>
      </w:r>
    </w:p>
    <w:p>
      <w:pPr>
        <w:pStyle w:val="Style29"/>
        <w:keepNext w:val="0"/>
        <w:keepLines w:val="0"/>
        <w:widowControl w:val="0"/>
        <w:shd w:val="clear" w:color="auto" w:fill="auto"/>
        <w:bidi w:val="0"/>
        <w:spacing w:before="0" w:after="0" w:line="469" w:lineRule="exact"/>
        <w:ind w:left="0" w:right="0"/>
        <w:jc w:val="both"/>
      </w:pPr>
      <w:r>
        <w:rPr>
          <w:b/>
          <w:bCs/>
          <w:color w:val="000000"/>
          <w:spacing w:val="0"/>
          <w:w w:val="100"/>
          <w:position w:val="0"/>
        </w:rPr>
        <w:t>互联网游戏业</w:t>
      </w:r>
    </w:p>
    <w:p>
      <w:pPr>
        <w:pStyle w:val="Style29"/>
        <w:keepNext w:val="0"/>
        <w:keepLines w:val="0"/>
        <w:widowControl w:val="0"/>
        <w:shd w:val="clear" w:color="auto" w:fill="auto"/>
        <w:bidi w:val="0"/>
        <w:spacing w:before="0" w:after="320" w:line="469" w:lineRule="exact"/>
        <w:ind w:left="0" w:right="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tabs>
          <w:tab w:pos="719" w:val="left"/>
        </w:tabs>
        <w:bidi w:val="0"/>
        <w:spacing w:before="0" w:after="0" w:line="464" w:lineRule="exact"/>
        <w:ind w:left="0" w:right="0"/>
        <w:jc w:val="left"/>
      </w:pPr>
      <w:bookmarkStart w:id="935" w:name="bookmark935"/>
      <w:r>
        <w:rPr>
          <w:rFonts w:ascii="Times New Roman" w:eastAsia="Times New Roman" w:hAnsi="Times New Roman" w:cs="Times New Roman"/>
          <w:b/>
          <w:bCs/>
          <w:color w:val="000000"/>
          <w:spacing w:val="0"/>
          <w:w w:val="100"/>
          <w:position w:val="0"/>
          <w:sz w:val="18"/>
          <w:szCs w:val="18"/>
        </w:rPr>
        <w:t>1</w:t>
      </w:r>
      <w:bookmarkEnd w:id="935"/>
      <w:r>
        <w:rPr>
          <w:b/>
          <w:bCs/>
          <w:color w:val="000000"/>
          <w:spacing w:val="0"/>
          <w:w w:val="100"/>
          <w:position w:val="0"/>
        </w:rPr>
        <w:t>、</w:t>
        <w:tab/>
        <w:t>公司收入在交易结果能够可靠估计时，按以下原则确认：</w:t>
      </w:r>
    </w:p>
    <w:p>
      <w:pPr>
        <w:pStyle w:val="Style29"/>
        <w:keepNext w:val="0"/>
        <w:keepLines w:val="0"/>
        <w:widowControl w:val="0"/>
        <w:numPr>
          <w:ilvl w:val="0"/>
          <w:numId w:val="29"/>
        </w:numPr>
        <w:shd w:val="clear" w:color="auto" w:fill="auto"/>
        <w:tabs>
          <w:tab w:pos="825" w:val="left"/>
        </w:tabs>
        <w:bidi w:val="0"/>
        <w:spacing w:before="0" w:after="0" w:line="464" w:lineRule="exact"/>
        <w:ind w:left="0" w:right="0"/>
        <w:jc w:val="left"/>
      </w:pPr>
      <w:bookmarkStart w:id="936" w:name="bookmark936"/>
      <w:bookmarkEnd w:id="936"/>
      <w:r>
        <w:rPr>
          <w:color w:val="000000"/>
          <w:spacing w:val="0"/>
          <w:w w:val="100"/>
          <w:position w:val="0"/>
        </w:rPr>
        <w:t>软件产品开发与销售：</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软件产品包括自主开发软件产品和定制开发软件产品。自主开发软件产品指公司自行开发研制的软件产品；定制开发软 件产品指公司根据买方的实际需求进行定制、开发的软件产品。</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对于自主开发软件产品的销售，公司在软件产品的主要风险和报酬已转移给买方，不再保留与之相联系的管理权和控制 权，取得明确的收款证据，相关成本能够可靠地计量时，确认收入。</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对于定制开发软件产品，经客户验收确认，按完工百分比确认收入。完工百分比确认方法：完工百分比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(已发生工时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项目总工时)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对于包含在系统集成中的软件产品，按系统集成的收入确认原则确认收入。</w:t>
      </w:r>
    </w:p>
    <w:p>
      <w:pPr>
        <w:pStyle w:val="Style29"/>
        <w:keepNext w:val="0"/>
        <w:keepLines w:val="0"/>
        <w:widowControl w:val="0"/>
        <w:numPr>
          <w:ilvl w:val="0"/>
          <w:numId w:val="29"/>
        </w:numPr>
        <w:shd w:val="clear" w:color="auto" w:fill="auto"/>
        <w:tabs>
          <w:tab w:pos="825" w:val="left"/>
        </w:tabs>
        <w:bidi w:val="0"/>
        <w:spacing w:before="0" w:after="0" w:line="464" w:lineRule="exact"/>
        <w:ind w:left="0" w:right="0"/>
        <w:jc w:val="left"/>
      </w:pPr>
      <w:bookmarkStart w:id="937" w:name="bookmark937"/>
      <w:bookmarkEnd w:id="937"/>
      <w:r>
        <w:rPr>
          <w:color w:val="000000"/>
          <w:spacing w:val="0"/>
          <w:w w:val="100"/>
          <w:position w:val="0"/>
        </w:rPr>
        <w:t>技术服务收入：</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技术服务包括公司向客户提供的与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运维管理相关的技术支持、技术咨询、技术开发、系统维护、运营管理等服务内容。</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公司在已根据合同约定提供了相应服务，取得明确的收款证据，相关成本能够可靠地计量时，确认收入。合同明确约定 服务期限的，在合同约定的服务期限内，按进度确认收入；合同明确约定服务成果需经客户验收确认的，根据客户验收情况 确认收入。</w:t>
      </w:r>
    </w:p>
    <w:p>
      <w:pPr>
        <w:pStyle w:val="Style29"/>
        <w:keepNext w:val="0"/>
        <w:keepLines w:val="0"/>
        <w:widowControl w:val="0"/>
        <w:numPr>
          <w:ilvl w:val="0"/>
          <w:numId w:val="29"/>
        </w:numPr>
        <w:shd w:val="clear" w:color="auto" w:fill="auto"/>
        <w:tabs>
          <w:tab w:pos="825" w:val="left"/>
        </w:tabs>
        <w:bidi w:val="0"/>
        <w:spacing w:before="0" w:after="0" w:line="464" w:lineRule="exact"/>
        <w:ind w:left="0" w:right="0"/>
        <w:jc w:val="left"/>
      </w:pPr>
      <w:bookmarkStart w:id="938" w:name="bookmark938"/>
      <w:bookmarkEnd w:id="938"/>
      <w:r>
        <w:rPr>
          <w:color w:val="000000"/>
          <w:spacing w:val="0"/>
          <w:w w:val="100"/>
          <w:position w:val="0"/>
        </w:rPr>
        <w:t>系统集成收入：</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系统集成包括外购软硬件产品和公司软件产品的销售及安装。</w:t>
      </w:r>
    </w:p>
    <w:p>
      <w:pPr>
        <w:pStyle w:val="Style29"/>
        <w:keepNext w:val="0"/>
        <w:keepLines w:val="0"/>
        <w:widowControl w:val="0"/>
        <w:shd w:val="clear" w:color="auto" w:fill="auto"/>
        <w:bidi w:val="0"/>
        <w:spacing w:before="0" w:after="0" w:line="464" w:lineRule="exact"/>
        <w:ind w:left="0" w:right="0"/>
        <w:jc w:val="left"/>
      </w:pPr>
      <w:r>
        <w:rPr>
          <w:color w:val="000000"/>
          <w:spacing w:val="0"/>
          <w:w w:val="100"/>
          <w:position w:val="0"/>
        </w:rPr>
        <w:t>对于系统集成，公司根据合同的约定,在系统集成中的外购软硬件产品和公司软件产品的主要风险和报酬已转移给买方， 不再保留与之相联系的继续管理权和控制权，系统已按合同约定的条件安装调试、取得了买方的验收确认，相关成本能够可 靠地计量时，按完工百分比确认收入。完工百分比确认方法：完工百分比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(已发生工时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项目总工时)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numPr>
          <w:ilvl w:val="0"/>
          <w:numId w:val="29"/>
        </w:numPr>
        <w:shd w:val="clear" w:color="auto" w:fill="auto"/>
        <w:tabs>
          <w:tab w:pos="825" w:val="left"/>
        </w:tabs>
        <w:bidi w:val="0"/>
        <w:spacing w:before="0" w:after="0" w:line="464" w:lineRule="exact"/>
        <w:ind w:left="0" w:right="0"/>
        <w:jc w:val="both"/>
      </w:pPr>
      <w:bookmarkStart w:id="939" w:name="bookmark939"/>
      <w:bookmarkEnd w:id="939"/>
      <w:r>
        <w:rPr>
          <w:color w:val="000000"/>
          <w:spacing w:val="0"/>
          <w:w w:val="100"/>
          <w:position w:val="0"/>
        </w:rPr>
        <w:t>移动端游戏收入：</w:t>
      </w:r>
    </w:p>
    <w:p>
      <w:pPr>
        <w:pStyle w:val="Style29"/>
        <w:keepNext w:val="0"/>
        <w:keepLines w:val="0"/>
        <w:widowControl w:val="0"/>
        <w:shd w:val="clear" w:color="auto" w:fill="auto"/>
        <w:bidi w:val="0"/>
        <w:spacing w:before="0" w:after="0" w:line="464" w:lineRule="exact"/>
        <w:ind w:left="0" w:right="0"/>
        <w:jc w:val="both"/>
      </w:pPr>
      <w:r>
        <w:rPr>
          <w:color w:val="000000"/>
          <w:spacing w:val="0"/>
          <w:w w:val="100"/>
          <w:position w:val="0"/>
        </w:rPr>
        <w:t>公司目前的移动游戏分为联机游戏和单机游戏，其中以联机游戏为主。</w:t>
      </w:r>
    </w:p>
    <w:p>
      <w:pPr>
        <w:pStyle w:val="Style29"/>
        <w:keepNext w:val="0"/>
        <w:keepLines w:val="0"/>
        <w:widowControl w:val="0"/>
        <w:numPr>
          <w:ilvl w:val="0"/>
          <w:numId w:val="31"/>
        </w:numPr>
        <w:shd w:val="clear" w:color="auto" w:fill="auto"/>
        <w:tabs>
          <w:tab w:pos="753" w:val="left"/>
        </w:tabs>
        <w:bidi w:val="0"/>
        <w:spacing w:before="0" w:after="0" w:line="464" w:lineRule="exact"/>
        <w:ind w:left="0" w:right="0"/>
        <w:jc w:val="both"/>
      </w:pPr>
      <w:bookmarkStart w:id="940" w:name="bookmark940"/>
      <w:bookmarkEnd w:id="940"/>
      <w:r>
        <w:rPr>
          <w:color w:val="000000"/>
          <w:spacing w:val="0"/>
          <w:w w:val="100"/>
          <w:position w:val="0"/>
        </w:rPr>
        <w:t>联机游戏目前采用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游戏基础功能免费、部分道具收费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的运营模式。</w:t>
      </w:r>
    </w:p>
    <w:p>
      <w:pPr>
        <w:pStyle w:val="Style29"/>
        <w:keepNext w:val="0"/>
        <w:keepLines w:val="0"/>
        <w:widowControl w:val="0"/>
        <w:shd w:val="clear" w:color="auto" w:fill="auto"/>
        <w:bidi w:val="0"/>
        <w:spacing w:before="0" w:after="0" w:line="464" w:lineRule="exact"/>
        <w:ind w:left="0" w:right="0"/>
        <w:jc w:val="both"/>
      </w:pPr>
      <w:r>
        <w:rPr>
          <w:color w:val="000000"/>
          <w:spacing w:val="0"/>
          <w:w w:val="100"/>
          <w:position w:val="0"/>
        </w:rPr>
        <w:t>月末与合作方对账确认后，以协议约定的分成比例为基础，在玩家实际使用付费获得的游戏内货币购买道具及其他合理 方式确认收入。</w:t>
      </w:r>
    </w:p>
    <w:p>
      <w:pPr>
        <w:pStyle w:val="Style29"/>
        <w:keepNext w:val="0"/>
        <w:keepLines w:val="0"/>
        <w:widowControl w:val="0"/>
        <w:numPr>
          <w:ilvl w:val="0"/>
          <w:numId w:val="31"/>
        </w:numPr>
        <w:shd w:val="clear" w:color="auto" w:fill="auto"/>
        <w:tabs>
          <w:tab w:pos="753" w:val="left"/>
        </w:tabs>
        <w:bidi w:val="0"/>
        <w:spacing w:before="0" w:after="0" w:line="464" w:lineRule="exact"/>
        <w:ind w:left="0" w:right="0"/>
        <w:jc w:val="both"/>
      </w:pPr>
      <w:bookmarkStart w:id="941" w:name="bookmark941"/>
      <w:bookmarkEnd w:id="941"/>
      <w:r>
        <w:rPr>
          <w:color w:val="000000"/>
          <w:spacing w:val="0"/>
          <w:w w:val="100"/>
          <w:position w:val="0"/>
        </w:rPr>
        <w:t>单机游戏目前采用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下载一次性收费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模式，在玩家下载游戏并确认付费时确认收入。</w:t>
      </w:r>
    </w:p>
    <w:p>
      <w:pPr>
        <w:pStyle w:val="Style29"/>
        <w:keepNext w:val="0"/>
        <w:keepLines w:val="0"/>
        <w:widowControl w:val="0"/>
        <w:shd w:val="clear" w:color="auto" w:fill="auto"/>
        <w:tabs>
          <w:tab w:pos="738" w:val="left"/>
        </w:tabs>
        <w:bidi w:val="0"/>
        <w:spacing w:before="0" w:after="0" w:line="464" w:lineRule="exact"/>
        <w:ind w:left="0" w:right="0"/>
        <w:jc w:val="left"/>
      </w:pPr>
      <w:bookmarkStart w:id="942" w:name="bookmark942"/>
      <w:r>
        <w:rPr>
          <w:rFonts w:ascii="Times New Roman" w:eastAsia="Times New Roman" w:hAnsi="Times New Roman" w:cs="Times New Roman"/>
          <w:b/>
          <w:bCs/>
          <w:color w:val="000000"/>
          <w:spacing w:val="0"/>
          <w:w w:val="100"/>
          <w:position w:val="0"/>
          <w:sz w:val="18"/>
          <w:szCs w:val="18"/>
        </w:rPr>
        <w:t>2</w:t>
      </w:r>
      <w:bookmarkEnd w:id="942"/>
      <w:r>
        <w:rPr>
          <w:b/>
          <w:bCs/>
          <w:color w:val="000000"/>
          <w:spacing w:val="0"/>
          <w:w w:val="100"/>
          <w:position w:val="0"/>
        </w:rPr>
        <w:t>、</w:t>
        <w:tab/>
        <w:t>上述交易如交易结果不能够可靠估计的，分别下列情况处理：</w:t>
      </w:r>
    </w:p>
    <w:p>
      <w:pPr>
        <w:pStyle w:val="Style29"/>
        <w:keepNext w:val="0"/>
        <w:keepLines w:val="0"/>
        <w:widowControl w:val="0"/>
        <w:numPr>
          <w:ilvl w:val="0"/>
          <w:numId w:val="33"/>
        </w:numPr>
        <w:shd w:val="clear" w:color="auto" w:fill="auto"/>
        <w:tabs>
          <w:tab w:pos="825" w:val="left"/>
        </w:tabs>
        <w:bidi w:val="0"/>
        <w:spacing w:before="0" w:after="0" w:line="464" w:lineRule="exact"/>
        <w:ind w:left="0" w:right="0"/>
        <w:jc w:val="left"/>
      </w:pPr>
      <w:bookmarkStart w:id="943" w:name="bookmark943"/>
      <w:bookmarkEnd w:id="943"/>
      <w:r>
        <w:rPr>
          <w:color w:val="000000"/>
          <w:spacing w:val="0"/>
          <w:w w:val="100"/>
          <w:position w:val="0"/>
        </w:rPr>
        <w:t>已经发生的成本预计能够得到补偿的，按照已经发生的成本金额确认收入，并按相同金额结转成本。</w:t>
      </w:r>
    </w:p>
    <w:p>
      <w:pPr>
        <w:pStyle w:val="Style29"/>
        <w:keepNext w:val="0"/>
        <w:keepLines w:val="0"/>
        <w:widowControl w:val="0"/>
        <w:numPr>
          <w:ilvl w:val="0"/>
          <w:numId w:val="33"/>
        </w:numPr>
        <w:shd w:val="clear" w:color="auto" w:fill="auto"/>
        <w:tabs>
          <w:tab w:pos="825" w:val="left"/>
        </w:tabs>
        <w:bidi w:val="0"/>
        <w:spacing w:before="0" w:after="0" w:line="464" w:lineRule="exact"/>
        <w:ind w:left="0" w:right="0"/>
        <w:jc w:val="left"/>
      </w:pPr>
      <w:bookmarkStart w:id="944" w:name="bookmark944"/>
      <w:bookmarkEnd w:id="944"/>
      <w:r>
        <w:rPr>
          <w:color w:val="000000"/>
          <w:spacing w:val="0"/>
          <w:w w:val="100"/>
          <w:position w:val="0"/>
        </w:rPr>
        <w:t>已经发生的成本预计不能够得到补偿的，将已经发生的成本计入当期损益，不确认收入。</w:t>
      </w:r>
    </w:p>
    <w:p>
      <w:pPr>
        <w:pStyle w:val="Style39"/>
        <w:keepNext/>
        <w:keepLines/>
        <w:widowControl w:val="0"/>
        <w:shd w:val="clear" w:color="auto" w:fill="auto"/>
        <w:tabs>
          <w:tab w:pos="456" w:val="left"/>
        </w:tabs>
        <w:bidi w:val="0"/>
        <w:spacing w:before="0" w:after="38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45"/>
      <w:bookmarkEnd w:id="946"/>
      <w:bookmarkEnd w:id="948"/>
    </w:p>
    <w:p>
      <w:pPr>
        <w:pStyle w:val="Style47"/>
        <w:keepNext/>
        <w:keepLines/>
        <w:widowControl w:val="0"/>
        <w:shd w:val="clear" w:color="auto" w:fill="auto"/>
        <w:tabs>
          <w:tab w:pos="466" w:val="left"/>
        </w:tabs>
        <w:bidi w:val="0"/>
        <w:spacing w:before="0" w:after="20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9"/>
      <w:bookmarkEnd w:id="950"/>
      <w:bookmarkEnd w:id="952"/>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形资产的财政拨款、固定资产专门借款的财政贴息等。与收益相关的政府补助，是指除与资产相关的政府补助之外的政府补 助。与资产相关的政府补助，在实际收到或者获得了收取政府补助的权利并基本确定能收到时确认为递延收益，并按照所建 造或购买的资产使用年限分期计入营业外收入。</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与资产相关的政府补助，确认为递延收益，按照所建造或购买的资产使用年限分期计入营业外收入。</w:t>
      </w:r>
    </w:p>
    <w:p>
      <w:pPr>
        <w:pStyle w:val="Style47"/>
        <w:keepNext/>
        <w:keepLines/>
        <w:widowControl w:val="0"/>
        <w:shd w:val="clear" w:color="auto" w:fill="auto"/>
        <w:tabs>
          <w:tab w:pos="466" w:val="left"/>
        </w:tabs>
        <w:bidi w:val="0"/>
        <w:spacing w:before="0" w:after="200" w:line="240" w:lineRule="auto"/>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53"/>
      <w:bookmarkEnd w:id="954"/>
      <w:bookmarkEnd w:id="956"/>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与收益相关的政府补助，在实际收到或者获得了收取政府补助的权利并基本确定能收到时予以确认。其中：（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）用于 补偿企业以后期间的相关费用或损失的，取得时确认为递延收益，在确认相关费用的期间计入当期营业外收入；（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 补偿企业已发生的相关费用或损失的，取得时直接计入当期营业外收入。</w:t>
      </w:r>
    </w:p>
    <w:p>
      <w:pPr>
        <w:pStyle w:val="Style39"/>
        <w:keepNext/>
        <w:keepLines/>
        <w:widowControl w:val="0"/>
        <w:shd w:val="clear" w:color="auto" w:fill="auto"/>
        <w:tabs>
          <w:tab w:pos="456" w:val="left"/>
        </w:tabs>
        <w:bidi w:val="0"/>
        <w:spacing w:before="0" w:after="20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7"/>
      <w:bookmarkEnd w:id="958"/>
      <w:bookmarkEnd w:id="960"/>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200" w:line="468"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9"/>
        <w:keepNext/>
        <w:keepLines/>
        <w:widowControl w:val="0"/>
        <w:shd w:val="clear" w:color="auto" w:fill="auto"/>
        <w:tabs>
          <w:tab w:pos="472"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61"/>
      <w:bookmarkEnd w:id="962"/>
      <w:bookmarkEnd w:id="964"/>
    </w:p>
    <w:p>
      <w:pPr>
        <w:pStyle w:val="Style47"/>
        <w:keepNext/>
        <w:keepLines/>
        <w:widowControl w:val="0"/>
        <w:shd w:val="clear" w:color="auto" w:fill="auto"/>
        <w:tabs>
          <w:tab w:pos="482" w:val="left"/>
        </w:tabs>
        <w:bidi w:val="0"/>
        <w:spacing w:before="0" w:after="2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5"/>
      <w:bookmarkEnd w:id="966"/>
      <w:bookmarkEnd w:id="968"/>
    </w:p>
    <w:p>
      <w:pPr>
        <w:pStyle w:val="Style29"/>
        <w:keepNext w:val="0"/>
        <w:keepLines w:val="0"/>
        <w:widowControl w:val="0"/>
        <w:shd w:val="clear" w:color="auto" w:fill="auto"/>
        <w:tabs>
          <w:tab w:pos="875" w:val="left"/>
        </w:tabs>
        <w:bidi w:val="0"/>
        <w:spacing w:before="0" w:after="0" w:line="470"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9"/>
        <w:keepNext w:val="0"/>
        <w:keepLines w:val="0"/>
        <w:widowControl w:val="0"/>
        <w:shd w:val="clear" w:color="auto" w:fill="auto"/>
        <w:tabs>
          <w:tab w:pos="890" w:val="left"/>
        </w:tabs>
        <w:bidi w:val="0"/>
        <w:spacing w:before="0" w:after="0" w:line="475" w:lineRule="exact"/>
        <w:ind w:left="0" w:right="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9"/>
        <w:keepNext w:val="0"/>
        <w:keepLines w:val="0"/>
        <w:widowControl w:val="0"/>
        <w:shd w:val="clear" w:color="auto" w:fill="auto"/>
        <w:bidi w:val="0"/>
        <w:spacing w:before="0" w:after="460" w:line="475"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7"/>
        <w:keepNext/>
        <w:keepLines/>
        <w:widowControl w:val="0"/>
        <w:shd w:val="clear" w:color="auto" w:fill="auto"/>
        <w:tabs>
          <w:tab w:pos="482" w:val="left"/>
        </w:tabs>
        <w:bidi w:val="0"/>
        <w:spacing w:before="0" w:after="20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71"/>
      <w:bookmarkEnd w:id="972"/>
      <w:bookmarkEnd w:id="974"/>
    </w:p>
    <w:p>
      <w:pPr>
        <w:pStyle w:val="Style29"/>
        <w:keepNext w:val="0"/>
        <w:keepLines w:val="0"/>
        <w:widowControl w:val="0"/>
        <w:shd w:val="clear" w:color="auto" w:fill="auto"/>
        <w:tabs>
          <w:tab w:pos="890" w:val="left"/>
        </w:tabs>
        <w:bidi w:val="0"/>
        <w:spacing w:before="0" w:after="0" w:line="470" w:lineRule="exact"/>
        <w:ind w:left="0" w:right="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9"/>
        <w:keepNext w:val="0"/>
        <w:keepLines w:val="0"/>
        <w:widowControl w:val="0"/>
        <w:shd w:val="clear" w:color="auto" w:fill="auto"/>
        <w:tabs>
          <w:tab w:pos="895" w:val="left"/>
        </w:tabs>
        <w:bidi w:val="0"/>
        <w:spacing w:before="0" w:after="460" w:line="470"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9"/>
        <w:keepNext/>
        <w:keepLines/>
        <w:widowControl w:val="0"/>
        <w:shd w:val="clear" w:color="auto" w:fill="auto"/>
        <w:tabs>
          <w:tab w:pos="472" w:val="left"/>
        </w:tabs>
        <w:bidi w:val="0"/>
        <w:spacing w:before="0" w:after="20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77"/>
      <w:bookmarkEnd w:id="978"/>
      <w:bookmarkEnd w:id="980"/>
    </w:p>
    <w:p>
      <w:pPr>
        <w:pStyle w:val="Style29"/>
        <w:keepNext w:val="0"/>
        <w:keepLines w:val="0"/>
        <w:widowControl w:val="0"/>
        <w:shd w:val="clear" w:color="auto" w:fill="auto"/>
        <w:bidi w:val="0"/>
        <w:spacing w:before="0" w:after="0" w:line="466" w:lineRule="exact"/>
        <w:ind w:left="0" w:right="0"/>
        <w:jc w:val="left"/>
      </w:pPr>
      <w:r>
        <w:rPr>
          <w:b/>
          <w:bCs/>
          <w:color w:val="000000"/>
          <w:spacing w:val="0"/>
          <w:w w:val="100"/>
          <w:position w:val="0"/>
        </w:rPr>
        <w:t>回购本公司股份</w:t>
      </w:r>
    </w:p>
    <w:p>
      <w:pPr>
        <w:pStyle w:val="Style29"/>
        <w:keepNext w:val="0"/>
        <w:keepLines w:val="0"/>
        <w:widowControl w:val="0"/>
        <w:shd w:val="clear" w:color="auto" w:fill="auto"/>
        <w:bidi w:val="0"/>
        <w:spacing w:before="0" w:after="0" w:line="466" w:lineRule="exact"/>
        <w:ind w:left="0" w:right="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、天津壳木原股东</w:t>
      </w: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年度业务承诺未完成：</w:t>
      </w:r>
    </w:p>
    <w:p>
      <w:pPr>
        <w:pStyle w:val="Style29"/>
        <w:keepNext w:val="0"/>
        <w:keepLines w:val="0"/>
        <w:widowControl w:val="0"/>
        <w:shd w:val="clear" w:color="auto" w:fill="auto"/>
        <w:bidi w:val="0"/>
        <w:spacing w:before="0" w:after="0" w:line="466" w:lineRule="exact"/>
        <w:ind w:left="0" w:right="0"/>
        <w:jc w:val="left"/>
      </w:pPr>
      <w:r>
        <w:rPr>
          <w:color w:val="000000"/>
          <w:spacing w:val="0"/>
          <w:w w:val="100"/>
          <w:position w:val="0"/>
        </w:rPr>
        <w:t>根据立信会计师事务所（特殊普通合伙）出具的信会师报字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113921</w:t>
      </w:r>
      <w:r>
        <w:rPr>
          <w:color w:val="000000"/>
          <w:spacing w:val="0"/>
          <w:w w:val="100"/>
          <w:position w:val="0"/>
        </w:rPr>
        <w:t>号《审计报告》，经审计的天津壳木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度净利润（以扣除非经常性损益后归属于母公司股东的净利润数为计算依据）为</w:t>
      </w:r>
      <w:r>
        <w:rPr>
          <w:rFonts w:ascii="Times New Roman" w:eastAsia="Times New Roman" w:hAnsi="Times New Roman" w:cs="Times New Roman"/>
          <w:color w:val="000000"/>
          <w:spacing w:val="0"/>
          <w:w w:val="100"/>
          <w:position w:val="0"/>
          <w:sz w:val="18"/>
          <w:szCs w:val="18"/>
        </w:rPr>
        <w:t>7,582.82</w:t>
      </w:r>
      <w:r>
        <w:rPr>
          <w:color w:val="000000"/>
          <w:spacing w:val="0"/>
          <w:w w:val="100"/>
          <w:position w:val="0"/>
        </w:rPr>
        <w:t>万元，较承诺的</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 xml:space="preserve">万元少了 </w:t>
      </w:r>
      <w:r>
        <w:rPr>
          <w:rFonts w:ascii="Times New Roman" w:eastAsia="Times New Roman" w:hAnsi="Times New Roman" w:cs="Times New Roman"/>
          <w:color w:val="000000"/>
          <w:spacing w:val="0"/>
          <w:w w:val="100"/>
          <w:position w:val="0"/>
          <w:sz w:val="18"/>
          <w:szCs w:val="18"/>
        </w:rPr>
        <w:t>7,417.18</w:t>
      </w:r>
      <w:r>
        <w:rPr>
          <w:color w:val="000000"/>
          <w:spacing w:val="0"/>
          <w:w w:val="100"/>
          <w:position w:val="0"/>
        </w:rPr>
        <w:t>万元，完成承诺业绩的</w:t>
      </w:r>
      <w:r>
        <w:rPr>
          <w:rFonts w:ascii="Times New Roman" w:eastAsia="Times New Roman" w:hAnsi="Times New Roman" w:cs="Times New Roman"/>
          <w:color w:val="000000"/>
          <w:spacing w:val="0"/>
          <w:w w:val="100"/>
          <w:position w:val="0"/>
          <w:sz w:val="18"/>
          <w:szCs w:val="18"/>
        </w:rPr>
        <w:t>50.55%</w:t>
      </w:r>
      <w:r>
        <w:rPr>
          <w:color w:val="000000"/>
          <w:spacing w:val="0"/>
          <w:w w:val="100"/>
          <w:position w:val="0"/>
        </w:rPr>
        <w:t>，未完成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w:t>
      </w:r>
    </w:p>
    <w:p>
      <w:pPr>
        <w:pStyle w:val="Style29"/>
        <w:keepNext w:val="0"/>
        <w:keepLines w:val="0"/>
        <w:widowControl w:val="0"/>
        <w:shd w:val="clear" w:color="auto" w:fill="auto"/>
        <w:bidi w:val="0"/>
        <w:spacing w:before="0" w:after="240" w:line="466" w:lineRule="exact"/>
        <w:ind w:left="0" w:right="0"/>
        <w:jc w:val="left"/>
      </w:pPr>
      <w:r>
        <w:rPr>
          <w:color w:val="000000"/>
          <w:spacing w:val="0"/>
          <w:w w:val="100"/>
          <w:position w:val="0"/>
        </w:rPr>
        <w:t>根据本公司与天津壳木原股东李毅、李章晶及天津骆壳所签订的《发行股份及支付现金购买资产协议》，上述原股东本 次应补偿股份数为</w:t>
      </w:r>
      <w:r>
        <w:rPr>
          <w:rFonts w:ascii="Times New Roman" w:eastAsia="Times New Roman" w:hAnsi="Times New Roman" w:cs="Times New Roman"/>
          <w:color w:val="000000"/>
          <w:spacing w:val="0"/>
          <w:w w:val="100"/>
          <w:position w:val="0"/>
          <w:sz w:val="18"/>
          <w:szCs w:val="18"/>
        </w:rPr>
        <w:t>2,952.459</w:t>
      </w:r>
      <w:r>
        <w:rPr>
          <w:color w:val="000000"/>
          <w:spacing w:val="0"/>
          <w:w w:val="100"/>
          <w:position w:val="0"/>
        </w:rPr>
        <w:t>万股由公司以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元对价回购并注销。</w:t>
      </w:r>
    </w:p>
    <w:p>
      <w:pPr>
        <w:pStyle w:val="Style29"/>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、限制性股票回购:</w:t>
      </w:r>
    </w:p>
    <w:p>
      <w:pPr>
        <w:pStyle w:val="Style29"/>
        <w:keepNext w:val="0"/>
        <w:keepLines w:val="0"/>
        <w:widowControl w:val="0"/>
        <w:shd w:val="clear" w:color="auto" w:fill="auto"/>
        <w:tabs>
          <w:tab w:pos="841" w:val="left"/>
        </w:tabs>
        <w:bidi w:val="0"/>
        <w:spacing w:before="0" w:after="0" w:line="467" w:lineRule="exact"/>
        <w:ind w:left="0" w:right="0"/>
        <w:jc w:val="left"/>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根据《北京神州泰岳软件股份有限公司股票期权与限制性股票激励计划（正式稿）》规定，公司前员工张楠等</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人作为激励对象于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日获授公司限制性股票</w:t>
      </w:r>
      <w:r>
        <w:rPr>
          <w:rFonts w:ascii="Times New Roman" w:eastAsia="Times New Roman" w:hAnsi="Times New Roman" w:cs="Times New Roman"/>
          <w:color w:val="000000"/>
          <w:spacing w:val="0"/>
          <w:w w:val="100"/>
          <w:position w:val="0"/>
          <w:sz w:val="18"/>
          <w:szCs w:val="18"/>
        </w:rPr>
        <w:t>178,000</w:t>
      </w:r>
      <w:r>
        <w:rPr>
          <w:color w:val="000000"/>
          <w:spacing w:val="0"/>
          <w:w w:val="100"/>
          <w:position w:val="0"/>
        </w:rPr>
        <w:t>股，张楠等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人已按时足额缴纳认购款项，授予股份已于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日在中国证券登记结算有限责任公司深圳分公司完成股份登记。后张楠等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人因个人原因向公司提出辞职，公司已 经同意其辞职申请，并已办理完成相关离职手续。根据《北京神州泰岳软件股份有限公司股票期权与限制性股票激励计划（正 式稿）》规定，因实施了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年度利润分配及资本公积金转增股本方案，需要对尚未解锁的限制性股 票的回购价格及数量进行相应调整，调整后的回购价格为</w:t>
      </w:r>
      <w:r>
        <w:rPr>
          <w:rFonts w:ascii="Times New Roman" w:eastAsia="Times New Roman" w:hAnsi="Times New Roman" w:cs="Times New Roman"/>
          <w:color w:val="000000"/>
          <w:spacing w:val="0"/>
          <w:w w:val="100"/>
          <w:position w:val="0"/>
          <w:sz w:val="18"/>
          <w:szCs w:val="18"/>
        </w:rPr>
        <w:t>1.6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股，调整后的回购数量为</w:t>
      </w:r>
      <w:r>
        <w:rPr>
          <w:rFonts w:ascii="Times New Roman" w:eastAsia="Times New Roman" w:hAnsi="Times New Roman" w:cs="Times New Roman"/>
          <w:color w:val="000000"/>
          <w:spacing w:val="0"/>
          <w:w w:val="100"/>
          <w:position w:val="0"/>
          <w:sz w:val="18"/>
          <w:szCs w:val="18"/>
        </w:rPr>
        <w:t>513,323</w:t>
      </w:r>
      <w:r>
        <w:rPr>
          <w:color w:val="000000"/>
          <w:spacing w:val="0"/>
          <w:w w:val="100"/>
          <w:position w:val="0"/>
        </w:rPr>
        <w:t>股，第五届董事会第五十 七次会议决议，公司决定对张楠等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人所持有的已获授但尚未解锁的限制性股票</w:t>
      </w:r>
      <w:r>
        <w:rPr>
          <w:rFonts w:ascii="Times New Roman" w:eastAsia="Times New Roman" w:hAnsi="Times New Roman" w:cs="Times New Roman"/>
          <w:color w:val="000000"/>
          <w:spacing w:val="0"/>
          <w:w w:val="100"/>
          <w:position w:val="0"/>
          <w:sz w:val="18"/>
          <w:szCs w:val="18"/>
        </w:rPr>
        <w:t>513,323</w:t>
      </w:r>
      <w:r>
        <w:rPr>
          <w:color w:val="000000"/>
          <w:spacing w:val="0"/>
          <w:w w:val="100"/>
          <w:position w:val="0"/>
        </w:rPr>
        <w:t>股按</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股的价格进行回购注销， 公司申请减少股本人民币</w:t>
      </w:r>
      <w:r>
        <w:rPr>
          <w:rFonts w:ascii="Times New Roman" w:eastAsia="Times New Roman" w:hAnsi="Times New Roman" w:cs="Times New Roman"/>
          <w:color w:val="000000"/>
          <w:spacing w:val="0"/>
          <w:w w:val="100"/>
          <w:position w:val="0"/>
          <w:sz w:val="18"/>
          <w:szCs w:val="18"/>
        </w:rPr>
        <w:t>513,323.00</w:t>
      </w:r>
      <w:r>
        <w:rPr>
          <w:color w:val="000000"/>
          <w:spacing w:val="0"/>
          <w:w w:val="100"/>
          <w:position w:val="0"/>
        </w:rPr>
        <w:t>元。由于公司前员工张楠、丁大强、王淼、崔坤、徐广鑫在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年度利润分配前已离职， 公司按照原缴款金额扣除未解禁限制性股票已经分配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年股利后余额以货币资金方式归还</w:t>
      </w:r>
      <w:r>
        <w:rPr>
          <w:rFonts w:ascii="Times New Roman" w:eastAsia="Times New Roman" w:hAnsi="Times New Roman" w:cs="Times New Roman"/>
          <w:color w:val="000000"/>
          <w:spacing w:val="0"/>
          <w:w w:val="100"/>
          <w:position w:val="0"/>
          <w:sz w:val="18"/>
          <w:szCs w:val="18"/>
        </w:rPr>
        <w:t>422,017.7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元；李林、刘 宏宇、腾黎明按扣除尚未解禁限制性股票已经分配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年股利后的余额，以货币资金方式归还</w:t>
      </w:r>
      <w:r>
        <w:rPr>
          <w:rFonts w:ascii="Times New Roman" w:eastAsia="Times New Roman" w:hAnsi="Times New Roman" w:cs="Times New Roman"/>
          <w:color w:val="000000"/>
          <w:spacing w:val="0"/>
          <w:w w:val="100"/>
          <w:position w:val="0"/>
          <w:sz w:val="18"/>
          <w:szCs w:val="18"/>
        </w:rPr>
        <w:t>252,176.86</w:t>
      </w:r>
      <w:r>
        <w:rPr>
          <w:color w:val="000000"/>
          <w:spacing w:val="0"/>
          <w:w w:val="100"/>
          <w:position w:val="0"/>
        </w:rPr>
        <w:t>元； 公司共计以货币资金方式归还</w:t>
      </w:r>
      <w:r>
        <w:rPr>
          <w:rFonts w:ascii="Times New Roman" w:eastAsia="Times New Roman" w:hAnsi="Times New Roman" w:cs="Times New Roman"/>
          <w:color w:val="000000"/>
          <w:spacing w:val="0"/>
          <w:w w:val="100"/>
          <w:position w:val="0"/>
          <w:sz w:val="18"/>
          <w:szCs w:val="18"/>
        </w:rPr>
        <w:t>674,194.56</w:t>
      </w:r>
      <w:r>
        <w:rPr>
          <w:color w:val="000000"/>
          <w:spacing w:val="0"/>
          <w:w w:val="100"/>
          <w:position w:val="0"/>
        </w:rPr>
        <w:t>元，同时减少股本人民币</w:t>
      </w:r>
      <w:r>
        <w:rPr>
          <w:rFonts w:ascii="Times New Roman" w:eastAsia="Times New Roman" w:hAnsi="Times New Roman" w:cs="Times New Roman"/>
          <w:color w:val="000000"/>
          <w:spacing w:val="0"/>
          <w:w w:val="100"/>
          <w:position w:val="0"/>
          <w:sz w:val="18"/>
          <w:szCs w:val="18"/>
        </w:rPr>
        <w:t>513,323.00</w:t>
      </w:r>
      <w:r>
        <w:rPr>
          <w:color w:val="000000"/>
          <w:spacing w:val="0"/>
          <w:w w:val="100"/>
          <w:position w:val="0"/>
        </w:rPr>
        <w:t>元，增加未分配利润人民币</w:t>
      </w:r>
      <w:r>
        <w:rPr>
          <w:rFonts w:ascii="Times New Roman" w:eastAsia="Times New Roman" w:hAnsi="Times New Roman" w:cs="Times New Roman"/>
          <w:color w:val="000000"/>
          <w:spacing w:val="0"/>
          <w:w w:val="100"/>
          <w:position w:val="0"/>
          <w:sz w:val="18"/>
          <w:szCs w:val="18"/>
        </w:rPr>
        <w:t>93,088.74</w:t>
      </w:r>
      <w:r>
        <w:rPr>
          <w:color w:val="000000"/>
          <w:spacing w:val="0"/>
          <w:w w:val="100"/>
          <w:position w:val="0"/>
        </w:rPr>
        <w:t>元，减少资 本公积人民币</w:t>
      </w:r>
      <w:r>
        <w:rPr>
          <w:rFonts w:ascii="Times New Roman" w:eastAsia="Times New Roman" w:hAnsi="Times New Roman" w:cs="Times New Roman"/>
          <w:color w:val="000000"/>
          <w:spacing w:val="0"/>
          <w:w w:val="100"/>
          <w:position w:val="0"/>
          <w:sz w:val="18"/>
          <w:szCs w:val="18"/>
        </w:rPr>
        <w:t>444,672.00</w:t>
      </w:r>
      <w:r>
        <w:rPr>
          <w:color w:val="000000"/>
          <w:spacing w:val="0"/>
          <w:w w:val="100"/>
          <w:position w:val="0"/>
        </w:rPr>
        <w:t>元，增加应交个人所得税</w:t>
      </w:r>
      <w:r>
        <w:rPr>
          <w:rFonts w:ascii="Times New Roman" w:eastAsia="Times New Roman" w:hAnsi="Times New Roman" w:cs="Times New Roman"/>
          <w:color w:val="000000"/>
          <w:spacing w:val="0"/>
          <w:w w:val="100"/>
          <w:position w:val="0"/>
          <w:sz w:val="18"/>
          <w:szCs w:val="18"/>
        </w:rPr>
        <w:t>190,711.7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tabs>
          <w:tab w:pos="841" w:val="left"/>
        </w:tabs>
        <w:bidi w:val="0"/>
        <w:spacing w:before="0" w:after="440" w:line="467" w:lineRule="exact"/>
        <w:ind w:left="0" w:right="0"/>
        <w:jc w:val="left"/>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日召开的第五届董事会第七十六次会议审议通过，鉴于公司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所规定 的股权激励计划第四期行权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解锁条件，对激励对象获授未行权的股票期权进行注销，获授未解禁的限制性股票进行回购注 销。公司减少注册资本（股本）人民币</w:t>
      </w:r>
      <w:r>
        <w:rPr>
          <w:rFonts w:ascii="Times New Roman" w:eastAsia="Times New Roman" w:hAnsi="Times New Roman" w:cs="Times New Roman"/>
          <w:color w:val="000000"/>
          <w:spacing w:val="0"/>
          <w:w w:val="100"/>
          <w:position w:val="0"/>
          <w:sz w:val="18"/>
          <w:szCs w:val="18"/>
        </w:rPr>
        <w:t>5,371,294.00</w:t>
      </w:r>
      <w:r>
        <w:rPr>
          <w:color w:val="000000"/>
          <w:spacing w:val="0"/>
          <w:w w:val="100"/>
          <w:position w:val="0"/>
        </w:rPr>
        <w:t>元，其中减少限售条件的流通股股东出资人民币</w:t>
      </w:r>
      <w:r>
        <w:rPr>
          <w:rFonts w:ascii="Times New Roman" w:eastAsia="Times New Roman" w:hAnsi="Times New Roman" w:cs="Times New Roman"/>
          <w:color w:val="000000"/>
          <w:spacing w:val="0"/>
          <w:w w:val="100"/>
          <w:position w:val="0"/>
          <w:sz w:val="18"/>
          <w:szCs w:val="18"/>
        </w:rPr>
        <w:t>5,371,294.00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83"/>
      <w:bookmarkEnd w:id="984"/>
      <w:bookmarkEnd w:id="986"/>
    </w:p>
    <w:p>
      <w:pPr>
        <w:pStyle w:val="Style47"/>
        <w:keepNext/>
        <w:keepLines/>
        <w:widowControl w:val="0"/>
        <w:shd w:val="clear" w:color="auto" w:fill="auto"/>
        <w:bidi w:val="0"/>
        <w:spacing w:before="0" w:after="440" w:line="240" w:lineRule="auto"/>
        <w:ind w:left="0" w:right="0" w:firstLine="0"/>
        <w:jc w:val="both"/>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7"/>
      <w:bookmarkEnd w:id="988"/>
      <w:bookmarkEnd w:id="990"/>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34"/>
        <w:gridCol w:w="477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执行《增值税会计处理规定》，财政部于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日发 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号），适用于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日起发生的相关交易。</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日起企业经营活动发生的房产税、土 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日之前发生的税费不予调整。 比较数据不予调整。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执行《增值税会计处理规定》，财政部于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日发 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sz w:val="17"/>
                <w:szCs w:val="17"/>
              </w:rPr>
              <w:t>号），适用于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日起发生的相关交易。</w:t>
            </w:r>
          </w:p>
        </w:tc>
      </w:tr>
    </w:tbl>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374" w:right="0" w:firstLine="0"/>
        <w:jc w:val="left"/>
      </w:pPr>
      <w:r>
        <w:rPr>
          <w:color w:val="000000"/>
          <w:spacing w:val="0"/>
          <w:w w:val="100"/>
          <w:position w:val="0"/>
        </w:rPr>
        <w:t>本公司执行该规定的主要影响如下:</w:t>
      </w:r>
    </w:p>
    <w:tbl>
      <w:tblPr>
        <w:tblOverlap w:val="never"/>
        <w:jc w:val="center"/>
        <w:tblLayout w:type="fixed"/>
      </w:tblPr>
      <w:tblGrid>
        <w:gridCol w:w="6288"/>
        <w:gridCol w:w="34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受影响的报表项目名称和金额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日起企业经营活动发生的房产税、土地使用税、车船使 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7,990,321.69</w:t>
            </w:r>
            <w:r>
              <w:rPr>
                <w:color w:val="000000"/>
                <w:spacing w:val="0"/>
                <w:w w:val="100"/>
                <w:position w:val="0"/>
                <w:sz w:val="17"/>
                <w:szCs w:val="17"/>
              </w:rPr>
              <w:t>元， 调减管理费用本年金额</w:t>
            </w:r>
            <w:r>
              <w:rPr>
                <w:rFonts w:ascii="Times New Roman" w:eastAsia="Times New Roman" w:hAnsi="Times New Roman" w:cs="Times New Roman"/>
                <w:color w:val="000000"/>
                <w:spacing w:val="0"/>
                <w:w w:val="100"/>
                <w:position w:val="0"/>
                <w:sz w:val="18"/>
                <w:szCs w:val="18"/>
              </w:rPr>
              <w:t>7,990,321.69</w:t>
            </w:r>
            <w:r>
              <w:rPr>
                <w:color w:val="000000"/>
                <w:spacing w:val="0"/>
                <w:w w:val="100"/>
                <w:position w:val="0"/>
                <w:sz w:val="17"/>
                <w:szCs w:val="17"/>
              </w:rPr>
              <w:t>元。</w:t>
            </w:r>
          </w:p>
        </w:tc>
      </w:tr>
    </w:tbl>
    <w:p>
      <w:pPr>
        <w:widowControl w:val="0"/>
        <w:spacing w:line="1" w:lineRule="exact"/>
      </w:pPr>
      <w:r>
        <w:br w:type="page"/>
      </w:r>
    </w:p>
    <w:tbl>
      <w:tblPr>
        <w:tblOverlap w:val="never"/>
        <w:jc w:val="center"/>
        <w:tblLayout w:type="fixed"/>
      </w:tblPr>
      <w:tblGrid>
        <w:gridCol w:w="6288"/>
        <w:gridCol w:w="3494"/>
      </w:tblGrid>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前发生的税费不予调整。比较数据不予调整。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46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91"/>
      <w:bookmarkEnd w:id="992"/>
      <w:bookmarkEnd w:id="994"/>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39"/>
        <w:keepNext/>
        <w:keepLines/>
        <w:widowControl w:val="0"/>
        <w:shd w:val="clear" w:color="auto" w:fill="auto"/>
        <w:bidi w:val="0"/>
        <w:spacing w:before="0" w:after="4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95"/>
      <w:bookmarkEnd w:id="996"/>
      <w:bookmarkEnd w:id="997"/>
    </w:p>
    <w:p>
      <w:pPr>
        <w:pStyle w:val="Style29"/>
        <w:keepNext w:val="0"/>
        <w:keepLines w:val="0"/>
        <w:widowControl w:val="0"/>
        <w:shd w:val="clear" w:color="auto" w:fill="auto"/>
        <w:bidi w:val="0"/>
        <w:spacing w:before="0" w:after="260" w:line="240" w:lineRule="auto"/>
        <w:ind w:left="0" w:right="0"/>
        <w:jc w:val="left"/>
      </w:pPr>
      <w:r>
        <w:rPr>
          <w:color w:val="000000"/>
          <w:spacing w:val="0"/>
          <w:w w:val="100"/>
          <w:position w:val="0"/>
        </w:rPr>
        <w:t>根据本公司与天津壳木原股东李毅、李章晶及天津骆壳所签订的《发行股份及支付现金购买资产协议》，上述原股东本</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次应补偿股份数为</w:t>
      </w:r>
      <w:r>
        <w:rPr>
          <w:rFonts w:ascii="Times New Roman" w:eastAsia="Times New Roman" w:hAnsi="Times New Roman" w:cs="Times New Roman"/>
          <w:color w:val="000000"/>
          <w:spacing w:val="0"/>
          <w:w w:val="100"/>
          <w:position w:val="0"/>
          <w:sz w:val="18"/>
          <w:szCs w:val="18"/>
        </w:rPr>
        <w:t>2,952.459</w:t>
      </w:r>
      <w:r>
        <w:rPr>
          <w:color w:val="000000"/>
          <w:spacing w:val="0"/>
          <w:w w:val="100"/>
          <w:position w:val="0"/>
        </w:rPr>
        <w:t>万股由公司以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元对价回购并注销。</w:t>
      </w:r>
    </w:p>
    <w:p>
      <w:pPr>
        <w:pStyle w:val="Style27"/>
        <w:keepNext/>
        <w:keepLines/>
        <w:widowControl w:val="0"/>
        <w:shd w:val="clear" w:color="auto" w:fill="auto"/>
        <w:bidi w:val="0"/>
        <w:spacing w:before="0" w:after="32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六</w:t>
      </w:r>
      <w:bookmarkEnd w:id="1000"/>
      <w:r>
        <w:rPr>
          <w:color w:val="000000"/>
          <w:spacing w:val="0"/>
          <w:w w:val="100"/>
          <w:position w:val="0"/>
        </w:rPr>
        <w:t>、税项</w:t>
      </w:r>
      <w:bookmarkEnd w:id="1001"/>
      <w:bookmarkEnd w:id="998"/>
      <w:bookmarkEnd w:id="999"/>
    </w:p>
    <w:p>
      <w:pPr>
        <w:pStyle w:val="Style39"/>
        <w:keepNext/>
        <w:keepLines/>
        <w:widowControl w:val="0"/>
        <w:shd w:val="clear" w:color="auto" w:fill="auto"/>
        <w:bidi w:val="0"/>
        <w:spacing w:before="0" w:after="32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color w:val="000000"/>
          <w:spacing w:val="0"/>
          <w:w w:val="100"/>
          <w:position w:val="0"/>
        </w:rPr>
        <w:t>、主要税种及税率</w:t>
      </w:r>
      <w:bookmarkEnd w:id="1002"/>
      <w:bookmarkEnd w:id="1003"/>
      <w:bookmarkEnd w:id="100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8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按应税营业收入计缴（自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日起，营改增交纳增值税）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（注）</w:t>
            </w:r>
          </w:p>
        </w:tc>
      </w:tr>
    </w:tbl>
    <w:p>
      <w:pPr>
        <w:widowControl w:val="0"/>
        <w:spacing w:after="15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）母公司北京神州泰岳软件股份有限公司法定所得税率为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9"/>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）以下公司存在不同企业所得税税率纳税主体的，披露情况说明如下: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神州泰岳（香港）有限公司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360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 soft (Singapore)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TRUST SOFTWARE AND SERVICE 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4786"/>
        <w:gridCol w:w="4795"/>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泰岳小漫（香港）有限公司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FISSION TECHNOLOGY CO.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software MEA FZ-LLC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86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(Thailand) Co.</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(Hong Kong)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(RUSSIA) CO.</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9"/>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所在地为美国特拉华州，公司所得税分为联邦所得税和特拉华州所得税。其中：对于联邦所得税，其应纳税所得额少于 五万美元的公司，按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的比例纳税，五万美元到七万五千美元之间的所得按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的比例纳税，七万五千美元到一千万美 元之间的所得按</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的比例纳税，一千万美元以上的所得按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的比例纳税；特拉华州所得税税率为</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w:t>
      </w:r>
    </w:p>
    <w:p>
      <w:pPr>
        <w:pStyle w:val="Style29"/>
        <w:keepNext w:val="0"/>
        <w:keepLines w:val="0"/>
        <w:widowControl w:val="0"/>
        <w:shd w:val="clear" w:color="auto" w:fill="auto"/>
        <w:bidi w:val="0"/>
        <w:spacing w:before="0" w:after="460" w:line="469" w:lineRule="exact"/>
        <w:ind w:left="0" w:right="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）除上述公司外，其余子公司法定所得税税率均为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9"/>
        <w:keepNext/>
        <w:keepLines/>
        <w:widowControl w:val="0"/>
        <w:shd w:val="clear" w:color="auto" w:fill="auto"/>
        <w:bidi w:val="0"/>
        <w:spacing w:before="0" w:after="22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color w:val="000000"/>
          <w:spacing w:val="0"/>
          <w:w w:val="100"/>
          <w:position w:val="0"/>
        </w:rPr>
        <w:t>、税收优惠</w:t>
      </w:r>
      <w:bookmarkEnd w:id="1007"/>
      <w:bookmarkEnd w:id="1008"/>
      <w:bookmarkEnd w:id="1010"/>
    </w:p>
    <w:p>
      <w:pPr>
        <w:pStyle w:val="Style29"/>
        <w:keepNext w:val="0"/>
        <w:keepLines w:val="0"/>
        <w:widowControl w:val="0"/>
        <w:shd w:val="clear" w:color="auto" w:fill="auto"/>
        <w:tabs>
          <w:tab w:pos="664" w:val="left"/>
        </w:tabs>
        <w:bidi w:val="0"/>
        <w:spacing w:before="0" w:after="0" w:line="469" w:lineRule="exact"/>
        <w:ind w:left="0" w:right="0"/>
        <w:jc w:val="left"/>
      </w:pPr>
      <w:bookmarkStart w:id="1011" w:name="bookmark1011"/>
      <w:r>
        <w:rPr>
          <w:rFonts w:ascii="Times New Roman" w:eastAsia="Times New Roman" w:hAnsi="Times New Roman" w:cs="Times New Roman"/>
          <w:b/>
          <w:bCs/>
          <w:color w:val="000000"/>
          <w:spacing w:val="0"/>
          <w:w w:val="100"/>
          <w:position w:val="0"/>
          <w:sz w:val="18"/>
          <w:szCs w:val="18"/>
        </w:rPr>
        <w:t>1</w:t>
      </w:r>
      <w:bookmarkEnd w:id="1011"/>
      <w:r>
        <w:rPr>
          <w:b/>
          <w:bCs/>
          <w:color w:val="000000"/>
          <w:spacing w:val="0"/>
          <w:w w:val="100"/>
          <w:position w:val="0"/>
        </w:rPr>
        <w:t>、</w:t>
        <w:tab/>
        <w:t>增值税</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201114</w:t>
      </w:r>
      <w:r>
        <w:rPr>
          <w:color w:val="000000"/>
          <w:spacing w:val="0"/>
          <w:w w:val="100"/>
          <w:position w:val="0"/>
        </w:rPr>
        <w:t>号《关于印发进一步鼓励软件产业和集成电路产业发展若干政策的通知》和 财政部、国家税务总局发布的财税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20111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号《关于软件产品增值税政策的通知》中的有关规定，本公司及子公司北京 新媒传信科技有限公司、北京神州泰岳系统集成有限公司、北京神州泰岳信息安全技术有限公司、北京神州祥升软件有限公 司、奇点新源国际技术开发（北京）有限公司、北京神州泰岳智能数据技术有限公司、天津泰岳小漫科技有限公司、中科鼎 富（北京）科技发展有限公司，本公司孙公司宁波金信通讯技术有限公司、宁波移畅通信设备有限公司、宁波高新区捷远科 技有限公司销售自行开发生产的软件产品时对增值税实际税负超过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根据财政部和国家税务总局财税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20131 </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号《财政部国家税务总局关于将铁路运输和邮政业纳入营业税改征增值税 试点的通知》本公司及子公司北京新媒传信科技有限公司、北京神州泰岳系统集成有限公司、重庆新媒农信科技有限公司、 北京神州泰岳信息安全技术有限公司、中科鼎富（北京）科技发展有限公司、北京神州祥升软件有限公司，本公司孙公司北 京壳木软件有限责任公司从事技术转让、技术开发业务和与之相关的技术咨询、技术服务业务取得的收入，符合条件的，免 征增值税。</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20151 </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号《关于影视等出口服务适用增值税率零税率政策的通知》的有关规定，本公司子公司天津泰岳 小漫科技有限公司，本公司孙公司北京壳木软件有限责任公司、霍尔果斯小小橙软件开发有限责任公司、北京安纳西科技有 限公司、霍尔果斯于艺网络科技有限公司、北京泰岳智桥信息技术有限公司、北京神州泰奇互动科技有限公司向境外单位提 供软件服务产生的收入免征增值税。</w:t>
      </w:r>
    </w:p>
    <w:p>
      <w:pPr>
        <w:pStyle w:val="Style29"/>
        <w:keepNext w:val="0"/>
        <w:keepLines w:val="0"/>
        <w:widowControl w:val="0"/>
        <w:shd w:val="clear" w:color="auto" w:fill="auto"/>
        <w:tabs>
          <w:tab w:pos="678" w:val="left"/>
        </w:tabs>
        <w:bidi w:val="0"/>
        <w:spacing w:before="0" w:after="0" w:line="469" w:lineRule="exact"/>
        <w:ind w:left="0" w:right="0"/>
        <w:jc w:val="left"/>
      </w:pPr>
      <w:bookmarkStart w:id="1012" w:name="bookmark1012"/>
      <w:r>
        <w:rPr>
          <w:rFonts w:ascii="Times New Roman" w:eastAsia="Times New Roman" w:hAnsi="Times New Roman" w:cs="Times New Roman"/>
          <w:b/>
          <w:bCs/>
          <w:color w:val="000000"/>
          <w:spacing w:val="0"/>
          <w:w w:val="100"/>
          <w:position w:val="0"/>
          <w:sz w:val="18"/>
          <w:szCs w:val="18"/>
        </w:rPr>
        <w:t>2</w:t>
      </w:r>
      <w:bookmarkEnd w:id="1012"/>
      <w:r>
        <w:rPr>
          <w:b/>
          <w:bCs/>
          <w:color w:val="000000"/>
          <w:spacing w:val="0"/>
          <w:w w:val="100"/>
          <w:position w:val="0"/>
        </w:rPr>
        <w:t>、</w:t>
        <w:tab/>
        <w:t>企业所得税</w:t>
      </w:r>
    </w:p>
    <w:p>
      <w:pPr>
        <w:pStyle w:val="Style29"/>
        <w:keepNext w:val="0"/>
        <w:keepLines w:val="0"/>
        <w:widowControl w:val="0"/>
        <w:shd w:val="clear" w:color="auto" w:fill="auto"/>
        <w:bidi w:val="0"/>
        <w:spacing w:before="0" w:after="0" w:line="499" w:lineRule="exact"/>
        <w:ind w:left="0" w:right="0"/>
        <w:jc w:val="left"/>
      </w:pPr>
      <w:r>
        <w:rPr>
          <w:color w:val="000000"/>
          <w:spacing w:val="0"/>
          <w:w w:val="100"/>
          <w:position w:val="0"/>
        </w:rPr>
        <w:t xml:space="preserve">本公司与本公司子公司北京新媒传信科技有限公司、重庆新媒农信科技有限公司、北京神州泰岳智能数据技术有限公司、 宁波普天通信技术有限公司、北京广通神州网络技术有限公司，本公司孙公司宁波金信通讯技术有限公司、宁波高新区捷远 </w:t>
      </w:r>
      <w:r>
        <w:rPr>
          <w:color w:val="000000"/>
          <w:spacing w:val="0"/>
          <w:w w:val="100"/>
          <w:position w:val="0"/>
        </w:rPr>
        <w:t>科技有限公司、北京华泰德丰科技有限公司，根据《企业所得税法》、《高新技术企业认定管理办法》等规定，本年减按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中科鼎富（北京）科技发展有限公司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年被批准认定为软件企业，自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年起享受所得税两免三减半优惠政策，本年 为所得税两免三减半的第三年，即减按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宁波移畅通信设备有限公司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年被认定为新办软件生产企业和集成电路设计企业，自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年起享受所得税两免三减半 优惠政策，本年为所得税两免三减半的第五年，即减按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北京壳木软件有限责任公司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年被认定为我国境内新办的符合条件的软件企业，自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年起享受所得税两免三减半优 惠政策，本年为所得税两免三减半的第五年，即减按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北京神州泰岳信息安全技术有限公司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年被批准认定为软件企业，自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年起享受所得税两免三减半优惠政策，本年 为所得税两免三减半的第二年，即免征企业所得税。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霍尔果斯小小橙软件开发有限责任公司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年备案登记为特殊经济开发区新办企业,享受自取得第一笔生产经营收入所 属纳税年度起，五年内免征企业所得税，本年为所得税免征的第二年。</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霍尔果斯于艺网络科技有限公司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年备案登记为特殊经济开发区新办企业,享受自取得第一笔生产经营收入所属纳税 年度起，五年内免征企业所得税，本年为所得税免征的第一年。</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北京安纳西科技有限公司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年被批准认定为软件企业，自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年起享受所得税两免三减半优惠政策，本年为所得税两 免三减半的第三年，即减按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北京神州祥升软件有限公司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年被批准认定为软件企业，自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年起享受所得税两免三减半优惠政策，本年为所得税 两免三减半的第三年，即减按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的税率征收企业所得税。</w:t>
      </w:r>
    </w:p>
    <w:p>
      <w:pPr>
        <w:pStyle w:val="Style29"/>
        <w:keepNext w:val="0"/>
        <w:keepLines w:val="0"/>
        <w:widowControl w:val="0"/>
        <w:shd w:val="clear" w:color="auto" w:fill="auto"/>
        <w:bidi w:val="0"/>
        <w:spacing w:before="0" w:after="480" w:line="470" w:lineRule="exact"/>
        <w:ind w:left="0" w:right="0"/>
        <w:jc w:val="both"/>
      </w:pPr>
      <w:r>
        <w:rPr>
          <w:color w:val="000000"/>
          <w:spacing w:val="0"/>
          <w:w w:val="100"/>
          <w:position w:val="0"/>
        </w:rPr>
        <w:t>宁波神州泰岳锐智信息科技有限公司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年被批准认定为小微企业，即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39"/>
        <w:keepNext/>
        <w:keepLines/>
        <w:widowControl w:val="0"/>
        <w:shd w:val="clear" w:color="auto" w:fill="auto"/>
        <w:bidi w:val="0"/>
        <w:spacing w:before="0" w:after="4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、其他</w:t>
      </w:r>
      <w:bookmarkEnd w:id="1013"/>
      <w:bookmarkEnd w:id="1014"/>
      <w:bookmarkEnd w:id="1016"/>
    </w:p>
    <w:p>
      <w:pPr>
        <w:pStyle w:val="Style29"/>
        <w:keepNext w:val="0"/>
        <w:keepLines w:val="0"/>
        <w:widowControl w:val="0"/>
        <w:shd w:val="clear" w:color="auto" w:fill="auto"/>
        <w:bidi w:val="0"/>
        <w:spacing w:before="0" w:after="480" w:line="470" w:lineRule="exact"/>
        <w:ind w:left="0" w:right="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七</w:t>
      </w:r>
      <w:bookmarkEnd w:id="1019"/>
      <w:r>
        <w:rPr>
          <w:color w:val="000000"/>
          <w:spacing w:val="0"/>
          <w:w w:val="100"/>
          <w:position w:val="0"/>
        </w:rPr>
        <w:t>、合并财务报表项目注释</w:t>
      </w:r>
      <w:bookmarkEnd w:id="1017"/>
      <w:bookmarkEnd w:id="1018"/>
      <w:bookmarkEnd w:id="1020"/>
    </w:p>
    <w:p>
      <w:pPr>
        <w:pStyle w:val="Style39"/>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1"/>
      <w:bookmarkEnd w:id="1022"/>
      <w:bookmarkEnd w:id="10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208,529.79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835,613,748.62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675,880,413.07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19,552,814.69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32,776,300.91</w:t>
            </w:r>
          </w:p>
        </w:tc>
      </w:tr>
    </w:tbl>
    <w:p>
      <w:pPr>
        <w:widowControl w:val="0"/>
        <w:spacing w:line="1" w:lineRule="exact"/>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855,390,068.14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708,865,243.77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291,498,328.84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129,324,256.09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其中因抵押、质押或冻结等对使用有限制的货币资金明细如下:</w:t>
      </w:r>
    </w:p>
    <w:p>
      <w:pPr>
        <w:widowControl w:val="0"/>
        <w:spacing w:after="99" w:line="1" w:lineRule="exact"/>
      </w:pPr>
    </w:p>
    <w:p>
      <w:pPr>
        <w:widowControl w:val="0"/>
        <w:spacing w:line="1" w:lineRule="exact"/>
      </w:pPr>
    </w:p>
    <w:tbl>
      <w:tblPr>
        <w:tblOverlap w:val="never"/>
        <w:jc w:val="center"/>
        <w:tblLayout w:type="fixed"/>
      </w:tblPr>
      <w:tblGrid>
        <w:gridCol w:w="4142"/>
        <w:gridCol w:w="2755"/>
        <w:gridCol w:w="277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12,381,047.67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境外信用卡保证金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11,932,614.22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14,612,324.92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12,279,464.22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26,993,372.59</w:t>
            </w:r>
          </w:p>
        </w:tc>
      </w:tr>
    </w:tbl>
    <w:p>
      <w:pPr>
        <w:pStyle w:val="Style29"/>
        <w:keepNext w:val="0"/>
        <w:keepLines w:val="0"/>
        <w:widowControl w:val="0"/>
        <w:shd w:val="clear" w:color="auto" w:fill="auto"/>
        <w:bidi w:val="0"/>
        <w:spacing w:before="0" w:after="460" w:line="480"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18"/>
          <w:szCs w:val="18"/>
        </w:rPr>
        <w:t>11,932,614.22</w:t>
      </w:r>
      <w:r>
        <w:rPr>
          <w:color w:val="000000"/>
          <w:spacing w:val="0"/>
          <w:w w:val="100"/>
          <w:position w:val="0"/>
        </w:rPr>
        <w:t>元为本公司向银行申请开具无条件、不可撤销的担保函所存 入的保证金存款。</w:t>
      </w:r>
    </w:p>
    <w:p>
      <w:pPr>
        <w:pStyle w:val="Style39"/>
        <w:keepNext/>
        <w:keepLines/>
        <w:widowControl w:val="0"/>
        <w:shd w:val="clear" w:color="auto" w:fill="auto"/>
        <w:bidi w:val="0"/>
        <w:spacing w:before="0" w:after="4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color w:val="000000"/>
          <w:spacing w:val="0"/>
          <w:w w:val="100"/>
          <w:position w:val="0"/>
        </w:rPr>
        <w:t>、以公允价值计量且其变动计入当期损益的金融资产</w:t>
      </w:r>
      <w:bookmarkEnd w:id="1024"/>
      <w:bookmarkEnd w:id="1025"/>
      <w:bookmarkEnd w:id="102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color w:val="000000"/>
          <w:spacing w:val="0"/>
          <w:w w:val="100"/>
          <w:position w:val="0"/>
        </w:rPr>
        <w:t>、</w:t>
        <w:tab/>
        <w:t>衍生金融资产</w:t>
      </w:r>
      <w:bookmarkEnd w:id="1028"/>
      <w:bookmarkEnd w:id="1029"/>
      <w:bookmarkEnd w:id="1031"/>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sz w:val="19"/>
          <w:szCs w:val="19"/>
        </w:rPr>
        <w:t>寸</w:t>
      </w:r>
      <w:r>
        <w:rPr>
          <w:b/>
          <w:bCs/>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color w:val="000000"/>
          <w:spacing w:val="0"/>
          <w:w w:val="100"/>
          <w:position w:val="0"/>
        </w:rPr>
        <w:t>、</w:t>
        <w:tab/>
        <w:t>应收票据</w:t>
      </w:r>
      <w:bookmarkEnd w:id="1032"/>
      <w:bookmarkEnd w:id="1033"/>
      <w:bookmarkEnd w:id="1035"/>
    </w:p>
    <w:p>
      <w:pPr>
        <w:pStyle w:val="Style47"/>
        <w:keepNext/>
        <w:keepLines/>
        <w:widowControl w:val="0"/>
        <w:numPr>
          <w:ilvl w:val="0"/>
          <w:numId w:val="35"/>
        </w:numPr>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应收票据分类列示</w:t>
      </w:r>
      <w:bookmarkEnd w:id="1036"/>
      <w:bookmarkEnd w:id="1037"/>
      <w:bookmarkEnd w:id="10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278,478,661.00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222,743,113.00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269,941,528.00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201,468,080.66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548,420,189.00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424,211,193.66</w:t>
            </w:r>
          </w:p>
        </w:tc>
      </w:tr>
    </w:tbl>
    <w:p>
      <w:pPr>
        <w:widowControl w:val="0"/>
        <w:spacing w:after="319" w:line="1" w:lineRule="exact"/>
      </w:pPr>
    </w:p>
    <w:p>
      <w:pPr>
        <w:pStyle w:val="Style47"/>
        <w:keepNext/>
        <w:keepLines/>
        <w:widowControl w:val="0"/>
        <w:numPr>
          <w:ilvl w:val="0"/>
          <w:numId w:val="35"/>
        </w:numPr>
        <w:shd w:val="clear" w:color="auto" w:fill="auto"/>
        <w:bidi w:val="0"/>
        <w:spacing w:before="0" w:line="240" w:lineRule="auto"/>
        <w:ind w:left="0" w:right="0" w:firstLine="14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期末公司已背书或贴现且在资产负债表日尚未到期的应收票据</w:t>
      </w:r>
      <w:bookmarkEnd w:id="1040"/>
      <w:bookmarkEnd w:id="1041"/>
      <w:bookmarkEnd w:id="10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15,931,911.00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63,759,490.00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79,691,401.00</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444" w:right="693" w:bottom="1230" w:left="705" w:header="0" w:footer="3" w:gutter="0"/>
          <w:cols w:space="720"/>
          <w:noEndnote/>
          <w:titlePg/>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29"/>
        <w:keepNext w:val="0"/>
        <w:keepLines w:val="0"/>
        <w:widowControl w:val="0"/>
        <w:pBdr>
          <w:bottom w:val="single" w:sz="4" w:space="0" w:color="auto"/>
        </w:pBdr>
        <w:shd w:val="clear" w:color="auto" w:fill="auto"/>
        <w:tabs>
          <w:tab w:pos="4070" w:val="left"/>
        </w:tabs>
        <w:bidi w:val="0"/>
        <w:spacing w:before="0" w:after="80" w:line="240" w:lineRule="auto"/>
        <w:ind w:left="0" w:right="0" w:firstLine="0"/>
        <w:jc w:val="center"/>
      </w:pPr>
      <w:r>
        <w:rPr>
          <w:color w:val="1D83C3"/>
          <w:spacing w:val="0"/>
          <w:w w:val="100"/>
          <w:position w:val="0"/>
        </w:rPr>
        <w:t>卅朴奏土</w:t>
        <w:tab/>
      </w:r>
      <w:r>
        <w:rPr>
          <w:color w:val="000000"/>
          <w:spacing w:val="0"/>
          <w:w w:val="100"/>
          <w:position w:val="0"/>
          <w:u w:val="single"/>
        </w:rPr>
        <w:t>北京神州泰岳软件股份有限公司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p>
      <w:pPr>
        <w:pStyle w:val="Style47"/>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）期末公司因出票人未履约而将其转应收账款的票据</w:t>
      </w:r>
      <w:bookmarkEnd w:id="1044"/>
      <w:bookmarkEnd w:id="1045"/>
      <w:bookmarkEnd w:id="10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22,592,854.00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22,592,854.00</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5</w:t>
      </w:r>
      <w:bookmarkEnd w:id="1050"/>
      <w:r>
        <w:rPr>
          <w:color w:val="000000"/>
          <w:spacing w:val="0"/>
          <w:w w:val="100"/>
          <w:position w:val="0"/>
        </w:rPr>
        <w:t>、应收账款</w:t>
      </w:r>
      <w:bookmarkEnd w:id="1048"/>
      <w:bookmarkEnd w:id="1049"/>
      <w:bookmarkEnd w:id="1051"/>
    </w:p>
    <w:p>
      <w:pPr>
        <w:pStyle w:val="Style47"/>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2"/>
      <w:bookmarkEnd w:id="1053"/>
      <w:bookmarkEnd w:id="1055"/>
    </w:p>
    <w:p>
      <w:pPr>
        <w:pStyle w:val="Style3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891,983,36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8,062,716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164,457,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891,983,36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899,445,015.96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44,972,250.81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193,294,994.34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19,329,499.44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89,607,048.25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26,883,132.16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29,503,460.36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14,751,730.18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13,155,370.42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10,524,296.33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798" w:right="1095" w:bottom="1158" w:left="1100" w:header="370" w:footer="3" w:gutter="0"/>
          <w:cols w:space="720"/>
          <w:noEndnote/>
          <w:rtlGutter w:val="0"/>
          <w:docGrid w:linePitch="360"/>
        </w:sectPr>
      </w:pPr>
    </w:p>
    <w:tbl>
      <w:tblPr>
        <w:tblOverlap w:val="never"/>
        <w:jc w:val="center"/>
        <w:tblLayout w:type="fixed"/>
      </w:tblPr>
      <w:tblGrid>
        <w:gridCol w:w="2395"/>
        <w:gridCol w:w="2395"/>
        <w:gridCol w:w="2390"/>
        <w:gridCol w:w="2400"/>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15,623,195.97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15,623,195.97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1,240,629,085.30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132,084,104.89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47"/>
        <w:keepNext/>
        <w:keepLines/>
        <w:widowControl w:val="0"/>
        <w:numPr>
          <w:ilvl w:val="0"/>
          <w:numId w:val="37"/>
        </w:numPr>
        <w:shd w:val="clear" w:color="auto" w:fill="auto"/>
        <w:tabs>
          <w:tab w:pos="493" w:val="left"/>
        </w:tabs>
        <w:bidi w:val="0"/>
        <w:spacing w:before="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本期计提、收回或转回的坏账准备情况</w:t>
      </w:r>
      <w:bookmarkEnd w:id="1056"/>
      <w:bookmarkEnd w:id="1057"/>
      <w:bookmarkEnd w:id="105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61,565,419.12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7"/>
        <w:keepNext/>
        <w:keepLines/>
        <w:widowControl w:val="0"/>
        <w:numPr>
          <w:ilvl w:val="0"/>
          <w:numId w:val="37"/>
        </w:numPr>
        <w:shd w:val="clear" w:color="auto" w:fill="auto"/>
        <w:tabs>
          <w:tab w:pos="493" w:val="left"/>
        </w:tabs>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本期实际核销的应收账款情况</w:t>
      </w:r>
      <w:bookmarkEnd w:id="1060"/>
      <w:bookmarkEnd w:id="1061"/>
      <w:bookmarkEnd w:id="10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9,557.73</w:t>
            </w:r>
          </w:p>
        </w:tc>
      </w:tr>
    </w:tbl>
    <w:p>
      <w:pPr>
        <w:widowControl w:val="0"/>
        <w:spacing w:after="299" w:line="1" w:lineRule="exact"/>
      </w:pPr>
    </w:p>
    <w:p>
      <w:pPr>
        <w:pStyle w:val="Style47"/>
        <w:keepNext/>
        <w:keepLines/>
        <w:widowControl w:val="0"/>
        <w:numPr>
          <w:ilvl w:val="0"/>
          <w:numId w:val="37"/>
        </w:numPr>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按欠款方归集的期末余额前五名的应收账款情况</w:t>
      </w:r>
      <w:bookmarkEnd w:id="1064"/>
      <w:bookmarkEnd w:id="1065"/>
      <w:bookmarkEnd w:id="1067"/>
    </w:p>
    <w:p>
      <w:pPr>
        <w:pStyle w:val="Style29"/>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60" w:line="240" w:lineRule="auto"/>
        <w:ind w:left="0" w:right="0" w:firstLine="360"/>
        <w:jc w:val="left"/>
      </w:pPr>
      <w:r>
        <w:rPr>
          <w:b/>
          <w:bCs/>
          <w:color w:val="000000"/>
          <w:spacing w:val="0"/>
          <w:w w:val="100"/>
          <w:position w:val="0"/>
        </w:rPr>
        <w:t>是</w:t>
      </w:r>
    </w:p>
    <w:p>
      <w:pPr>
        <w:pStyle w:val="Style29"/>
        <w:keepNext w:val="0"/>
        <w:keepLines w:val="0"/>
        <w:widowControl w:val="0"/>
        <w:shd w:val="clear" w:color="auto" w:fill="auto"/>
        <w:bidi w:val="0"/>
        <w:spacing w:before="0" w:after="80" w:line="240" w:lineRule="auto"/>
        <w:ind w:left="0" w:right="0" w:firstLine="360"/>
        <w:jc w:val="both"/>
      </w:pPr>
      <w:r>
        <w:rPr>
          <w:b/>
          <w:bCs/>
          <w:color w:val="000000"/>
          <w:spacing w:val="0"/>
          <w:w w:val="100"/>
          <w:position w:val="0"/>
        </w:rPr>
        <w:t>互联网游戏业</w:t>
      </w:r>
    </w:p>
    <w:tbl>
      <w:tblPr>
        <w:tblOverlap w:val="never"/>
        <w:jc w:val="center"/>
        <w:tblLayout w:type="fixed"/>
      </w:tblPr>
      <w:tblGrid>
        <w:gridCol w:w="2328"/>
        <w:gridCol w:w="2376"/>
        <w:gridCol w:w="2390"/>
        <w:gridCol w:w="2578"/>
      </w:tblGrid>
      <w:tr>
        <w:trPr>
          <w:trHeight w:val="336"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5"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99,371,871.73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4,968,593.59</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94,327,987.08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16,786,674.50</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61,870,612.84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8,547,739.27</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42,409,700.22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14,152,520.74</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40,216,582.80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3,854,471.63</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338,196,754.67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48,309,999.73</w:t>
            </w:r>
          </w:p>
        </w:tc>
      </w:tr>
    </w:tbl>
    <w:p>
      <w:pPr>
        <w:widowControl w:val="0"/>
        <w:spacing w:after="299" w:line="1" w:lineRule="exact"/>
      </w:pPr>
    </w:p>
    <w:p>
      <w:pPr>
        <w:pStyle w:val="Style47"/>
        <w:keepNext/>
        <w:keepLines/>
        <w:widowControl w:val="0"/>
        <w:numPr>
          <w:ilvl w:val="0"/>
          <w:numId w:val="37"/>
        </w:numPr>
        <w:shd w:val="clear" w:color="auto" w:fill="auto"/>
        <w:tabs>
          <w:tab w:pos="493" w:val="left"/>
        </w:tabs>
        <w:bidi w:val="0"/>
        <w:spacing w:before="0" w:after="46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因金融资产转移而终止确认的应收账款</w:t>
      </w:r>
      <w:bookmarkEnd w:id="1068"/>
      <w:bookmarkEnd w:id="1069"/>
      <w:bookmarkEnd w:id="1071"/>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7"/>
        <w:keepNext/>
        <w:keepLines/>
        <w:widowControl w:val="0"/>
        <w:numPr>
          <w:ilvl w:val="0"/>
          <w:numId w:val="37"/>
        </w:numPr>
        <w:shd w:val="clear" w:color="auto" w:fill="auto"/>
        <w:tabs>
          <w:tab w:pos="493" w:val="left"/>
        </w:tabs>
        <w:bidi w:val="0"/>
        <w:spacing w:before="0" w:after="46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转移应收账款且继续涉入形成的资产、负债金额</w:t>
      </w:r>
      <w:bookmarkEnd w:id="1072"/>
      <w:bookmarkEnd w:id="1073"/>
      <w:bookmarkEnd w:id="1075"/>
    </w:p>
    <w:p>
      <w:pPr>
        <w:pStyle w:val="Style29"/>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无。</w:t>
      </w:r>
      <w:r>
        <w:br w:type="page"/>
      </w:r>
    </w:p>
    <w:p>
      <w:pPr>
        <w:pStyle w:val="Style39"/>
        <w:keepNext/>
        <w:keepLines/>
        <w:widowControl w:val="0"/>
        <w:shd w:val="clear" w:color="auto" w:fill="auto"/>
        <w:bidi w:val="0"/>
        <w:spacing w:before="0" w:after="34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6</w:t>
      </w:r>
      <w:bookmarkEnd w:id="1078"/>
      <w:r>
        <w:rPr>
          <w:color w:val="000000"/>
          <w:spacing w:val="0"/>
          <w:w w:val="100"/>
          <w:position w:val="0"/>
        </w:rPr>
        <w:t>、预付款项</w:t>
      </w:r>
      <w:bookmarkEnd w:id="1076"/>
      <w:bookmarkEnd w:id="1077"/>
      <w:bookmarkEnd w:id="1079"/>
    </w:p>
    <w:p>
      <w:pPr>
        <w:pStyle w:val="Style47"/>
        <w:keepNext/>
        <w:keepLines/>
        <w:widowControl w:val="0"/>
        <w:shd w:val="clear" w:color="auto" w:fill="auto"/>
        <w:bidi w:val="0"/>
        <w:spacing w:before="0" w:after="34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0"/>
      <w:bookmarkEnd w:id="1081"/>
      <w:bookmarkEnd w:id="10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15,326,631.85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95,157,452.66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520,954.06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17,827,959.21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95,678,406.72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14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4"/>
      <w:bookmarkEnd w:id="1085"/>
      <w:bookmarkEnd w:id="1087"/>
    </w:p>
    <w:tbl>
      <w:tblPr>
        <w:tblOverlap w:val="never"/>
        <w:jc w:val="center"/>
        <w:tblLayout w:type="fixed"/>
      </w:tblPr>
      <w:tblGrid>
        <w:gridCol w:w="3274"/>
        <w:gridCol w:w="3197"/>
        <w:gridCol w:w="3202"/>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占预付款期末余额合计数的比例（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5,242,400.70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29.41</w:t>
            </w:r>
          </w:p>
        </w:tc>
      </w:tr>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1,453,601.71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615,384.62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474,800.00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466,177.78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8,252,364.81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46.28</w:t>
            </w:r>
          </w:p>
        </w:tc>
      </w:tr>
    </w:tbl>
    <w:p>
      <w:pPr>
        <w:widowControl w:val="0"/>
        <w:spacing w:after="339" w:line="1" w:lineRule="exact"/>
      </w:pPr>
    </w:p>
    <w:p>
      <w:pPr>
        <w:pStyle w:val="Style39"/>
        <w:keepNext/>
        <w:keepLines/>
        <w:widowControl w:val="0"/>
        <w:shd w:val="clear" w:color="auto" w:fill="auto"/>
        <w:tabs>
          <w:tab w:pos="373" w:val="left"/>
        </w:tabs>
        <w:bidi w:val="0"/>
        <w:spacing w:before="0" w:after="4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7</w:t>
      </w:r>
      <w:bookmarkEnd w:id="1090"/>
      <w:r>
        <w:rPr>
          <w:color w:val="000000"/>
          <w:spacing w:val="0"/>
          <w:w w:val="100"/>
          <w:position w:val="0"/>
        </w:rPr>
        <w:t>、</w:t>
        <w:tab/>
        <w:t>应收利息</w:t>
      </w:r>
      <w:bookmarkEnd w:id="1088"/>
      <w:bookmarkEnd w:id="1089"/>
      <w:bookmarkEnd w:id="1091"/>
    </w:p>
    <w:p>
      <w:pPr>
        <w:pStyle w:val="Style29"/>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8</w:t>
      </w:r>
      <w:bookmarkEnd w:id="1094"/>
      <w:r>
        <w:rPr>
          <w:color w:val="000000"/>
          <w:spacing w:val="0"/>
          <w:w w:val="100"/>
          <w:position w:val="0"/>
        </w:rPr>
        <w:t>、</w:t>
        <w:tab/>
        <w:t>应收股利</w:t>
      </w:r>
      <w:bookmarkEnd w:id="1092"/>
      <w:bookmarkEnd w:id="1093"/>
      <w:bookmarkEnd w:id="1095"/>
    </w:p>
    <w:p>
      <w:pPr>
        <w:pStyle w:val="Style47"/>
        <w:keepNext/>
        <w:keepLines/>
        <w:widowControl w:val="0"/>
        <w:shd w:val="clear" w:color="auto" w:fill="auto"/>
        <w:bidi w:val="0"/>
        <w:spacing w:before="0" w:after="340" w:line="240" w:lineRule="auto"/>
        <w:ind w:left="0" w:right="0" w:firstLine="14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96"/>
      <w:bookmarkEnd w:id="1097"/>
      <w:bookmarkEnd w:id="10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北京中清龙图网络技术有限公司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14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0"/>
      <w:bookmarkEnd w:id="1101"/>
      <w:bookmarkEnd w:id="11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277"/>
        <w:gridCol w:w="1987"/>
        <w:gridCol w:w="2491"/>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是否发生减值及其判断依据</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50" w:right="1107" w:bottom="1417" w:left="1107"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960"/>
        <w:jc w:val="left"/>
        <w:rPr>
          <w:sz w:val="34"/>
          <w:szCs w:val="34"/>
        </w:rPr>
      </w:pPr>
      <w:r>
        <w:rPr>
          <w:rFonts w:ascii="Arial" w:eastAsia="Arial" w:hAnsi="Arial" w:cs="Arial"/>
          <w:color w:val="1D83C3"/>
          <w:spacing w:val="0"/>
          <w:w w:val="100"/>
          <w:position w:val="0"/>
          <w:sz w:val="34"/>
          <w:szCs w:val="34"/>
        </w:rPr>
        <w:t>ouuer</w:t>
      </w:r>
    </w:p>
    <w:tbl>
      <w:tblPr>
        <w:tblOverlap w:val="never"/>
        <w:jc w:val="center"/>
        <w:tblLayout w:type="fixed"/>
      </w:tblPr>
      <w:tblGrid>
        <w:gridCol w:w="1949"/>
        <w:gridCol w:w="1910"/>
        <w:gridCol w:w="1277"/>
        <w:gridCol w:w="1997"/>
        <w:gridCol w:w="2573"/>
      </w:tblGrid>
      <w:tr>
        <w:trPr>
          <w:trHeight w:val="298" w:hRule="exact"/>
        </w:trPr>
        <w:tc>
          <w:tcPr>
            <w:gridSpan w:val="3"/>
            <w:tcBorders/>
            <w:shd w:val="clear" w:color="auto" w:fill="FFFFFF"/>
            <w:vAlign w:val="top"/>
          </w:tcPr>
          <w:p>
            <w:pPr>
              <w:pStyle w:val="Style2"/>
              <w:keepNext w:val="0"/>
              <w:keepLines w:val="0"/>
              <w:widowControl w:val="0"/>
              <w:shd w:val="clear" w:color="auto" w:fill="auto"/>
              <w:tabs>
                <w:tab w:pos="5002" w:val="left"/>
              </w:tabs>
              <w:bidi w:val="0"/>
              <w:spacing w:before="0" w:after="0" w:line="240" w:lineRule="auto"/>
              <w:ind w:left="0" w:right="0" w:firstLine="0"/>
              <w:jc w:val="left"/>
              <w:rPr>
                <w:sz w:val="17"/>
                <w:szCs w:val="17"/>
              </w:rPr>
            </w:pPr>
            <w:r>
              <w:rPr>
                <w:rFonts w:ascii="SimHei" w:eastAsia="SimHei" w:hAnsi="SimHei" w:cs="SimHei"/>
                <w:i/>
                <w:iCs/>
                <w:color w:val="6FB04E"/>
                <w:spacing w:val="0"/>
                <w:w w:val="100"/>
                <w:position w:val="0"/>
                <w:sz w:val="20"/>
                <w:szCs w:val="20"/>
              </w:rPr>
              <w:t>、</w:t>
            </w: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tab/>
            </w:r>
            <w:r>
              <w:rPr>
                <w:color w:val="000000"/>
                <w:spacing w:val="0"/>
                <w:w w:val="100"/>
                <w:position w:val="0"/>
                <w:sz w:val="17"/>
                <w:szCs w:val="17"/>
              </w:rPr>
              <w:t>:</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匕京神州泰岳软件股份有限公司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年年度报告全文</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北京中清龙图网络技术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不减值</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9</w:t>
      </w:r>
      <w:bookmarkEnd w:id="1106"/>
      <w:r>
        <w:rPr>
          <w:color w:val="000000"/>
          <w:spacing w:val="0"/>
          <w:w w:val="100"/>
          <w:position w:val="0"/>
        </w:rPr>
        <w:t>、其他应收款</w:t>
      </w:r>
      <w:bookmarkEnd w:id="1104"/>
      <w:bookmarkEnd w:id="1105"/>
      <w:bookmarkEnd w:id="1107"/>
    </w:p>
    <w:p>
      <w:pPr>
        <w:pStyle w:val="Style47"/>
        <w:keepNext/>
        <w:keepLines/>
        <w:widowControl w:val="0"/>
        <w:numPr>
          <w:ilvl w:val="0"/>
          <w:numId w:val="39"/>
        </w:numPr>
        <w:shd w:val="clear" w:color="auto" w:fill="auto"/>
        <w:bidi w:val="0"/>
        <w:spacing w:before="0" w:after="360" w:line="240" w:lineRule="auto"/>
        <w:ind w:left="0" w:right="0" w:firstLine="14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其他应收款分类披露</w:t>
      </w:r>
      <w:bookmarkEnd w:id="1108"/>
      <w:bookmarkEnd w:id="1109"/>
      <w:bookmarkEnd w:id="111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51,499,5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5,493,18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51,499,5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5,493,18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25,397,240.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sz w:val="19"/>
          <w:szCs w:val="19"/>
        </w:rPr>
        <w:t>寸</w:t>
      </w:r>
      <w:r>
        <w:rPr>
          <w:b/>
          <w:bCs/>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34,574,452.05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1,728,722.55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11,968,377.22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1,196,837.76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2,675,272.00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802,581.61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950,308.80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475,154.40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206,394.55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165,115.64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1,124,771.40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1,124,771.40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51,499,576.02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5,493,183.36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798" w:right="1100" w:bottom="1158" w:left="1095" w:header="370" w:footer="3" w:gutter="0"/>
          <w:cols w:space="720"/>
          <w:noEndnote/>
          <w:rtlGutter w:val="0"/>
          <w:docGrid w:linePitch="360"/>
        </w:sectPr>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12"/>
      <w:bookmarkEnd w:id="1113"/>
      <w:bookmarkEnd w:id="11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1,528,469.14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7"/>
        <w:keepNext/>
        <w:keepLines/>
        <w:widowControl w:val="0"/>
        <w:shd w:val="clear" w:color="auto" w:fill="auto"/>
        <w:tabs>
          <w:tab w:pos="493" w:val="left"/>
        </w:tabs>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116"/>
      <w:bookmarkEnd w:id="1117"/>
      <w:bookmarkEnd w:id="11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24,841,707.02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15,446,996.63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员工股权激励相关款项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14,057,869.00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4,493,184.48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51,499,576.02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28,124,188.19</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120"/>
      <w:bookmarkEnd w:id="1121"/>
      <w:bookmarkEnd w:id="11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北京天神互动科技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深圳市中兴高达技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待结算款项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6,495,726.21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649,572.62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天津奇睿天成股权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中捷通信有限公司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2,605,385.00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1,280,252.00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128,025.20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22,981,363.21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1,537,867.07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24"/>
      <w:bookmarkEnd w:id="1125"/>
      <w:bookmarkEnd w:id="1126"/>
    </w:p>
    <w:p>
      <w:pPr>
        <w:pStyle w:val="Style47"/>
        <w:keepNext/>
        <w:keepLines/>
        <w:widowControl w:val="0"/>
        <w:shd w:val="clear" w:color="auto" w:fill="auto"/>
        <w:bidi w:val="0"/>
        <w:spacing w:before="0" w:line="240" w:lineRule="auto"/>
        <w:ind w:left="0" w:right="0" w:firstLine="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546" w:right="1109" w:bottom="2064" w:left="1109" w:header="0" w:footer="3" w:gutter="0"/>
          <w:cols w:space="720"/>
          <w:noEndnote/>
          <w:rtlGutter w:val="0"/>
          <w:docGrid w:linePitch="360"/>
        </w:sectPr>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7"/>
      <w:bookmarkEnd w:id="1128"/>
      <w:bookmarkEnd w:id="1130"/>
    </w:p>
    <w:tbl>
      <w:tblPr>
        <w:tblOverlap w:val="never"/>
        <w:jc w:val="center"/>
        <w:tblLayout w:type="fixed"/>
      </w:tblPr>
      <w:tblGrid>
        <w:gridCol w:w="1373"/>
        <w:gridCol w:w="1368"/>
        <w:gridCol w:w="1368"/>
        <w:gridCol w:w="1363"/>
        <w:gridCol w:w="1368"/>
        <w:gridCol w:w="1368"/>
        <w:gridCol w:w="1378"/>
      </w:tblGrid>
      <w:tr>
        <w:trPr>
          <w:trHeight w:val="4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3,094,467.09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3,094,467.09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777,604.97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442,464.10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442,464.10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93,988.14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外购软硬件及服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65,724,921.68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1,907,032.15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63,817,889.53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81,933,582.21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81,933,582.21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257,075,488.02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256,996,634.34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265,293,275.50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78,853.68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265,214,421.82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34,547.00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1,605,945.06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1,605,945.06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429,571.17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429,571.17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328,372,857.12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1,985,885.83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326,386,971.29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348,132,997.82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78,853.68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348,054,144.14</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b/>
          <w:bCs/>
          <w:color w:val="000000"/>
          <w:spacing w:val="0"/>
          <w:w w:val="100"/>
          <w:position w:val="0"/>
        </w:rPr>
        <w:t>是</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前五名游戏情况</w:t>
      </w:r>
    </w:p>
    <w:p>
      <w:pPr>
        <w:pStyle w:val="Style29"/>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存货中不存在游戏。</w:t>
      </w:r>
    </w:p>
    <w:p>
      <w:pPr>
        <w:pStyle w:val="Style47"/>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31"/>
      <w:bookmarkEnd w:id="1132"/>
      <w:bookmarkEnd w:id="11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12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78,853.68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78,853.68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外购软硬件及服务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1,907,032.15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1,907,032.15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78,853.68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1,907,032.15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1,985,885.83</w:t>
            </w:r>
          </w:p>
        </w:tc>
      </w:tr>
    </w:tbl>
    <w:p>
      <w:pPr>
        <w:widowControl w:val="0"/>
        <w:spacing w:after="359" w:line="1" w:lineRule="exact"/>
      </w:pPr>
    </w:p>
    <w:p>
      <w:pPr>
        <w:pStyle w:val="Style39"/>
        <w:keepNext/>
        <w:keepLines/>
        <w:widowControl w:val="0"/>
        <w:shd w:val="clear" w:color="auto" w:fill="auto"/>
        <w:tabs>
          <w:tab w:pos="474" w:val="left"/>
        </w:tabs>
        <w:bidi w:val="0"/>
        <w:spacing w:before="0" w:after="4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135"/>
      <w:bookmarkEnd w:id="1136"/>
      <w:bookmarkEnd w:id="1138"/>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9"/>
        <w:keepNext/>
        <w:keepLines/>
        <w:widowControl w:val="0"/>
        <w:shd w:val="clear" w:color="auto" w:fill="auto"/>
        <w:tabs>
          <w:tab w:pos="474" w:val="left"/>
        </w:tabs>
        <w:bidi w:val="0"/>
        <w:spacing w:before="0" w:after="4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39"/>
      <w:bookmarkEnd w:id="1140"/>
      <w:bookmarkEnd w:id="1142"/>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43"/>
      <w:bookmarkEnd w:id="1144"/>
      <w:bookmarkEnd w:id="1146"/>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5,902,320.59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26,171,226.12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预缴的其他税金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574,487.41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银行保本理财产品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110,258,075.63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26,745,713.53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47"/>
      <w:bookmarkEnd w:id="1148"/>
      <w:bookmarkEnd w:id="1150"/>
    </w:p>
    <w:p>
      <w:pPr>
        <w:pStyle w:val="Style47"/>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51"/>
      <w:bookmarkEnd w:id="1152"/>
      <w:bookmarkEnd w:id="11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602,961,043.10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602,561,043.10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331,947,024.68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1,365,478.00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330,581,546.68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602,961,043.10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602,561,043.10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331,947,024.68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1,365,478.00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330,581,546.68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回购李毅等股票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166,886,616.94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602,961,043.10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602,561,043.10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498,833,641.62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1,365,478.00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497,468,163.62</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55"/>
      <w:bookmarkEnd w:id="1156"/>
      <w:bookmarkEnd w:id="115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9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北京润佳 华商创新 投资管理 中心（有 限合伙）</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广东中科 白云投资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北京安德 伦技术开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宁波互通 网络技术 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Liability</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A2B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987,786.59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Reliance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Jio</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Messaging</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Services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Private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14,681,546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678,471.47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杭州爱财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北京创金 兴业投资 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北京云中 融信网络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北京魔力 码头科技 有限责任 公司【注</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北京中清 龙图网络 技术有限 公司【注</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泰岳金服</w:t>
            </w:r>
          </w:p>
          <w:p>
            <w:pPr>
              <w:pStyle w:val="Style2"/>
              <w:keepNext w:val="0"/>
              <w:keepLines w:val="0"/>
              <w:widowControl w:val="0"/>
              <w:shd w:val="clear" w:color="auto" w:fill="auto"/>
              <w:bidi w:val="0"/>
              <w:spacing w:before="0" w:after="120" w:line="314" w:lineRule="exact"/>
              <w:ind w:left="0" w:right="0" w:firstLine="0"/>
              <w:jc w:val="both"/>
              <w:rPr>
                <w:sz w:val="17"/>
                <w:szCs w:val="17"/>
              </w:rPr>
            </w:pPr>
            <w:r>
              <w:rPr>
                <w:color w:val="000000"/>
                <w:spacing w:val="0"/>
                <w:w w:val="100"/>
                <w:position w:val="0"/>
                <w:sz w:val="17"/>
                <w:szCs w:val="17"/>
              </w:rPr>
              <w:t>（北京） 科技有限 公司【注</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北京裂变 科技有限 公司【注</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1,157,368.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58" w:right="1119" w:bottom="1486" w:left="1099" w:header="0" w:footer="3" w:gutter="0"/>
          <w:cols w:space="720"/>
          <w:noEndnote/>
          <w:rtlGutter w:val="0"/>
          <w:docGrid w:linePitch="360"/>
        </w:sectPr>
      </w:pP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6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泰岳梧桐 在线教育 产业新三 板与并购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331,947,02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965,478.00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602,961,04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987,786.59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：根据合伙协议，公司为有限合伙人，不参与合伙企业的经营管理，对其无法实施控制且不具有重大影响，按可供出售 金融资产核算。</w:t>
      </w:r>
    </w:p>
    <w:p>
      <w:pPr>
        <w:pStyle w:val="Style68"/>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：公司控股子公司</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对外投资，与印度</w:t>
      </w:r>
      <w:r>
        <w:rPr>
          <w:color w:val="000000"/>
          <w:spacing w:val="0"/>
          <w:w w:val="100"/>
          <w:position w:val="0"/>
          <w:sz w:val="18"/>
          <w:szCs w:val="18"/>
        </w:rPr>
        <w:t>Reliance Industries Limited</w:t>
      </w:r>
      <w:r>
        <w:rPr>
          <w:rFonts w:ascii="SimSun" w:eastAsia="SimSun" w:hAnsi="SimSun" w:cs="SimSun"/>
          <w:color w:val="000000"/>
          <w:spacing w:val="0"/>
          <w:w w:val="100"/>
          <w:position w:val="0"/>
          <w:sz w:val="17"/>
          <w:szCs w:val="17"/>
        </w:rPr>
        <w:t>公司合资成立</w:t>
      </w:r>
      <w:r>
        <w:rPr>
          <w:color w:val="000000"/>
          <w:spacing w:val="0"/>
          <w:w w:val="100"/>
          <w:position w:val="0"/>
          <w:sz w:val="18"/>
          <w:szCs w:val="18"/>
        </w:rPr>
        <w:t xml:space="preserve">Reliance Jio electronics private Limited </w:t>
      </w:r>
      <w:r>
        <w:rPr>
          <w:rFonts w:ascii="SimSun" w:eastAsia="SimSun" w:hAnsi="SimSun" w:cs="SimSun"/>
          <w:color w:val="000000"/>
          <w:spacing w:val="0"/>
          <w:w w:val="100"/>
          <w:position w:val="0"/>
          <w:sz w:val="17"/>
          <w:szCs w:val="17"/>
        </w:rPr>
        <w:t>（本报告期更名为</w:t>
      </w:r>
      <w:r>
        <w:rPr>
          <w:color w:val="000000"/>
          <w:spacing w:val="0"/>
          <w:w w:val="100"/>
          <w:position w:val="0"/>
          <w:sz w:val="18"/>
          <w:szCs w:val="18"/>
        </w:rPr>
        <w:t>Reliance Jio Messaging Services Private Limited</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Bridge Minds Consulting Pte Ltd </w:t>
      </w:r>
      <w:r>
        <w:rPr>
          <w:rFonts w:ascii="SimSun" w:eastAsia="SimSun" w:hAnsi="SimSun" w:cs="SimSun"/>
          <w:color w:val="000000"/>
          <w:spacing w:val="0"/>
          <w:w w:val="100"/>
          <w:position w:val="0"/>
          <w:sz w:val="17"/>
          <w:szCs w:val="17"/>
        </w:rPr>
        <w:t>持股</w:t>
      </w:r>
      <w:r>
        <w:rPr>
          <w:color w:val="000000"/>
          <w:spacing w:val="0"/>
          <w:w w:val="100"/>
          <w:position w:val="0"/>
          <w:sz w:val="18"/>
          <w:szCs w:val="18"/>
        </w:rPr>
        <w:t>23.44%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印度</w:t>
      </w:r>
      <w:r>
        <w:rPr>
          <w:color w:val="000000"/>
          <w:spacing w:val="0"/>
          <w:w w:val="100"/>
          <w:position w:val="0"/>
          <w:sz w:val="18"/>
          <w:szCs w:val="18"/>
        </w:rPr>
        <w:t>Reliance Industries Limited</w:t>
      </w:r>
      <w:r>
        <w:rPr>
          <w:rFonts w:ascii="SimSun" w:eastAsia="SimSun" w:hAnsi="SimSun" w:cs="SimSun"/>
          <w:color w:val="000000"/>
          <w:spacing w:val="0"/>
          <w:w w:val="100"/>
          <w:position w:val="0"/>
          <w:sz w:val="17"/>
          <w:szCs w:val="17"/>
        </w:rPr>
        <w:t>公司持股</w:t>
      </w:r>
      <w:r>
        <w:rPr>
          <w:color w:val="000000"/>
          <w:spacing w:val="0"/>
          <w:w w:val="100"/>
          <w:position w:val="0"/>
          <w:sz w:val="18"/>
          <w:szCs w:val="18"/>
        </w:rPr>
        <w:t>76.56%</w:t>
      </w:r>
      <w:r>
        <w:rPr>
          <w:rFonts w:ascii="SimSun" w:eastAsia="SimSun" w:hAnsi="SimSun" w:cs="SimSun"/>
          <w:color w:val="000000"/>
          <w:spacing w:val="0"/>
          <w:w w:val="100"/>
          <w:position w:val="0"/>
          <w:sz w:val="17"/>
          <w:szCs w:val="17"/>
        </w:rPr>
        <w:t>，该公司日常经营由印度</w:t>
      </w:r>
      <w:r>
        <w:rPr>
          <w:color w:val="000000"/>
          <w:spacing w:val="0"/>
          <w:w w:val="100"/>
          <w:position w:val="0"/>
          <w:sz w:val="18"/>
          <w:szCs w:val="18"/>
        </w:rPr>
        <w:t>Reliance Industries Limited</w:t>
      </w:r>
      <w:r>
        <w:rPr>
          <w:rFonts w:ascii="SimSun" w:eastAsia="SimSun" w:hAnsi="SimSun" w:cs="SimSun"/>
          <w:color w:val="000000"/>
          <w:spacing w:val="0"/>
          <w:w w:val="100"/>
          <w:position w:val="0"/>
          <w:sz w:val="17"/>
          <w:szCs w:val="17"/>
        </w:rPr>
        <w:t>公司负责， 本公司不具有重大影响，按可供出售金融资产核算。</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：公司全资子公司北京壳木软件有限责任公司持有北京魔力码头科技有限责任公司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股权，不参与日常经营，不具备 重大影响，按可供出售金融资产核算。</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：报告期内，本公司持股比例进一步下降，综合考虑业务协同性及持有目的，本报告期内改为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 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：公司持有泰岳金服（北京）科技有限公司</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股权，不参与日常经营，不具备重大影响，按可供出售金融资产核算。 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：报告期内，公司控股子公司北京泰岳智桥信息技术有限公司持有北京裂变科技有限公司股权比例下降至</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，不参与 日常经营，不具备重大影响，按可供出售金融资产核算。</w:t>
      </w:r>
    </w:p>
    <w:p>
      <w:pPr>
        <w:pStyle w:val="Style47"/>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）报告期内可供出售金融资产减值的变动情况</w:t>
      </w:r>
      <w:bookmarkEnd w:id="1159"/>
      <w:bookmarkEnd w:id="1160"/>
      <w:bookmarkEnd w:id="116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4"/>
        <w:gridCol w:w="2424"/>
        <w:gridCol w:w="2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1,365,478.00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其中：从其他综合收益转入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987,786.59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3"/>
      <w:bookmarkEnd w:id="1164"/>
      <w:bookmarkEnd w:id="1166"/>
    </w:p>
    <w:p>
      <w:pPr>
        <w:pStyle w:val="Style29"/>
        <w:keepNext w:val="0"/>
        <w:keepLines w:val="0"/>
        <w:widowControl w:val="0"/>
        <w:shd w:val="clear" w:color="auto" w:fill="auto"/>
        <w:bidi w:val="0"/>
        <w:spacing w:before="0" w:after="460" w:line="240" w:lineRule="auto"/>
        <w:ind w:left="0" w:right="0"/>
        <w:jc w:val="both"/>
      </w:pPr>
      <w:r>
        <w:rPr>
          <w:color w:val="000000"/>
          <w:spacing w:val="0"/>
          <w:w w:val="100"/>
          <w:position w:val="0"/>
        </w:rPr>
        <w:t>无。</w:t>
      </w:r>
    </w:p>
    <w:p>
      <w:pPr>
        <w:pStyle w:val="Style39"/>
        <w:keepNext/>
        <w:keepLines/>
        <w:widowControl w:val="0"/>
        <w:shd w:val="clear" w:color="auto" w:fill="auto"/>
        <w:tabs>
          <w:tab w:pos="468" w:val="left"/>
        </w:tabs>
        <w:bidi w:val="0"/>
        <w:spacing w:before="0" w:after="4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67"/>
      <w:bookmarkEnd w:id="1168"/>
      <w:bookmarkEnd w:id="1170"/>
    </w:p>
    <w:p>
      <w:pPr>
        <w:pStyle w:val="Style29"/>
        <w:keepNext w:val="0"/>
        <w:keepLines w:val="0"/>
        <w:widowControl w:val="0"/>
        <w:shd w:val="clear" w:color="auto" w:fill="auto"/>
        <w:bidi w:val="0"/>
        <w:spacing w:before="0" w:after="460" w:line="240" w:lineRule="auto"/>
        <w:ind w:left="0" w:right="0"/>
        <w:jc w:val="both"/>
      </w:pPr>
      <w:r>
        <w:rPr>
          <w:color w:val="000000"/>
          <w:spacing w:val="0"/>
          <w:w w:val="100"/>
          <w:position w:val="0"/>
        </w:rPr>
        <w:t>无。</w:t>
      </w:r>
    </w:p>
    <w:p>
      <w:pPr>
        <w:pStyle w:val="Style39"/>
        <w:keepNext/>
        <w:keepLines/>
        <w:widowControl w:val="0"/>
        <w:shd w:val="clear" w:color="auto" w:fill="auto"/>
        <w:tabs>
          <w:tab w:pos="468" w:val="left"/>
        </w:tabs>
        <w:bidi w:val="0"/>
        <w:spacing w:before="0" w:after="46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26" w:right="1023" w:bottom="1839" w:left="1095" w:header="0" w:footer="3" w:gutter="0"/>
          <w:cols w:space="720"/>
          <w:noEndnote/>
          <w:rtlGutter w:val="0"/>
          <w:docGrid w:linePitch="360"/>
        </w:sectPr>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71"/>
      <w:bookmarkEnd w:id="1172"/>
      <w:bookmarkEnd w:id="1174"/>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被投资单</w:t>
            </w:r>
          </w:p>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减值准备</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权益法下</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确认的投</w:t>
            </w:r>
          </w:p>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其他权益</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160" w:firstLine="0"/>
              <w:jc w:val="right"/>
              <w:rPr>
                <w:sz w:val="14"/>
                <w:szCs w:val="14"/>
              </w:rPr>
            </w:pPr>
            <w:r>
              <w:rPr>
                <w:color w:val="000000"/>
                <w:spacing w:val="0"/>
                <w:w w:val="100"/>
                <w:position w:val="0"/>
                <w:sz w:val="14"/>
                <w:szCs w:val="14"/>
              </w:rPr>
              <w:t>宣告发放</w:t>
            </w:r>
          </w:p>
          <w:p>
            <w:pPr>
              <w:pStyle w:val="Style2"/>
              <w:keepNext w:val="0"/>
              <w:keepLines w:val="0"/>
              <w:widowControl w:val="0"/>
              <w:shd w:val="clear" w:color="auto" w:fill="auto"/>
              <w:bidi w:val="0"/>
              <w:spacing w:before="0" w:after="140" w:line="240" w:lineRule="auto"/>
              <w:ind w:left="0" w:right="160" w:firstLine="0"/>
              <w:jc w:val="right"/>
              <w:rPr>
                <w:sz w:val="14"/>
                <w:szCs w:val="14"/>
              </w:rPr>
            </w:pPr>
            <w:r>
              <w:rPr>
                <w:color w:val="000000"/>
                <w:spacing w:val="0"/>
                <w:w w:val="100"/>
                <w:position w:val="0"/>
                <w:sz w:val="14"/>
                <w:szCs w:val="14"/>
              </w:rPr>
              <w:t>现金股利</w:t>
            </w:r>
          </w:p>
          <w:p>
            <w:pPr>
              <w:pStyle w:val="Style2"/>
              <w:keepNext w:val="0"/>
              <w:keepLines w:val="0"/>
              <w:widowControl w:val="0"/>
              <w:shd w:val="clear" w:color="auto" w:fill="auto"/>
              <w:bidi w:val="0"/>
              <w:spacing w:before="0" w:after="140" w:line="240" w:lineRule="auto"/>
              <w:ind w:left="0" w:right="160" w:firstLine="0"/>
              <w:jc w:val="right"/>
              <w:rPr>
                <w:sz w:val="14"/>
                <w:szCs w:val="14"/>
              </w:rPr>
            </w:pPr>
            <w:r>
              <w:rPr>
                <w:color w:val="000000"/>
                <w:spacing w:val="0"/>
                <w:w w:val="100"/>
                <w:position w:val="0"/>
                <w:sz w:val="14"/>
                <w:szCs w:val="14"/>
              </w:rPr>
              <w:t>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计提减值</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一、合营企业</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310" w:lineRule="exact"/>
              <w:ind w:left="0" w:right="0" w:firstLine="0"/>
              <w:jc w:val="both"/>
              <w:rPr>
                <w:sz w:val="14"/>
                <w:szCs w:val="14"/>
              </w:rPr>
            </w:pPr>
            <w:r>
              <w:rPr>
                <w:color w:val="000000"/>
                <w:spacing w:val="0"/>
                <w:w w:val="100"/>
                <w:position w:val="0"/>
                <w:sz w:val="14"/>
                <w:szCs w:val="14"/>
              </w:rPr>
              <w:t>深圳市前 海泰岳梧 桐投资基 金管理有 限公司【注</w:t>
            </w:r>
          </w:p>
          <w:p>
            <w:pPr>
              <w:pStyle w:val="Style2"/>
              <w:keepNext w:val="0"/>
              <w:keepLines w:val="0"/>
              <w:widowControl w:val="0"/>
              <w:shd w:val="clear" w:color="auto" w:fill="auto"/>
              <w:bidi w:val="0"/>
              <w:spacing w:before="0" w:after="0" w:line="432"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690,426.50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690,426.50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二、联营企业</w:t>
            </w:r>
          </w:p>
        </w:tc>
      </w:tr>
      <w:tr>
        <w:trPr>
          <w:trHeight w:val="13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大连华信 计算机技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112,765,00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13,224,253.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293,376.04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-560,170.80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121,522,46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北京盈海</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益讯科技</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发展有限</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公司【注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6,343,435.1</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1,940,746.8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-8,284,181.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北京华泰 德丰技术 有限公司</w:t>
            </w:r>
          </w:p>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北京中清</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龙图网络</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技术有限</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公司【注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255,143,65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-255,143,65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宁波泰岳 梧桐投资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5,285,546.3</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-607,900.02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4,677,646.3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5" w:lineRule="exact"/>
              <w:ind w:left="0" w:right="0" w:firstLine="0"/>
              <w:jc w:val="both"/>
              <w:rPr>
                <w:sz w:val="14"/>
                <w:szCs w:val="14"/>
              </w:rPr>
            </w:pPr>
            <w:r>
              <w:rPr>
                <w:color w:val="000000"/>
                <w:spacing w:val="0"/>
                <w:w w:val="100"/>
                <w:position w:val="0"/>
                <w:sz w:val="14"/>
                <w:szCs w:val="14"/>
              </w:rPr>
              <w:t>北京神州 泰岳良品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75,384,763.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-10,621,290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64,763,472.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北京神州</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泰岳教育</w:t>
            </w:r>
          </w:p>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科技有限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-514,561.07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514,561.07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8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公司【注</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蓝鸥科技</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130,560,00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7,870,625.1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2,598,402.2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141,029,02</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珠海神州 泰岳投资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-500,907.96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479,092.04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珠海泰岳 梧桐投资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-209,599.09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590,400.91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宁波岳海 云测信息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-364,187.02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535,812.98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454,922,40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138,240,00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10,217,179.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2,038,231.4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-267,913,27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333,597,91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455,612,83</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138,240,00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10,113,511.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293,376.04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2,038,231.4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-268,500,03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333,597,91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：报告期内，公司收购了深圳市前海泰岳梧桐投资基金管理有限公司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股权，累计持股比例变更为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，纳入公司合 并范围。</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：报告期内，公司处置了持有的北京盈海益讯科技发展有限公司所有股权。</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：报告期内，公司购买大连华信计算机技术股份有限公司、廖淳所持有的北京华泰德丰技术有限公司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的股权, 购买完成后公司累计持股比例</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，纳入公司合并范围。</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：报告期内，公司持股比例进一步下降，综合考虑业务协同性及持有目的，本报告期内改为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w:t>
      </w:r>
    </w:p>
    <w:p>
      <w:pPr>
        <w:pStyle w:val="Style29"/>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：报告期内，公司处置北京神州泰岳教育科技有限公司股权，处置完成后累计持股比例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，本报告期改为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w:t>
      </w:r>
    </w:p>
    <w:p>
      <w:pPr>
        <w:pStyle w:val="Style39"/>
        <w:keepNext/>
        <w:keepLines/>
        <w:widowControl w:val="0"/>
        <w:shd w:val="clear" w:color="auto" w:fill="auto"/>
        <w:bidi w:val="0"/>
        <w:spacing w:before="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5"/>
      <w:bookmarkEnd w:id="1176"/>
      <w:bookmarkEnd w:id="1178"/>
    </w:p>
    <w:p>
      <w:pPr>
        <w:pStyle w:val="Style47"/>
        <w:keepNext/>
        <w:keepLines/>
        <w:widowControl w:val="0"/>
        <w:shd w:val="clear" w:color="auto" w:fill="auto"/>
        <w:bidi w:val="0"/>
        <w:spacing w:before="0" w:after="360" w:line="240" w:lineRule="auto"/>
        <w:ind w:left="0" w:right="0" w:firstLine="0"/>
        <w:jc w:val="both"/>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9"/>
      <w:bookmarkEnd w:id="1180"/>
      <w:bookmarkEnd w:id="1182"/>
    </w:p>
    <w:p>
      <w:pPr>
        <w:pStyle w:val="Style29"/>
        <w:keepNext w:val="0"/>
        <w:keepLines w:val="0"/>
        <w:widowControl w:val="0"/>
        <w:shd w:val="clear" w:color="auto" w:fill="auto"/>
        <w:bidi w:val="0"/>
        <w:spacing w:before="0" w:after="200" w:line="322" w:lineRule="exact"/>
        <w:ind w:left="0" w:right="0" w:firstLine="0"/>
        <w:jc w:val="both"/>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188,678,119.29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188,678,119.29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0"/>
        <w:gridCol w:w="1920"/>
        <w:gridCol w:w="1925"/>
      </w:tblGrid>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188,678,119.29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188,678,119.29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20,534,627.17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20,534,627.17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24,616,089.37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24,616,089.37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164,062,029.92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164,062,029.92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168,143,492.12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168,143,492.12</w:t>
            </w:r>
          </w:p>
        </w:tc>
      </w:tr>
    </w:tbl>
    <w:p>
      <w:pPr>
        <w:widowControl w:val="0"/>
        <w:spacing w:after="319" w:line="1" w:lineRule="exact"/>
      </w:pPr>
    </w:p>
    <w:p>
      <w:pPr>
        <w:pStyle w:val="Style47"/>
        <w:keepNext/>
        <w:keepLines/>
        <w:widowControl w:val="0"/>
        <w:shd w:val="clear" w:color="auto" w:fill="auto"/>
        <w:tabs>
          <w:tab w:pos="493" w:val="left"/>
        </w:tabs>
        <w:bidi w:val="0"/>
        <w:spacing w:before="0" w:after="4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3"/>
      <w:bookmarkEnd w:id="1184"/>
      <w:bookmarkEnd w:id="1186"/>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47"/>
        <w:keepNext/>
        <w:keepLines/>
        <w:widowControl w:val="0"/>
        <w:shd w:val="clear" w:color="auto" w:fill="auto"/>
        <w:tabs>
          <w:tab w:pos="493" w:val="left"/>
        </w:tabs>
        <w:bidi w:val="0"/>
        <w:spacing w:before="0" w:after="4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87"/>
      <w:bookmarkEnd w:id="1188"/>
      <w:bookmarkEnd w:id="1190"/>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1"/>
      <w:bookmarkEnd w:id="1192"/>
      <w:bookmarkEnd w:id="1194"/>
    </w:p>
    <w:p>
      <w:pPr>
        <w:pStyle w:val="Style47"/>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5"/>
      <w:bookmarkEnd w:id="1196"/>
      <w:bookmarkEnd w:id="11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办公及电子设备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固定资产装修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机器设备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349,923,591.99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14,591,074.42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94,030,742.45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8,533,703.85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2,477,007.98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469,556,120.69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92,044,610.80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18,097,948.73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327,256.38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110,518,815.91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16,017,334.63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327,256.38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16,393,591.01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92,044,610.80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92,044,610.80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2,010,992.32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2,010,992.32</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）汇率变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69,621.78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1,528,074.00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5,035,802.48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6,563,876.48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1,528,074.00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5,018,067.44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6,546,141.44</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）退出合 并范围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17,735.04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441,968,202.79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13,112,000.42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107,092,888.70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8,533,703.85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573,511,060.12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41,161,484.16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8,964,937.06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66,895,356.06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8,458,503.85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836,762.49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126,317,043.62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9,420,479.39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1,805,703.71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10,300,788.81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486,202.99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22,088,374.90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9,420,479.39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1,805,703.71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9,349,908.57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486,202.99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21,137,494.66</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888,416.70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888,416.70</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）汇率变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62,463.54</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1,372,865.26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4,594,183.87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5,967,049.13</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1,372,865.26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4,592,779.82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5,965,645.08</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）退出合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1,404.05</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462" w:right="1070" w:bottom="1526" w:left="1058"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1373"/>
        <w:gridCol w:w="1363"/>
        <w:gridCol w:w="1368"/>
        <w:gridCol w:w="1368"/>
        <w:gridCol w:w="1368"/>
        <w:gridCol w:w="1368"/>
        <w:gridCol w:w="1373"/>
      </w:tblGrid>
      <w:tr>
        <w:trPr>
          <w:trHeight w:val="38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50,581,963.55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9,397,775.51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72,601,961.00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8,533,703.85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1,322,965.48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142,438,369.39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391,386,239.24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3,714,224.91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34,490,927.70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1,481,298.88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431,072,690.73</w:t>
            </w:r>
          </w:p>
        </w:tc>
      </w:tr>
      <w:tr>
        <w:trPr>
          <w:trHeight w:val="72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308,762,107.83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5,626,137.36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27,135,386.39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1,640,245.49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343,239,077.07</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99"/>
      <w:bookmarkEnd w:id="1200"/>
      <w:bookmarkEnd w:id="120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60"/>
        <w:gridCol w:w="575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90,793,214.84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重庆农信茶园新媒软件园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年办理完竣工验收，权证尚未办理完毕。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18,116,110.67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北辰泰岳大厦地下车库于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月交付使用，权证尚未办理完毕。</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3"/>
      <w:bookmarkEnd w:id="1204"/>
      <w:bookmarkEnd w:id="1206"/>
    </w:p>
    <w:p>
      <w:pPr>
        <w:pStyle w:val="Style47"/>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7"/>
      <w:bookmarkEnd w:id="1208"/>
      <w:bookmarkEnd w:id="12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办公及研发用房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87,960,565.87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87,960,565.87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1,612,887.96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87,960,565.87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87,960,565.87</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0"/>
      <w:bookmarkEnd w:id="1211"/>
      <w:bookmarkEnd w:id="1213"/>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本期增加</w:t>
            </w:r>
          </w:p>
          <w:p>
            <w:pPr>
              <w:pStyle w:val="Style2"/>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4"/>
                <w:szCs w:val="14"/>
              </w:rPr>
            </w:pPr>
            <w:r>
              <w:rPr>
                <w:color w:val="000000"/>
                <w:spacing w:val="0"/>
                <w:w w:val="100"/>
                <w:position w:val="0"/>
                <w:sz w:val="14"/>
                <w:szCs w:val="14"/>
              </w:rPr>
              <w:t>本期转入 固定资产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本期其他</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工程累计</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投入占预</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算比例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工程进度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利息资本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化累计金</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其中：本期</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利息资本</w:t>
            </w:r>
          </w:p>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本期利息</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资本化率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资金来源</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重庆农信 茶园新媒 软件园建 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88,760,000</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87,960,565</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4,084,044.</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92,044,610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项目已竣</w:t>
            </w:r>
          </w:p>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募股资金、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r>
      <w:tr>
        <w:trPr>
          <w:trHeight w:val="22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泰岳大厦</w:t>
            </w:r>
          </w:p>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3,080,000.</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1,612,887.</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1,612,887.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楼层装修 基本完成， 消防、空调 系统仍在 施工；部分 设备还未 安装完毕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91,840,000</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87,960,565</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5,696,932.</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92,044,610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1,612,887.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9"/>
        <w:keepNext/>
        <w:keepLines/>
        <w:widowControl w:val="0"/>
        <w:shd w:val="clear" w:color="auto" w:fill="auto"/>
        <w:tabs>
          <w:tab w:pos="483" w:val="left"/>
        </w:tabs>
        <w:bidi w:val="0"/>
        <w:spacing w:before="0" w:after="4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14"/>
      <w:bookmarkEnd w:id="1215"/>
      <w:bookmarkEnd w:id="121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46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18"/>
      <w:bookmarkEnd w:id="1219"/>
      <w:bookmarkEnd w:id="1221"/>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2"/>
      <w:bookmarkEnd w:id="1223"/>
      <w:bookmarkEnd w:id="1225"/>
    </w:p>
    <w:p>
      <w:pPr>
        <w:pStyle w:val="Style47"/>
        <w:keepNext/>
        <w:keepLines/>
        <w:widowControl w:val="0"/>
        <w:shd w:val="clear" w:color="auto" w:fill="auto"/>
        <w:bidi w:val="0"/>
        <w:spacing w:before="0" w:after="460" w:line="240" w:lineRule="auto"/>
        <w:ind w:left="0" w:right="0" w:firstLine="140"/>
        <w:jc w:val="left"/>
      </w:pPr>
      <w:bookmarkStart w:id="1226" w:name="bookmark1226"/>
      <w:bookmarkStart w:id="1227" w:name="bookmark1227"/>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26"/>
      <w:bookmarkEnd w:id="1227"/>
      <w:bookmarkEnd w:id="1228"/>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47"/>
        <w:keepNext/>
        <w:keepLines/>
        <w:widowControl w:val="0"/>
        <w:shd w:val="clear" w:color="auto" w:fill="auto"/>
        <w:bidi w:val="0"/>
        <w:spacing w:before="0" w:after="46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229"/>
      <w:bookmarkEnd w:id="1230"/>
      <w:bookmarkEnd w:id="1231"/>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bidi w:val="0"/>
        <w:spacing w:before="0" w:after="46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232"/>
      <w:bookmarkEnd w:id="1233"/>
      <w:bookmarkEnd w:id="1235"/>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r>
        <w:br w:type="page"/>
      </w:r>
    </w:p>
    <w:p>
      <w:pPr>
        <w:pStyle w:val="Style39"/>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36"/>
      <w:bookmarkEnd w:id="1237"/>
      <w:bookmarkEnd w:id="1239"/>
    </w:p>
    <w:p>
      <w:pPr>
        <w:pStyle w:val="Style47"/>
        <w:keepNext/>
        <w:keepLines/>
        <w:widowControl w:val="0"/>
        <w:shd w:val="clear" w:color="auto" w:fill="auto"/>
        <w:bidi w:val="0"/>
        <w:spacing w:before="0" w:after="460" w:line="240" w:lineRule="auto"/>
        <w:ind w:left="0" w:right="0" w:firstLine="14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0"/>
      <w:bookmarkEnd w:id="1241"/>
      <w:bookmarkEnd w:id="1242"/>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14"/>
        <w:gridCol w:w="1210"/>
        <w:gridCol w:w="1214"/>
        <w:gridCol w:w="1210"/>
        <w:gridCol w:w="1214"/>
        <w:gridCol w:w="1210"/>
        <w:gridCol w:w="1224"/>
      </w:tblGrid>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软件</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非专利技术</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自主研发软件</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许可使用权</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土地使用权</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软件著作权</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460" w:firstLine="0"/>
              <w:jc w:val="right"/>
              <w:rPr>
                <w:sz w:val="14"/>
                <w:szCs w:val="14"/>
              </w:rPr>
            </w:pPr>
            <w:r>
              <w:rPr>
                <w:color w:val="000000"/>
                <w:spacing w:val="0"/>
                <w:w w:val="100"/>
                <w:position w:val="0"/>
                <w:sz w:val="14"/>
                <w:szCs w:val="14"/>
              </w:rPr>
              <w:t>合计</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13,162,952.47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205,198,530.85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3,639,145.31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23,731,349.77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31,398,300.00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280,029,278.40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464,202.34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154,248,979.40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169,713,181.74</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274,235.67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274,235.67</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）内部</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154,248,979.40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154,248,979.40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）企业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）汇率</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189,966.67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189,966.67</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6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4,069,552.08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29,723,791.84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33,793,343.92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29,723,791.84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29,723,791.84</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320" w:right="0" w:firstLine="1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）退出 合并范围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4,069,552.08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4,069,552.08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9,557,602.73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329,723,718.41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3,639,145.31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23,731,349.77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46,398,300.00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415,949,116.22</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5,163,560.59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36,134,675.20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3,639,145.31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2,405,065.99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16,878,324.24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67,119,771.33</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1,524,984.34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28,571,734.67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10,009,987.88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40,581,786.92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1,335,017.70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28,571,734.67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8,259,987.88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38,641,820.28</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）企业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）汇率</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189,966.64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189,966.64</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373,042.23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5,351,628.90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5,724,671.13</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5,351,628.90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5,351,628.90</w:t>
            </w:r>
          </w:p>
        </w:tc>
      </w:tr>
    </w:tbl>
    <w:p>
      <w:pPr>
        <w:widowControl w:val="0"/>
        <w:spacing w:line="1" w:lineRule="exact"/>
      </w:pPr>
      <w:r>
        <w:br w:type="page"/>
      </w:r>
    </w:p>
    <w:tbl>
      <w:tblPr>
        <w:tblOverlap w:val="never"/>
        <w:jc w:val="center"/>
        <w:tblLayout w:type="fixed"/>
      </w:tblPr>
      <w:tblGrid>
        <w:gridCol w:w="1214"/>
        <w:gridCol w:w="1214"/>
        <w:gridCol w:w="1210"/>
        <w:gridCol w:w="1214"/>
        <w:gridCol w:w="1210"/>
        <w:gridCol w:w="1214"/>
        <w:gridCol w:w="1210"/>
        <w:gridCol w:w="1224"/>
      </w:tblGrid>
      <w:tr>
        <w:trPr>
          <w:trHeight w:val="7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）退出</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合并范围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373,042.23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6,315,502.70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59,354,780.97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3,639,145.31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2,880,146.02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26,888,312.12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101,976,887.12</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4,750,162.96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期末账面</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3,242,100.03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265,618,774.48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20,851,203.75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19,509,987.88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309,222,066.14</w:t>
            </w:r>
          </w:p>
        </w:tc>
      </w:tr>
      <w:tr>
        <w:trPr>
          <w:trHeight w:val="72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期初账面</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7,999,391.88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169,063,855.65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21,326,283.78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14,519,975.76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212,909,507.07</w:t>
            </w:r>
          </w:p>
        </w:tc>
      </w:tr>
    </w:tbl>
    <w:p>
      <w:pPr>
        <w:widowControl w:val="0"/>
        <w:spacing w:after="159" w:line="1" w:lineRule="exact"/>
      </w:pP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85.90%</w:t>
      </w:r>
      <w:r>
        <w:rPr>
          <w:color w:val="000000"/>
          <w:spacing w:val="0"/>
          <w:w w:val="100"/>
          <w:position w:val="0"/>
        </w:rPr>
        <w:t>。</w:t>
      </w:r>
    </w:p>
    <w:p>
      <w:pPr>
        <w:pStyle w:val="Style47"/>
        <w:keepNext/>
        <w:keepLines/>
        <w:widowControl w:val="0"/>
        <w:shd w:val="clear" w:color="auto" w:fill="auto"/>
        <w:bidi w:val="0"/>
        <w:spacing w:before="0" w:after="400" w:line="240" w:lineRule="auto"/>
        <w:ind w:left="0" w:right="0" w:firstLine="22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r>
        <w:rPr>
          <w:color w:val="000000"/>
          <w:spacing w:val="0"/>
          <w:w w:val="100"/>
          <w:position w:val="0"/>
        </w:rPr>
        <w:t>）期末无形资产前五名游戏情况</w:t>
      </w:r>
      <w:bookmarkEnd w:id="1243"/>
      <w:bookmarkEnd w:id="1244"/>
      <w:bookmarkEnd w:id="124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40"/>
        <w:gridCol w:w="3230"/>
        <w:gridCol w:w="324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游戏名称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占无形资产比重（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小小帝国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6,533,333.34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战火与秩序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4,031,213.88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风暴传说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3,976,701.84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天子传奇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3,234,030.14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人在天朝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726,654.54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b/>
                <w:bCs/>
                <w:color w:val="000000"/>
                <w:spacing w:val="0"/>
                <w:w w:val="100"/>
                <w:position w:val="0"/>
                <w:sz w:val="18"/>
                <w:szCs w:val="18"/>
              </w:rPr>
              <w:t>18,501,933.74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b/>
                <w:bCs/>
                <w:color w:val="000000"/>
                <w:spacing w:val="0"/>
                <w:w w:val="100"/>
                <w:position w:val="0"/>
                <w:sz w:val="18"/>
                <w:szCs w:val="18"/>
              </w:rPr>
              <w:t>5.98</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46"/>
      <w:bookmarkEnd w:id="1247"/>
      <w:bookmarkEnd w:id="124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75"/>
        <w:gridCol w:w="989"/>
        <w:gridCol w:w="1565"/>
        <w:gridCol w:w="1555"/>
        <w:gridCol w:w="1282"/>
        <w:gridCol w:w="994"/>
        <w:gridCol w:w="994"/>
        <w:gridCol w:w="816"/>
      </w:tblGrid>
      <w:tr>
        <w:trPr>
          <w:trHeight w:val="494"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本期增加金额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w:t>
            </w:r>
          </w:p>
        </w:tc>
        <w:tc>
          <w:tcPr>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期末研发</w:t>
            </w:r>
          </w:p>
        </w:tc>
      </w:tr>
      <w:tr>
        <w:trPr>
          <w:trHeight w:val="490" w:hRule="exact"/>
        </w:trPr>
        <w:tc>
          <w:tcPr>
            <w:tcBorders>
              <w:left w:val="single" w:sz="4"/>
            </w:tcBorders>
            <w:shd w:val="clear" w:color="auto" w:fill="BFBFBF"/>
            <w:vAlign w:val="top"/>
          </w:tcPr>
          <w:p>
            <w:pPr>
              <w:widowControl w:val="0"/>
              <w:rPr>
                <w:sz w:val="10"/>
                <w:szCs w:val="10"/>
              </w:rPr>
            </w:pPr>
          </w:p>
        </w:tc>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内部开发支出</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r>
      <w:tr>
        <w:trPr>
          <w:trHeight w:val="499" w:hRule="exact"/>
        </w:trPr>
        <w:tc>
          <w:tcPr>
            <w:tcBorders>
              <w:top w:val="single" w:sz="4"/>
              <w:left w:val="single" w:sz="4"/>
              <w:bottom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rPr>
              <w:t>LinksDSP</w:t>
            </w:r>
            <w:r>
              <w:rPr>
                <w:color w:val="000000"/>
                <w:spacing w:val="0"/>
                <w:w w:val="100"/>
                <w:position w:val="0"/>
              </w:rPr>
              <w:t>广告投放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4,679,830.20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4,679,830.20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立项及审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已经</w:t>
            </w:r>
          </w:p>
        </w:tc>
      </w:tr>
    </w:tbl>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469" w:right="982" w:bottom="1340" w:left="986" w:header="0" w:footer="3" w:gutter="0"/>
          <w:cols w:space="720"/>
          <w:noEndnote/>
          <w:titlePg/>
          <w:rtlGutter w:val="0"/>
          <w:docGrid w:linePitch="360"/>
        </w:sectPr>
      </w:pPr>
    </w:p>
    <w:tbl>
      <w:tblPr>
        <w:tblOverlap w:val="never"/>
        <w:jc w:val="center"/>
        <w:tblLayout w:type="fixed"/>
      </w:tblPr>
      <w:tblGrid>
        <w:gridCol w:w="1675"/>
        <w:gridCol w:w="989"/>
        <w:gridCol w:w="1565"/>
        <w:gridCol w:w="1555"/>
        <w:gridCol w:w="1282"/>
        <w:gridCol w:w="994"/>
        <w:gridCol w:w="994"/>
        <w:gridCol w:w="816"/>
      </w:tblGrid>
      <w:tr>
        <w:trPr>
          <w:trHeight w:val="509" w:hRule="exact"/>
        </w:trPr>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本期增加金额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资本化开始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资本化具体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vMerge w:val="restart"/>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期末研发</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进度</w:t>
            </w:r>
          </w:p>
        </w:tc>
      </w:tr>
      <w:tr>
        <w:trPr>
          <w:trHeight w:val="490" w:hRule="exact"/>
        </w:trPr>
        <w:tc>
          <w:tcPr>
            <w:vMerge/>
            <w:tcBorders>
              <w:left w:val="single" w:sz="4"/>
            </w:tcBorders>
            <w:shd w:val="clear" w:color="auto" w:fill="BFBFBF"/>
            <w:vAlign w:val="top"/>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内部开发支出</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451"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平台</w:t>
            </w:r>
            <w:r>
              <w:rPr>
                <w:rFonts w:ascii="Times New Roman" w:eastAsia="Times New Roman" w:hAnsi="Times New Roman" w:cs="Times New Roman"/>
                <w:color w:val="000000"/>
                <w:spacing w:val="0"/>
                <w:w w:val="100"/>
                <w:position w:val="0"/>
                <w:sz w:val="16"/>
                <w:szCs w:val="16"/>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66"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互联网安全攻防</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691,585.58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258,533.56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950,119.14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6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70"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移动互联全智能项目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983,155.06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73,384.34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1,056,539.40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1,104,952.8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61"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智能产品创新平台</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351,945.42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1,456,898.31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66"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智能节能及环保微课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479,821.38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500,935.29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980,756.67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互联网渗透测试教学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239,890.10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239,890.10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9"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实训平台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软件安全开发教学实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2,245,400.37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2,245,400.37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9"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训系统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漏洞深度检测系统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11,898,253.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398"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 DeepScanner</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14,114,754.72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26,013,008.19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230"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V2.0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掌上优化助手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8,289,944.05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8,289,944.05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0"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Ultra-Optipal V1.0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8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日志监控分析平台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7,720,004.61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7,720,004.61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0"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Ultra-SmartLog V2.0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542"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带外网络管理产品开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发项目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16,908,677.74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16,908,677.74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立项及审</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已经</w:t>
            </w:r>
          </w:p>
        </w:tc>
      </w:tr>
      <w:tr>
        <w:trPr>
          <w:trHeight w:val="307"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Ultra-OutManager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322"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V1.0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神州泰岳容器云平台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12,226,227.66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12,226,227.66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0"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Ultra-Uapm V1.0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6"/>
                <w:szCs w:val="16"/>
              </w:rPr>
              <w:t>4G</w:t>
            </w:r>
            <w:r>
              <w:rPr>
                <w:color w:val="000000"/>
                <w:spacing w:val="0"/>
                <w:w w:val="100"/>
                <w:position w:val="0"/>
              </w:rPr>
              <w:t>的融合通信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12,528,578.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8,620,603.96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21,149,182.61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64" w:hRule="exact"/>
        </w:trPr>
        <w:tc>
          <w:tcPr>
            <w:tcBorders>
              <w:left w:val="single" w:sz="4"/>
              <w:bottom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加强系统</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bl>
    <w:p>
      <w:pPr>
        <w:widowControl w:val="0"/>
        <w:spacing w:line="1" w:lineRule="exact"/>
      </w:pPr>
      <w:r>
        <w:br w:type="page"/>
      </w:r>
    </w:p>
    <w:tbl>
      <w:tblPr>
        <w:tblOverlap w:val="never"/>
        <w:jc w:val="center"/>
        <w:tblLayout w:type="fixed"/>
      </w:tblPr>
      <w:tblGrid>
        <w:gridCol w:w="1675"/>
        <w:gridCol w:w="989"/>
        <w:gridCol w:w="1565"/>
        <w:gridCol w:w="1555"/>
        <w:gridCol w:w="1282"/>
        <w:gridCol w:w="994"/>
        <w:gridCol w:w="994"/>
        <w:gridCol w:w="816"/>
      </w:tblGrid>
      <w:tr>
        <w:trPr>
          <w:trHeight w:val="509" w:hRule="exact"/>
        </w:trPr>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年初余额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本期增加金额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资本化开始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资本化具体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vMerge w:val="restart"/>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期末研发</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进度</w:t>
            </w:r>
          </w:p>
        </w:tc>
      </w:tr>
      <w:tr>
        <w:trPr>
          <w:trHeight w:val="490" w:hRule="exact"/>
        </w:trPr>
        <w:tc>
          <w:tcPr>
            <w:vMerge/>
            <w:tcBorders>
              <w:left w:val="single" w:sz="4"/>
            </w:tcBorders>
            <w:shd w:val="clear" w:color="auto" w:fill="BFBFBF"/>
            <w:vAlign w:val="top"/>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内部开发支出</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6"/>
                <w:szCs w:val="16"/>
              </w:rPr>
              <w:t>Python</w:t>
            </w:r>
            <w:r>
              <w:rPr>
                <w:color w:val="000000"/>
                <w:spacing w:val="0"/>
                <w:w w:val="100"/>
                <w:position w:val="0"/>
              </w:rPr>
              <w:t>的数据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7,493,510.4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7,493,510.42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9"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库集群管理系统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智能化内容审核平台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562,289.18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744,760.09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1,307,049.27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259"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面向金融行业的基础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4,427,524.99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4,427,524.99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235"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社交化融合通信终端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6,732,659.82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6,732,659.82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240"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r>
        <w:trPr>
          <w:trHeight w:val="475"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8,104,949.3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51"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智慧线</w:t>
            </w:r>
            <w:r>
              <w:rPr>
                <w:rFonts w:ascii="Times New Roman" w:eastAsia="Times New Roman" w:hAnsi="Times New Roman" w:cs="Times New Roman"/>
                <w:color w:val="000000"/>
                <w:spacing w:val="0"/>
                <w:w w:val="100"/>
                <w:position w:val="0"/>
                <w:sz w:val="16"/>
                <w:szCs w:val="16"/>
              </w:rPr>
              <w:t>2.5.1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1,546,927.83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9,651,877.19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6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4,939,810.8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2014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已经结</w:t>
            </w:r>
          </w:p>
        </w:tc>
      </w:tr>
      <w:tr>
        <w:trPr>
          <w:trHeight w:val="432"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智慧线</w:t>
            </w:r>
            <w:r>
              <w:rPr>
                <w:rFonts w:ascii="Times New Roman" w:eastAsia="Times New Roman" w:hAnsi="Times New Roman" w:cs="Times New Roman"/>
                <w:color w:val="000000"/>
                <w:spacing w:val="0"/>
                <w:w w:val="100"/>
                <w:position w:val="0"/>
                <w:sz w:val="16"/>
                <w:szCs w:val="16"/>
              </w:rPr>
              <w:t>TSM</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6,358,404.61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11,298,215.41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66"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rPr>
              <w:t>SmartWater</w:t>
            </w:r>
            <w:r>
              <w:rPr>
                <w:color w:val="000000"/>
                <w:spacing w:val="0"/>
                <w:w w:val="100"/>
                <w:position w:val="0"/>
              </w:rPr>
              <w:t>智能硬件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324,943.35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3,078,283.94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3,403,227.29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5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437"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1,491,354.62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1,491,354.62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66"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迷你周界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2,451,183.88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2,451,183.88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70"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3,567,726.9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已经</w:t>
            </w:r>
          </w:p>
        </w:tc>
      </w:tr>
      <w:tr>
        <w:trPr>
          <w:trHeight w:val="456"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战火与秩序</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1,174,877.62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4,742,604.61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结项</w:t>
            </w:r>
          </w:p>
        </w:tc>
      </w:tr>
      <w:tr>
        <w:trPr>
          <w:trHeight w:val="45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437"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小小帝国</w:t>
            </w:r>
            <w:r>
              <w:rPr>
                <w:rFonts w:ascii="Times New Roman" w:eastAsia="Times New Roman" w:hAnsi="Times New Roman" w:cs="Times New Roman"/>
                <w:color w:val="000000"/>
                <w:spacing w:val="0"/>
                <w:w w:val="100"/>
                <w:position w:val="0"/>
                <w:sz w:val="16"/>
                <w:szCs w:val="16"/>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355,544.86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6,321,384.77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6,676,929.63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r>
        <w:trPr>
          <w:trHeight w:val="45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已经结</w:t>
            </w:r>
          </w:p>
        </w:tc>
      </w:tr>
      <w:tr>
        <w:trPr>
          <w:trHeight w:val="437"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风暴传说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81,684.34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4,381,035.63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4,462,719.97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r>
      <w:tr>
        <w:trPr>
          <w:trHeight w:val="45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437" w:hRule="exact"/>
        </w:trPr>
        <w:tc>
          <w:tcPr>
            <w:tcBorders>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Y-game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5,244,301.80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5,244,301.80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气象综合观测业务一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3,171,613.08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3,171,613.08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立项及审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正在研</w:t>
            </w:r>
          </w:p>
        </w:tc>
      </w:tr>
      <w:tr>
        <w:trPr>
          <w:trHeight w:val="245" w:hRule="exact"/>
        </w:trPr>
        <w:tc>
          <w:tcPr>
            <w:tcBorders>
              <w:left w:val="single" w:sz="4"/>
              <w:bottom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发中</w:t>
            </w:r>
          </w:p>
        </w:tc>
      </w:tr>
    </w:tbl>
    <w:p>
      <w:pPr>
        <w:widowControl w:val="0"/>
        <w:spacing w:line="1" w:lineRule="exact"/>
      </w:pPr>
      <w:r>
        <w:br w:type="page"/>
      </w:r>
    </w:p>
    <w:tbl>
      <w:tblPr>
        <w:tblOverlap w:val="never"/>
        <w:jc w:val="center"/>
        <w:tblLayout w:type="fixed"/>
      </w:tblPr>
      <w:tblGrid>
        <w:gridCol w:w="1675"/>
        <w:gridCol w:w="989"/>
        <w:gridCol w:w="1565"/>
        <w:gridCol w:w="1555"/>
        <w:gridCol w:w="1282"/>
        <w:gridCol w:w="994"/>
        <w:gridCol w:w="994"/>
        <w:gridCol w:w="816"/>
      </w:tblGrid>
      <w:tr>
        <w:trPr>
          <w:trHeight w:val="509" w:hRule="exact"/>
        </w:trPr>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本期增加金额</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资本化开始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vMerge w:val="restart"/>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资本化具体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vMerge w:val="restart"/>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期末研发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r>
      <w:tr>
        <w:trPr>
          <w:trHeight w:val="490" w:hRule="exact"/>
        </w:trPr>
        <w:tc>
          <w:tcPr>
            <w:vMerge/>
            <w:tcBorders>
              <w:left w:val="single" w:sz="4"/>
            </w:tcBorders>
            <w:shd w:val="clear" w:color="auto" w:fill="BFBFBF"/>
            <w:vAlign w:val="top"/>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内部开发支出</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931"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气象资料加工处理系</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统 </w:t>
            </w:r>
            <w:r>
              <w:rPr>
                <w:rFonts w:ascii="Times New Roman" w:eastAsia="Times New Roman" w:hAnsi="Times New Roman" w:cs="Times New Roman"/>
                <w:color w:val="000000"/>
                <w:spacing w:val="0"/>
                <w:w w:val="100"/>
                <w:position w:val="0"/>
                <w:sz w:val="16"/>
                <w:szCs w:val="16"/>
              </w:rPr>
              <w:t>YH-2016-2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1,829,951.76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1,829,951.76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立项及审</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已经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结项</w:t>
            </w:r>
          </w:p>
        </w:tc>
      </w:tr>
      <w:tr>
        <w:trPr>
          <w:trHeight w:val="888"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农业气象服务产品制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作 </w:t>
            </w:r>
            <w:r>
              <w:rPr>
                <w:rFonts w:ascii="Times New Roman" w:eastAsia="Times New Roman" w:hAnsi="Times New Roman" w:cs="Times New Roman"/>
                <w:color w:val="000000"/>
                <w:spacing w:val="0"/>
                <w:w w:val="100"/>
                <w:position w:val="0"/>
                <w:sz w:val="16"/>
                <w:szCs w:val="16"/>
              </w:rPr>
              <w:t>YH-2016-3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2,906,809.76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2,906,809.76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立项及审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批文件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正在研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发中</w:t>
            </w:r>
          </w:p>
        </w:tc>
      </w:tr>
      <w:tr>
        <w:trPr>
          <w:trHeight w:val="93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多人音视频平台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3,692,160.55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3,692,160.55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160"/>
              <w:jc w:val="left"/>
            </w:pPr>
            <w:r>
              <w:rPr>
                <w:color w:val="000000"/>
                <w:spacing w:val="0"/>
                <w:w w:val="100"/>
                <w:position w:val="0"/>
              </w:rPr>
              <w:t>立项及审</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批文件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已经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结项</w:t>
            </w:r>
          </w:p>
        </w:tc>
      </w:tr>
      <w:tr>
        <w:trPr>
          <w:trHeight w:val="90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53,116,806.</w:t>
            </w:r>
          </w:p>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131,783,366.77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154,248,979.40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30,651,193.70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9"/>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50"/>
      <w:bookmarkEnd w:id="1251"/>
      <w:bookmarkEnd w:id="1252"/>
    </w:p>
    <w:p>
      <w:pPr>
        <w:pStyle w:val="Style47"/>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3"/>
      <w:bookmarkEnd w:id="1254"/>
      <w:bookmarkEnd w:id="12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7"/>
        <w:gridCol w:w="1560"/>
        <w:gridCol w:w="1555"/>
        <w:gridCol w:w="1210"/>
        <w:gridCol w:w="19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被投资单位名称或形成商誉的事项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33,470,814.63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33,470,814.63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206,137,154.75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206,137,154.75</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奇点新源国际技术开发（北京）有限公司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13,156,878.95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13,156,878.95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北京广通神州网络技术有限公司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45,572,687.69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45,572,687.69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46,913,784.54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46,913,784.54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北京神州泰岳智能数据技术有限公司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33,027,608.12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33,027,608.12</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天津壳木软件有限责任公司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1,085,618,741.77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1,085,618,741.77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天津安纳西科技有限公司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72,341,201.72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72,341,201.72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宁波高新区捷远科技有限公司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2,154,884.91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573,575,297.78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573,575,297.78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1,538,393,757.08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573,575,297.78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2,111,969,054.86</w:t>
            </w:r>
          </w:p>
        </w:tc>
      </w:tr>
    </w:tbl>
    <w:p>
      <w:pPr>
        <w:pStyle w:val="Style35"/>
        <w:keepNext w:val="0"/>
        <w:keepLines w:val="0"/>
        <w:widowControl w:val="0"/>
        <w:shd w:val="clear" w:color="auto" w:fill="auto"/>
        <w:bidi w:val="0"/>
        <w:spacing w:before="0" w:after="0" w:line="240" w:lineRule="auto"/>
        <w:ind w:left="374" w:right="0" w:firstLine="0"/>
        <w:jc w:val="left"/>
      </w:pPr>
      <w:r>
        <w:rPr>
          <w:b/>
          <w:bCs/>
          <w:color w:val="000000"/>
          <w:spacing w:val="0"/>
          <w:w w:val="100"/>
          <w:position w:val="0"/>
        </w:rPr>
        <w:t>商誉计算过程</w:t>
      </w:r>
    </w:p>
    <w:p>
      <w:pPr>
        <w:pStyle w:val="Style29"/>
        <w:keepNext w:val="0"/>
        <w:keepLines w:val="0"/>
        <w:widowControl w:val="0"/>
        <w:shd w:val="clear" w:color="auto" w:fill="auto"/>
        <w:tabs>
          <w:tab w:pos="906" w:val="left"/>
        </w:tabs>
        <w:bidi w:val="0"/>
        <w:spacing w:before="0" w:after="0" w:line="473" w:lineRule="exact"/>
        <w:ind w:left="0" w:right="0" w:firstLine="460"/>
        <w:jc w:val="both"/>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5,900</w:t>
      </w:r>
      <w:r>
        <w:rPr>
          <w:color w:val="000000"/>
          <w:spacing w:val="0"/>
          <w:w w:val="100"/>
          <w:position w:val="0"/>
        </w:rPr>
        <w:t>万元作为合并成本购买北京神州泰岳系统集成有限公司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股权。合并成本超过 按比例获得的北京神州泰岳系统集成有限公司可辨认资产、负债公允价值的差额人民币</w:t>
      </w:r>
      <w:r>
        <w:rPr>
          <w:rFonts w:ascii="Times New Roman" w:eastAsia="Times New Roman" w:hAnsi="Times New Roman" w:cs="Times New Roman"/>
          <w:color w:val="000000"/>
          <w:spacing w:val="0"/>
          <w:w w:val="100"/>
          <w:position w:val="0"/>
          <w:sz w:val="18"/>
          <w:szCs w:val="18"/>
        </w:rPr>
        <w:t>33,470,814.63</w:t>
      </w:r>
      <w:r>
        <w:rPr>
          <w:color w:val="000000"/>
          <w:spacing w:val="0"/>
          <w:w w:val="100"/>
          <w:position w:val="0"/>
        </w:rPr>
        <w:t>元，确认为与北京神州 泰岳系统集成有限公司相关的商誉。</w:t>
      </w:r>
    </w:p>
    <w:p>
      <w:pPr>
        <w:pStyle w:val="Style29"/>
        <w:keepNext w:val="0"/>
        <w:keepLines w:val="0"/>
        <w:widowControl w:val="0"/>
        <w:shd w:val="clear" w:color="auto" w:fill="auto"/>
        <w:tabs>
          <w:tab w:pos="445" w:val="left"/>
        </w:tabs>
        <w:bidi w:val="0"/>
        <w:spacing w:before="0" w:after="0" w:line="473" w:lineRule="exact"/>
        <w:ind w:left="0" w:right="0" w:firstLine="460"/>
        <w:jc w:val="both"/>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万元作为合并成本购买宁波普天通信技术有限公司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的股权。合并成本超过按 </w:t>
      </w:r>
      <w:r>
        <w:rPr>
          <w:color w:val="000000"/>
          <w:spacing w:val="0"/>
          <w:w w:val="100"/>
          <w:position w:val="0"/>
        </w:rPr>
        <w:t>比例获得的宁波普天通信技术有限公司可辨认资产、负债公允价值及确认递延所得税负债后的差额人民币</w:t>
      </w:r>
      <w:r>
        <w:rPr>
          <w:rFonts w:ascii="Times New Roman" w:eastAsia="Times New Roman" w:hAnsi="Times New Roman" w:cs="Times New Roman"/>
          <w:color w:val="000000"/>
          <w:spacing w:val="0"/>
          <w:w w:val="100"/>
          <w:position w:val="0"/>
          <w:sz w:val="18"/>
          <w:szCs w:val="18"/>
        </w:rPr>
        <w:t>206,137,154.75</w:t>
      </w:r>
      <w:r>
        <w:rPr>
          <w:color w:val="000000"/>
          <w:spacing w:val="0"/>
          <w:w w:val="100"/>
          <w:position w:val="0"/>
        </w:rPr>
        <w:t>元， 确认为与宁波普天通信技术有限公司相关的商誉。</w:t>
      </w:r>
    </w:p>
    <w:p>
      <w:pPr>
        <w:pStyle w:val="Style29"/>
        <w:keepNext w:val="0"/>
        <w:keepLines w:val="0"/>
        <w:widowControl w:val="0"/>
        <w:shd w:val="clear" w:color="auto" w:fill="auto"/>
        <w:tabs>
          <w:tab w:pos="841" w:val="left"/>
        </w:tabs>
        <w:bidi w:val="0"/>
        <w:spacing w:before="0" w:after="0" w:line="472" w:lineRule="exact"/>
        <w:ind w:left="0" w:right="0" w:firstLine="46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万元作为合并成本购买并增资奇点新源国际技术开发（北京）有限公司取得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股 权。合并成本超过按比例获得的奇点新源国际技术开发（北京）有限公司可辨认资产、负债公允价值的差额人民币 </w:t>
      </w:r>
      <w:r>
        <w:rPr>
          <w:rFonts w:ascii="Times New Roman" w:eastAsia="Times New Roman" w:hAnsi="Times New Roman" w:cs="Times New Roman"/>
          <w:color w:val="000000"/>
          <w:spacing w:val="0"/>
          <w:w w:val="100"/>
          <w:position w:val="0"/>
          <w:sz w:val="18"/>
          <w:szCs w:val="18"/>
        </w:rPr>
        <w:t>13,156,878.95</w:t>
      </w:r>
      <w:r>
        <w:rPr>
          <w:color w:val="000000"/>
          <w:spacing w:val="0"/>
          <w:w w:val="100"/>
          <w:position w:val="0"/>
        </w:rPr>
        <w:t>元，确认为与奇点新源国际技术开发（北京）有限公司相关的商誉。</w:t>
      </w:r>
    </w:p>
    <w:p>
      <w:pPr>
        <w:pStyle w:val="Style29"/>
        <w:keepNext w:val="0"/>
        <w:keepLines w:val="0"/>
        <w:widowControl w:val="0"/>
        <w:shd w:val="clear" w:color="auto" w:fill="auto"/>
        <w:tabs>
          <w:tab w:pos="841" w:val="left"/>
        </w:tabs>
        <w:bidi w:val="0"/>
        <w:spacing w:before="0" w:after="0" w:line="472" w:lineRule="exact"/>
        <w:ind w:left="0" w:right="0" w:firstLine="460"/>
        <w:jc w:val="both"/>
      </w:pPr>
      <w:bookmarkStart w:id="1259" w:name="bookmark1259"/>
      <w:r>
        <w:rPr>
          <w:color w:val="000000"/>
          <w:spacing w:val="0"/>
          <w:w w:val="100"/>
          <w:position w:val="0"/>
        </w:rPr>
        <w:t>（</w:t>
      </w:r>
      <w:bookmarkEnd w:id="12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万元作为合并成本取得北京广通神州网络技术有限公司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股权。合并成本超过按 比例获得的北京广通神州网络技术有限公司可辨认资产、负债公允价值的差额人民币差额人民币</w:t>
      </w:r>
      <w:r>
        <w:rPr>
          <w:rFonts w:ascii="Times New Roman" w:eastAsia="Times New Roman" w:hAnsi="Times New Roman" w:cs="Times New Roman"/>
          <w:color w:val="000000"/>
          <w:spacing w:val="0"/>
          <w:w w:val="100"/>
          <w:position w:val="0"/>
          <w:sz w:val="18"/>
          <w:szCs w:val="18"/>
        </w:rPr>
        <w:t>45,572,687.69</w:t>
      </w:r>
      <w:r>
        <w:rPr>
          <w:color w:val="000000"/>
          <w:spacing w:val="0"/>
          <w:w w:val="100"/>
          <w:position w:val="0"/>
        </w:rPr>
        <w:t>元确认为商 誉。</w:t>
      </w:r>
    </w:p>
    <w:p>
      <w:pPr>
        <w:pStyle w:val="Style68"/>
        <w:keepNext w:val="0"/>
        <w:keepLines w:val="0"/>
        <w:widowControl w:val="0"/>
        <w:shd w:val="clear" w:color="auto" w:fill="auto"/>
        <w:bidi w:val="0"/>
        <w:spacing w:before="0" w:after="0" w:line="472" w:lineRule="exact"/>
        <w:ind w:left="0" w:right="0" w:firstLine="460"/>
        <w:jc w:val="both"/>
        <w:rPr>
          <w:sz w:val="17"/>
          <w:szCs w:val="17"/>
        </w:rPr>
      </w:pPr>
      <w:bookmarkStart w:id="1260" w:name="bookmark1260"/>
      <w:r>
        <w:rPr>
          <w:rFonts w:ascii="SimSun" w:eastAsia="SimSun" w:hAnsi="SimSun" w:cs="SimSun"/>
          <w:color w:val="000000"/>
          <w:spacing w:val="0"/>
          <w:w w:val="100"/>
          <w:position w:val="0"/>
          <w:sz w:val="17"/>
          <w:szCs w:val="17"/>
        </w:rPr>
        <w:t>（</w:t>
      </w:r>
      <w:bookmarkEnd w:id="1260"/>
      <w:r>
        <w:rPr>
          <w:color w:val="000000"/>
          <w:spacing w:val="0"/>
          <w:w w:val="100"/>
          <w:position w:val="0"/>
          <w:sz w:val="18"/>
          <w:szCs w:val="18"/>
        </w:rPr>
        <w:t>5</w:t>
      </w:r>
      <w:r>
        <w:rPr>
          <w:rFonts w:ascii="SimSun" w:eastAsia="SimSun" w:hAnsi="SimSun" w:cs="SimSun"/>
          <w:color w:val="000000"/>
          <w:spacing w:val="0"/>
          <w:w w:val="100"/>
          <w:position w:val="0"/>
          <w:sz w:val="17"/>
          <w:szCs w:val="17"/>
        </w:rPr>
        <w:t>） 本公司于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年以人民币</w:t>
      </w:r>
      <w:r>
        <w:rPr>
          <w:color w:val="000000"/>
          <w:spacing w:val="0"/>
          <w:w w:val="100"/>
          <w:position w:val="0"/>
          <w:sz w:val="18"/>
          <w:szCs w:val="18"/>
        </w:rPr>
        <w:t>49,329,906.91</w:t>
      </w:r>
      <w:r>
        <w:rPr>
          <w:rFonts w:ascii="SimSun" w:eastAsia="SimSun" w:hAnsi="SimSun" w:cs="SimSun"/>
          <w:color w:val="000000"/>
          <w:spacing w:val="0"/>
          <w:w w:val="100"/>
          <w:position w:val="0"/>
          <w:sz w:val="17"/>
          <w:szCs w:val="17"/>
        </w:rPr>
        <w:t>元作为合并成本取得</w:t>
      </w:r>
      <w:r>
        <w:rPr>
          <w:color w:val="000000"/>
          <w:spacing w:val="0"/>
          <w:w w:val="100"/>
          <w:position w:val="0"/>
          <w:sz w:val="18"/>
          <w:szCs w:val="18"/>
        </w:rPr>
        <w:t xml:space="preserve">Bridge Minds Consulting Pte Ltd </w:t>
      </w:r>
      <w:r>
        <w:rPr>
          <w:color w:val="000000"/>
          <w:spacing w:val="0"/>
          <w:w w:val="100"/>
          <w:position w:val="0"/>
          <w:sz w:val="18"/>
          <w:szCs w:val="18"/>
        </w:rPr>
        <w:t>80%</w:t>
      </w:r>
      <w:r>
        <w:rPr>
          <w:rFonts w:ascii="SimSun" w:eastAsia="SimSun" w:hAnsi="SimSun" w:cs="SimSun"/>
          <w:color w:val="000000"/>
          <w:spacing w:val="0"/>
          <w:w w:val="100"/>
          <w:position w:val="0"/>
          <w:sz w:val="17"/>
          <w:szCs w:val="17"/>
        </w:rPr>
        <w:t>股权。合并成本超 过按比例获得的</w:t>
      </w:r>
      <w:r>
        <w:rPr>
          <w:color w:val="000000"/>
          <w:spacing w:val="0"/>
          <w:w w:val="100"/>
          <w:position w:val="0"/>
          <w:sz w:val="18"/>
          <w:szCs w:val="18"/>
        </w:rPr>
        <w:t>Bridge Minds Consulting Pte Ltd</w:t>
      </w:r>
      <w:r>
        <w:rPr>
          <w:rFonts w:ascii="SimSun" w:eastAsia="SimSun" w:hAnsi="SimSun" w:cs="SimSun"/>
          <w:color w:val="000000"/>
          <w:spacing w:val="0"/>
          <w:w w:val="100"/>
          <w:position w:val="0"/>
          <w:sz w:val="17"/>
          <w:szCs w:val="17"/>
        </w:rPr>
        <w:t>可辨认资产、负债公允价值的差额人民币</w:t>
      </w:r>
      <w:r>
        <w:rPr>
          <w:color w:val="000000"/>
          <w:spacing w:val="0"/>
          <w:w w:val="100"/>
          <w:position w:val="0"/>
          <w:sz w:val="18"/>
          <w:szCs w:val="18"/>
        </w:rPr>
        <w:t>46,913,784.54</w:t>
      </w:r>
      <w:r>
        <w:rPr>
          <w:rFonts w:ascii="SimSun" w:eastAsia="SimSun" w:hAnsi="SimSun" w:cs="SimSun"/>
          <w:color w:val="000000"/>
          <w:spacing w:val="0"/>
          <w:w w:val="100"/>
          <w:position w:val="0"/>
          <w:sz w:val="17"/>
          <w:szCs w:val="17"/>
        </w:rPr>
        <w:t>元确认为商誉。</w:t>
      </w:r>
    </w:p>
    <w:p>
      <w:pPr>
        <w:pStyle w:val="Style29"/>
        <w:keepNext w:val="0"/>
        <w:keepLines w:val="0"/>
        <w:widowControl w:val="0"/>
        <w:shd w:val="clear" w:color="auto" w:fill="auto"/>
        <w:tabs>
          <w:tab w:pos="841" w:val="left"/>
        </w:tabs>
        <w:bidi w:val="0"/>
        <w:spacing w:before="0" w:after="0" w:line="472" w:lineRule="exact"/>
        <w:ind w:left="0" w:right="0" w:firstLine="46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1,275</w:t>
      </w:r>
      <w:r>
        <w:rPr>
          <w:color w:val="000000"/>
          <w:spacing w:val="0"/>
          <w:w w:val="100"/>
          <w:position w:val="0"/>
        </w:rPr>
        <w:t>万元作为合并成本购买北京神州泰岳智能数据技术有限公司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的股权。合并成本 超过按比例获得的北京神州泰岳智能数据技术有限公司可辨认资产、负债公允价值的差额人民币</w:t>
      </w:r>
      <w:r>
        <w:rPr>
          <w:rFonts w:ascii="Times New Roman" w:eastAsia="Times New Roman" w:hAnsi="Times New Roman" w:cs="Times New Roman"/>
          <w:color w:val="000000"/>
          <w:spacing w:val="0"/>
          <w:w w:val="100"/>
          <w:position w:val="0"/>
          <w:sz w:val="18"/>
          <w:szCs w:val="18"/>
        </w:rPr>
        <w:t>33,027,608.12</w:t>
      </w:r>
      <w:r>
        <w:rPr>
          <w:color w:val="000000"/>
          <w:spacing w:val="0"/>
          <w:w w:val="100"/>
          <w:position w:val="0"/>
        </w:rPr>
        <w:t>元，确认为与 北京神州泰岳智能数据技术有限公司相关的商誉。</w:t>
      </w:r>
    </w:p>
    <w:p>
      <w:pPr>
        <w:pStyle w:val="Style29"/>
        <w:keepNext w:val="0"/>
        <w:keepLines w:val="0"/>
        <w:widowControl w:val="0"/>
        <w:shd w:val="clear" w:color="auto" w:fill="auto"/>
        <w:bidi w:val="0"/>
        <w:spacing w:before="0" w:after="0" w:line="475" w:lineRule="exact"/>
        <w:ind w:left="0" w:right="0" w:firstLine="46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121,500</w:t>
      </w:r>
      <w:r>
        <w:rPr>
          <w:color w:val="000000"/>
          <w:spacing w:val="0"/>
          <w:w w:val="100"/>
          <w:position w:val="0"/>
        </w:rPr>
        <w:t>万元作为合并成本购买天津壳木软件有限责任公司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的股权。合并成本超过 按比例获得的天津壳木软件有限责任公司可辨认资产、负债公允价值及确认递延所得税负债后的差额人民币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,085,618,741.77 </w:t>
      </w:r>
      <w:r>
        <w:rPr>
          <w:color w:val="000000"/>
          <w:spacing w:val="0"/>
          <w:w w:val="100"/>
          <w:position w:val="0"/>
        </w:rPr>
        <w:t>元，确认为与天津壳木软件有限责任公司相关的商誉。</w:t>
      </w:r>
    </w:p>
    <w:p>
      <w:pPr>
        <w:pStyle w:val="Style29"/>
        <w:keepNext w:val="0"/>
        <w:keepLines w:val="0"/>
        <w:widowControl w:val="0"/>
        <w:shd w:val="clear" w:color="auto" w:fill="auto"/>
        <w:tabs>
          <w:tab w:pos="850" w:val="left"/>
        </w:tabs>
        <w:bidi w:val="0"/>
        <w:spacing w:before="0" w:after="0" w:line="475" w:lineRule="exact"/>
        <w:ind w:left="0" w:right="0" w:firstLine="46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万元作为合并成本购买天津安纳西科技有限公司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的股权。合并成本超过按比 例获得的天津安纳西科技有限公司可辨认资产、负债公允价值及确认递延所得负债后的差额人民币</w:t>
      </w:r>
      <w:r>
        <w:rPr>
          <w:rFonts w:ascii="Times New Roman" w:eastAsia="Times New Roman" w:hAnsi="Times New Roman" w:cs="Times New Roman"/>
          <w:color w:val="000000"/>
          <w:spacing w:val="0"/>
          <w:w w:val="100"/>
          <w:position w:val="0"/>
          <w:sz w:val="18"/>
          <w:szCs w:val="18"/>
        </w:rPr>
        <w:t>72,341,201.7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元，确认为 与天津安纳西科技有限公司相关的商誉。</w:t>
      </w:r>
    </w:p>
    <w:p>
      <w:pPr>
        <w:pStyle w:val="Style29"/>
        <w:keepNext w:val="0"/>
        <w:keepLines w:val="0"/>
        <w:widowControl w:val="0"/>
        <w:shd w:val="clear" w:color="auto" w:fill="auto"/>
        <w:tabs>
          <w:tab w:pos="846" w:val="left"/>
        </w:tabs>
        <w:bidi w:val="0"/>
        <w:spacing w:before="0" w:after="0" w:line="472" w:lineRule="exact"/>
        <w:ind w:left="0" w:right="0" w:firstLine="46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万元作为合并成本购买宁波高新区捷远科技有限公司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的股权。合并成本超过按 比例获得的宁波高新区捷远科技有限公司可辨认资产、负债公允价值的差额人民币</w:t>
      </w:r>
      <w:r>
        <w:rPr>
          <w:rFonts w:ascii="Times New Roman" w:eastAsia="Times New Roman" w:hAnsi="Times New Roman" w:cs="Times New Roman"/>
          <w:color w:val="000000"/>
          <w:spacing w:val="0"/>
          <w:w w:val="100"/>
          <w:position w:val="0"/>
          <w:sz w:val="18"/>
          <w:szCs w:val="18"/>
        </w:rPr>
        <w:t>2,154,884.9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元，确认为与宁波高新区捷 远科技有限公司相关的商誉。</w:t>
      </w:r>
    </w:p>
    <w:p>
      <w:pPr>
        <w:pStyle w:val="Style29"/>
        <w:keepNext w:val="0"/>
        <w:keepLines w:val="0"/>
        <w:widowControl w:val="0"/>
        <w:shd w:val="clear" w:color="auto" w:fill="auto"/>
        <w:tabs>
          <w:tab w:pos="927" w:val="left"/>
        </w:tabs>
        <w:bidi w:val="0"/>
        <w:spacing w:before="0" w:after="460" w:line="472" w:lineRule="exact"/>
        <w:ind w:left="0" w:right="0" w:firstLine="46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万元作为合并成本购买中科鼎富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的股权。合并成本 超过按比例获得的中科鼎富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科技发展有限公司可辨认资产、负债公允价值及确认递延所得税负债后的差额 </w:t>
      </w:r>
      <w:r>
        <w:rPr>
          <w:rFonts w:ascii="Times New Roman" w:eastAsia="Times New Roman" w:hAnsi="Times New Roman" w:cs="Times New Roman"/>
          <w:color w:val="000000"/>
          <w:spacing w:val="0"/>
          <w:w w:val="100"/>
          <w:position w:val="0"/>
          <w:sz w:val="18"/>
          <w:szCs w:val="18"/>
        </w:rPr>
        <w:t>573,575,297.78</w:t>
      </w:r>
      <w:r>
        <w:rPr>
          <w:color w:val="000000"/>
          <w:spacing w:val="0"/>
          <w:w w:val="100"/>
          <w:position w:val="0"/>
        </w:rPr>
        <w:t>人民币元，确认为与中科鼎富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科技发展有限公司相关的商誉。</w:t>
      </w:r>
    </w:p>
    <w:p>
      <w:pPr>
        <w:pStyle w:val="Style47"/>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6"/>
      <w:bookmarkEnd w:id="1267"/>
      <w:bookmarkEnd w:id="12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1565"/>
        <w:gridCol w:w="1555"/>
        <w:gridCol w:w="1238"/>
        <w:gridCol w:w="1920"/>
      </w:tblGrid>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被投资单位名称或形成商誉的事项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天津壳木软件有限责任公司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40,716,000.00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40,716,000.00</w:t>
            </w:r>
          </w:p>
        </w:tc>
      </w:tr>
    </w:tbl>
    <w:p>
      <w:pPr>
        <w:widowControl w:val="0"/>
        <w:spacing w:line="1" w:lineRule="exact"/>
      </w:pPr>
      <w:r>
        <w:br w:type="page"/>
      </w:r>
    </w:p>
    <w:tbl>
      <w:tblPr>
        <w:tblOverlap w:val="never"/>
        <w:jc w:val="center"/>
        <w:tblLayout w:type="fixed"/>
      </w:tblPr>
      <w:tblGrid>
        <w:gridCol w:w="3432"/>
        <w:gridCol w:w="1570"/>
        <w:gridCol w:w="1550"/>
        <w:gridCol w:w="1238"/>
        <w:gridCol w:w="1910"/>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北京广通神州网络技术有限公司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42,753,600.00</w:t>
            </w:r>
          </w:p>
        </w:tc>
      </w:tr>
    </w:tbl>
    <w:p>
      <w:pPr>
        <w:pStyle w:val="Style35"/>
        <w:keepNext w:val="0"/>
        <w:keepLines w:val="0"/>
        <w:widowControl w:val="0"/>
        <w:shd w:val="clear" w:color="auto" w:fill="auto"/>
        <w:bidi w:val="0"/>
        <w:spacing w:before="0" w:after="0" w:line="240" w:lineRule="auto"/>
        <w:ind w:left="374" w:right="0" w:firstLine="0"/>
        <w:jc w:val="left"/>
      </w:pPr>
      <w:r>
        <w:rPr>
          <w:b/>
          <w:bCs/>
          <w:color w:val="000000"/>
          <w:spacing w:val="0"/>
          <w:w w:val="100"/>
          <w:position w:val="0"/>
        </w:rPr>
        <w:t>商誉减值测试的方法</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本公司采用预计未来现金流现值的方法计算资产组的可收回金额。本公司根据管理层批准的财务预算预计未来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 金流量，其后年度采用的现金流量增长率预计为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,不会超过资产组经营业务的长期平均增长率。管理层根据过往表现及其 对市场发展的预期编制上述财务预算。计算未来现金流现值所采用的税前折现率时考虑了债务成本、长期国债利率、市场预 期报酬率等因素，已反映了相对于有关分部的风险。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北京广通神州网络技术有限公司资产组组合的可收回金额是依据的五年预算和</w:t>
      </w:r>
      <w:r>
        <w:rPr>
          <w:rFonts w:ascii="Times New Roman" w:eastAsia="Times New Roman" w:hAnsi="Times New Roman" w:cs="Times New Roman"/>
          <w:color w:val="000000"/>
          <w:spacing w:val="0"/>
          <w:w w:val="100"/>
          <w:position w:val="0"/>
          <w:sz w:val="18"/>
          <w:szCs w:val="18"/>
        </w:rPr>
        <w:t>13.03%</w:t>
      </w:r>
      <w:r>
        <w:rPr>
          <w:color w:val="000000"/>
          <w:spacing w:val="0"/>
          <w:w w:val="100"/>
          <w:position w:val="0"/>
        </w:rPr>
        <w:t>的折现率预计未来现金流量的现 值，超过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年财务预算之后年份的现金流量均保持稳定。</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减值测试中的其他关键假设包括：营业收入、毛利率及其他相关费用，管理层根据历史经验及对市场发展的预测确定相 关关键假设。</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基于上述测试结果，本公司管理层于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日对北京广通神州网络技术有限公司资产组的商誉计提减值准备 </w:t>
      </w:r>
      <w:r>
        <w:rPr>
          <w:rFonts w:ascii="Times New Roman" w:eastAsia="Times New Roman" w:hAnsi="Times New Roman" w:cs="Times New Roman"/>
          <w:color w:val="000000"/>
          <w:spacing w:val="0"/>
          <w:w w:val="100"/>
          <w:position w:val="0"/>
          <w:sz w:val="18"/>
          <w:szCs w:val="18"/>
        </w:rPr>
        <w:t>2,037,600.00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9"/>
      <w:bookmarkEnd w:id="1270"/>
      <w:bookmarkEnd w:id="12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租入办公场所装修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2,528,343.57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1,414,877.85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2,615,847.14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游戏授权金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14,640,729.27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16,461,694.99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13,038,577.00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654,928.09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17,408,919.17</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17,169,072.84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17,876,572.84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14,371,092.69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649,786.68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20,024,766.31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3"/>
      <w:bookmarkEnd w:id="1274"/>
      <w:bookmarkEnd w:id="1276"/>
    </w:p>
    <w:p>
      <w:pPr>
        <w:pStyle w:val="Style47"/>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7"/>
      <w:bookmarkEnd w:id="1278"/>
      <w:bookmarkEnd w:id="127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BFBFB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、资产减值准备形成的 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112,391,077.79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19,313,721.87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90,339,323.07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14,619,506.17</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、计提质保金形成的可 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16,965,454.78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2,535,754.18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17,175,322.69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2,559,439.81</w:t>
            </w:r>
          </w:p>
        </w:tc>
      </w:tr>
      <w:tr>
        <w:trPr>
          <w:trHeight w:val="68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、其他非流动负债（递 延收益）形成的可抵扣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5,455,083.82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818,262.57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20,470,009.06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3,070,501.36</w:t>
            </w:r>
          </w:p>
        </w:tc>
      </w:tr>
    </w:tbl>
    <w:p>
      <w:pPr>
        <w:widowControl w:val="0"/>
        <w:spacing w:line="1" w:lineRule="exact"/>
      </w:pPr>
      <w:r>
        <w:br w:type="page"/>
      </w:r>
    </w:p>
    <w:tbl>
      <w:tblPr>
        <w:tblOverlap w:val="never"/>
        <w:jc w:val="center"/>
        <w:tblLayout w:type="fixed"/>
      </w:tblPr>
      <w:tblGrid>
        <w:gridCol w:w="1915"/>
        <w:gridCol w:w="1915"/>
        <w:gridCol w:w="1910"/>
        <w:gridCol w:w="1920"/>
        <w:gridCol w:w="1925"/>
      </w:tblGrid>
      <w:tr>
        <w:trPr>
          <w:trHeight w:val="38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、已计提未支付的奖金 形成的可抵扣暂时性差 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57,275,339.89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8,894,365.40</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、内部销售未实现毛利 形成的可抵扣暂时性差 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23,205,228.79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3,480,784.32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2,337,473.59</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158,016,845.18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26,148,522.94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200,843,151.95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31,481,286.33</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80"/>
      <w:bookmarkEnd w:id="1281"/>
      <w:bookmarkEnd w:id="128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18,611,569.32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17,875,609.17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2,316,828.12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18,611,569.32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2,464,563.66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17,875,609.17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2,316,828.12</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83"/>
      <w:bookmarkEnd w:id="1284"/>
      <w:bookmarkEnd w:id="128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26,148,522.94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31,481,286.33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2,464,563.66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2,316,828.12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87"/>
      <w:bookmarkEnd w:id="1288"/>
      <w:bookmarkEnd w:id="129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人才公寓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865,532.67</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预付采购软件款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1,177,358.50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2,042,891.17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865,532.67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91"/>
      <w:bookmarkEnd w:id="1292"/>
      <w:bookmarkEnd w:id="1294"/>
    </w:p>
    <w:p>
      <w:pPr>
        <w:pStyle w:val="Style47"/>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5"/>
      <w:bookmarkEnd w:id="1296"/>
      <w:bookmarkEnd w:id="1297"/>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299,994,705.00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79,691,401.00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109,913,814.00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414,686,106.00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109,913,814.00</w:t>
            </w:r>
          </w:p>
        </w:tc>
      </w:tr>
    </w:tbl>
    <w:p>
      <w:pPr>
        <w:widowControl w:val="0"/>
        <w:spacing w:after="319" w:line="1" w:lineRule="exact"/>
      </w:pPr>
    </w:p>
    <w:p>
      <w:pPr>
        <w:pStyle w:val="Style39"/>
        <w:keepNext/>
        <w:keepLines/>
        <w:widowControl w:val="0"/>
        <w:shd w:val="clear" w:color="auto" w:fill="auto"/>
        <w:tabs>
          <w:tab w:pos="483" w:val="left"/>
        </w:tabs>
        <w:bidi w:val="0"/>
        <w:spacing w:before="0" w:after="4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98"/>
      <w:bookmarkEnd w:id="1299"/>
      <w:bookmarkEnd w:id="1301"/>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4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02"/>
      <w:bookmarkEnd w:id="1303"/>
      <w:bookmarkEnd w:id="1305"/>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06"/>
      <w:bookmarkEnd w:id="1307"/>
      <w:bookmarkEnd w:id="13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61,900,080.00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61,900,080.00</w:t>
            </w:r>
          </w:p>
        </w:tc>
      </w:tr>
    </w:tbl>
    <w:p>
      <w:pPr>
        <w:widowControl w:val="0"/>
        <w:spacing w:after="179" w:line="1" w:lineRule="exact"/>
      </w:pP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10"/>
      <w:bookmarkEnd w:id="1311"/>
      <w:bookmarkEnd w:id="1313"/>
    </w:p>
    <w:p>
      <w:pPr>
        <w:pStyle w:val="Style47"/>
        <w:keepNext/>
        <w:keepLines/>
        <w:widowControl w:val="0"/>
        <w:shd w:val="clear" w:color="auto" w:fill="auto"/>
        <w:bidi w:val="0"/>
        <w:spacing w:before="0" w:line="240" w:lineRule="auto"/>
        <w:ind w:left="0" w:right="0" w:firstLine="14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4"/>
      <w:bookmarkEnd w:id="1315"/>
      <w:bookmarkEnd w:id="131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173,220,208.63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144,685,628.21</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173,220,208.63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144,685,628.21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17"/>
      <w:bookmarkEnd w:id="1318"/>
      <w:bookmarkEnd w:id="1320"/>
    </w:p>
    <w:p>
      <w:pPr>
        <w:pStyle w:val="Style47"/>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21"/>
      <w:bookmarkEnd w:id="1322"/>
      <w:bookmarkEnd w:id="13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93,288,935.79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110,825,561.31</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14" behindDoc="0" locked="0" layoutInCell="1" allowOverlap="1">
                <wp:simplePos x="0" y="0"/>
                <wp:positionH relativeFrom="page">
                  <wp:posOffset>725170</wp:posOffset>
                </wp:positionH>
                <wp:positionV relativeFrom="paragraph">
                  <wp:posOffset>0</wp:posOffset>
                </wp:positionV>
                <wp:extent cx="252730" cy="149225"/>
                <wp:wrapTopAndBottom/>
                <wp:docPr id="243" name="Shape 24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269" type="#_x0000_t202" style="position:absolute;margin-left:57.100000000000001pt;margin-top:0;width:19.900000000000002pt;height:11.75pt;z-index:-125829339;mso-wrap-distance-left:0;mso-wrap-distance-right:0;mso-wrap-distance-bottom:1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89865" distL="0" distR="0" simplePos="0" relativeHeight="125829416" behindDoc="0" locked="0" layoutInCell="1" allowOverlap="1">
                <wp:simplePos x="0" y="0"/>
                <wp:positionH relativeFrom="page">
                  <wp:posOffset>4084320</wp:posOffset>
                </wp:positionH>
                <wp:positionV relativeFrom="paragraph">
                  <wp:posOffset>6350</wp:posOffset>
                </wp:positionV>
                <wp:extent cx="682625" cy="143510"/>
                <wp:wrapTopAndBottom/>
                <wp:docPr id="245" name="Shape 245"/>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93,288,935.79</w:t>
                            </w:r>
                          </w:p>
                        </w:txbxContent>
                      </wps:txbx>
                      <wps:bodyPr wrap="none" lIns="0" tIns="0" rIns="0" bIns="0">
                        <a:noAutoFit/>
                      </wps:bodyPr>
                    </wps:wsp>
                  </a:graphicData>
                </a:graphic>
              </wp:anchor>
            </w:drawing>
          </mc:Choice>
          <mc:Fallback>
            <w:pict>
              <v:shape id="_x0000_s1271" type="#_x0000_t202" style="position:absolute;margin-left:321.60000000000002pt;margin-top:0.5pt;width:53.75pt;height:11.300000000000001pt;z-index:-125829337;mso-wrap-distance-left:0;mso-wrap-distance-top:0.5pt;mso-wrap-distance-right:0;mso-wrap-distance-bottom:14.95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93,288,935.79</w:t>
                      </w:r>
                    </w:p>
                  </w:txbxContent>
                </v:textbox>
                <w10:wrap type="topAndBottom" anchorx="page"/>
              </v:shape>
            </w:pict>
          </mc:Fallback>
        </mc:AlternateContent>
      </w:r>
      <w:r>
        <mc:AlternateContent>
          <mc:Choice Requires="wps">
            <w:drawing>
              <wp:anchor distT="6350" distB="189865" distL="0" distR="0" simplePos="0" relativeHeight="125829418" behindDoc="0" locked="0" layoutInCell="1" allowOverlap="1">
                <wp:simplePos x="0" y="0"/>
                <wp:positionH relativeFrom="page">
                  <wp:posOffset>6062345</wp:posOffset>
                </wp:positionH>
                <wp:positionV relativeFrom="paragraph">
                  <wp:posOffset>6350</wp:posOffset>
                </wp:positionV>
                <wp:extent cx="728345" cy="143510"/>
                <wp:wrapTopAndBottom/>
                <wp:docPr id="247" name="Shape 247"/>
                <a:graphic xmlns:a="http://schemas.openxmlformats.org/drawingml/2006/main">
                  <a:graphicData uri="http://schemas.microsoft.com/office/word/2010/wordprocessingShape">
                    <wps:wsp>
                      <wps:cNvSpPr txBox="1"/>
                      <wps:spPr>
                        <a:xfrm>
                          <a:ext cx="728345" cy="143510"/>
                        </a:xfrm>
                        <a:prstGeom prst="rect"/>
                        <a:noFill/>
                      </wps:spPr>
                      <wps:txbx>
                        <w:txbxContent>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110,825,561.31</w:t>
                            </w:r>
                          </w:p>
                        </w:txbxContent>
                      </wps:txbx>
                      <wps:bodyPr wrap="none" lIns="0" tIns="0" rIns="0" bIns="0">
                        <a:noAutoFit/>
                      </wps:bodyPr>
                    </wps:wsp>
                  </a:graphicData>
                </a:graphic>
              </wp:anchor>
            </w:drawing>
          </mc:Choice>
          <mc:Fallback>
            <w:pict>
              <v:shape id="_x0000_s1273" type="#_x0000_t202" style="position:absolute;margin-left:477.35000000000002pt;margin-top:0.5pt;width:57.350000000000001pt;height:11.300000000000001pt;z-index:-125829335;mso-wrap-distance-left:0;mso-wrap-distance-top:0.5pt;mso-wrap-distance-right:0;mso-wrap-distance-bottom:14.950000000000001pt;mso-position-horizontal-relative:page" filled="f" stroked="f">
                <v:textbox inset="0,0,0,0">
                  <w:txbxContent>
                    <w:p>
                      <w:pPr>
                        <w:pStyle w:val="Style6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110,825,561.31</w:t>
                      </w:r>
                    </w:p>
                  </w:txbxContent>
                </v:textbox>
                <w10:wrap type="topAndBottom" anchorx="page"/>
              </v:shape>
            </w:pict>
          </mc:Fallback>
        </mc:AlternateContent>
      </w:r>
    </w:p>
    <w:p>
      <w:pPr>
        <w:pStyle w:val="Style39"/>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24"/>
      <w:bookmarkEnd w:id="1325"/>
      <w:bookmarkEnd w:id="1327"/>
    </w:p>
    <w:p>
      <w:pPr>
        <w:pStyle w:val="Style47"/>
        <w:keepNext/>
        <w:keepLines/>
        <w:widowControl w:val="0"/>
        <w:shd w:val="clear" w:color="auto" w:fill="auto"/>
        <w:bidi w:val="0"/>
        <w:spacing w:before="0" w:after="360" w:line="240" w:lineRule="auto"/>
        <w:ind w:left="0" w:right="0" w:firstLine="14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8"/>
      <w:bookmarkEnd w:id="1329"/>
      <w:bookmarkEnd w:id="133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86,687,467.92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680,704,180.83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675,394,608.09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91,997,040.66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2,058,699.76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28,748,055.57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28,536,513.86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2,270,241.47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88,746,167.68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709,452,236.40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703,931,121.95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94,267,282.13</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14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31"/>
      <w:bookmarkEnd w:id="1332"/>
      <w:bookmarkEnd w:id="13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83,007,829.62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609,542,683.06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605,157,309.42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87,393,203.26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16,729,351.17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15,955,152.42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1,182,878.98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1,364,496.49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20,074,796.88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19,825,352.22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1,613,941.15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1,220,444.99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18,201,112.67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17,967,708.02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1,453,849.64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47,028.52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113,062.99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1,597,322.79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33,087,886.46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33,073,668.60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1,611,540.65</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618,631.89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189,269.75</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、境外社保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86,687,467.92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680,704,180.83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675,394,608.09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91,997,040.66</w:t>
            </w:r>
          </w:p>
        </w:tc>
      </w:tr>
    </w:tbl>
    <w:p>
      <w:pPr>
        <w:widowControl w:val="0"/>
        <w:spacing w:after="319" w:line="1" w:lineRule="exact"/>
      </w:pPr>
    </w:p>
    <w:p>
      <w:pPr>
        <w:pStyle w:val="Style47"/>
        <w:keepNext/>
        <w:keepLines/>
        <w:widowControl w:val="0"/>
        <w:numPr>
          <w:ilvl w:val="0"/>
          <w:numId w:val="41"/>
        </w:numPr>
        <w:shd w:val="clear" w:color="auto" w:fill="auto"/>
        <w:bidi w:val="0"/>
        <w:spacing w:before="0" w:after="360" w:line="240" w:lineRule="auto"/>
        <w:ind w:left="0" w:right="0" w:firstLine="1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设定提存计划列示</w:t>
      </w:r>
      <w:bookmarkEnd w:id="1334"/>
      <w:bookmarkEnd w:id="1335"/>
      <w:bookmarkEnd w:id="13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1,949,870.04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27,488,601.41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27,260,660.21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2,177,811.24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1,259,454.16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92,430.23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2,058,699.76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28,748,055.57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28,536,513.86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2,270,241.47</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38"/>
      <w:bookmarkEnd w:id="1339"/>
      <w:bookmarkEnd w:id="13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44,365,236.87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44,732,549.78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32,676,227.55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32,630,619.06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125,075,127.67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6,166,916.43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1,664,098.06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1,718,371.75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137,186.78</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1,037,519.84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125,081.46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2,650,487.18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489,506.12</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207,502,502.14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87,037,751.22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42"/>
      <w:bookmarkEnd w:id="1343"/>
      <w:bookmarkEnd w:id="134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1,091,750.00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超短期融资券应付利息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7,340,277.78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8,474,319.45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46"/>
      <w:bookmarkEnd w:id="1347"/>
      <w:bookmarkEnd w:id="1349"/>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50"/>
      <w:bookmarkEnd w:id="1351"/>
      <w:bookmarkEnd w:id="1353"/>
    </w:p>
    <w:p>
      <w:pPr>
        <w:pStyle w:val="Style47"/>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54"/>
      <w:bookmarkEnd w:id="1355"/>
      <w:bookmarkEnd w:id="13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应付股权收购款项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116,833,333.33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222,291,666.67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其他非大额、非特殊往来款项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36,919,865.84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20,990,538.55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12,083,547.04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9,788,848.90</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2,938,981.00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2,452,653.15</w:t>
            </w:r>
          </w:p>
        </w:tc>
      </w:tr>
    </w:tbl>
    <w:p>
      <w:pPr>
        <w:widowControl w:val="0"/>
        <w:spacing w:line="1" w:lineRule="exact"/>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6,408,652.39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3,873,505.61</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175,184,379.60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259,397,212.88</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57"/>
      <w:bookmarkEnd w:id="1358"/>
      <w:bookmarkEnd w:id="1360"/>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61"/>
      <w:bookmarkEnd w:id="1362"/>
      <w:bookmarkEnd w:id="136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2,321,106.60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2,321,106.60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65"/>
      <w:bookmarkEnd w:id="1366"/>
      <w:bookmarkEnd w:id="136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15,905,926.84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超短期融资券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15,905,926.84</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69"/>
      <w:bookmarkEnd w:id="1370"/>
      <w:bookmarkEnd w:id="1372"/>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73"/>
      <w:bookmarkEnd w:id="1374"/>
      <w:bookmarkEnd w:id="1376"/>
    </w:p>
    <w:p>
      <w:pPr>
        <w:pStyle w:val="Style47"/>
        <w:keepNext/>
        <w:keepLines/>
        <w:widowControl w:val="0"/>
        <w:shd w:val="clear" w:color="auto" w:fill="auto"/>
        <w:bidi w:val="0"/>
        <w:spacing w:before="0" w:line="240" w:lineRule="auto"/>
        <w:ind w:left="0" w:right="0" w:firstLine="0"/>
        <w:jc w:val="both"/>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77"/>
      <w:bookmarkEnd w:id="1378"/>
      <w:bookmarkEnd w:id="137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297,375,433.30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297,375,433.30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80"/>
      <w:bookmarkEnd w:id="1381"/>
      <w:bookmarkEnd w:id="138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88"/>
        <w:gridCol w:w="878"/>
        <w:gridCol w:w="883"/>
        <w:gridCol w:w="883"/>
        <w:gridCol w:w="878"/>
        <w:gridCol w:w="883"/>
        <w:gridCol w:w="878"/>
        <w:gridCol w:w="883"/>
        <w:gridCol w:w="878"/>
        <w:gridCol w:w="883"/>
        <w:gridCol w:w="88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按面值计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溢折价摊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888"/>
        <w:gridCol w:w="878"/>
        <w:gridCol w:w="883"/>
        <w:gridCol w:w="883"/>
        <w:gridCol w:w="878"/>
        <w:gridCol w:w="883"/>
        <w:gridCol w:w="878"/>
        <w:gridCol w:w="883"/>
        <w:gridCol w:w="878"/>
        <w:gridCol w:w="883"/>
        <w:gridCol w:w="888"/>
      </w:tblGrid>
      <w:tr>
        <w:trPr>
          <w:trHeight w:val="38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销</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2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 泰岳软件 股份有限 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年度第一 期中期票 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297,375,43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297,375,43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83"/>
      <w:bookmarkEnd w:id="1384"/>
      <w:bookmarkEnd w:id="1386"/>
    </w:p>
    <w:p>
      <w:pPr>
        <w:pStyle w:val="Style47"/>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87"/>
      <w:bookmarkEnd w:id="1388"/>
      <w:bookmarkEnd w:id="138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应付中期票据融资费用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90"/>
      <w:bookmarkEnd w:id="1391"/>
      <w:bookmarkEnd w:id="1393"/>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4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94"/>
      <w:bookmarkEnd w:id="1395"/>
      <w:bookmarkEnd w:id="139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98"/>
      <w:bookmarkEnd w:id="1399"/>
      <w:bookmarkEnd w:id="140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17,773,113.14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18,043,501.68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17,773,113.14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18,043,501.68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02"/>
      <w:bookmarkEnd w:id="1403"/>
      <w:bookmarkEnd w:id="14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22,940,009.06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3,197,776.67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18,267,331.91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7,870,453.82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2,911,128.45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1,750,808.81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1,160,319.64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预收管理费</w:t>
            </w:r>
          </w:p>
        </w:tc>
      </w:tr>
    </w:tbl>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69" w:right="982" w:bottom="1340" w:left="986" w:header="0" w:footer="3" w:gutter="0"/>
          <w:cols w:space="720"/>
          <w:noEndnote/>
          <w:rtlGutter w:val="0"/>
          <w:docGrid w:linePitch="360"/>
        </w:sectPr>
      </w:pPr>
    </w:p>
    <w:tbl>
      <w:tblPr>
        <w:tblOverlap w:val="never"/>
        <w:jc w:val="center"/>
        <w:tblLayout w:type="fixed"/>
      </w:tblPr>
      <w:tblGrid>
        <w:gridCol w:w="1594"/>
        <w:gridCol w:w="1598"/>
        <w:gridCol w:w="1598"/>
        <w:gridCol w:w="1594"/>
        <w:gridCol w:w="1594"/>
        <w:gridCol w:w="1603"/>
      </w:tblGrid>
      <w:tr>
        <w:trPr>
          <w:trHeight w:val="4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22,940,009.06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6,108,905.12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20,018,140.72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9,030,773.46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131"/>
        <w:gridCol w:w="1613"/>
        <w:gridCol w:w="1104"/>
        <w:gridCol w:w="1162"/>
        <w:gridCol w:w="1118"/>
        <w:gridCol w:w="1080"/>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 外收入金额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400" w:right="0" w:hanging="40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 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农作物信息与气象服务智 能联动综合管理平台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重庆农信涉及信息垂直搜 索引擎云平台升级改造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349,963.74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基于复杂信息系统的大数 据智能运维分析与管理平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11,122,055.56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7,097,335.48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4,024,720.08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基于服务引擎的复杂信息 系统一体化智能运维平台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5,556,504.66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5,556,504.66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2,361,085.10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2,361,085.10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收到中关村企业信用促进 会中介服务资金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收到国际知识产权局专利 局北京代办处专利资助金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收北京市商务委员会外经 贸发展专项资金补贴款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收到北京市科学技术委员 会科技服务业专项补贴（大 数据智能监控与运维平台 研发及产业化项目）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收到中关村科技园区海淀 园管理委员会专利商用化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收到北京市海淀区商务委 员会资金补贴（北京市总部 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收到北京市国有文化资产 监督管理办公室文创产业 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年重大专项《面向移 动互联网的网络协同及融 合体系与关键技术研究》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煤矿典型动力灾害风险判 识及监控预警技术研究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96,370.00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2131"/>
        <w:gridCol w:w="1613"/>
        <w:gridCol w:w="1104"/>
        <w:gridCol w:w="1162"/>
        <w:gridCol w:w="1114"/>
        <w:gridCol w:w="1085"/>
        <w:gridCol w:w="1378"/>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高桥镇补助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287,602.00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287,602.00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年度鄞州区总部经济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发展专项资金补助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大学生社保补助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收到鄞州区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年度稳增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促调专项资金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收重庆知识产权局专利补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收重庆两江财政局区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年个税返还补贴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178,989.67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178,989.67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电动汽车智能交互系统研 制及产业化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面向精确定位与移动通信 的智慧线设备研制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22,940,009.06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3,197,776.67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18,267,331.91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7,870,453.82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4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06"/>
      <w:bookmarkEnd w:id="1407"/>
      <w:bookmarkEnd w:id="1409"/>
    </w:p>
    <w:p>
      <w:pPr>
        <w:pStyle w:val="Style29"/>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10"/>
      <w:bookmarkEnd w:id="1411"/>
      <w:bookmarkEnd w:id="141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1373"/>
        <w:gridCol w:w="1090"/>
        <w:gridCol w:w="1262"/>
        <w:gridCol w:w="1008"/>
        <w:gridCol w:w="1301"/>
        <w:gridCol w:w="1301"/>
        <w:gridCol w:w="143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限制性股票回 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1,994,479,926.00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-5,884,617.00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-29,524,590.00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-33,387,942.00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1,961,091,984.00</w:t>
            </w: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本期股本变动情况及说明：</w:t>
      </w:r>
    </w:p>
    <w:p>
      <w:pPr>
        <w:pStyle w:val="Style29"/>
        <w:keepNext w:val="0"/>
        <w:keepLines w:val="0"/>
        <w:widowControl w:val="0"/>
        <w:shd w:val="clear" w:color="auto" w:fill="auto"/>
        <w:tabs>
          <w:tab w:pos="334" w:val="left"/>
        </w:tabs>
        <w:bidi w:val="0"/>
        <w:spacing w:before="0" w:after="0" w:line="322" w:lineRule="exact"/>
        <w:ind w:left="0" w:right="0" w:firstLine="0"/>
        <w:jc w:val="both"/>
      </w:pPr>
      <w:bookmarkStart w:id="1413" w:name="bookmark1413"/>
      <w:r>
        <w:rPr>
          <w:rFonts w:ascii="Times New Roman" w:eastAsia="Times New Roman" w:hAnsi="Times New Roman" w:cs="Times New Roman"/>
          <w:color w:val="000000"/>
          <w:spacing w:val="0"/>
          <w:w w:val="100"/>
          <w:position w:val="0"/>
          <w:sz w:val="18"/>
          <w:szCs w:val="18"/>
        </w:rPr>
        <w:t>1</w:t>
      </w:r>
      <w:bookmarkEnd w:id="1413"/>
      <w:r>
        <w:rPr>
          <w:color w:val="000000"/>
          <w:spacing w:val="0"/>
          <w:w w:val="100"/>
          <w:position w:val="0"/>
        </w:rPr>
        <w:t>、</w:t>
        <w:tab/>
        <w:t>报告期内，公司股权激励计划第三期股票期权行权条件已满足，截止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日，因行权新增股份</w:t>
      </w:r>
      <w:r>
        <w:rPr>
          <w:rFonts w:ascii="Times New Roman" w:eastAsia="Times New Roman" w:hAnsi="Times New Roman" w:cs="Times New Roman"/>
          <w:color w:val="000000"/>
          <w:spacing w:val="0"/>
          <w:w w:val="100"/>
          <w:position w:val="0"/>
          <w:sz w:val="18"/>
          <w:szCs w:val="18"/>
        </w:rPr>
        <w:t>2,021,265</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0" w:line="322" w:lineRule="exact"/>
        <w:ind w:left="0" w:right="0" w:firstLine="0"/>
        <w:jc w:val="both"/>
      </w:pPr>
      <w:bookmarkStart w:id="1414" w:name="bookmark1414"/>
      <w:r>
        <w:rPr>
          <w:rFonts w:ascii="Times New Roman" w:eastAsia="Times New Roman" w:hAnsi="Times New Roman" w:cs="Times New Roman"/>
          <w:color w:val="000000"/>
          <w:spacing w:val="0"/>
          <w:w w:val="100"/>
          <w:position w:val="0"/>
          <w:sz w:val="18"/>
          <w:szCs w:val="18"/>
        </w:rPr>
        <w:t>2</w:t>
      </w:r>
      <w:bookmarkEnd w:id="1414"/>
      <w:r>
        <w:rPr>
          <w:color w:val="000000"/>
          <w:spacing w:val="0"/>
          <w:w w:val="100"/>
          <w:position w:val="0"/>
        </w:rPr>
        <w:t>、</w:t>
        <w:tab/>
        <w:t>报告期内，因员工离职，公司注销第三期限制性股票，股本减少</w:t>
      </w:r>
      <w:r>
        <w:rPr>
          <w:rFonts w:ascii="Times New Roman" w:eastAsia="Times New Roman" w:hAnsi="Times New Roman" w:cs="Times New Roman"/>
          <w:color w:val="000000"/>
          <w:spacing w:val="0"/>
          <w:w w:val="100"/>
          <w:position w:val="0"/>
          <w:sz w:val="18"/>
          <w:szCs w:val="18"/>
        </w:rPr>
        <w:t>513,323</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0" w:line="322" w:lineRule="exact"/>
        <w:ind w:left="0" w:right="0" w:firstLine="0"/>
        <w:jc w:val="both"/>
      </w:pPr>
      <w:bookmarkStart w:id="1415" w:name="bookmark1415"/>
      <w:r>
        <w:rPr>
          <w:rFonts w:ascii="Times New Roman" w:eastAsia="Times New Roman" w:hAnsi="Times New Roman" w:cs="Times New Roman"/>
          <w:color w:val="000000"/>
          <w:spacing w:val="0"/>
          <w:w w:val="100"/>
          <w:position w:val="0"/>
          <w:sz w:val="18"/>
          <w:szCs w:val="18"/>
        </w:rPr>
        <w:t>3</w:t>
      </w:r>
      <w:bookmarkEnd w:id="1415"/>
      <w:r>
        <w:rPr>
          <w:color w:val="000000"/>
          <w:spacing w:val="0"/>
          <w:w w:val="100"/>
          <w:position w:val="0"/>
        </w:rPr>
        <w:t>、</w:t>
        <w:tab/>
        <w:t>报告期内，因公司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年度业绩未到达解锁条件，公司注销第四期限制性股票，股本减少</w:t>
      </w:r>
      <w:r>
        <w:rPr>
          <w:rFonts w:ascii="Times New Roman" w:eastAsia="Times New Roman" w:hAnsi="Times New Roman" w:cs="Times New Roman"/>
          <w:color w:val="000000"/>
          <w:spacing w:val="0"/>
          <w:w w:val="100"/>
          <w:position w:val="0"/>
          <w:sz w:val="18"/>
          <w:szCs w:val="18"/>
        </w:rPr>
        <w:t>5,371,294</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380" w:line="322" w:lineRule="exact"/>
        <w:ind w:left="0" w:right="0" w:firstLine="0"/>
        <w:jc w:val="both"/>
      </w:pPr>
      <w:bookmarkStart w:id="1416" w:name="bookmark1416"/>
      <w:r>
        <w:rPr>
          <w:rFonts w:ascii="Times New Roman" w:eastAsia="Times New Roman" w:hAnsi="Times New Roman" w:cs="Times New Roman"/>
          <w:color w:val="000000"/>
          <w:spacing w:val="0"/>
          <w:w w:val="100"/>
          <w:position w:val="0"/>
          <w:sz w:val="18"/>
          <w:szCs w:val="18"/>
        </w:rPr>
        <w:t>4</w:t>
      </w:r>
      <w:bookmarkEnd w:id="14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年度股东大会审议通过了关于发行股份及支付现金购买资产业绩承诺补偿方案暨定向回购李 毅、李章晶及天津骆壳应补偿公司股份的方案。公司因承诺人补偿的相关股份注销手续办理完毕，股本减少</w:t>
      </w:r>
      <w:r>
        <w:rPr>
          <w:rFonts w:ascii="Times New Roman" w:eastAsia="Times New Roman" w:hAnsi="Times New Roman" w:cs="Times New Roman"/>
          <w:color w:val="000000"/>
          <w:spacing w:val="0"/>
          <w:w w:val="100"/>
          <w:position w:val="0"/>
          <w:sz w:val="18"/>
          <w:szCs w:val="18"/>
        </w:rPr>
        <w:t>29,524,590</w:t>
      </w:r>
      <w:r>
        <w:rPr>
          <w:color w:val="000000"/>
          <w:spacing w:val="0"/>
          <w:w w:val="100"/>
          <w:position w:val="0"/>
        </w:rPr>
        <w:t>股。</w:t>
      </w:r>
    </w:p>
    <w:p>
      <w:pPr>
        <w:pStyle w:val="Style39"/>
        <w:keepNext/>
        <w:keepLines/>
        <w:widowControl w:val="0"/>
        <w:shd w:val="clear" w:color="auto" w:fill="auto"/>
        <w:bidi w:val="0"/>
        <w:spacing w:before="0" w:after="48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17"/>
      <w:bookmarkEnd w:id="1418"/>
      <w:bookmarkEnd w:id="1420"/>
    </w:p>
    <w:p>
      <w:pPr>
        <w:pStyle w:val="Style29"/>
        <w:keepNext w:val="0"/>
        <w:keepLines w:val="0"/>
        <w:widowControl w:val="0"/>
        <w:shd w:val="clear" w:color="auto" w:fill="auto"/>
        <w:bidi w:val="0"/>
        <w:spacing w:before="0" w:after="42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21"/>
      <w:bookmarkEnd w:id="1422"/>
      <w:bookmarkEnd w:id="14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472,039,238.76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38,679,020.57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145,625,927.15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365,092,332.18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52,649,224.27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12,738,479.56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524,688,463.03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39,803,344.28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186,660,995.57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377,830,811.74</w:t>
            </w:r>
          </w:p>
        </w:tc>
      </w:tr>
    </w:tbl>
    <w:p>
      <w:pPr>
        <w:pStyle w:val="Style35"/>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、股本溢价本期变动为:</w:t>
      </w:r>
    </w:p>
    <w:p>
      <w:pPr>
        <w:pStyle w:val="Style29"/>
        <w:keepNext w:val="0"/>
        <w:keepLines w:val="0"/>
        <w:widowControl w:val="0"/>
        <w:shd w:val="clear" w:color="auto" w:fill="auto"/>
        <w:bidi w:val="0"/>
        <w:spacing w:before="0" w:after="0" w:line="470" w:lineRule="exact"/>
        <w:ind w:left="0" w:right="0"/>
        <w:jc w:val="both"/>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报告期内，公司股权激励计划第三期股票期权行权条件已满足，自然人行权的股数为</w:t>
      </w:r>
      <w:r>
        <w:rPr>
          <w:rFonts w:ascii="Times New Roman" w:eastAsia="Times New Roman" w:hAnsi="Times New Roman" w:cs="Times New Roman"/>
          <w:color w:val="000000"/>
          <w:spacing w:val="0"/>
          <w:w w:val="100"/>
          <w:position w:val="0"/>
          <w:sz w:val="18"/>
          <w:szCs w:val="18"/>
        </w:rPr>
        <w:t>2,021,265</w:t>
      </w:r>
      <w:r>
        <w:rPr>
          <w:color w:val="000000"/>
          <w:spacing w:val="0"/>
          <w:w w:val="100"/>
          <w:position w:val="0"/>
        </w:rPr>
        <w:t xml:space="preserve">股，其中溢价部分 </w:t>
      </w:r>
      <w:r>
        <w:rPr>
          <w:rFonts w:ascii="Times New Roman" w:eastAsia="Times New Roman" w:hAnsi="Times New Roman" w:cs="Times New Roman"/>
          <w:color w:val="000000"/>
          <w:spacing w:val="0"/>
          <w:w w:val="100"/>
          <w:position w:val="0"/>
          <w:sz w:val="18"/>
          <w:szCs w:val="18"/>
        </w:rPr>
        <w:t>5,174,438.4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报告期内，处置控股子公司奇点新源国际技术开发（北京）有限公司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股权价款与处置部分股权应享有被投资单 位自购买日开始持续计算的可辨认净资产份额的差额，计入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”689,513.75</w:t>
      </w:r>
      <w:r>
        <w:rPr>
          <w:color w:val="000000"/>
          <w:spacing w:val="0"/>
          <w:w w:val="100"/>
          <w:position w:val="0"/>
        </w:rPr>
        <w:t>元</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报告期内，已解锁的限制性股票和已行权的股票期权对应的原记入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的股权激励费 </w:t>
      </w:r>
      <w:r>
        <w:rPr>
          <w:rFonts w:ascii="Times New Roman" w:eastAsia="Times New Roman" w:hAnsi="Times New Roman" w:cs="Times New Roman"/>
          <w:color w:val="000000"/>
          <w:spacing w:val="0"/>
          <w:w w:val="100"/>
          <w:position w:val="0"/>
          <w:sz w:val="18"/>
          <w:szCs w:val="18"/>
        </w:rPr>
        <w:t>32,815,068.4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793" w:val="left"/>
        </w:tabs>
        <w:bidi w:val="0"/>
        <w:spacing w:before="0" w:after="0" w:line="470" w:lineRule="exact"/>
        <w:ind w:left="0" w:right="0"/>
        <w:jc w:val="both"/>
      </w:pPr>
      <w:bookmarkStart w:id="1428" w:name="bookmark1428"/>
      <w:r>
        <w:rPr>
          <w:color w:val="000000"/>
          <w:spacing w:val="0"/>
          <w:w w:val="100"/>
          <w:position w:val="0"/>
        </w:rPr>
        <w:t>（</w:t>
      </w:r>
      <w:bookmarkEnd w:id="14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报告期内，因员工离职，公司注销第三期限制性股票，其中溢价部分</w:t>
      </w:r>
      <w:r>
        <w:rPr>
          <w:rFonts w:ascii="Times New Roman" w:eastAsia="Times New Roman" w:hAnsi="Times New Roman" w:cs="Times New Roman"/>
          <w:color w:val="000000"/>
          <w:spacing w:val="0"/>
          <w:w w:val="100"/>
          <w:position w:val="0"/>
          <w:sz w:val="18"/>
          <w:szCs w:val="18"/>
        </w:rPr>
        <w:t>444,672.00</w:t>
      </w:r>
      <w:r>
        <w:rPr>
          <w:color w:val="000000"/>
          <w:spacing w:val="0"/>
          <w:w w:val="100"/>
          <w:position w:val="0"/>
        </w:rPr>
        <w:t>元冲减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870" w:val="left"/>
        </w:tabs>
        <w:bidi w:val="0"/>
        <w:spacing w:before="0" w:after="0" w:line="470" w:lineRule="exact"/>
        <w:ind w:left="0" w:right="0"/>
        <w:jc w:val="both"/>
      </w:pPr>
      <w:bookmarkStart w:id="1429" w:name="bookmark1429"/>
      <w:r>
        <w:rPr>
          <w:color w:val="000000"/>
          <w:spacing w:val="0"/>
          <w:w w:val="100"/>
          <w:position w:val="0"/>
        </w:rPr>
        <w:t>（</w:t>
      </w:r>
      <w:bookmarkEnd w:id="142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报告期内，因公司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年度业绩未到达解锁条件，公司注销第四期限制性股票，其中溢价部分</w:t>
      </w:r>
      <w:r>
        <w:rPr>
          <w:rFonts w:ascii="Times New Roman" w:eastAsia="Times New Roman" w:hAnsi="Times New Roman" w:cs="Times New Roman"/>
          <w:color w:val="000000"/>
          <w:spacing w:val="0"/>
          <w:w w:val="100"/>
          <w:position w:val="0"/>
          <w:sz w:val="18"/>
          <w:szCs w:val="18"/>
        </w:rPr>
        <w:t>4,652,948.7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元冲减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30" w:name="bookmark1430"/>
      <w:r>
        <w:rPr>
          <w:color w:val="000000"/>
          <w:spacing w:val="0"/>
          <w:w w:val="100"/>
          <w:position w:val="0"/>
        </w:rPr>
        <w:t>（</w:t>
      </w:r>
      <w:bookmarkEnd w:id="143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年度股东大会审议通过了关于发行股份及支付现金购买资产业绩承诺补偿方案暨定向 回购李毅、李章晶及天津骆壳应补偿公司股份的方案。公司因承诺人补偿的相关股份注销手续办理完毕股本减少</w:t>
      </w:r>
      <w:r>
        <w:rPr>
          <w:rFonts w:ascii="Times New Roman" w:eastAsia="Times New Roman" w:hAnsi="Times New Roman" w:cs="Times New Roman"/>
          <w:color w:val="000000"/>
          <w:spacing w:val="0"/>
          <w:w w:val="100"/>
          <w:position w:val="0"/>
          <w:sz w:val="18"/>
          <w:szCs w:val="18"/>
        </w:rPr>
        <w:t xml:space="preserve">29,524,590 </w:t>
      </w:r>
      <w:r>
        <w:rPr>
          <w:color w:val="000000"/>
          <w:spacing w:val="0"/>
          <w:w w:val="100"/>
          <w:position w:val="0"/>
        </w:rPr>
        <w:t>股，其中溢价部分</w:t>
      </w:r>
      <w:r>
        <w:rPr>
          <w:rFonts w:ascii="Times New Roman" w:eastAsia="Times New Roman" w:hAnsi="Times New Roman" w:cs="Times New Roman"/>
          <w:color w:val="000000"/>
          <w:spacing w:val="0"/>
          <w:w w:val="100"/>
          <w:position w:val="0"/>
          <w:sz w:val="18"/>
          <w:szCs w:val="18"/>
        </w:rPr>
        <w:t>137,362,026.94</w:t>
      </w:r>
      <w:r>
        <w:rPr>
          <w:color w:val="000000"/>
          <w:spacing w:val="0"/>
          <w:w w:val="100"/>
          <w:position w:val="0"/>
        </w:rPr>
        <w:t>元冲减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31" w:name="bookmark1431"/>
      <w:r>
        <w:rPr>
          <w:color w:val="000000"/>
          <w:spacing w:val="0"/>
          <w:w w:val="100"/>
          <w:position w:val="0"/>
        </w:rPr>
        <w:t>（</w:t>
      </w:r>
      <w:bookmarkEnd w:id="143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报告期内，购买子公司北京普金通信设备有限公司少数股东拥有的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股权，因购买少数股权新取得的长期股权 投资与按照新增持股比例计算应享有子公司自购买日或合并日开始持续计算的净资产份额之间的差额，冲减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 本溢价</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3,166,279.5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p>
    <w:p>
      <w:pPr>
        <w:pStyle w:val="Style29"/>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、其他资本公积本期变动为：</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32" w:name="bookmark1432"/>
      <w:r>
        <w:rPr>
          <w:color w:val="000000"/>
          <w:spacing w:val="0"/>
          <w:w w:val="100"/>
          <w:position w:val="0"/>
        </w:rPr>
        <w:t>（</w:t>
      </w:r>
      <w:bookmarkEnd w:id="14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联营企业所有者权益项下除净损益及记入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以外的所有者权益变动数，公司按持股比例确认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-560,170.8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tabs>
          <w:tab w:pos="865" w:val="left"/>
        </w:tabs>
        <w:bidi w:val="0"/>
        <w:spacing w:before="0" w:after="0" w:line="470" w:lineRule="exact"/>
        <w:ind w:left="0" w:right="0"/>
        <w:jc w:val="both"/>
      </w:pPr>
      <w:bookmarkStart w:id="1433" w:name="bookmark1433"/>
      <w:r>
        <w:rPr>
          <w:color w:val="000000"/>
          <w:spacing w:val="0"/>
          <w:w w:val="100"/>
          <w:position w:val="0"/>
        </w:rPr>
        <w:t>（</w:t>
      </w:r>
      <w:bookmarkEnd w:id="14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根据会计准则的相关规定，预计未来期间股权激励可抵扣的金额超过等待期内确认的成本费用，超出部分形成的 递延所得税资产应直接计入所有者权益，公司确认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1,684,494.5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9"/>
        <w:keepNext w:val="0"/>
        <w:keepLines w:val="0"/>
        <w:widowControl w:val="0"/>
        <w:shd w:val="clear" w:color="auto" w:fill="auto"/>
        <w:tabs>
          <w:tab w:pos="865" w:val="left"/>
        </w:tabs>
        <w:bidi w:val="0"/>
        <w:spacing w:before="0" w:after="180" w:line="470" w:lineRule="exact"/>
        <w:ind w:left="0" w:right="0"/>
        <w:jc w:val="both"/>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根据会计准则的相关规定，报告期内由于持有目的发生变化原权益法核算公司北京中清龙图网络技术有限公司转 变为可供出售金融资产进行核算，在原权益法核算期间按比例确认的中清龙图资本公积</w:t>
      </w:r>
      <w:r>
        <w:rPr>
          <w:rFonts w:ascii="Times New Roman" w:eastAsia="Times New Roman" w:hAnsi="Times New Roman" w:cs="Times New Roman"/>
          <w:color w:val="000000"/>
          <w:spacing w:val="0"/>
          <w:w w:val="100"/>
          <w:position w:val="0"/>
          <w:sz w:val="18"/>
          <w:szCs w:val="18"/>
        </w:rPr>
        <w:t>8,220,000.00</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 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转出。</w:t>
      </w:r>
      <w:r>
        <w:br w:type="page"/>
      </w:r>
    </w:p>
    <w:p>
      <w:pPr>
        <w:pStyle w:val="Style29"/>
        <w:keepNext w:val="0"/>
        <w:keepLines w:val="0"/>
        <w:widowControl w:val="0"/>
        <w:numPr>
          <w:ilvl w:val="0"/>
          <w:numId w:val="41"/>
        </w:numPr>
        <w:shd w:val="clear" w:color="auto" w:fill="auto"/>
        <w:bidi w:val="0"/>
        <w:spacing w:before="0" w:after="460" w:line="240" w:lineRule="auto"/>
        <w:ind w:left="0" w:right="0" w:firstLine="460"/>
        <w:jc w:val="left"/>
      </w:pPr>
      <w:bookmarkStart w:id="1435" w:name="bookmark1435"/>
      <w:bookmarkEnd w:id="1435"/>
      <w:r>
        <w:rPr>
          <w:color w:val="000000"/>
          <w:spacing w:val="0"/>
          <w:w w:val="100"/>
          <w:position w:val="0"/>
        </w:rPr>
        <w:t>本年已解锁的限制性股票和已行权的股票期权对应的原记入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的股权激励费用 </w:t>
      </w:r>
      <w:r>
        <w:rPr>
          <w:rStyle w:val="CharStyle69"/>
        </w:rPr>
        <w:t>32,815,068.4</w:t>
      </w:r>
      <w:r>
        <w:rPr>
          <w:rStyle w:val="CharStyle69"/>
        </w:rPr>
        <w:t>2</w:t>
      </w:r>
      <w:r>
        <w:rPr>
          <w:rStyle w:val="CharStyle69"/>
          <w:rFonts w:ascii="SimSun" w:eastAsia="SimSun" w:hAnsi="SimSun" w:cs="SimSun"/>
          <w:sz w:val="17"/>
          <w:szCs w:val="17"/>
        </w:rPr>
        <w:t>元转至</w:t>
      </w:r>
      <w:r>
        <w:rPr>
          <w:rStyle w:val="CharStyle69"/>
        </w:rPr>
        <w:t>“</w:t>
      </w:r>
      <w:r>
        <w:rPr>
          <w:rStyle w:val="CharStyle69"/>
          <w:rFonts w:ascii="SimSun" w:eastAsia="SimSun" w:hAnsi="SimSun" w:cs="SimSun"/>
          <w:sz w:val="17"/>
          <w:szCs w:val="17"/>
        </w:rPr>
        <w:t>资本公积</w:t>
      </w:r>
      <w:r>
        <w:rPr>
          <w:rStyle w:val="CharStyle69"/>
          <w:rFonts w:ascii="SimSun" w:eastAsia="SimSun" w:hAnsi="SimSun" w:cs="SimSun"/>
        </w:rPr>
        <w:t>一</w:t>
      </w:r>
      <w:r>
        <w:rPr>
          <w:rStyle w:val="CharStyle69"/>
          <w:rFonts w:ascii="SimSun" w:eastAsia="SimSun" w:hAnsi="SimSun" w:cs="SimSun"/>
          <w:sz w:val="17"/>
          <w:szCs w:val="17"/>
        </w:rPr>
        <w:t>股本溢价</w:t>
      </w:r>
      <w:r>
        <w:rPr>
          <w:rStyle w:val="CharStyle69"/>
        </w:rPr>
        <w:t>”</w:t>
      </w:r>
      <w:r>
        <w:rPr>
          <w:rStyle w:val="CharStyle69"/>
          <w:rFonts w:ascii="SimSun" w:eastAsia="SimSun" w:hAnsi="SimSun" w:cs="SimSun"/>
          <w:sz w:val="17"/>
          <w:szCs w:val="17"/>
        </w:rPr>
        <w:t>。</w:t>
      </w:r>
    </w:p>
    <w:p>
      <w:pPr>
        <w:pStyle w:val="Style39"/>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36"/>
      <w:bookmarkEnd w:id="1437"/>
      <w:bookmarkEnd w:id="143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15,905,926.84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15,905,926.84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15,905,926.84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15,905,926.84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40"/>
      <w:bookmarkEnd w:id="1441"/>
      <w:bookmarkEnd w:id="144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131"/>
        <w:gridCol w:w="1277"/>
        <w:gridCol w:w="1272"/>
        <w:gridCol w:w="854"/>
        <w:gridCol w:w="811"/>
        <w:gridCol w:w="1282"/>
        <w:gridCol w:w="1166"/>
        <w:gridCol w:w="11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减：前期 计入其他 综合收益 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税后归属于少 数股东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其中：重新计算设定受益计 划净负债和净资产的变动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560"/>
              <w:jc w:val="both"/>
              <w:rPr>
                <w:sz w:val="17"/>
                <w:szCs w:val="17"/>
              </w:rPr>
            </w:pPr>
            <w:r>
              <w:rPr>
                <w:color w:val="000000"/>
                <w:spacing w:val="0"/>
                <w:w w:val="100"/>
                <w:position w:val="0"/>
                <w:sz w:val="17"/>
                <w:szCs w:val="17"/>
              </w:rPr>
              <w:t>权益法下在被投资 单位不能重分类进损益的 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二、以后将重分类进损益的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161,325,546.59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-160,419,176.44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-161,286,738.61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38,807.98</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其中:权益法下在被投资单 位以后将重分类进损益的 其他综合收益中享有的份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-3,039,417.74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4,928,328.01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4,928,328.01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1,888,910.27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60"/>
              <w:jc w:val="both"/>
              <w:rPr>
                <w:sz w:val="17"/>
                <w:szCs w:val="17"/>
              </w:rPr>
            </w:pPr>
            <w:r>
              <w:rPr>
                <w:color w:val="000000"/>
                <w:spacing w:val="0"/>
                <w:w w:val="100"/>
                <w:position w:val="0"/>
                <w:sz w:val="17"/>
                <w:szCs w:val="17"/>
              </w:rPr>
              <w:t>可供出售金融资产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-166,886,616.94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560"/>
              <w:jc w:val="both"/>
              <w:rPr>
                <w:sz w:val="17"/>
                <w:szCs w:val="17"/>
              </w:rPr>
            </w:pPr>
            <w:r>
              <w:rPr>
                <w:color w:val="000000"/>
                <w:spacing w:val="0"/>
                <w:w w:val="100"/>
                <w:position w:val="0"/>
                <w:sz w:val="17"/>
                <w:szCs w:val="17"/>
              </w:rPr>
              <w:t>持有至到期投资重 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现金流量套期损益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1"/>
        <w:gridCol w:w="1277"/>
        <w:gridCol w:w="1272"/>
        <w:gridCol w:w="854"/>
        <w:gridCol w:w="811"/>
        <w:gridCol w:w="1282"/>
        <w:gridCol w:w="1166"/>
        <w:gridCol w:w="1114"/>
      </w:tblGrid>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color w:val="000000"/>
                <w:spacing w:val="0"/>
                <w:w w:val="100"/>
                <w:position w:val="0"/>
                <w:sz w:val="17"/>
                <w:szCs w:val="17"/>
              </w:rPr>
              <w:t>外币财务报表折算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-2,521,652.61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867,562.17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-1,850,102.29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161,325,546.59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-160,419,176.44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-161,286,738.61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867,562.17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38,807.98</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44"/>
      <w:bookmarkEnd w:id="1445"/>
      <w:bookmarkEnd w:id="144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48"/>
      <w:bookmarkEnd w:id="1449"/>
      <w:bookmarkEnd w:id="145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197,376,909.01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28,464,088.24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225,840,997.25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197,376,909.01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28,464,088.24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225,840,997.25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6</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52"/>
      <w:bookmarkEnd w:id="1453"/>
      <w:bookmarkEnd w:id="145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2,084,045,123.13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1,912,583,102.55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2,084,045,123.13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1,912,583,102.55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507,331,705.29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351,341,166.79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28,464,088.24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20,566,813.16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94,366,104.41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159,312,333.05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2,468,546,635.77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2,084,045,123.13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40" w:line="240" w:lineRule="auto"/>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1</w:t>
      </w:r>
      <w:bookmarkEnd w:id="14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2</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58" w:name="bookmark1458"/>
      <w:r>
        <w:rPr>
          <w:rFonts w:ascii="Times New Roman" w:eastAsia="Times New Roman" w:hAnsi="Times New Roman" w:cs="Times New Roman"/>
          <w:color w:val="000000"/>
          <w:spacing w:val="0"/>
          <w:w w:val="100"/>
          <w:position w:val="0"/>
          <w:sz w:val="18"/>
          <w:szCs w:val="18"/>
        </w:rPr>
        <w:t>3</w:t>
      </w:r>
      <w:bookmarkEnd w:id="14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59" w:name="bookmark1459"/>
      <w:r>
        <w:rPr>
          <w:rFonts w:ascii="Times New Roman" w:eastAsia="Times New Roman" w:hAnsi="Times New Roman" w:cs="Times New Roman"/>
          <w:color w:val="000000"/>
          <w:spacing w:val="0"/>
          <w:w w:val="100"/>
          <w:position w:val="0"/>
          <w:sz w:val="18"/>
          <w:szCs w:val="18"/>
        </w:rPr>
        <w:t>4</w:t>
      </w:r>
      <w:bookmarkEnd w:id="14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220" w:line="240" w:lineRule="auto"/>
        <w:ind w:left="0" w:right="0" w:firstLine="0"/>
        <w:jc w:val="left"/>
      </w:pPr>
      <w:bookmarkStart w:id="1460" w:name="bookmark1460"/>
      <w:r>
        <w:rPr>
          <w:rFonts w:ascii="Times New Roman" w:eastAsia="Times New Roman" w:hAnsi="Times New Roman" w:cs="Times New Roman"/>
          <w:color w:val="000000"/>
          <w:spacing w:val="0"/>
          <w:w w:val="100"/>
          <w:position w:val="0"/>
          <w:sz w:val="18"/>
          <w:szCs w:val="18"/>
        </w:rPr>
        <w:t>5</w:t>
      </w:r>
      <w:bookmarkEnd w:id="14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6</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61"/>
      <w:bookmarkEnd w:id="1462"/>
      <w:bookmarkEnd w:id="14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2,900,255,945.89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1,708,651,289.16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2,740,712,479.34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1,750,703,825.70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36,325,984.66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32,774,829.51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2,936,581,930.55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1,713,331,012.59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2,773,487,308.85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1,754,785,287.90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6</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65"/>
      <w:bookmarkEnd w:id="1466"/>
      <w:bookmarkEnd w:id="14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4,024,638.63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3,809,349.33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2,874,063.79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2,635,890.05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2,405,194.76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1,538,734.16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3,752,022.86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10,670.33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1,772,747.02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1,833,104.07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20,032.77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15,693,979.80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9,787,423.66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6</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69"/>
      <w:bookmarkEnd w:id="1470"/>
      <w:bookmarkEnd w:id="14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60,249,935.01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48,825,319.69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1,225,914.73</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11,002,708.76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10,100,678.41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6,454,777.71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4,656,277.96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运输费、汽车车辆使用费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3,239,959.92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4,492,856.73</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广告费、展览费、宣传费、样品、样件 拍摄费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83,538,492.73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76,589,364.06</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2,222,867.85</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办公费、电信费、水电费、通讯费、会 务费、董事会费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8,066,422.62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9,283,446.53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5,606.00</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预计质保费用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-270,388.54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1,678,602.76</w:t>
            </w:r>
          </w:p>
        </w:tc>
      </w:tr>
    </w:tbl>
    <w:p>
      <w:pPr>
        <w:widowControl w:val="0"/>
        <w:spacing w:line="1" w:lineRule="exact"/>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商检费、测试费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43,860.37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2,274,236.72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4,066,059.16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175,401,170.69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163,190,854.25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73"/>
      <w:bookmarkEnd w:id="1474"/>
      <w:bookmarkEnd w:id="147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424,136,059.53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387,421,564.61</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19,770,858.70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22,164,893.35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38,641,820.28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26,273,844.15</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办公费、电信费、水电费、通讯费、会 务费、董事会费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21,457,895.69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24,376,750.95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22,516,464.72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18,627,066.84</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运输费、汽车车辆使用费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4,054,131.65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5,112,600.15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5,149,971.65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3,217,603.97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劳动保护费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13,566.13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21,194,598.26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19,878,058.41</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1,361,567.89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1,302,680.53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13,133,626.20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10,959,465.32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271,433.31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179,572.63</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2,826,766.06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102,580.09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19,317,092.30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22,859,813.29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1,641,728.94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2,049,513.71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2,697,426.05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5,291,321.38</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-4,060,026.13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67,493,904.99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39,150,496.17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134,445.63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3,260,731.80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3,660,410.95</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669,394,532.10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588,987,655.44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77"/>
      <w:bookmarkEnd w:id="1478"/>
      <w:bookmarkEnd w:id="14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20,934,304.43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2,316,929.16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4,464,354.98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13,978,973.38</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-8,883,317.29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-955,087.61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现金折扣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-1,606,023.76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-424,094.64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2,746,099.72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351,007.32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8,726,708.12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-12,690,219.15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81"/>
      <w:bookmarkEnd w:id="1482"/>
      <w:bookmarkEnd w:id="14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63,093,888.26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15,066,773.48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1,907,032.15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409,155.55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970,970.97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4,750,162.96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40,716,000.00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71,788,683.37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57,162,900.00</w:t>
            </w:r>
          </w:p>
        </w:tc>
      </w:tr>
    </w:tbl>
    <w:p>
      <w:pPr>
        <w:widowControl w:val="0"/>
        <w:spacing w:after="319" w:line="1" w:lineRule="exact"/>
      </w:pPr>
    </w:p>
    <w:p>
      <w:pPr>
        <w:pStyle w:val="Style39"/>
        <w:keepNext/>
        <w:keepLines/>
        <w:widowControl w:val="0"/>
        <w:shd w:val="clear" w:color="auto" w:fill="auto"/>
        <w:tabs>
          <w:tab w:pos="483" w:val="left"/>
        </w:tabs>
        <w:bidi w:val="0"/>
        <w:spacing w:before="0" w:after="4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485"/>
      <w:bookmarkEnd w:id="1486"/>
      <w:bookmarkEnd w:id="1488"/>
    </w:p>
    <w:p>
      <w:pPr>
        <w:pStyle w:val="Style29"/>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89"/>
      <w:bookmarkEnd w:id="1490"/>
      <w:bookmarkEnd w:id="14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80"/>
        <w:gridCol w:w="2448"/>
        <w:gridCol w:w="245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10,113,511.21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11,555,622.47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11,951,917.00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-3,898,741.16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3,292,170.00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3,072,692.00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684,379.57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对子公司丧失控制权改用权益法计量，剩余股权按公允价值 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6,142,117.12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24,536,585.80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对子公司丧失控制权转为可供出售金融资产，剩余股权按公 允价值重新计量产生的利得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6,742,631.87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股份注销确认权益工具形成收益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166,886,615.94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44,924,572.54</w:t>
            </w:r>
          </w:p>
        </w:tc>
      </w:tr>
      <w:tr>
        <w:trPr>
          <w:trHeight w:val="72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权益法核算的长期股权投资转可供出售金融资产持有期间 确认的除净损益以外的其他权益变动转投资收益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6,183,450.28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469" w:right="982" w:bottom="1340" w:left="986" w:header="0" w:footer="3" w:gutter="0"/>
          <w:cols w:space="720"/>
          <w:noEndnote/>
          <w:titlePg/>
          <w:rtlGutter w:val="0"/>
          <w:docGrid w:linePitch="360"/>
        </w:sectPr>
      </w:pPr>
    </w:p>
    <w:tbl>
      <w:tblPr>
        <w:tblOverlap w:val="never"/>
        <w:jc w:val="center"/>
        <w:tblLayout w:type="fixed"/>
      </w:tblPr>
      <w:tblGrid>
        <w:gridCol w:w="4680"/>
        <w:gridCol w:w="2443"/>
        <w:gridCol w:w="2458"/>
      </w:tblGrid>
      <w:tr>
        <w:trPr>
          <w:trHeight w:val="10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企业取得子公司、联营企业及合营企业的投资成本大于取得 投资时应享有被投资单位可辨认净资产公允价值产生的损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-20,800,367.11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191,196,425.88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80,190,731.65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93"/>
      <w:bookmarkEnd w:id="1494"/>
      <w:bookmarkEnd w:id="149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608,283.13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209,097.37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102,448.28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132,852.81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505,834.85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76,244.56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35,923,566.19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43,190,500.02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18,267,331.91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5,553,369.98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4,921,017.73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5,553,369.98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638,201.09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90,425.16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41,776,458.70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49,358,001.97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24,120,224.42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850"/>
        <w:gridCol w:w="1277"/>
        <w:gridCol w:w="1066"/>
        <w:gridCol w:w="730"/>
        <w:gridCol w:w="1181"/>
        <w:gridCol w:w="1277"/>
        <w:gridCol w:w="10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殊补贴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9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收到增值税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17,656,234.28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19,986,509.94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智能运维技 术北京市工 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中华人民共 和国国家发 展和改革委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5,799,543.83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面向电信行 业的大数据 分析与管理 平台研发及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北京市经济</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和信息化委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3,022,504.43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中国移动通 信集团设计 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中国移动通 信集团设计 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等获得的补助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69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基金项目尾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安全服务云 中心存储平 台研发与应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科技型中小 企业技术创 新基金无偿 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海淀区残疾</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人劳动就业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管理服务所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年安排 残疾人应业 岗位补贴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 京市海淀区 残疾人劳动 就业管理服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北京市海淀 区残疾人劳 动就业管理 服务所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中关村知识 产权促进局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中关村知识 产权促进局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中关村技术 创新能力建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年区级 第一批新一 代信息技术 专项资金补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海淀区政府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中关村科技 园区管理委 员会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 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十百千工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培育企业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加大研发投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资金支持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1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失业保险稳 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海淀区社会 保障局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384"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海淀区残疾 人劳动就业 管理服务所 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中关村企业 信用促进会 中介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中关村知识 产权促进局 专利费用补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中关村企业 信用促进会 中介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首都知识产 权服务业协 会专利资金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中关村科技 园区海淀园 管理委员会 协同创新服 务平台购买 研发服务补 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中关村企业 信用促进会 中介补贴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中关村企业 信用促进会 中介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收到软件产 品认证补贴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海淀区残疾 人劳动就业 管理服务所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海淀区残疾</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人劳动就业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管理服务所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中关村企业 信用促进会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信用评级补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中关村企业 信用促进会 信用补贴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中关村企业 信用促进会 中介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10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北京中关村 企业信用促 进会补贴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北京中关村 企业信用促 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海淀区残疾 人劳动就业 管理服务所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国家专利局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中华人民共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和国财政部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中华人民共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和国财政部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国家专利局 北京代办处 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国家专利局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人才市场就 业培训补贴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海淀区人才 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收到中关村 科技园区海 淀园管理委 员会专利商 用化专项资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89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收到北京市 科学技术委 员会科技服 务业专项补 贴（大数据智 能监控与运 维平台研发 及产业化项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7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收到北京市 海淀区商务 委员会资金 补贴（北京市 总部企业奖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北京市海淀 区商务委员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因从事国家鼓 励和扶持特定 行业、产业而获 得的补助（按国 家级政策规定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198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收到北京市 国有文化资 产监督管理 办公室文创 产业资金补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北京市国有 文化资产监 督管理办公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收重庆两江 财政局区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年个税 返还补贴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重庆两江财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收到鄞州区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年度稳 增促调专项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宁波望春工 业园区管理 委员会零余 额账户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大学生社保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宁波市鄞州 区高桥镇财 政审计办公 室非税资金 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收到中关村 企业信用促 进会中介服 务资金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收北京市商 务委员会外 经贸发展专 项资金补贴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收重庆知识 产权局专利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重庆知识产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基于复杂信 息系统的大 数据智能运 维分析与管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7,097,335.48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基于服务引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因研究开发、技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5,556,504.66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132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擎的复杂信 息系统一体 化智能运维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和国国家发 展和改革委 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安全管控平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北京市经济</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和信息化委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2,361,085.10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国际知识产 权局专利局 北京代办处 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年重大 专项《面向移 动互联网的 网络协同及 融合体系与 关键技术研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高桥镇补助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高桥镇政府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287,602.00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年度鄞 州区总部经 济发展专项 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鄞州区政府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大学生社保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北京市教育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因承担国家为 保障某种公用 事业或社会必 要产品供应或 价格控制职能 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固定资产装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电动汽车智 能交互系统 研制及产业 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北京市科学 技术委员会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等获得的补助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850"/>
        <w:gridCol w:w="1277"/>
        <w:gridCol w:w="1066"/>
        <w:gridCol w:w="730"/>
        <w:gridCol w:w="1181"/>
        <w:gridCol w:w="1277"/>
        <w:gridCol w:w="1070"/>
      </w:tblGrid>
      <w:tr>
        <w:trPr>
          <w:trHeight w:val="13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面向精确定 位与移动通 信的智慧线 设备研制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北京市商务 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纯电 动物流车项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因研究开发、技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术更新及改造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35,923,566.19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43,190,500.02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7</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97"/>
      <w:bookmarkEnd w:id="1498"/>
      <w:bookmarkEnd w:id="150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18,604,432.94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160,576.81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18,604,432.94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164,926.49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160,576.81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164,926.49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无形资产处置损失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18,439,506.45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18,439,506.45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289,831.76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242,258.08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289,831.76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18,894,264.70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402,834.89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18,894,264.70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7</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01"/>
      <w:bookmarkEnd w:id="1502"/>
      <w:bookmarkEnd w:id="1504"/>
    </w:p>
    <w:p>
      <w:pPr>
        <w:pStyle w:val="Style47"/>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05"/>
      <w:bookmarkEnd w:id="1506"/>
      <w:bookmarkEnd w:id="150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23,448,271.72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50,244,299.22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3,817,118.28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-2,611,454.61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27,265,390.00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47,632,844.61</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08"/>
      <w:bookmarkEnd w:id="1509"/>
      <w:bookmarkEnd w:id="151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496,324,463.76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169,643,355.45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-101,707,379.46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-21,960,333.10</w:t>
            </w:r>
          </w:p>
        </w:tc>
      </w:tr>
    </w:tbl>
    <w:p>
      <w:pPr>
        <w:widowControl w:val="0"/>
        <w:spacing w:line="1" w:lineRule="exact"/>
      </w:pPr>
      <w:r>
        <w:br w:type="page"/>
      </w:r>
    </w:p>
    <w:tbl>
      <w:tblPr>
        <w:tblOverlap w:val="never"/>
        <w:jc w:val="center"/>
        <w:tblLayout w:type="fixed"/>
      </w:tblPr>
      <w:tblGrid>
        <w:gridCol w:w="4786"/>
        <w:gridCol w:w="4795"/>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-40,168,929.87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10,310,940.01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11,147,736.97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27,265,390.00</w:t>
            </w:r>
          </w:p>
        </w:tc>
      </w:tr>
    </w:tbl>
    <w:p>
      <w:pPr>
        <w:widowControl w:val="0"/>
        <w:spacing w:after="319" w:line="1" w:lineRule="exact"/>
      </w:pPr>
    </w:p>
    <w:p>
      <w:pPr>
        <w:pStyle w:val="Style39"/>
        <w:keepNext/>
        <w:keepLines/>
        <w:widowControl w:val="0"/>
        <w:shd w:val="clear" w:color="auto" w:fill="auto"/>
        <w:bidi w:val="0"/>
        <w:spacing w:before="0" w:after="46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7</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11"/>
      <w:bookmarkEnd w:id="1512"/>
      <w:bookmarkEnd w:id="1514"/>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9"/>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15"/>
      <w:bookmarkEnd w:id="1516"/>
      <w:bookmarkEnd w:id="1518"/>
    </w:p>
    <w:p>
      <w:pPr>
        <w:pStyle w:val="Style47"/>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9"/>
      <w:bookmarkEnd w:id="1520"/>
      <w:bookmarkEnd w:id="152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收到各项政府补助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3,197,776.67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31,313,460.00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4,464,354.98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13,978,973.38</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29,054,324.21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7,187,503.60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收到个人备用金归还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12,882,406.06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15,734,565.12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收到往来款及零星现金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35,619,691.69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71,564,125.91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85,218,553.61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139,778,628.01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2"/>
      <w:bookmarkEnd w:id="1523"/>
      <w:bookmarkEnd w:id="15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支付办公、差旅、房租、招待等费用及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262,913,113.29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335,347,994.84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31,406,760.82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8,438,566.99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294,319,874.11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343,786,561.83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25"/>
      <w:bookmarkEnd w:id="1526"/>
      <w:bookmarkEnd w:id="152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91"/>
        <w:gridCol w:w="2942"/>
        <w:gridCol w:w="294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收回神州泰岳顶策科技（北京）有限公司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2,825,041.10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2,825,041.10</w:t>
            </w:r>
          </w:p>
        </w:tc>
      </w:tr>
    </w:tbl>
    <w:p>
      <w:pPr>
        <w:spacing w:lineRule="exact" w:line="1"/>
        <w:rPr>
          <w:sz w:val="2"/>
          <w:szCs w:val="2"/>
        </w:rPr>
      </w:pPr>
      <w:r>
        <w:br w:type="page"/>
      </w:r>
    </w:p>
    <w:p>
      <w:pPr>
        <w:pStyle w:val="Style47"/>
        <w:keepNext/>
        <w:keepLines/>
        <w:widowControl w:val="0"/>
        <w:shd w:val="clear" w:color="auto" w:fill="auto"/>
        <w:bidi w:val="0"/>
        <w:spacing w:before="0" w:after="46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29"/>
      <w:bookmarkEnd w:id="1530"/>
      <w:bookmarkEnd w:id="1532"/>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7"/>
        <w:keepNext/>
        <w:keepLines/>
        <w:widowControl w:val="0"/>
        <w:shd w:val="clear" w:color="auto" w:fill="auto"/>
        <w:bidi w:val="0"/>
        <w:spacing w:before="0" w:after="34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33"/>
      <w:bookmarkEnd w:id="1534"/>
      <w:bookmarkEnd w:id="1536"/>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15,644,783.37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1,300,048.61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代收股票期权个税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4,832,190.74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13,871,913.60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20,476,974.11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15,171,962.21</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37"/>
      <w:bookmarkEnd w:id="1538"/>
      <w:bookmarkEnd w:id="154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8,054,487.23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7,798,680.37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代付股票期权个税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14,658,620.90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26,586,613.96</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付以前年度已纳入合并范围的子公司原 股东股权收购款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92,824,963.36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68,824,485.00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12,381,047.67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子公司退出合并范围现金减少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157,880,485.80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同一控制下购买子公司支付股权转让款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短期融资券费用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1,415,094.34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支付信用卡保证金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117,220,698.97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453,727,119.66</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7</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41"/>
      <w:bookmarkEnd w:id="1542"/>
      <w:bookmarkEnd w:id="1544"/>
    </w:p>
    <w:p>
      <w:pPr>
        <w:pStyle w:val="Style47"/>
        <w:keepNext/>
        <w:keepLines/>
        <w:widowControl w:val="0"/>
        <w:shd w:val="clear" w:color="auto" w:fill="auto"/>
        <w:bidi w:val="0"/>
        <w:spacing w:before="0" w:after="34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5"/>
      <w:bookmarkEnd w:id="1546"/>
      <w:bookmarkEnd w:id="154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469,059,073.76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293,776,460.87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71,788,683.37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57,162,900.00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25,179,226.58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27,817,499.84</w:t>
            </w:r>
          </w:p>
        </w:tc>
      </w:tr>
    </w:tbl>
    <w:p>
      <w:pPr>
        <w:widowControl w:val="0"/>
        <w:spacing w:line="1" w:lineRule="exact"/>
      </w:pPr>
      <w:r>
        <w:br w:type="page"/>
      </w:r>
    </w:p>
    <w:tbl>
      <w:tblPr>
        <w:tblOverlap w:val="never"/>
        <w:jc w:val="center"/>
        <w:tblLayout w:type="fixed"/>
      </w:tblPr>
      <w:tblGrid>
        <w:gridCol w:w="3331"/>
        <w:gridCol w:w="3058"/>
        <w:gridCol w:w="3192"/>
      </w:tblGrid>
      <w:tr>
        <w:trPr>
          <w:trHeight w:val="38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物资产折旧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38,641,820.28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26,273,844.15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14,371,092.69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6,283,103.60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18,395,335.57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-447,706.32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19,738,515.25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-3,594,769.21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-191,196,425.88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-80,190,731.65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5,332,763.39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-1,913,065.26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-1,515,645.11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-910,277.97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20,394,021.88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-132,264,239.59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-355,168,327.75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-249,834,402.85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-45,413,250.99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106,739,360.92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15,341,486.27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91,291,377.55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64,239,462.80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843,110,603.92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681,871,871.18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681,871,871.18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1,257,447,948.14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161,238,732.74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-575,576,076.96</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48"/>
      <w:bookmarkEnd w:id="1549"/>
      <w:bookmarkEnd w:id="155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502,940,866.20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495,820,866.20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深圳市前海泰岳梧桐投资基金管理有限公司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北京华泰德丰技术有限公司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6,720,000.00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18,338,455.01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10,348,677.39</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深圳市前海泰岳梧桐投资基金管理有限公司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5,050,784.16</w:t>
            </w:r>
          </w:p>
        </w:tc>
      </w:tr>
    </w:tbl>
    <w:p>
      <w:pPr>
        <w:widowControl w:val="0"/>
        <w:spacing w:line="1" w:lineRule="exact"/>
      </w:pPr>
      <w:r>
        <w:br w:type="page"/>
      </w:r>
    </w:p>
    <w:tbl>
      <w:tblPr>
        <w:tblOverlap w:val="never"/>
        <w:jc w:val="center"/>
        <w:tblLayout w:type="fixed"/>
      </w:tblPr>
      <w:tblGrid>
        <w:gridCol w:w="4992"/>
        <w:gridCol w:w="4589"/>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北京华泰德丰技术有限公司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2,938,993.46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484,602,411.19</w:t>
            </w:r>
          </w:p>
        </w:tc>
      </w:tr>
    </w:tbl>
    <w:p>
      <w:pPr>
        <w:widowControl w:val="0"/>
        <w:spacing w:after="319" w:line="1" w:lineRule="exact"/>
      </w:pPr>
    </w:p>
    <w:p>
      <w:pPr>
        <w:pStyle w:val="Style47"/>
        <w:keepNext/>
        <w:keepLines/>
        <w:widowControl w:val="0"/>
        <w:numPr>
          <w:ilvl w:val="0"/>
          <w:numId w:val="43"/>
        </w:numPr>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本期收到的处置子公司的现金净额</w:t>
      </w:r>
      <w:bookmarkEnd w:id="1551"/>
      <w:bookmarkEnd w:id="1552"/>
      <w:bookmarkEnd w:id="15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北京神州泰岳教育科技有限公司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北京裂变科技有限公司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7,343,311.06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2,722,236.65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北京裂变科技有限公司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4,621,074.41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-1,943,311.06</w:t>
            </w:r>
          </w:p>
        </w:tc>
      </w:tr>
    </w:tbl>
    <w:p>
      <w:pPr>
        <w:widowControl w:val="0"/>
        <w:spacing w:after="319" w:line="1" w:lineRule="exact"/>
      </w:pPr>
    </w:p>
    <w:p>
      <w:pPr>
        <w:pStyle w:val="Style47"/>
        <w:keepNext/>
        <w:keepLines/>
        <w:widowControl w:val="0"/>
        <w:numPr>
          <w:ilvl w:val="0"/>
          <w:numId w:val="43"/>
        </w:numPr>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现金和现金等价物的构成</w:t>
      </w:r>
      <w:bookmarkEnd w:id="1555"/>
      <w:bookmarkEnd w:id="1556"/>
      <w:bookmarkEnd w:id="155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843,110,603.92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681,871,871.18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208,529.79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835,613,748.62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675,880,413.07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7,273,350.47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5,782,928.32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843,110,603.92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681,871,871.18</w:t>
            </w:r>
          </w:p>
        </w:tc>
      </w:tr>
    </w:tbl>
    <w:p>
      <w:pPr>
        <w:widowControl w:val="0"/>
        <w:spacing w:after="319" w:line="1" w:lineRule="exact"/>
      </w:pPr>
    </w:p>
    <w:p>
      <w:pPr>
        <w:pStyle w:val="Style39"/>
        <w:keepNext/>
        <w:keepLines/>
        <w:widowControl w:val="0"/>
        <w:shd w:val="clear" w:color="auto" w:fill="auto"/>
        <w:tabs>
          <w:tab w:pos="478" w:val="left"/>
        </w:tabs>
        <w:bidi w:val="0"/>
        <w:spacing w:before="0" w:after="4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7</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59"/>
      <w:bookmarkEnd w:id="1560"/>
      <w:bookmarkEnd w:id="1562"/>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9"/>
        <w:keepNext/>
        <w:keepLines/>
        <w:widowControl w:val="0"/>
        <w:shd w:val="clear" w:color="auto" w:fill="auto"/>
        <w:tabs>
          <w:tab w:pos="478" w:val="left"/>
        </w:tabs>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63"/>
      <w:bookmarkEnd w:id="1564"/>
      <w:bookmarkEnd w:id="1566"/>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2342"/>
        <w:gridCol w:w="3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12,279,464.22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rPr>
                <w:sz w:val="17"/>
                <w:szCs w:val="17"/>
              </w:rPr>
            </w:pPr>
            <w:r>
              <w:rPr>
                <w:color w:val="000000"/>
                <w:spacing w:val="0"/>
                <w:w w:val="100"/>
                <w:position w:val="0"/>
                <w:sz w:val="17"/>
                <w:szCs w:val="17"/>
              </w:rPr>
              <w:t>保函保证金、银票保证金、境外信用卡保证金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12,279,464.22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67"/>
      <w:bookmarkEnd w:id="1568"/>
      <w:bookmarkEnd w:id="1570"/>
    </w:p>
    <w:p>
      <w:pPr>
        <w:pStyle w:val="Style47"/>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71"/>
      <w:bookmarkEnd w:id="1572"/>
      <w:bookmarkEnd w:id="15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323,224,616.23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41,728,175.87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289,468,356.01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16,141,929.34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14,438,955.79</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946,355.99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4,542,035.57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1,533,466,212.00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460,039.86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2,799,890.18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533,659.07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2,072,381,659.00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12,019,813.62</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8,167,497.00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1,761,729.10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4,677,474.85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3,651,588.00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3,266,345.47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226,357.94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1,086,404.93</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184,920.88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35,245.92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243,600.00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212,696.00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45,878.53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4,677,474.85</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3,651,588.00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3,266,345.47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226,357.94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1,086,404.93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184,920.88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35,245.92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243,600.00</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212,696.00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45,878.53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22,523,619.45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1,887,516.67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13,093,703.14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5,833,199.93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5,217,797.34</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157,654.44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756,662.48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548,056,386.82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3,178,727.04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1,282,936.70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276,729.45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901,198.14</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14,505.54</w:t>
            </w: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175,153.94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660,597.61</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10,518.42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3,467.01</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31,441.90</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台币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0.2157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5,513.72</w:t>
            </w:r>
          </w:p>
        </w:tc>
      </w:tr>
    </w:tbl>
    <w:p>
      <w:pPr>
        <w:widowControl w:val="0"/>
        <w:spacing w:after="159" w:line="1" w:lineRule="exact"/>
      </w:pPr>
    </w:p>
    <w:p>
      <w:pPr>
        <w:pStyle w:val="Style47"/>
        <w:keepNext/>
        <w:keepLines/>
        <w:widowControl w:val="0"/>
        <w:shd w:val="clear" w:color="auto" w:fill="auto"/>
        <w:bidi w:val="0"/>
        <w:spacing w:before="0" w:after="540" w:line="475" w:lineRule="exact"/>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4"/>
      <w:bookmarkEnd w:id="1575"/>
      <w:bookmarkEnd w:id="1576"/>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V</w:t>
      </w:r>
      <w:r>
        <w:rPr>
          <w:b/>
          <w:bCs/>
          <w:color w:val="000000"/>
          <w:spacing w:val="0"/>
          <w:w w:val="100"/>
          <w:position w:val="0"/>
        </w:rPr>
        <w:t>不适用</w:t>
      </w:r>
    </w:p>
    <w:p>
      <w:pPr>
        <w:pStyle w:val="Style39"/>
        <w:keepNext/>
        <w:keepLines/>
        <w:widowControl w:val="0"/>
        <w:shd w:val="clear" w:color="auto" w:fill="auto"/>
        <w:tabs>
          <w:tab w:pos="478" w:val="left"/>
        </w:tabs>
        <w:bidi w:val="0"/>
        <w:spacing w:before="0" w:after="46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77"/>
      <w:bookmarkEnd w:id="1578"/>
      <w:bookmarkEnd w:id="1580"/>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9"/>
        <w:keepNext/>
        <w:keepLines/>
        <w:widowControl w:val="0"/>
        <w:shd w:val="clear" w:color="auto" w:fill="auto"/>
        <w:tabs>
          <w:tab w:pos="478" w:val="left"/>
        </w:tabs>
        <w:bidi w:val="0"/>
        <w:spacing w:before="0" w:after="4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81"/>
      <w:bookmarkEnd w:id="1582"/>
      <w:bookmarkEnd w:id="1584"/>
    </w:p>
    <w:p>
      <w:pPr>
        <w:pStyle w:val="Style29"/>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360"/>
        <w:jc w:val="left"/>
      </w:pPr>
      <w:bookmarkStart w:id="1585" w:name="bookmark1585"/>
      <w:bookmarkStart w:id="1586" w:name="bookmark1586"/>
      <w:bookmarkStart w:id="1587" w:name="bookmark1587"/>
      <w:bookmarkStart w:id="1588" w:name="bookmark1588"/>
      <w:r>
        <w:rPr>
          <w:color w:val="000000"/>
          <w:spacing w:val="0"/>
          <w:w w:val="100"/>
          <w:position w:val="0"/>
        </w:rPr>
        <w:t>八</w:t>
      </w:r>
      <w:bookmarkEnd w:id="1587"/>
      <w:r>
        <w:rPr>
          <w:color w:val="000000"/>
          <w:spacing w:val="0"/>
          <w:w w:val="100"/>
          <w:position w:val="0"/>
        </w:rPr>
        <w:t>、合并范围的变更</w:t>
      </w:r>
      <w:bookmarkEnd w:id="1585"/>
      <w:bookmarkEnd w:id="1586"/>
      <w:bookmarkEnd w:id="1588"/>
    </w:p>
    <w:p>
      <w:pPr>
        <w:pStyle w:val="Style39"/>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89"/>
      <w:bookmarkEnd w:id="1590"/>
      <w:bookmarkEnd w:id="1591"/>
    </w:p>
    <w:p>
      <w:pPr>
        <w:pStyle w:val="Style47"/>
        <w:keepNext/>
        <w:keepLines/>
        <w:widowControl w:val="0"/>
        <w:shd w:val="clear" w:color="auto" w:fill="auto"/>
        <w:bidi w:val="0"/>
        <w:spacing w:before="0" w:after="36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92"/>
      <w:bookmarkEnd w:id="1593"/>
      <w:bookmarkEnd w:id="159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股权取得时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股权取得方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中科鼎富（北 京）科技发展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价款已支付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,工商变 更已完成，双 方实质交接 程序完成。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6,397,074.06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-239,367.79</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深圳市前海 泰岳梧桐投 资基金管理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股权转让款 项全部支付 完毕，工商变 更已完成，双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1,683,206.03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278,182.98</w:t>
            </w:r>
          </w:p>
        </w:tc>
      </w:tr>
    </w:tbl>
    <w:p>
      <w:pPr>
        <w:widowControl w:val="0"/>
        <w:spacing w:line="1" w:lineRule="exact"/>
      </w:pPr>
      <w:r>
        <w:br w:type="page"/>
      </w:r>
    </w:p>
    <w:tbl>
      <w:tblPr>
        <w:tblOverlap w:val="never"/>
        <w:jc w:val="center"/>
        <w:tblLayout w:type="fixed"/>
      </w:tblPr>
      <w:tblGrid>
        <w:gridCol w:w="1066"/>
        <w:gridCol w:w="1066"/>
        <w:gridCol w:w="1066"/>
        <w:gridCol w:w="1061"/>
        <w:gridCol w:w="1066"/>
        <w:gridCol w:w="1066"/>
        <w:gridCol w:w="1061"/>
        <w:gridCol w:w="1061"/>
        <w:gridCol w:w="1070"/>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方实质交接 程序完成。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北京华泰德 丰技术有限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5,241,213.74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股权转让款 项全部支付 完毕，工商变 更已完成，双 方实质交接 程序完成。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22,686,449.0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8,410,530.41</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14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95"/>
      <w:bookmarkEnd w:id="1596"/>
      <w:bookmarkEnd w:id="15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中科鼎富（北京）科技发展有 限公司</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深圳市前海泰岳梧桐投资基 金管理有限公司</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北京华泰德丰技术有限公司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 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586,757.89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-19,478,786.26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5,241,213.74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减：取得的可辨认净资产公允 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26,424,702.22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5,241,213.74</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573,575,297.78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合并成本公允价值的确定方法、或有对价及其变动的说明：</w:t>
      </w:r>
    </w:p>
    <w:p>
      <w:pPr>
        <w:pStyle w:val="Style29"/>
        <w:keepNext w:val="0"/>
        <w:keepLines w:val="0"/>
        <w:widowControl w:val="0"/>
        <w:shd w:val="clear" w:color="auto" w:fill="auto"/>
        <w:tabs>
          <w:tab w:pos="431" w:val="left"/>
        </w:tabs>
        <w:bidi w:val="0"/>
        <w:spacing w:before="0" w:after="0" w:line="313" w:lineRule="exact"/>
        <w:ind w:left="0" w:right="0" w:firstLine="0"/>
        <w:jc w:val="both"/>
      </w:pPr>
      <w:bookmarkStart w:id="1598" w:name="bookmark1598"/>
      <w:r>
        <w:rPr>
          <w:color w:val="000000"/>
          <w:spacing w:val="0"/>
          <w:w w:val="100"/>
          <w:position w:val="0"/>
        </w:rPr>
        <w:t>（</w:t>
      </w:r>
      <w:bookmarkEnd w:id="15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中科鼎富（北京）科技发展有限公司</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被合并方净资产公允价值以经北京京都中新资产评估有限公司于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年出具的京都中新评报字（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0101</w:t>
      </w:r>
      <w:r>
        <w:rPr>
          <w:color w:val="000000"/>
          <w:spacing w:val="0"/>
          <w:w w:val="100"/>
          <w:position w:val="0"/>
        </w:rPr>
        <w:t>号《北京神州 泰岳软件股份有限公司拟现金收购中科鼎富（北京）科技发展有限公司全部股权评估报告》采用收益法评估的估值结果为基 础确定。</w:t>
      </w:r>
    </w:p>
    <w:p>
      <w:pPr>
        <w:pStyle w:val="Style29"/>
        <w:keepNext w:val="0"/>
        <w:keepLines w:val="0"/>
        <w:widowControl w:val="0"/>
        <w:shd w:val="clear" w:color="auto" w:fill="auto"/>
        <w:tabs>
          <w:tab w:pos="431" w:val="left"/>
        </w:tabs>
        <w:bidi w:val="0"/>
        <w:spacing w:before="0" w:after="0" w:line="313" w:lineRule="exact"/>
        <w:ind w:left="0" w:right="0" w:firstLine="0"/>
        <w:jc w:val="both"/>
      </w:pPr>
      <w:bookmarkStart w:id="1599" w:name="bookmark1599"/>
      <w:r>
        <w:rPr>
          <w:color w:val="000000"/>
          <w:spacing w:val="0"/>
          <w:w w:val="100"/>
          <w:position w:val="0"/>
        </w:rPr>
        <w:t>（</w:t>
      </w:r>
      <w:bookmarkEnd w:id="15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深圳市前海泰岳梧桐投资基金管理有限公司</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根据投资协议，以实际支付的价款及购买日之前持有的股权于购买日的公允价值的合计数为基础确定被合并方净资产的公允 价值。</w:t>
      </w:r>
    </w:p>
    <w:p>
      <w:pPr>
        <w:pStyle w:val="Style29"/>
        <w:keepNext w:val="0"/>
        <w:keepLines w:val="0"/>
        <w:widowControl w:val="0"/>
        <w:shd w:val="clear" w:color="auto" w:fill="auto"/>
        <w:tabs>
          <w:tab w:pos="431" w:val="left"/>
        </w:tabs>
        <w:bidi w:val="0"/>
        <w:spacing w:before="0" w:after="0" w:line="313" w:lineRule="exact"/>
        <w:ind w:left="0" w:right="0" w:firstLine="0"/>
        <w:jc w:val="both"/>
      </w:pPr>
      <w:bookmarkStart w:id="1600" w:name="bookmark1600"/>
      <w:r>
        <w:rPr>
          <w:color w:val="000000"/>
          <w:spacing w:val="0"/>
          <w:w w:val="100"/>
          <w:position w:val="0"/>
        </w:rPr>
        <w:t>（</w:t>
      </w:r>
      <w:bookmarkEnd w:id="16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北京华泰德丰技术有限公司</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根据投资协议，以实际支付的价款及购买日之前持有的股权于购买日的公允价值的合计数为基础确定被合并方净资产的公允 价值。</w:t>
      </w:r>
    </w:p>
    <w:p>
      <w:pPr>
        <w:pStyle w:val="Style29"/>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大额商誉形成的主要原因：</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中科鼎富（北京）科技发展有限公司（简称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鼎富科技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）是一家专业从事非结构化大数据服务的高新技术企业，聚焦于人工 智能认知技术领域。报告期内，北京神州泰岳软件股份有限公司（简称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亿元现金购买鼎富科技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形成</w:t>
      </w:r>
      <w:r>
        <w:rPr>
          <w:rFonts w:ascii="Times New Roman" w:eastAsia="Times New Roman" w:hAnsi="Times New Roman" w:cs="Times New Roman"/>
          <w:color w:val="000000"/>
          <w:spacing w:val="0"/>
          <w:w w:val="100"/>
          <w:position w:val="0"/>
          <w:sz w:val="18"/>
          <w:szCs w:val="18"/>
        </w:rPr>
        <w:t>5.74</w:t>
      </w:r>
      <w:r>
        <w:rPr>
          <w:color w:val="000000"/>
          <w:spacing w:val="0"/>
          <w:w w:val="100"/>
          <w:position w:val="0"/>
        </w:rPr>
        <w:t>亿商誉。鼎富科技的自然语言处理技术在业界处于领先水平，拥有自主研发的非结构化文本分析挖掘平台等技术能 力。公司将以鼎富科技团队全面引领并优化公司人工智能与大数据板块发展，以自然语言语义理解技术为核心大举进军人工 智能领域。</w:t>
      </w:r>
      <w:r>
        <w:br w:type="page"/>
      </w:r>
    </w:p>
    <w:p>
      <w:pPr>
        <w:pStyle w:val="Style47"/>
        <w:keepNext/>
        <w:keepLines/>
        <w:widowControl w:val="0"/>
        <w:shd w:val="clear" w:color="auto" w:fill="auto"/>
        <w:bidi w:val="0"/>
        <w:spacing w:before="0" w:after="360" w:line="240" w:lineRule="auto"/>
        <w:ind w:left="0" w:right="0" w:firstLine="160"/>
        <w:jc w:val="both"/>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01"/>
      <w:bookmarkEnd w:id="1602"/>
      <w:bookmarkEnd w:id="160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中科鼎富（北京）科技发展有限公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深圳市前海泰岳梧桐投资基金管 理有限公司</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北京华泰德丰技术有限公司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30,499,849.11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17,192,803.75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6,879,248.41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6,879,248.41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22,882,299.68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22,882,299.68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10,348,677.39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10,348,677.39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5,050,784.16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5,050,784.16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3,335,443.46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3,335,443.46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5,609,143.28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5,609,143.28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18,330,855.76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18,330,855.76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633,881.18</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879,714.60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822,669.24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242,861.04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120,398.00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可供出售金融资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386,665.82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386,665.82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218,860.24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2,411,766.22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2,411,766.22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5,757,566.93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5,757,566.93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20,494,851.48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20,494,851.48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1,826,766.22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1,826,766.22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12,929,475.88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12,929,475.88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7,565,375.60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7,565,375.60</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2,911,128.45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2,911,128.45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28,088,082.89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14,781,037.53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1,121,681.48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1,121,681.48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2,387,448.20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2,387,448.20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减：少数股东权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-1,733,765.54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28,088,082.89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14,781,037.53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4,121,213.74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4,121,213.74</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可辨认资产、负债公允价值的确定方法：</w:t>
      </w:r>
    </w:p>
    <w:p>
      <w:pPr>
        <w:pStyle w:val="Style29"/>
        <w:keepNext w:val="0"/>
        <w:keepLines w:val="0"/>
        <w:widowControl w:val="0"/>
        <w:shd w:val="clear" w:color="auto" w:fill="auto"/>
        <w:tabs>
          <w:tab w:pos="440" w:val="left"/>
        </w:tabs>
        <w:bidi w:val="0"/>
        <w:spacing w:before="0" w:after="0" w:line="314" w:lineRule="exact"/>
        <w:ind w:left="0" w:right="0" w:firstLine="0"/>
        <w:jc w:val="both"/>
      </w:pPr>
      <w:bookmarkStart w:id="1605" w:name="bookmark1605"/>
      <w:r>
        <w:rPr>
          <w:color w:val="000000"/>
          <w:spacing w:val="0"/>
          <w:w w:val="100"/>
          <w:position w:val="0"/>
        </w:rPr>
        <w:t>（</w:t>
      </w:r>
      <w:bookmarkEnd w:id="16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中科鼎富（北京）科技发展有限公司</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被合并方各项资产负债公允价值是根据北京京都中新资产评估有限公司于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年出具的京都中新评报字（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0101</w:t>
      </w:r>
      <w:r>
        <w:rPr>
          <w:color w:val="000000"/>
          <w:spacing w:val="0"/>
          <w:w w:val="100"/>
          <w:position w:val="0"/>
        </w:rPr>
        <w:t>号《北 京神州泰岳软件股份有限公司拟现金收购中科鼎富（北京）科技发展有限公司全部股权评估报告》中资产基础法评估的估值 结果而确定的。</w:t>
      </w:r>
    </w:p>
    <w:p>
      <w:pPr>
        <w:pStyle w:val="Style29"/>
        <w:keepNext w:val="0"/>
        <w:keepLines w:val="0"/>
        <w:widowControl w:val="0"/>
        <w:shd w:val="clear" w:color="auto" w:fill="auto"/>
        <w:tabs>
          <w:tab w:pos="440" w:val="left"/>
        </w:tabs>
        <w:bidi w:val="0"/>
        <w:spacing w:before="0" w:after="0" w:line="314" w:lineRule="exact"/>
        <w:ind w:left="0" w:right="0" w:firstLine="0"/>
        <w:jc w:val="both"/>
      </w:pPr>
      <w:bookmarkStart w:id="1606" w:name="bookmark1606"/>
      <w:r>
        <w:rPr>
          <w:color w:val="000000"/>
          <w:spacing w:val="0"/>
          <w:w w:val="100"/>
          <w:position w:val="0"/>
        </w:rPr>
        <w:t>（</w:t>
      </w:r>
      <w:bookmarkEnd w:id="16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深圳市前海泰岳梧桐投资基金管理有限公司</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被合并方资产、负债以购买日的账面价值为基础确定。</w:t>
      </w:r>
    </w:p>
    <w:p>
      <w:pPr>
        <w:pStyle w:val="Style29"/>
        <w:keepNext w:val="0"/>
        <w:keepLines w:val="0"/>
        <w:widowControl w:val="0"/>
        <w:shd w:val="clear" w:color="auto" w:fill="auto"/>
        <w:tabs>
          <w:tab w:pos="440" w:val="left"/>
        </w:tabs>
        <w:bidi w:val="0"/>
        <w:spacing w:before="0" w:after="0" w:line="314" w:lineRule="exact"/>
        <w:ind w:left="0" w:right="0" w:firstLine="0"/>
        <w:jc w:val="both"/>
      </w:pPr>
      <w:bookmarkStart w:id="1607" w:name="bookmark1607"/>
      <w:r>
        <w:rPr>
          <w:color w:val="000000"/>
          <w:spacing w:val="0"/>
          <w:w w:val="100"/>
          <w:position w:val="0"/>
        </w:rPr>
        <w:t>（</w:t>
      </w:r>
      <w:bookmarkEnd w:id="16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北京华泰德丰技术有限公司</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被合并方资产、负债以购买日的账面价值为基础确定。</w:t>
      </w:r>
    </w:p>
    <w:p>
      <w:pPr>
        <w:pStyle w:val="Style47"/>
        <w:keepNext/>
        <w:keepLines/>
        <w:widowControl w:val="0"/>
        <w:shd w:val="clear" w:color="auto" w:fill="auto"/>
        <w:tabs>
          <w:tab w:pos="493" w:val="left"/>
        </w:tabs>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08"/>
      <w:bookmarkEnd w:id="1609"/>
      <w:bookmarkEnd w:id="1611"/>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是否存在通过多次交易分步实现企业合并且在报告期内取得控制权的交易</w:t>
      </w:r>
    </w:p>
    <w:p>
      <w:pPr>
        <w:pStyle w:val="Style63"/>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b w:val="0"/>
          <w:bCs w:val="0"/>
          <w:i w:val="0"/>
          <w:iCs w:val="0"/>
          <w:color w:val="000000"/>
          <w:spacing w:val="0"/>
          <w:w w:val="100"/>
          <w:position w:val="0"/>
          <w:sz w:val="18"/>
          <w:szCs w:val="18"/>
        </w:rPr>
        <w:t>□</w:t>
      </w:r>
      <w:r>
        <w:rPr>
          <w:rFonts w:ascii="SimSun" w:eastAsia="SimSun" w:hAnsi="SimSun" w:cs="SimSun"/>
          <w:b w:val="0"/>
          <w:bCs w:val="0"/>
          <w:i w:val="0"/>
          <w:iCs w:val="0"/>
          <w:color w:val="000000"/>
          <w:spacing w:val="0"/>
          <w:w w:val="100"/>
          <w:position w:val="0"/>
          <w:sz w:val="17"/>
          <w:szCs w:val="17"/>
        </w:rPr>
        <w:t>是</w:t>
      </w:r>
      <w:r>
        <w:rPr>
          <w:rFonts w:ascii="SimSun" w:eastAsia="SimSun" w:hAnsi="SimSun" w:cs="SimSun"/>
          <w:color w:val="000000"/>
          <w:spacing w:val="0"/>
          <w:w w:val="100"/>
          <w:position w:val="0"/>
          <w:sz w:val="17"/>
          <w:szCs w:val="17"/>
        </w:rPr>
        <w:t>V</w:t>
      </w:r>
      <w:r>
        <w:rPr>
          <w:color w:val="000000"/>
          <w:spacing w:val="0"/>
          <w:w w:val="100"/>
          <w:position w:val="0"/>
        </w:rPr>
        <w:t>否</w:t>
      </w:r>
    </w:p>
    <w:p>
      <w:pPr>
        <w:pStyle w:val="Style47"/>
        <w:keepNext/>
        <w:keepLines/>
        <w:widowControl w:val="0"/>
        <w:shd w:val="clear" w:color="auto" w:fill="auto"/>
        <w:bidi w:val="0"/>
        <w:spacing w:before="0" w:after="46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12"/>
      <w:bookmarkEnd w:id="1613"/>
      <w:bookmarkEnd w:id="1615"/>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46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16"/>
      <w:bookmarkEnd w:id="1617"/>
      <w:bookmarkEnd w:id="1619"/>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bookmarkEnd w:id="1622"/>
      <w:r>
        <w:rPr>
          <w:color w:val="000000"/>
          <w:spacing w:val="0"/>
          <w:w w:val="100"/>
          <w:position w:val="0"/>
        </w:rPr>
        <w:t>、</w:t>
        <w:tab/>
        <w:t>同一控制下企业合并</w:t>
      </w:r>
      <w:bookmarkEnd w:id="1620"/>
      <w:bookmarkEnd w:id="1621"/>
      <w:bookmarkEnd w:id="1623"/>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w:t>
        <w:tab/>
        <w:t>反向购买</w:t>
      </w:r>
      <w:bookmarkEnd w:id="1624"/>
      <w:bookmarkEnd w:id="1625"/>
      <w:bookmarkEnd w:id="162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color w:val="000000"/>
          <w:spacing w:val="0"/>
          <w:w w:val="100"/>
          <w:position w:val="0"/>
        </w:rPr>
        <w:t>、</w:t>
        <w:tab/>
        <w:t>处置子公司</w:t>
      </w:r>
      <w:bookmarkEnd w:id="1628"/>
      <w:bookmarkEnd w:id="1629"/>
      <w:bookmarkEnd w:id="1631"/>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58"/>
        <w:gridCol w:w="1090"/>
        <w:gridCol w:w="754"/>
        <w:gridCol w:w="749"/>
        <w:gridCol w:w="754"/>
        <w:gridCol w:w="749"/>
        <w:gridCol w:w="1094"/>
        <w:gridCol w:w="749"/>
        <w:gridCol w:w="1003"/>
        <w:gridCol w:w="998"/>
        <w:gridCol w:w="1013"/>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股权处置价 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处置价款与 处置投资对 应的合并财 务报表层面 享有该子公 司净资产份 额的差额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丧失控制权 之日剩余股 权的账面价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丧失控制权 之日剩余股 权的公允价 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按照公允价 值重新计量 剩余股权产 生的利得或</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损失</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北京神 州泰岳 教育科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转让以 及新股 东增资 导致丧 失控制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新股东 增资完 成，持股 及表决 权比例 下降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-771,841.60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6,142,117.12</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北京裂 变科技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转让以 及新股 东增资 导致丧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新股东 增资完 成，持股 及表决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14,845,261.29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1,157,368.12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1,157,368.12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6,742,631.87</w:t>
            </w:r>
          </w:p>
        </w:tc>
      </w:tr>
    </w:tbl>
    <w:p>
      <w:pPr>
        <w:widowControl w:val="0"/>
        <w:spacing w:line="1" w:lineRule="exact"/>
      </w:pPr>
      <w:r>
        <w:br w:type="page"/>
      </w:r>
    </w:p>
    <w:tbl>
      <w:tblPr>
        <w:tblOverlap w:val="never"/>
        <w:jc w:val="center"/>
        <w:tblLayout w:type="fixed"/>
      </w:tblPr>
      <w:tblGrid>
        <w:gridCol w:w="758"/>
        <w:gridCol w:w="1090"/>
        <w:gridCol w:w="754"/>
        <w:gridCol w:w="749"/>
        <w:gridCol w:w="754"/>
        <w:gridCol w:w="749"/>
        <w:gridCol w:w="1094"/>
        <w:gridCol w:w="749"/>
        <w:gridCol w:w="1003"/>
        <w:gridCol w:w="989"/>
        <w:gridCol w:w="1022"/>
      </w:tblGrid>
      <w:tr>
        <w:trPr>
          <w:trHeight w:val="70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失控制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权比例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63"/>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b w:val="0"/>
          <w:bCs w:val="0"/>
          <w:i w:val="0"/>
          <w:iCs w:val="0"/>
          <w:color w:val="000000"/>
          <w:spacing w:val="0"/>
          <w:w w:val="100"/>
          <w:position w:val="0"/>
          <w:sz w:val="18"/>
          <w:szCs w:val="18"/>
        </w:rPr>
        <w:t>□</w:t>
      </w:r>
      <w:r>
        <w:rPr>
          <w:rFonts w:ascii="SimSun" w:eastAsia="SimSun" w:hAnsi="SimSun" w:cs="SimSun"/>
          <w:b w:val="0"/>
          <w:bCs w:val="0"/>
          <w:i w:val="0"/>
          <w:iCs w:val="0"/>
          <w:color w:val="000000"/>
          <w:spacing w:val="0"/>
          <w:w w:val="100"/>
          <w:position w:val="0"/>
          <w:sz w:val="17"/>
          <w:szCs w:val="17"/>
        </w:rPr>
        <w:t>是</w:t>
      </w:r>
      <w:r>
        <w:rPr>
          <w:rFonts w:ascii="SimSun" w:eastAsia="SimSun" w:hAnsi="SimSun" w:cs="SimSun"/>
          <w:color w:val="000000"/>
          <w:spacing w:val="0"/>
          <w:w w:val="100"/>
          <w:position w:val="0"/>
          <w:sz w:val="17"/>
          <w:szCs w:val="17"/>
        </w:rPr>
        <w:t>V</w:t>
      </w:r>
      <w:r>
        <w:rPr>
          <w:color w:val="000000"/>
          <w:spacing w:val="0"/>
          <w:w w:val="100"/>
          <w:position w:val="0"/>
        </w:rPr>
        <w:t>否</w:t>
      </w:r>
    </w:p>
    <w:p>
      <w:pPr>
        <w:pStyle w:val="Style39"/>
        <w:keepNext/>
        <w:keepLines/>
        <w:widowControl w:val="0"/>
        <w:shd w:val="clear" w:color="auto" w:fill="auto"/>
        <w:bidi w:val="0"/>
        <w:spacing w:before="0" w:after="4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color w:val="000000"/>
          <w:spacing w:val="0"/>
          <w:w w:val="100"/>
          <w:position w:val="0"/>
        </w:rPr>
        <w:t>、其他原因的合并范围变动</w:t>
      </w:r>
      <w:bookmarkEnd w:id="1632"/>
      <w:bookmarkEnd w:id="1633"/>
      <w:bookmarkEnd w:id="1635"/>
    </w:p>
    <w:p>
      <w:pPr>
        <w:pStyle w:val="Style35"/>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、本期因新设纳入合并范围明细如下:</w:t>
      </w:r>
    </w:p>
    <w:tbl>
      <w:tblPr>
        <w:tblOverlap w:val="never"/>
        <w:jc w:val="center"/>
        <w:tblLayout w:type="fixed"/>
      </w:tblPr>
      <w:tblGrid>
        <w:gridCol w:w="2482"/>
        <w:gridCol w:w="2059"/>
        <w:gridCol w:w="2448"/>
        <w:gridCol w:w="2683"/>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新设子公司名称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表决权比例</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重庆泰岳优才科技有限公司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r>
    </w:tbl>
    <w:p>
      <w:pPr>
        <w:pStyle w:val="Style35"/>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、公司本年因清算减少五级子公司</w:t>
      </w:r>
      <w:r>
        <w:rPr>
          <w:rFonts w:ascii="Times New Roman" w:eastAsia="Times New Roman" w:hAnsi="Times New Roman" w:cs="Times New Roman"/>
          <w:b/>
          <w:bCs/>
          <w:color w:val="000000"/>
          <w:spacing w:val="0"/>
          <w:w w:val="100"/>
          <w:position w:val="0"/>
          <w:sz w:val="18"/>
          <w:szCs w:val="18"/>
        </w:rPr>
        <w:t>ultrapower software MEA FZ-LLC</w:t>
      </w:r>
      <w:r>
        <w:rPr>
          <w:b/>
          <w:bCs/>
          <w:color w:val="000000"/>
          <w:spacing w:val="0"/>
          <w:w w:val="100"/>
          <w:position w:val="0"/>
        </w:rPr>
        <w:t>、</w:t>
      </w:r>
      <w:r>
        <w:rPr>
          <w:b/>
          <w:bCs/>
          <w:color w:val="000000"/>
          <w:spacing w:val="0"/>
          <w:w w:val="100"/>
          <w:position w:val="0"/>
        </w:rPr>
        <w:t>五级子公司</w:t>
      </w:r>
      <w:r>
        <w:rPr>
          <w:rFonts w:ascii="Times New Roman" w:eastAsia="Times New Roman" w:hAnsi="Times New Roman" w:cs="Times New Roman"/>
          <w:b/>
          <w:bCs/>
          <w:color w:val="000000"/>
          <w:spacing w:val="0"/>
          <w:w w:val="100"/>
          <w:position w:val="0"/>
          <w:sz w:val="18"/>
          <w:szCs w:val="18"/>
        </w:rPr>
        <w:t>CAMEL GAMES LTD.</w:t>
      </w:r>
      <w:r>
        <w:rPr>
          <w:b/>
          <w:bCs/>
          <w:color w:val="000000"/>
          <w:spacing w:val="0"/>
          <w:w w:val="100"/>
          <w:position w:val="0"/>
        </w:rPr>
        <w:t>、</w:t>
      </w:r>
      <w:r>
        <w:rPr>
          <w:b/>
          <w:bCs/>
          <w:color w:val="000000"/>
          <w:spacing w:val="0"/>
          <w:w w:val="100"/>
          <w:position w:val="0"/>
        </w:rPr>
        <w:t>五级子公 司北京左岸风暴科技有限公司。</w:t>
      </w:r>
    </w:p>
    <w:p>
      <w:pPr>
        <w:widowControl w:val="0"/>
        <w:spacing w:after="459" w:line="1" w:lineRule="exact"/>
      </w:pPr>
    </w:p>
    <w:p>
      <w:pPr>
        <w:pStyle w:val="Style39"/>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color w:val="000000"/>
          <w:spacing w:val="0"/>
          <w:w w:val="100"/>
          <w:position w:val="0"/>
        </w:rPr>
        <w:t>、其他</w:t>
      </w:r>
      <w:bookmarkEnd w:id="1636"/>
      <w:bookmarkEnd w:id="1637"/>
      <w:bookmarkEnd w:id="1639"/>
    </w:p>
    <w:p>
      <w:pPr>
        <w:pStyle w:val="Style27"/>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九</w:t>
      </w:r>
      <w:bookmarkEnd w:id="1642"/>
      <w:r>
        <w:rPr>
          <w:color w:val="000000"/>
          <w:spacing w:val="0"/>
          <w:w w:val="100"/>
          <w:position w:val="0"/>
        </w:rPr>
        <w:t>、在其他主体中的权益</w:t>
      </w:r>
      <w:bookmarkEnd w:id="1640"/>
      <w:bookmarkEnd w:id="1641"/>
      <w:bookmarkEnd w:id="1643"/>
    </w:p>
    <w:p>
      <w:pPr>
        <w:pStyle w:val="Style39"/>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4"/>
      <w:bookmarkEnd w:id="1645"/>
      <w:bookmarkEnd w:id="1646"/>
    </w:p>
    <w:p>
      <w:pPr>
        <w:pStyle w:val="Style47"/>
        <w:keepNext/>
        <w:keepLines/>
        <w:widowControl w:val="0"/>
        <w:shd w:val="clear" w:color="auto" w:fill="auto"/>
        <w:bidi w:val="0"/>
        <w:spacing w:before="0" w:after="30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7"/>
      <w:bookmarkEnd w:id="1648"/>
      <w:bookmarkEnd w:id="1649"/>
    </w:p>
    <w:tbl>
      <w:tblPr>
        <w:tblOverlap w:val="never"/>
        <w:jc w:val="center"/>
        <w:tblLayout w:type="fixed"/>
      </w:tblPr>
      <w:tblGrid>
        <w:gridCol w:w="3307"/>
        <w:gridCol w:w="715"/>
        <w:gridCol w:w="864"/>
        <w:gridCol w:w="1526"/>
        <w:gridCol w:w="710"/>
        <w:gridCol w:w="850"/>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主要经 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北京新媒传信科技有限公司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北京互联时代通讯科技有限公司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重庆新媒农信科技有限公司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重庆新媒亿网科技有限公司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重庆新迈峰科技有限公司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北京融聚世界网络科技有限公司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宁波移畅通信设备有限公司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宁波金信通信技术有限公司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宁波普天通信技术（香港）有限公司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宁波普金通信设备有限公司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宁波神州泰岳锐智信息科技有限公司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3307"/>
        <w:gridCol w:w="715"/>
        <w:gridCol w:w="864"/>
        <w:gridCol w:w="1526"/>
        <w:gridCol w:w="720"/>
        <w:gridCol w:w="840"/>
        <w:gridCol w:w="1738"/>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宁波高新区捷远科技有限公司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奇点新源国际技术开发（北京）有限公司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北京神州泰岳智能数据技术有限公司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神州泰岳（香港）有限公司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Bridge Minds Consulting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TRUST SOFTWARE AND SERVICE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Ultrapower 360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tabs>
                <w:tab w:pos="186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(Thailand) Co.</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曼谷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曼谷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(RUSSIA) CO.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俄罗斯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俄罗斯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神州泰奇软件（新加坡）有限公司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(Hong 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北京泰岳智桥信息技术有限公司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北京神州泰奇互动科技有限公司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UQSOFT YUHAN HOESA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天津壳木软件有限责任公司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北京壳木软件有限责任公司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北京骆骆软件科技有限责任公司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霍尔果斯小小橙软件开发有限责任公司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霍尔果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CAMEL GAMES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天津安纳西科技有限公司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北京安纳西科技有限公司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北京安纳西互娱科技有限公司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霍尔果斯于艺网络科技有限公司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霍尔果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天津泰岳小漫科技有限公司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泰岳小漫（香港）有限公司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北京广通神州网络技术有限公司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广州短讯神州网络技术有限公司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苏州短讯神州网络技术有限公司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北京神州祥升软件有限公司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同一控制下合并</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北京浩宇纵横科技有限公司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同一控制下合并</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北京觉莲软件有限公司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同一控制下合并</w:t>
            </w:r>
          </w:p>
        </w:tc>
      </w:tr>
    </w:tbl>
    <w:p>
      <w:pPr>
        <w:widowControl w:val="0"/>
        <w:spacing w:line="1" w:lineRule="exact"/>
      </w:pPr>
      <w:r>
        <w:br w:type="page"/>
      </w:r>
    </w:p>
    <w:tbl>
      <w:tblPr>
        <w:tblOverlap w:val="never"/>
        <w:jc w:val="center"/>
        <w:tblLayout w:type="fixed"/>
      </w:tblPr>
      <w:tblGrid>
        <w:gridCol w:w="3307"/>
        <w:gridCol w:w="715"/>
        <w:gridCol w:w="864"/>
        <w:gridCol w:w="1526"/>
        <w:gridCol w:w="720"/>
        <w:gridCol w:w="840"/>
        <w:gridCol w:w="1738"/>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中科鼎富（北京）科技发展有限公司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上海奔耀信息科技有限公司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广州市奔耀信息科技有限公司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北京华泰德丰技术有限公司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深圳市前海泰岳梧桐投资基金管理有限公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非同一控制下合并</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重庆泰岳优才科技有限公司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50"/>
      <w:bookmarkEnd w:id="1651"/>
      <w:bookmarkEnd w:id="1652"/>
    </w:p>
    <w:p>
      <w:pPr>
        <w:pStyle w:val="Style47"/>
        <w:keepNext/>
        <w:keepLines/>
        <w:widowControl w:val="0"/>
        <w:shd w:val="clear" w:color="auto" w:fill="auto"/>
        <w:tabs>
          <w:tab w:pos="493" w:val="left"/>
        </w:tabs>
        <w:bidi w:val="0"/>
        <w:spacing w:before="0" w:after="1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53"/>
      <w:bookmarkEnd w:id="1654"/>
      <w:bookmarkEnd w:id="1656"/>
    </w:p>
    <w:p>
      <w:pPr>
        <w:pStyle w:val="Style29"/>
        <w:keepNext w:val="0"/>
        <w:keepLines w:val="0"/>
        <w:widowControl w:val="0"/>
        <w:shd w:val="clear" w:color="auto" w:fill="auto"/>
        <w:bidi w:val="0"/>
        <w:spacing w:before="0" w:after="0" w:line="470" w:lineRule="exact"/>
        <w:ind w:left="0" w:right="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报告期内，处置控股子公司奇点新源国际技术开发（北京）有限公司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股权，价款与处置部分股权应享有被投资 单位自购买日开始持续计算的可辨认净资产份额的差额，计入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”689,513.75</w:t>
      </w:r>
      <w:r>
        <w:rPr>
          <w:color w:val="000000"/>
          <w:spacing w:val="0"/>
          <w:w w:val="100"/>
          <w:position w:val="0"/>
        </w:rPr>
        <w:t>元。</w:t>
      </w:r>
    </w:p>
    <w:p>
      <w:pPr>
        <w:pStyle w:val="Style29"/>
        <w:keepNext w:val="0"/>
        <w:keepLines w:val="0"/>
        <w:widowControl w:val="0"/>
        <w:shd w:val="clear" w:color="auto" w:fill="auto"/>
        <w:tabs>
          <w:tab w:pos="901" w:val="left"/>
        </w:tabs>
        <w:bidi w:val="0"/>
        <w:spacing w:before="0" w:after="480" w:line="470" w:lineRule="exact"/>
        <w:ind w:left="0" w:right="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报告期内，购买子公司北京普金通信设备有限公司少数股东拥有的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股权，因购买少数股权新取得的长期股权 投资与按照新增持股比例计算应享有子公司自购买日或合并日开始持续计算的净资产份额之间的差额，冲减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一</w:t>
      </w:r>
      <w:r>
        <w:rPr>
          <w:color w:val="000000"/>
          <w:spacing w:val="0"/>
          <w:w w:val="100"/>
          <w:position w:val="0"/>
        </w:rPr>
        <w:t>股 本溢价</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3,166,279.5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p>
    <w:p>
      <w:pPr>
        <w:pStyle w:val="Style47"/>
        <w:keepNext/>
        <w:keepLines/>
        <w:widowControl w:val="0"/>
        <w:shd w:val="clear" w:color="auto" w:fill="auto"/>
        <w:tabs>
          <w:tab w:pos="493" w:val="left"/>
        </w:tabs>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59"/>
      <w:bookmarkEnd w:id="1660"/>
      <w:bookmarkEnd w:id="166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奇点新源国际技术开发有限公司</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宁波普金通讯设备有限公司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9,994,873.52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9,994,873.52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 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6,828,594.01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689,513.75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3,166,279.51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689,513.75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3,166,279.51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3</w:t>
      </w:r>
      <w:bookmarkEnd w:id="1665"/>
      <w:r>
        <w:rPr>
          <w:color w:val="000000"/>
          <w:spacing w:val="0"/>
          <w:w w:val="100"/>
          <w:position w:val="0"/>
        </w:rPr>
        <w:t>、在合营安排或联营企业中的权益</w:t>
      </w:r>
      <w:bookmarkEnd w:id="1663"/>
      <w:bookmarkEnd w:id="1664"/>
      <w:bookmarkEnd w:id="1666"/>
    </w:p>
    <w:p>
      <w:pPr>
        <w:pStyle w:val="Style47"/>
        <w:keepNext/>
        <w:keepLines/>
        <w:widowControl w:val="0"/>
        <w:shd w:val="clear" w:color="auto" w:fill="auto"/>
        <w:bidi w:val="0"/>
        <w:spacing w:before="0" w:after="32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7"/>
      <w:bookmarkEnd w:id="1668"/>
      <w:bookmarkEnd w:id="166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大连华信计算机 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蓝鸥科技有限公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计算机应用服务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本公司系大连华信计算机技术股份有限公司单一第三大股东并派驻了董事，对其具有重大影响。</w:t>
      </w:r>
    </w:p>
    <w:p>
      <w:pPr>
        <w:widowControl w:val="0"/>
        <w:spacing w:after="439" w:line="1" w:lineRule="exact"/>
      </w:pPr>
    </w:p>
    <w:p>
      <w:pPr>
        <w:pStyle w:val="Style47"/>
        <w:keepNext/>
        <w:keepLines/>
        <w:widowControl w:val="0"/>
        <w:numPr>
          <w:ilvl w:val="0"/>
          <w:numId w:val="45"/>
        </w:numPr>
        <w:shd w:val="clear" w:color="auto" w:fill="auto"/>
        <w:tabs>
          <w:tab w:pos="493" w:val="left"/>
        </w:tabs>
        <w:bidi w:val="0"/>
        <w:spacing w:before="0" w:line="240" w:lineRule="auto"/>
        <w:ind w:left="0" w:right="0" w:firstLine="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重要合营企业的主要财务信息</w:t>
      </w:r>
      <w:bookmarkEnd w:id="1670"/>
      <w:bookmarkEnd w:id="1671"/>
      <w:bookmarkEnd w:id="1673"/>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47"/>
        <w:keepNext/>
        <w:keepLines/>
        <w:widowControl w:val="0"/>
        <w:numPr>
          <w:ilvl w:val="0"/>
          <w:numId w:val="45"/>
        </w:numPr>
        <w:shd w:val="clear" w:color="auto" w:fill="auto"/>
        <w:tabs>
          <w:tab w:pos="493" w:val="left"/>
        </w:tabs>
        <w:bidi w:val="0"/>
        <w:spacing w:before="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重要联营企业的主要财务信息</w:t>
      </w:r>
      <w:bookmarkEnd w:id="1674"/>
      <w:bookmarkEnd w:id="1675"/>
      <w:bookmarkEnd w:id="167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大连华信计算机技术股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蓝鸥科技有限公司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大连华信计算机技术股 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蓝鸥科技有限公司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1,387,636,543.63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104,292,619.30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1,128,898,645.21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1,206,292,083.73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133,074,170.97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1,128,180,429.66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2,593,928,627.36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237,366,790.27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2,257,079,074.87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700,596,268.85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55,480,229.31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850,057,625.37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655,773,039.48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392,311,832.63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1,356,369,308.33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55,480,229.31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1,242,369,458.00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87,320,041.24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53,772,631.52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1,150,239,277.79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181,886,560.96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960,936,985.35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93,675,486.78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58,203,699.51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85,607,100.86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27,846,979.18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82,825,327.88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27,157,906.03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27,157,906.03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82,825,327.88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27,157,906.03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689,073.15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121,522,465.96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141,029,027.39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112,765,006.89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1,784,203,448.18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111,631,671.24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1,449,817,725.70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158,186,845.52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148,523,605.34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2,347,625.73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161,858,851.54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34,621,486.44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150,871,231.07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20" behindDoc="0" locked="0" layoutInCell="1" allowOverlap="1">
                <wp:simplePos x="0" y="0"/>
                <wp:positionH relativeFrom="page">
                  <wp:posOffset>725170</wp:posOffset>
                </wp:positionH>
                <wp:positionV relativeFrom="paragraph">
                  <wp:posOffset>0</wp:posOffset>
                </wp:positionV>
                <wp:extent cx="1167130" cy="402590"/>
                <wp:wrapTopAndBottom/>
                <wp:docPr id="279" name="Shape 279"/>
                <a:graphic xmlns:a="http://schemas.openxmlformats.org/drawingml/2006/main">
                  <a:graphicData uri="http://schemas.microsoft.com/office/word/2010/wordprocessingShape">
                    <wps:wsp>
                      <wps:cNvSpPr txBox="1"/>
                      <wps:spPr>
                        <a:xfrm>
                          <a:ext cx="1167130" cy="402590"/>
                        </a:xfrm>
                        <a:prstGeom prst="rect"/>
                        <a:noFill/>
                      </wps:spPr>
                      <wps:txbx>
                        <w:txbxContent>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本年度收到的来自联营 企业的股利</w:t>
                            </w:r>
                          </w:p>
                        </w:txbxContent>
                      </wps:txbx>
                      <wps:bodyPr lIns="0" tIns="0" rIns="0" bIns="0">
                        <a:noAutoFit/>
                      </wps:bodyPr>
                    </wps:wsp>
                  </a:graphicData>
                </a:graphic>
              </wp:anchor>
            </w:drawing>
          </mc:Choice>
          <mc:Fallback>
            <w:pict>
              <v:shape id="_x0000_s1305" type="#_x0000_t202" style="position:absolute;margin-left:57.100000000000001pt;margin-top:0;width:91.900000000000006pt;height:31.699999999999999pt;z-index:-125829333;mso-wrap-distance-left:0;mso-wrap-distance-right:0;mso-wrap-distance-bottom:15.pt;mso-position-horizontal-relative:page" filled="f" stroked="f">
                <v:textbox inset="0,0,0,0">
                  <w:txbxContent>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本年度收到的来自联营 企业的股利</w:t>
                      </w:r>
                    </w:p>
                  </w:txbxContent>
                </v:textbox>
                <w10:wrap type="topAndBottom" anchorx="page"/>
              </v:shape>
            </w:pict>
          </mc:Fallback>
        </mc:AlternateContent>
      </w:r>
      <w:r>
        <mc:AlternateContent>
          <mc:Choice Requires="wps">
            <w:drawing>
              <wp:anchor distT="161290" distB="288290" distL="0" distR="0" simplePos="0" relativeHeight="125829422" behindDoc="0" locked="0" layoutInCell="1" allowOverlap="1">
                <wp:simplePos x="0" y="0"/>
                <wp:positionH relativeFrom="page">
                  <wp:posOffset>2514600</wp:posOffset>
                </wp:positionH>
                <wp:positionV relativeFrom="paragraph">
                  <wp:posOffset>161290</wp:posOffset>
                </wp:positionV>
                <wp:extent cx="631190" cy="143510"/>
                <wp:wrapTopAndBottom/>
                <wp:docPr id="281" name="Shape 281"/>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w:t>
                            </w:r>
                          </w:p>
                        </w:txbxContent>
                      </wps:txbx>
                      <wps:bodyPr wrap="none" lIns="0" tIns="0" rIns="0" bIns="0">
                        <a:noAutoFit/>
                      </wps:bodyPr>
                    </wps:wsp>
                  </a:graphicData>
                </a:graphic>
              </wp:anchor>
            </w:drawing>
          </mc:Choice>
          <mc:Fallback>
            <w:pict>
              <v:shape id="_x0000_s1307" type="#_x0000_t202" style="position:absolute;margin-left:198.pt;margin-top:12.700000000000001pt;width:49.700000000000003pt;height:11.300000000000001pt;z-index:-125829331;mso-wrap-distance-left:0;mso-wrap-distance-top:12.700000000000001pt;mso-wrap-distance-right:0;mso-wrap-distance-bottom:22.69999999999999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w:t>
                      </w:r>
                    </w:p>
                  </w:txbxContent>
                </v:textbox>
                <w10:wrap type="topAndBottom" anchorx="page"/>
              </v:shape>
            </w:pict>
          </mc:Fallback>
        </mc:AlternateContent>
      </w:r>
      <w:r>
        <mc:AlternateContent>
          <mc:Choice Requires="wps">
            <w:drawing>
              <wp:anchor distT="161290" distB="288290" distL="0" distR="0" simplePos="0" relativeHeight="125829424" behindDoc="0" locked="0" layoutInCell="1" allowOverlap="1">
                <wp:simplePos x="0" y="0"/>
                <wp:positionH relativeFrom="page">
                  <wp:posOffset>4900930</wp:posOffset>
                </wp:positionH>
                <wp:positionV relativeFrom="paragraph">
                  <wp:posOffset>161290</wp:posOffset>
                </wp:positionV>
                <wp:extent cx="676910" cy="143510"/>
                <wp:wrapTopAndBottom/>
                <wp:docPr id="283" name="Shape 283"/>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19,800,000.00</w:t>
                            </w:r>
                          </w:p>
                        </w:txbxContent>
                      </wps:txbx>
                      <wps:bodyPr wrap="none" lIns="0" tIns="0" rIns="0" bIns="0">
                        <a:noAutoFit/>
                      </wps:bodyPr>
                    </wps:wsp>
                  </a:graphicData>
                </a:graphic>
              </wp:anchor>
            </w:drawing>
          </mc:Choice>
          <mc:Fallback>
            <w:pict>
              <v:shape id="_x0000_s1309" type="#_x0000_t202" style="position:absolute;margin-left:385.90000000000003pt;margin-top:12.700000000000001pt;width:53.300000000000004pt;height:11.300000000000001pt;z-index:-125829329;mso-wrap-distance-left:0;mso-wrap-distance-top:12.700000000000001pt;mso-wrap-distance-right:0;mso-wrap-distance-bottom:22.69999999999999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19,800,000.00</w:t>
                      </w:r>
                    </w:p>
                  </w:txbxContent>
                </v:textbox>
                <w10:wrap type="topAndBottom" anchorx="page"/>
              </v:shape>
            </w:pict>
          </mc:Fallback>
        </mc:AlternateContent>
      </w:r>
    </w:p>
    <w:p>
      <w:pPr>
        <w:pStyle w:val="Style47"/>
        <w:keepNext/>
        <w:keepLines/>
        <w:widowControl w:val="0"/>
        <w:numPr>
          <w:ilvl w:val="0"/>
          <w:numId w:val="45"/>
        </w:numPr>
        <w:shd w:val="clear" w:color="auto" w:fill="auto"/>
        <w:bidi w:val="0"/>
        <w:spacing w:before="0" w:after="360" w:line="240" w:lineRule="auto"/>
        <w:ind w:left="0" w:right="0" w:firstLine="14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不重要的合营企业和联营企业的汇总财务信息</w:t>
      </w:r>
      <w:bookmarkEnd w:id="1678"/>
      <w:bookmarkEnd w:id="1679"/>
      <w:bookmarkEnd w:id="168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71,046,424.58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-12,818,445.95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-12,818,445.95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6,615,000.00</w:t>
            </w:r>
          </w:p>
        </w:tc>
      </w:tr>
    </w:tbl>
    <w:p>
      <w:pPr>
        <w:widowControl w:val="0"/>
        <w:spacing w:after="359" w:line="1" w:lineRule="exact"/>
      </w:pPr>
    </w:p>
    <w:p>
      <w:pPr>
        <w:pStyle w:val="Style47"/>
        <w:keepNext/>
        <w:keepLines/>
        <w:widowControl w:val="0"/>
        <w:numPr>
          <w:ilvl w:val="0"/>
          <w:numId w:val="45"/>
        </w:numPr>
        <w:shd w:val="clear" w:color="auto" w:fill="auto"/>
        <w:bidi w:val="0"/>
        <w:spacing w:before="0" w:after="360" w:line="240" w:lineRule="auto"/>
        <w:ind w:left="0" w:right="0" w:firstLine="14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合营企业或联营企业发生的超额亏损</w:t>
      </w:r>
      <w:bookmarkEnd w:id="1682"/>
      <w:bookmarkEnd w:id="1683"/>
      <w:bookmarkEnd w:id="168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累积未确认前期累计认的损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北京神州泰岳教育科技有限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781,832.35</w:t>
            </w:r>
          </w:p>
        </w:tc>
      </w:tr>
    </w:tbl>
    <w:p>
      <w:pPr>
        <w:widowControl w:val="0"/>
        <w:spacing w:after="359" w:line="1" w:lineRule="exact"/>
      </w:pPr>
    </w:p>
    <w:p>
      <w:pPr>
        <w:pStyle w:val="Style39"/>
        <w:keepNext/>
        <w:keepLines/>
        <w:widowControl w:val="0"/>
        <w:shd w:val="clear" w:color="auto" w:fill="auto"/>
        <w:tabs>
          <w:tab w:pos="378"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color w:val="000000"/>
          <w:spacing w:val="0"/>
          <w:w w:val="100"/>
          <w:position w:val="0"/>
        </w:rPr>
        <w:t>、</w:t>
        <w:tab/>
        <w:t>重要的共同经营</w:t>
      </w:r>
      <w:bookmarkEnd w:id="1686"/>
      <w:bookmarkEnd w:id="1687"/>
      <w:bookmarkEnd w:id="1689"/>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color w:val="000000"/>
          <w:spacing w:val="0"/>
          <w:w w:val="100"/>
          <w:position w:val="0"/>
        </w:rPr>
        <w:t>、</w:t>
        <w:tab/>
        <w:t>在未纳入合并财务报表范围的结构化主体中的权益</w:t>
      </w:r>
      <w:bookmarkEnd w:id="1690"/>
      <w:bookmarkEnd w:id="1691"/>
      <w:bookmarkEnd w:id="1693"/>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color w:val="000000"/>
          <w:spacing w:val="0"/>
          <w:w w:val="100"/>
          <w:position w:val="0"/>
        </w:rPr>
        <w:t>、</w:t>
        <w:tab/>
        <w:t>其他</w:t>
      </w:r>
      <w:bookmarkEnd w:id="1694"/>
      <w:bookmarkEnd w:id="1695"/>
      <w:bookmarkEnd w:id="1697"/>
    </w:p>
    <w:p>
      <w:pPr>
        <w:pStyle w:val="Style27"/>
        <w:keepNext/>
        <w:keepLines/>
        <w:widowControl w:val="0"/>
        <w:shd w:val="clear" w:color="auto" w:fill="auto"/>
        <w:bidi w:val="0"/>
        <w:spacing w:before="0" w:after="460" w:line="240" w:lineRule="auto"/>
        <w:ind w:left="0" w:right="0" w:firstLine="0"/>
        <w:jc w:val="left"/>
      </w:pPr>
      <w:bookmarkStart w:id="1698" w:name="bookmark1698"/>
      <w:bookmarkStart w:id="1699" w:name="bookmark1699"/>
      <w:bookmarkStart w:id="1700" w:name="bookmark1700"/>
      <w:r>
        <w:rPr>
          <w:color w:val="000000"/>
          <w:spacing w:val="0"/>
          <w:w w:val="100"/>
          <w:position w:val="0"/>
        </w:rPr>
        <w:t>十、与金融工具相关的风险</w:t>
      </w:r>
      <w:bookmarkEnd w:id="1698"/>
      <w:bookmarkEnd w:id="1699"/>
      <w:bookmarkEnd w:id="1700"/>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 xml:space="preserve">本公司的金融工具主要包括货币资金、应收应付款项、借款等，具体金融工具详见各项目附注。本公司与金融工具相关 </w:t>
      </w:r>
      <w:r>
        <w:rPr>
          <w:color w:val="000000"/>
          <w:spacing w:val="0"/>
          <w:w w:val="100"/>
          <w:position w:val="0"/>
        </w:rPr>
        <w:t>的风险主要包括市场风险、信用风险和流动风险。</w:t>
      </w:r>
    </w:p>
    <w:p>
      <w:pPr>
        <w:pStyle w:val="Style29"/>
        <w:keepNext w:val="0"/>
        <w:keepLines w:val="0"/>
        <w:widowControl w:val="0"/>
        <w:numPr>
          <w:ilvl w:val="0"/>
          <w:numId w:val="47"/>
        </w:numPr>
        <w:shd w:val="clear" w:color="auto" w:fill="auto"/>
        <w:tabs>
          <w:tab w:pos="825" w:val="left"/>
        </w:tabs>
        <w:bidi w:val="0"/>
        <w:spacing w:before="0" w:after="0" w:line="469" w:lineRule="exact"/>
        <w:ind w:left="0" w:right="0"/>
        <w:jc w:val="both"/>
      </w:pPr>
      <w:bookmarkStart w:id="1701" w:name="bookmark1701"/>
      <w:bookmarkEnd w:id="1701"/>
      <w:r>
        <w:rPr>
          <w:color w:val="000000"/>
          <w:spacing w:val="0"/>
          <w:w w:val="100"/>
          <w:position w:val="0"/>
        </w:rPr>
        <w:t>市场风险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市场风险主要包括汇率和利率风险。本公司下设境外子公司，货币资金及应收应付款项等存在外币项目，外汇风险可能 对本公司的经营业绩产生影响；本公司面临的利率风险主要来源于短期借款、中期票据、超短期融资券等事项。本公司管理 层密切关注汇率及利率对公司的影响，以降低市场风险。</w:t>
      </w:r>
    </w:p>
    <w:p>
      <w:pPr>
        <w:pStyle w:val="Style29"/>
        <w:keepNext w:val="0"/>
        <w:keepLines w:val="0"/>
        <w:widowControl w:val="0"/>
        <w:numPr>
          <w:ilvl w:val="0"/>
          <w:numId w:val="47"/>
        </w:numPr>
        <w:shd w:val="clear" w:color="auto" w:fill="auto"/>
        <w:tabs>
          <w:tab w:pos="825" w:val="left"/>
        </w:tabs>
        <w:bidi w:val="0"/>
        <w:spacing w:before="0" w:after="0" w:line="469" w:lineRule="exact"/>
        <w:ind w:left="0" w:right="0"/>
        <w:jc w:val="both"/>
      </w:pPr>
      <w:bookmarkStart w:id="1702" w:name="bookmark1702"/>
      <w:bookmarkEnd w:id="1702"/>
      <w:r>
        <w:rPr>
          <w:color w:val="000000"/>
          <w:spacing w:val="0"/>
          <w:w w:val="100"/>
          <w:position w:val="0"/>
        </w:rPr>
        <w:t>信用风险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本公司的信用风险主要来源于货币资金、应收账款、其他应收款等。对于应收款项，本公司已制定适当的信用政策，持 续监察信用风险。</w:t>
      </w:r>
    </w:p>
    <w:p>
      <w:pPr>
        <w:pStyle w:val="Style29"/>
        <w:keepNext w:val="0"/>
        <w:keepLines w:val="0"/>
        <w:widowControl w:val="0"/>
        <w:numPr>
          <w:ilvl w:val="0"/>
          <w:numId w:val="47"/>
        </w:numPr>
        <w:shd w:val="clear" w:color="auto" w:fill="auto"/>
        <w:tabs>
          <w:tab w:pos="825" w:val="left"/>
        </w:tabs>
        <w:bidi w:val="0"/>
        <w:spacing w:before="0" w:after="0" w:line="469" w:lineRule="exact"/>
        <w:ind w:left="0" w:right="0"/>
        <w:jc w:val="both"/>
      </w:pPr>
      <w:bookmarkStart w:id="1703" w:name="bookmark1703"/>
      <w:bookmarkEnd w:id="1703"/>
      <w:r>
        <w:rPr>
          <w:color w:val="000000"/>
          <w:spacing w:val="0"/>
          <w:w w:val="100"/>
          <w:position w:val="0"/>
        </w:rPr>
        <w:t>流动风险</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流动性风险为本公司在到期日无法履行财务义务的风险。本公司持续监督短期和长期的资金需求，以确保维持充裕的现 金储备。</w:t>
      </w:r>
    </w:p>
    <w:p>
      <w:pPr>
        <w:pStyle w:val="Style27"/>
        <w:keepNext/>
        <w:keepLines/>
        <w:widowControl w:val="0"/>
        <w:shd w:val="clear" w:color="auto" w:fill="auto"/>
        <w:bidi w:val="0"/>
        <w:spacing w:before="0" w:after="100" w:line="240" w:lineRule="auto"/>
        <w:ind w:left="0" w:right="0" w:firstLine="0"/>
        <w:jc w:val="left"/>
      </w:pPr>
      <w:bookmarkStart w:id="1704" w:name="bookmark1704"/>
      <w:bookmarkStart w:id="1705" w:name="bookmark1705"/>
      <w:bookmarkStart w:id="1706" w:name="bookmark1706"/>
      <w:r>
        <w:rPr>
          <w:color w:val="000000"/>
          <w:spacing w:val="0"/>
          <w:w w:val="100"/>
          <w:position w:val="0"/>
        </w:rPr>
        <w:t>十一、公允价值的披露</w:t>
      </w:r>
      <w:bookmarkEnd w:id="1704"/>
      <w:bookmarkEnd w:id="1705"/>
      <w:bookmarkEnd w:id="1706"/>
    </w:p>
    <w:p>
      <w:pPr>
        <w:pStyle w:val="Style29"/>
        <w:keepNext w:val="0"/>
        <w:keepLines w:val="0"/>
        <w:widowControl w:val="0"/>
        <w:shd w:val="clear" w:color="auto" w:fill="auto"/>
        <w:bidi w:val="0"/>
        <w:spacing w:before="0" w:after="380" w:line="469" w:lineRule="exact"/>
        <w:ind w:left="0" w:right="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r>
        <w:rPr>
          <w:color w:val="000000"/>
          <w:spacing w:val="0"/>
          <w:w w:val="100"/>
          <w:position w:val="0"/>
        </w:rPr>
        <w:t>十二、关联方及关联交易</w:t>
      </w:r>
      <w:bookmarkEnd w:id="1707"/>
      <w:bookmarkEnd w:id="1708"/>
      <w:bookmarkEnd w:id="1709"/>
    </w:p>
    <w:p>
      <w:pPr>
        <w:pStyle w:val="Style39"/>
        <w:keepNext/>
        <w:keepLines/>
        <w:widowControl w:val="0"/>
        <w:shd w:val="clear" w:color="auto" w:fill="auto"/>
        <w:bidi w:val="0"/>
        <w:spacing w:before="0" w:after="320" w:line="240" w:lineRule="auto"/>
        <w:ind w:left="0" w:right="0" w:firstLine="0"/>
        <w:jc w:val="both"/>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10"/>
      <w:bookmarkEnd w:id="1711"/>
      <w:bookmarkEnd w:id="1712"/>
    </w:p>
    <w:tbl>
      <w:tblPr>
        <w:tblOverlap w:val="never"/>
        <w:jc w:val="center"/>
        <w:tblLayout w:type="fixed"/>
      </w:tblPr>
      <w:tblGrid>
        <w:gridCol w:w="3235"/>
        <w:gridCol w:w="3230"/>
        <w:gridCol w:w="324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母公司对本企业的持股比例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母公司对本企业的表决权比例</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r>
      <w:tr>
        <w:trPr>
          <w:trHeight w:val="40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本公司的实际控制人为王宁先生、李力先生，签定了一致行动协议，为一致行动人。</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本企业最终控制方是王宁、李力共同控制。</w:t>
      </w:r>
    </w:p>
    <w:p>
      <w:pPr>
        <w:pStyle w:val="Style39"/>
        <w:keepNext/>
        <w:keepLines/>
        <w:widowControl w:val="0"/>
        <w:shd w:val="clear" w:color="auto" w:fill="auto"/>
        <w:tabs>
          <w:tab w:pos="378" w:val="left"/>
        </w:tabs>
        <w:bidi w:val="0"/>
        <w:spacing w:before="0" w:after="460" w:line="240" w:lineRule="auto"/>
        <w:ind w:left="0" w:right="0" w:firstLine="0"/>
        <w:jc w:val="both"/>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本企业的子公司情况</w:t>
      </w:r>
      <w:bookmarkEnd w:id="1713"/>
      <w:bookmarkEnd w:id="1714"/>
      <w:bookmarkEnd w:id="1716"/>
    </w:p>
    <w:p>
      <w:pPr>
        <w:pStyle w:val="Style29"/>
        <w:keepNext w:val="0"/>
        <w:keepLines w:val="0"/>
        <w:widowControl w:val="0"/>
        <w:shd w:val="clear" w:color="auto" w:fill="auto"/>
        <w:bidi w:val="0"/>
        <w:spacing w:before="0" w:after="460" w:line="240" w:lineRule="auto"/>
        <w:ind w:left="0" w:right="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tabs>
          <w:tab w:pos="378" w:val="left"/>
        </w:tabs>
        <w:bidi w:val="0"/>
        <w:spacing w:before="0" w:after="46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3</w:t>
      </w:r>
      <w:bookmarkEnd w:id="1719"/>
      <w:r>
        <w:rPr>
          <w:color w:val="000000"/>
          <w:spacing w:val="0"/>
          <w:w w:val="100"/>
          <w:position w:val="0"/>
        </w:rPr>
        <w:t>、</w:t>
        <w:tab/>
        <w:t>本企业合营和联营企业情况</w:t>
      </w:r>
      <w:bookmarkEnd w:id="1717"/>
      <w:bookmarkEnd w:id="1718"/>
      <w:bookmarkEnd w:id="1720"/>
    </w:p>
    <w:p>
      <w:pPr>
        <w:pStyle w:val="Style29"/>
        <w:keepNext w:val="0"/>
        <w:keepLines w:val="0"/>
        <w:widowControl w:val="0"/>
        <w:shd w:val="clear" w:color="auto" w:fill="auto"/>
        <w:bidi w:val="0"/>
        <w:spacing w:before="0" w:after="320" w:line="240" w:lineRule="auto"/>
        <w:ind w:left="0" w:right="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60" w:line="240" w:lineRule="auto"/>
        <w:ind w:left="0" w:right="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line="1" w:lineRule="exact"/>
      </w:pPr>
      <w:r>
        <w:br w:type="page"/>
      </w:r>
    </w:p>
    <w:tbl>
      <w:tblPr>
        <w:tblOverlap w:val="never"/>
        <w:jc w:val="center"/>
        <w:tblLayout w:type="fixed"/>
      </w:tblPr>
      <w:tblGrid>
        <w:gridCol w:w="4786"/>
        <w:gridCol w:w="4795"/>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大连华信计算机技术股份有限公司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北京神州泰岳教育科技有限公司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北京神州良品电子商务科技股份有限公司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宁波泰岳梧桐投资管理有限公司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珠海神州泰岳投资管理有限公司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珠海泰岳梧桐投资管理有限公司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联营企业</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4</w:t>
      </w:r>
      <w:bookmarkEnd w:id="1723"/>
      <w:r>
        <w:rPr>
          <w:color w:val="000000"/>
          <w:spacing w:val="0"/>
          <w:w w:val="100"/>
          <w:position w:val="0"/>
        </w:rPr>
        <w:t>、其他关联方情况</w:t>
      </w:r>
      <w:bookmarkEnd w:id="1721"/>
      <w:bookmarkEnd w:id="1722"/>
      <w:bookmarkEnd w:id="172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齐强、黄松浪、李毅、万能、徐斯平、汪钺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公司其他主要自然人股东</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翟一兵、罗建北、刘铁民【注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】、沈阳【注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】、王雪春【注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】、李广刚、丁彦超、郝岩、徐元区【注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】、高峰【注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刘丁【注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】、董越【注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】、任杰【注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】、梁德兴【注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张黔山【注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】、艾东【注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】、林红【注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】、杨凯程【注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蓝伯雄【注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】、刘凯湘【注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】、江锡如、朱健松【注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】、张 振鹏【注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】、刘豪【注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】、许芃【注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】、孙海粟【注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关键管理人员（不含主要个人股东）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华信永道科技有限公司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中信网络科技股份有限公司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北京盈海益讯科技发展有限公司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历史关联公司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北京良业环境技术有限公司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北京光合起源网络科技有限公司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公司董事担任董事的企业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Reliance Jio Messaging Services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控制子公司参股的公司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北京职航创业教育科技有限公司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宁波梅山保税港区泰梧投资管理合伙企业（有限合伙）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公司董事担任执行事务合伙人委派代表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北京水泽林投资咨询有限公司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北京碧水源净水电子商务有限公司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公司董事担任董事的公司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北京善聚投资管理有限公司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公司实际控制人直接控制的公司</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560" w:val="left"/>
        </w:tabs>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日公司董监高换届，刘铁民、沈阳、王雪春、徐元区、董越、任杰、梁德兴、张黔山、艾东、林红正</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式上任。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日公司副总经理刘丁逝世。</w:t>
      </w:r>
    </w:p>
    <w:p>
      <w:pPr>
        <w:pStyle w:val="Style29"/>
        <w:keepNext w:val="0"/>
        <w:keepLines w:val="0"/>
        <w:widowControl w:val="0"/>
        <w:shd w:val="clear" w:color="auto" w:fill="auto"/>
        <w:tabs>
          <w:tab w:pos="560" w:val="left"/>
        </w:tabs>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日选举杨凯程为董事。</w:t>
      </w:r>
    </w:p>
    <w:p>
      <w:pPr>
        <w:pStyle w:val="Style29"/>
        <w:keepNext w:val="0"/>
        <w:keepLines w:val="0"/>
        <w:widowControl w:val="0"/>
        <w:shd w:val="clear" w:color="auto" w:fill="auto"/>
        <w:tabs>
          <w:tab w:pos="560" w:val="left"/>
        </w:tabs>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日公司董监高换届，万能、齐强、蓝伯雄、刘凯湘、江锡如、朱健松、张振鹏、刘豪、许芃、孙海粟</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正式离任。</w:t>
      </w:r>
      <w:r>
        <w:br w:type="page"/>
      </w:r>
    </w:p>
    <w:p>
      <w:pPr>
        <w:pStyle w:val="Style3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color w:val="000000"/>
          <w:spacing w:val="0"/>
          <w:w w:val="100"/>
          <w:position w:val="0"/>
        </w:rPr>
        <w:t>、关联交易情况</w:t>
      </w:r>
      <w:bookmarkEnd w:id="1725"/>
      <w:bookmarkEnd w:id="1726"/>
      <w:bookmarkEnd w:id="1728"/>
    </w:p>
    <w:p>
      <w:pPr>
        <w:pStyle w:val="Style47"/>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9"/>
      <w:bookmarkEnd w:id="1730"/>
      <w:bookmarkEnd w:id="173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大连华信计算机技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6,496,355.00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北京光合起源网络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购买版权金、支付 分成款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31,591,641.27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31,591,641.27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8,442,675.17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北京云中融信网络科技有限公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5,216,980.94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北京碧水源净水电子商务有限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2,547,169.79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413,939.74</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32"/>
      <w:bookmarkEnd w:id="1733"/>
      <w:bookmarkEnd w:id="173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中信网络科技股份有限公司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3,890,132.30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4,027,454.16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华信永道（北京）科技有限公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927,918.64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1,571,357.67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北京中清龙图网络技术有限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10,217,684.65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宁波泰岳梧桐投资管理有限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517,167.25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1,209,991.86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北京光合起源网络科技有限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487,500.00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深圳市前海泰岳梧桐投资基 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129,526.55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349,100.25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北京华泰德丰技术有限公司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687,900.00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北京职航创业教育科技有限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101,226.67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北京神州泰岳教育科技有限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486,662.86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北京神州良品电子商务科技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1,013,570.11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珠海泰岳梧桐投资管理有限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120,557.13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珠海神州泰岳投资管理有限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401,857.13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北京裂变科技有限公司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315,733.34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北京盈海益讯科技发展有限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450,920.44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北京云中融信网络科技有限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1,356,799.98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Reliance Jio Messaging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1,757,265.71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北京良业环境技术有限公司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698,924.29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35"/>
      <w:bookmarkEnd w:id="1736"/>
      <w:bookmarkEnd w:id="173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北京新媒传信科技有限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北京神州泰岳系统集成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w:t>
      </w:r>
      <w:bookmarkEnd w:id="174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39"/>
      <w:bookmarkEnd w:id="1740"/>
      <w:bookmarkEnd w:id="1742"/>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743"/>
      <w:bookmarkEnd w:id="1744"/>
      <w:bookmarkEnd w:id="1746"/>
    </w:p>
    <w:p>
      <w:pPr>
        <w:pStyle w:val="Style29"/>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）本公司支付给主要自然人股东的薪酬如下：</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金额单位：人民币万元</w:t>
      </w:r>
    </w:p>
    <w:tbl>
      <w:tblPr>
        <w:tblOverlap w:val="never"/>
        <w:jc w:val="center"/>
        <w:tblLayout w:type="fixed"/>
      </w:tblPr>
      <w:tblGrid>
        <w:gridCol w:w="3355"/>
        <w:gridCol w:w="3139"/>
        <w:gridCol w:w="3178"/>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主要自然人股东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17.03</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17.03</w:t>
            </w:r>
          </w:p>
        </w:tc>
      </w:tr>
    </w:tbl>
    <w:p>
      <w:pPr>
        <w:widowControl w:val="0"/>
        <w:spacing w:line="1" w:lineRule="exact"/>
      </w:pPr>
      <w:r>
        <w:br w:type="page"/>
      </w:r>
    </w:p>
    <w:tbl>
      <w:tblPr>
        <w:tblOverlap w:val="never"/>
        <w:jc w:val="center"/>
        <w:tblLayout w:type="fixed"/>
      </w:tblPr>
      <w:tblGrid>
        <w:gridCol w:w="3355"/>
        <w:gridCol w:w="3139"/>
        <w:gridCol w:w="3178"/>
      </w:tblGrid>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未在公司领薪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未在公司领薪</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黄松浪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15.77</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未在公司领薪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未在公司领薪</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汪钺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42.31</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130.56</w:t>
            </w:r>
          </w:p>
        </w:tc>
      </w:tr>
    </w:tbl>
    <w:p>
      <w:pPr>
        <w:pStyle w:val="Style29"/>
        <w:keepNext w:val="0"/>
        <w:keepLines w:val="0"/>
        <w:widowControl w:val="0"/>
        <w:shd w:val="clear" w:color="auto" w:fill="auto"/>
        <w:tabs>
          <w:tab w:pos="805" w:val="left"/>
        </w:tabs>
        <w:bidi w:val="0"/>
        <w:spacing w:before="0" w:after="0" w:line="46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年公司与深圳市前海梧桐并购投资基金管理有限公司、宁波梅山保税港区泰梧投资管理合伙企业联合设立面</w:t>
      </w:r>
    </w:p>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向移动游戏领域的专业化投资管理有限公司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珠海泰岳梧桐投资管理有限公司。合资公司注册资本人民币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 神州泰岳</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万元、前海梧桐</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万元、泰梧投资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9"/>
        <w:keepNext w:val="0"/>
        <w:keepLines w:val="0"/>
        <w:widowControl w:val="0"/>
        <w:shd w:val="clear" w:color="auto" w:fill="auto"/>
        <w:tabs>
          <w:tab w:pos="876" w:val="left"/>
        </w:tabs>
        <w:bidi w:val="0"/>
        <w:spacing w:before="0" w:after="0" w:line="466" w:lineRule="exact"/>
        <w:ind w:left="0" w:right="0"/>
        <w:jc w:val="both"/>
      </w:pPr>
      <w:bookmarkStart w:id="1747" w:name="bookmark1747"/>
      <w:r>
        <w:rPr>
          <w:color w:val="000000"/>
          <w:spacing w:val="0"/>
          <w:w w:val="100"/>
          <w:position w:val="0"/>
        </w:rPr>
        <w:t>（</w:t>
      </w:r>
      <w:bookmarkEnd w:id="17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年公司与蓝鸥科技有限公司、北京水泽林投资咨询有限公司联合设立面向职业教育领域的专业化投资管理有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珠海神州泰岳投资管理有限公司。合资公司注册资本人民币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万元，其中神州泰岳</w:t>
      </w:r>
      <w:r>
        <w:rPr>
          <w:rFonts w:ascii="Times New Roman" w:eastAsia="Times New Roman" w:hAnsi="Times New Roman" w:cs="Times New Roman"/>
          <w:color w:val="000000"/>
          <w:spacing w:val="0"/>
          <w:w w:val="100"/>
          <w:position w:val="0"/>
          <w:sz w:val="18"/>
          <w:szCs w:val="18"/>
        </w:rPr>
        <w:t>490</w:t>
      </w:r>
      <w:r>
        <w:rPr>
          <w:color w:val="000000"/>
          <w:spacing w:val="0"/>
          <w:w w:val="100"/>
          <w:position w:val="0"/>
        </w:rPr>
        <w:t>万元、蓝鸥科技</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 水泽林</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w:t>
      </w:r>
    </w:p>
    <w:p>
      <w:pPr>
        <w:pStyle w:val="Style29"/>
        <w:keepNext w:val="0"/>
        <w:keepLines w:val="0"/>
        <w:widowControl w:val="0"/>
        <w:shd w:val="clear" w:color="auto" w:fill="auto"/>
        <w:tabs>
          <w:tab w:pos="871" w:val="left"/>
        </w:tabs>
        <w:bidi w:val="0"/>
        <w:spacing w:before="0" w:after="460" w:line="466" w:lineRule="exact"/>
        <w:ind w:left="0" w:right="0"/>
        <w:jc w:val="both"/>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年公司使用自有资金分别购买大连华信计算机技术股份有限公司、廖淳所持有的北京华泰德丰技术有限公司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的股权</w:t>
      </w:r>
      <w:r>
        <w:rPr>
          <w:color w:val="000000"/>
          <w:spacing w:val="0"/>
          <w:w w:val="100"/>
          <w:position w:val="0"/>
          <w:sz w:val="18"/>
          <w:szCs w:val="18"/>
        </w:rPr>
        <w:t>，</w:t>
      </w:r>
      <w:r>
        <w:rPr>
          <w:color w:val="000000"/>
          <w:spacing w:val="0"/>
          <w:w w:val="100"/>
          <w:position w:val="0"/>
        </w:rPr>
        <w:t>转让价款分别为</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万元。上述事项完成后公司与华泰德丰现股东之一贾杨分 别出资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万元人民币共同对华泰德丰进行增资。增资完成后，华泰德丰注册资本变为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万元，其中公司持股 比例为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，大连华信持股比例为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，廖淳持股比例为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,贾杨持股比例为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color w:val="000000"/>
          <w:spacing w:val="0"/>
          <w:w w:val="100"/>
          <w:position w:val="0"/>
        </w:rPr>
        <w:t>、关联方应收应付款项</w:t>
      </w:r>
      <w:bookmarkEnd w:id="1749"/>
      <w:bookmarkEnd w:id="1750"/>
      <w:bookmarkEnd w:id="1752"/>
    </w:p>
    <w:p>
      <w:pPr>
        <w:pStyle w:val="Style47"/>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3"/>
      <w:bookmarkEnd w:id="1754"/>
      <w:bookmarkEnd w:id="17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大连华信计算机技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2,322,684.56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华信永道（北京）科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12,862.71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中信网络科技股份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1,010,762.77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北京中清龙图网络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4,901,053.66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245,052.68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珠海泰岳梧桐投资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78,164.99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6"/>
      <w:bookmarkEnd w:id="1757"/>
      <w:bookmarkEnd w:id="17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大连华信计算机技术股份有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北京光合起源网络科技有限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4,597,719.89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3,295,930.07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中信网络科技股份有限公司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北京华信永道(北京)科技公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北京中清龙图网络技术有限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北京光合起源网络科技有限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北京云中融信网络科技有限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北京良业环境技术有限公司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1,420,484.19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北京裂变科技有限公司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北京盈海益迅科技发展有限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373,036.95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北京神州泰岳良品电子商务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386,306.65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Reliance Jio Messaging</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Services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珠海泰岳梧桐投资管理有限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45,450.00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珠海神州泰岳投资管理有限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北京中清龙图网络技术有限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992,643.00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宁波泰岳梧桐投资管理有限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40,445.44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102,716.12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北京碧水源净水电子商务有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北京良业环境技术有限公司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574,642.84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北京神州泰岳良品电子商务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35,688.34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7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珠海神州泰岳投资管理有限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tabs>
          <w:tab w:pos="373" w:val="left"/>
        </w:tabs>
        <w:bidi w:val="0"/>
        <w:spacing w:before="0" w:after="46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7</w:t>
      </w:r>
      <w:bookmarkEnd w:id="1761"/>
      <w:r>
        <w:rPr>
          <w:color w:val="000000"/>
          <w:spacing w:val="0"/>
          <w:w w:val="100"/>
          <w:position w:val="0"/>
        </w:rPr>
        <w:t>、</w:t>
        <w:tab/>
        <w:t>关联方承诺</w:t>
      </w:r>
      <w:bookmarkEnd w:id="1759"/>
      <w:bookmarkEnd w:id="1760"/>
      <w:bookmarkEnd w:id="1762"/>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8</w:t>
      </w:r>
      <w:bookmarkEnd w:id="1765"/>
      <w:r>
        <w:rPr>
          <w:color w:val="000000"/>
          <w:spacing w:val="0"/>
          <w:w w:val="100"/>
          <w:position w:val="0"/>
        </w:rPr>
        <w:t>、</w:t>
        <w:tab/>
        <w:t>其他</w:t>
      </w:r>
      <w:bookmarkEnd w:id="1763"/>
      <w:bookmarkEnd w:id="1764"/>
      <w:bookmarkEnd w:id="1766"/>
    </w:p>
    <w:p>
      <w:pPr>
        <w:pStyle w:val="Style27"/>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十三、股份支付</w:t>
      </w:r>
      <w:bookmarkEnd w:id="1767"/>
      <w:bookmarkEnd w:id="1768"/>
      <w:bookmarkEnd w:id="1769"/>
    </w:p>
    <w:p>
      <w:pPr>
        <w:pStyle w:val="Style39"/>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70"/>
      <w:bookmarkEnd w:id="1771"/>
      <w:bookmarkEnd w:id="177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7,195,703.40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注：报告期内，公司股权激励计划第三期股票期权行权条件已满足，截止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日，因行权新增股份</w:t>
      </w:r>
      <w:r>
        <w:rPr>
          <w:rFonts w:ascii="Times New Roman" w:eastAsia="Times New Roman" w:hAnsi="Times New Roman" w:cs="Times New Roman"/>
          <w:color w:val="000000"/>
          <w:spacing w:val="0"/>
          <w:w w:val="100"/>
          <w:position w:val="0"/>
          <w:sz w:val="18"/>
          <w:szCs w:val="18"/>
        </w:rPr>
        <w:t>2,021,265</w:t>
      </w:r>
      <w:r>
        <w:rPr>
          <w:color w:val="000000"/>
          <w:spacing w:val="0"/>
          <w:w w:val="100"/>
          <w:position w:val="0"/>
        </w:rPr>
        <w:t>股。</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3"/>
      <w:bookmarkEnd w:id="1774"/>
      <w:bookmarkEnd w:id="177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sz w:val="17"/>
                <w:szCs w:val="17"/>
              </w:rPr>
              <w:t>模型</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在等待期内每个资产负债表日，根据最新取得的可行权职 工人数变动等后续信息做出最佳估计，修正预计可行权的 权益工具的数量。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70,533,862.24 </w:t>
            </w:r>
            <w:r>
              <w:rPr>
                <w:color w:val="000000"/>
                <w:spacing w:val="0"/>
                <w:w w:val="100"/>
                <w:position w:val="0"/>
                <w:sz w:val="17"/>
                <w:szCs w:val="17"/>
              </w:rPr>
              <w:t>（注）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以权益结算的股份支付计入资本公积的累计金额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包括因行权、解锁等原因已转入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的金额。</w:t>
      </w:r>
    </w:p>
    <w:p>
      <w:pPr>
        <w:pStyle w:val="Style39"/>
        <w:keepNext/>
        <w:keepLines/>
        <w:widowControl w:val="0"/>
        <w:shd w:val="clear" w:color="auto" w:fill="auto"/>
        <w:tabs>
          <w:tab w:pos="378"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3</w:t>
      </w:r>
      <w:bookmarkEnd w:id="1778"/>
      <w:r>
        <w:rPr>
          <w:color w:val="000000"/>
          <w:spacing w:val="0"/>
          <w:w w:val="100"/>
          <w:position w:val="0"/>
        </w:rPr>
        <w:t>、</w:t>
        <w:tab/>
        <w:t>以现金结算的股份支付情况</w:t>
      </w:r>
      <w:bookmarkEnd w:id="1776"/>
      <w:bookmarkEnd w:id="1777"/>
      <w:bookmarkEnd w:id="177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V</w:t>
      </w:r>
      <w:r>
        <w:rPr>
          <w:b/>
          <w:bCs/>
          <w:color w:val="000000"/>
          <w:spacing w:val="0"/>
          <w:w w:val="100"/>
          <w:position w:val="0"/>
        </w:rPr>
        <w:t>不适用</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4</w:t>
      </w:r>
      <w:bookmarkEnd w:id="1782"/>
      <w:r>
        <w:rPr>
          <w:color w:val="000000"/>
          <w:spacing w:val="0"/>
          <w:w w:val="100"/>
          <w:position w:val="0"/>
        </w:rPr>
        <w:t>、</w:t>
        <w:tab/>
        <w:t>股份支付的修改、终止情况</w:t>
      </w:r>
      <w:bookmarkEnd w:id="1780"/>
      <w:bookmarkEnd w:id="1781"/>
      <w:bookmarkEnd w:id="1783"/>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5</w:t>
      </w:r>
      <w:bookmarkEnd w:id="1786"/>
      <w:r>
        <w:rPr>
          <w:color w:val="000000"/>
          <w:spacing w:val="0"/>
          <w:w w:val="100"/>
          <w:position w:val="0"/>
        </w:rPr>
        <w:t>、其他</w:t>
      </w:r>
      <w:bookmarkEnd w:id="1784"/>
      <w:bookmarkEnd w:id="1785"/>
      <w:bookmarkEnd w:id="1787"/>
    </w:p>
    <w:p>
      <w:pPr>
        <w:pStyle w:val="Style27"/>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color w:val="000000"/>
          <w:spacing w:val="0"/>
          <w:w w:val="100"/>
          <w:position w:val="0"/>
        </w:rPr>
        <w:t>十四、承诺及或有事项</w:t>
      </w:r>
      <w:bookmarkEnd w:id="1788"/>
      <w:bookmarkEnd w:id="1789"/>
      <w:bookmarkEnd w:id="1790"/>
    </w:p>
    <w:p>
      <w:pPr>
        <w:pStyle w:val="Style39"/>
        <w:keepNext/>
        <w:keepLines/>
        <w:widowControl w:val="0"/>
        <w:shd w:val="clear" w:color="auto" w:fill="auto"/>
        <w:tabs>
          <w:tab w:pos="368" w:val="left"/>
        </w:tabs>
        <w:bidi w:val="0"/>
        <w:spacing w:before="0" w:after="4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bookmarkEnd w:id="1793"/>
      <w:r>
        <w:rPr>
          <w:color w:val="000000"/>
          <w:spacing w:val="0"/>
          <w:w w:val="100"/>
          <w:position w:val="0"/>
        </w:rPr>
        <w:t>、</w:t>
        <w:tab/>
        <w:t>重要承诺事项</w:t>
      </w:r>
      <w:bookmarkEnd w:id="1791"/>
      <w:bookmarkEnd w:id="1792"/>
      <w:bookmarkEnd w:id="1794"/>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日，公司尚未结清的银行保函为</w:t>
      </w:r>
      <w:r>
        <w:rPr>
          <w:rFonts w:ascii="Times New Roman" w:eastAsia="Times New Roman" w:hAnsi="Times New Roman" w:cs="Times New Roman"/>
          <w:color w:val="000000"/>
          <w:spacing w:val="0"/>
          <w:w w:val="100"/>
          <w:position w:val="0"/>
          <w:sz w:val="18"/>
          <w:szCs w:val="18"/>
        </w:rPr>
        <w:t>11,932,614.22</w:t>
      </w:r>
      <w:r>
        <w:rPr>
          <w:color w:val="000000"/>
          <w:spacing w:val="0"/>
          <w:w w:val="100"/>
          <w:position w:val="0"/>
        </w:rPr>
        <w:t>元。</w:t>
      </w:r>
    </w:p>
    <w:p>
      <w:pPr>
        <w:pStyle w:val="Style39"/>
        <w:keepNext/>
        <w:keepLines/>
        <w:widowControl w:val="0"/>
        <w:shd w:val="clear" w:color="auto" w:fill="auto"/>
        <w:tabs>
          <w:tab w:pos="378" w:val="left"/>
        </w:tabs>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2</w:t>
      </w:r>
      <w:bookmarkEnd w:id="1797"/>
      <w:r>
        <w:rPr>
          <w:color w:val="000000"/>
          <w:spacing w:val="0"/>
          <w:w w:val="100"/>
          <w:position w:val="0"/>
        </w:rPr>
        <w:t>、</w:t>
        <w:tab/>
        <w:t>或有事项</w:t>
      </w:r>
      <w:bookmarkEnd w:id="1795"/>
      <w:bookmarkEnd w:id="1796"/>
      <w:bookmarkEnd w:id="1798"/>
    </w:p>
    <w:p>
      <w:pPr>
        <w:pStyle w:val="Style47"/>
        <w:keepNext/>
        <w:keepLines/>
        <w:widowControl w:val="0"/>
        <w:shd w:val="clear" w:color="auto" w:fill="auto"/>
        <w:tabs>
          <w:tab w:pos="493" w:val="left"/>
        </w:tabs>
        <w:bidi w:val="0"/>
        <w:spacing w:before="0" w:after="46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99"/>
      <w:bookmarkEnd w:id="1800"/>
      <w:bookmarkEnd w:id="1802"/>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公司没有需要披露的重要或有事项。</w:t>
      </w:r>
    </w:p>
    <w:p>
      <w:pPr>
        <w:pStyle w:val="Style47"/>
        <w:keepNext/>
        <w:keepLines/>
        <w:widowControl w:val="0"/>
        <w:shd w:val="clear" w:color="auto" w:fill="auto"/>
        <w:tabs>
          <w:tab w:pos="493" w:val="left"/>
        </w:tabs>
        <w:bidi w:val="0"/>
        <w:spacing w:before="0" w:after="46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03"/>
      <w:bookmarkEnd w:id="1804"/>
      <w:bookmarkEnd w:id="1806"/>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公司不存在需要披露的重要或有事项。</w:t>
      </w:r>
    </w:p>
    <w:p>
      <w:pPr>
        <w:pStyle w:val="Style39"/>
        <w:keepNext/>
        <w:keepLines/>
        <w:widowControl w:val="0"/>
        <w:shd w:val="clear" w:color="auto" w:fill="auto"/>
        <w:tabs>
          <w:tab w:pos="378" w:val="left"/>
        </w:tabs>
        <w:bidi w:val="0"/>
        <w:spacing w:before="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3</w:t>
      </w:r>
      <w:bookmarkEnd w:id="1809"/>
      <w:r>
        <w:rPr>
          <w:color w:val="000000"/>
          <w:spacing w:val="0"/>
          <w:w w:val="100"/>
          <w:position w:val="0"/>
        </w:rPr>
        <w:t>、</w:t>
        <w:tab/>
        <w:t>其他</w:t>
      </w:r>
      <w:bookmarkEnd w:id="1807"/>
      <w:bookmarkEnd w:id="1808"/>
      <w:bookmarkEnd w:id="1810"/>
    </w:p>
    <w:p>
      <w:pPr>
        <w:pStyle w:val="Style27"/>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十五、资产负债表日后事项</w:t>
      </w:r>
      <w:bookmarkEnd w:id="1811"/>
      <w:bookmarkEnd w:id="1812"/>
      <w:bookmarkEnd w:id="1813"/>
    </w:p>
    <w:p>
      <w:pPr>
        <w:pStyle w:val="Style39"/>
        <w:keepNext/>
        <w:keepLines/>
        <w:widowControl w:val="0"/>
        <w:shd w:val="clear" w:color="auto" w:fill="auto"/>
        <w:tabs>
          <w:tab w:pos="368" w:val="left"/>
        </w:tabs>
        <w:bidi w:val="0"/>
        <w:spacing w:before="0" w:after="46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1</w:t>
      </w:r>
      <w:bookmarkEnd w:id="1816"/>
      <w:r>
        <w:rPr>
          <w:color w:val="000000"/>
          <w:spacing w:val="0"/>
          <w:w w:val="100"/>
          <w:position w:val="0"/>
        </w:rPr>
        <w:t>、</w:t>
        <w:tab/>
        <w:t>重要的非调整事项</w:t>
      </w:r>
      <w:bookmarkEnd w:id="1814"/>
      <w:bookmarkEnd w:id="1815"/>
      <w:bookmarkEnd w:id="1817"/>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w:t>
        <w:tab/>
        <w:t>利润分配情况</w:t>
      </w:r>
      <w:bookmarkEnd w:id="1818"/>
      <w:bookmarkEnd w:id="1819"/>
      <w:bookmarkEnd w:id="182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50,988,391.58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39"/>
        <w:keepNext/>
        <w:keepLines/>
        <w:widowControl w:val="0"/>
        <w:shd w:val="clear" w:color="auto" w:fill="auto"/>
        <w:tabs>
          <w:tab w:pos="378" w:val="left"/>
        </w:tabs>
        <w:bidi w:val="0"/>
        <w:spacing w:before="0" w:after="4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w:t>
        <w:tab/>
        <w:t>销售退回</w:t>
      </w:r>
      <w:bookmarkEnd w:id="1822"/>
      <w:bookmarkEnd w:id="1823"/>
      <w:bookmarkEnd w:id="1825"/>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46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w:t>
        <w:tab/>
        <w:t>其他资产负债表日后事项说明</w:t>
      </w:r>
      <w:bookmarkEnd w:id="1826"/>
      <w:bookmarkEnd w:id="1827"/>
      <w:bookmarkEnd w:id="1829"/>
    </w:p>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日召开的第四届董事会第十四次会议审议通过的《关于使用部分超募资金收购宁波普天通信技术 </w:t>
      </w:r>
      <w:r>
        <w:rPr>
          <w:color w:val="000000"/>
          <w:spacing w:val="0"/>
          <w:w w:val="100"/>
          <w:position w:val="0"/>
        </w:rPr>
        <w:t>有限公司的议案》，对于宁波普天旗下子公司</w:t>
      </w:r>
      <w:r>
        <w:rPr>
          <w:color w:val="000000"/>
          <w:spacing w:val="0"/>
          <w:w w:val="100"/>
          <w:position w:val="0"/>
          <w:sz w:val="18"/>
          <w:szCs w:val="18"/>
        </w:rPr>
        <w:t>一</w:t>
      </w:r>
      <w:r>
        <w:rPr>
          <w:color w:val="000000"/>
          <w:spacing w:val="0"/>
          <w:w w:val="100"/>
          <w:position w:val="0"/>
        </w:rPr>
        <w:t>宁波金信通讯技术有限公司拥有的土地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亩（使用证号：甬鄞国用（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15—05008</w:t>
      </w:r>
      <w:r>
        <w:rPr>
          <w:color w:val="000000"/>
          <w:spacing w:val="0"/>
          <w:w w:val="100"/>
          <w:position w:val="0"/>
        </w:rPr>
        <w:t>号），以及该土地上的建筑物建筑面积</w:t>
      </w:r>
      <w:r>
        <w:rPr>
          <w:rFonts w:ascii="Times New Roman" w:eastAsia="Times New Roman" w:hAnsi="Times New Roman" w:cs="Times New Roman"/>
          <w:color w:val="000000"/>
          <w:spacing w:val="0"/>
          <w:w w:val="100"/>
          <w:position w:val="0"/>
          <w:sz w:val="18"/>
          <w:szCs w:val="18"/>
        </w:rPr>
        <w:t>8601.53</w:t>
      </w:r>
      <w:r>
        <w:rPr>
          <w:color w:val="000000"/>
          <w:spacing w:val="0"/>
          <w:w w:val="100"/>
          <w:position w:val="0"/>
        </w:rPr>
        <w:t>平方米（甬房权证鄞州区字第</w:t>
      </w:r>
      <w:r>
        <w:rPr>
          <w:rFonts w:ascii="Times New Roman" w:eastAsia="Times New Roman" w:hAnsi="Times New Roman" w:cs="Times New Roman"/>
          <w:color w:val="000000"/>
          <w:spacing w:val="0"/>
          <w:w w:val="100"/>
          <w:position w:val="0"/>
          <w:sz w:val="18"/>
          <w:szCs w:val="18"/>
        </w:rPr>
        <w:t>201032852</w:t>
      </w:r>
      <w:r>
        <w:rPr>
          <w:color w:val="000000"/>
          <w:spacing w:val="0"/>
          <w:w w:val="100"/>
          <w:position w:val="0"/>
        </w:rPr>
        <w:t xml:space="preserve">号、甬房权证鄞州区字第 </w:t>
      </w:r>
      <w:r>
        <w:rPr>
          <w:rFonts w:ascii="Times New Roman" w:eastAsia="Times New Roman" w:hAnsi="Times New Roman" w:cs="Times New Roman"/>
          <w:color w:val="000000"/>
          <w:spacing w:val="0"/>
          <w:w w:val="100"/>
          <w:position w:val="0"/>
          <w:sz w:val="18"/>
          <w:szCs w:val="18"/>
        </w:rPr>
        <w:t>201032853</w:t>
      </w:r>
      <w:r>
        <w:rPr>
          <w:color w:val="000000"/>
          <w:spacing w:val="0"/>
          <w:w w:val="100"/>
          <w:position w:val="0"/>
        </w:rPr>
        <w:t>号）进行约定，若协议签订三年后仍未拆迁，则宁波普天的原股东可书面委托公司在政策允许的范围内对该土地 及房产进行转让或处置（包括但不限于房产税、土地增值税、企业所得税等）后的余额归宁波普天的原股东所有，并由其承 担该等收益所对应的个人所得税。目前协议约定期限已过，经协商，公司计划依据协议将该土地及附属物建筑物房产按原值 转让给宁波普源通信技术有限公司（系宁波普天的原股东共同设立的公司）。转让价格</w:t>
      </w:r>
      <w:r>
        <w:rPr>
          <w:rFonts w:ascii="Times New Roman" w:eastAsia="Times New Roman" w:hAnsi="Times New Roman" w:cs="Times New Roman"/>
          <w:color w:val="000000"/>
          <w:spacing w:val="0"/>
          <w:w w:val="100"/>
          <w:position w:val="0"/>
          <w:sz w:val="18"/>
          <w:szCs w:val="18"/>
        </w:rPr>
        <w:t>11,573,815,43</w:t>
      </w:r>
      <w:r>
        <w:rPr>
          <w:color w:val="000000"/>
          <w:spacing w:val="0"/>
          <w:w w:val="100"/>
          <w:position w:val="0"/>
        </w:rPr>
        <w:t xml:space="preserve">元（其中房产原值 </w:t>
      </w:r>
      <w:r>
        <w:rPr>
          <w:rFonts w:ascii="Times New Roman" w:eastAsia="Times New Roman" w:hAnsi="Times New Roman" w:cs="Times New Roman"/>
          <w:color w:val="000000"/>
          <w:spacing w:val="0"/>
          <w:w w:val="100"/>
          <w:position w:val="0"/>
          <w:sz w:val="18"/>
          <w:szCs w:val="18"/>
        </w:rPr>
        <w:t xml:space="preserve">9,472,407.11 </w:t>
      </w:r>
      <w:r>
        <w:rPr>
          <w:color w:val="000000"/>
          <w:spacing w:val="0"/>
          <w:w w:val="100"/>
          <w:position w:val="0"/>
        </w:rPr>
        <w:t>元，土地原值</w:t>
      </w:r>
      <w:r>
        <w:rPr>
          <w:rFonts w:ascii="Times New Roman" w:eastAsia="Times New Roman" w:hAnsi="Times New Roman" w:cs="Times New Roman"/>
          <w:color w:val="000000"/>
          <w:spacing w:val="0"/>
          <w:w w:val="100"/>
          <w:position w:val="0"/>
          <w:sz w:val="18"/>
          <w:szCs w:val="18"/>
        </w:rPr>
        <w:t>2,101,408.32</w:t>
      </w:r>
      <w:r>
        <w:rPr>
          <w:color w:val="000000"/>
          <w:spacing w:val="0"/>
          <w:w w:val="100"/>
          <w:position w:val="0"/>
        </w:rPr>
        <w:t>元）。</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目前该处置事宜正在有序推进中，宁波普天通信技术有限公司原股东已对授权书和土地及房屋买卖合同进行签字，后续 待原股东资金筹集到位后支付相应的土地及房产的转让款项。</w:t>
      </w:r>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月，公司第六届董事会第八次会决议通过对北京神州泰岳智能数据技术有限公司增资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万元，其中公 司增资</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万元，关联方启天同信增资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万元。变更后注册资本为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万，神州泰岳出资</w:t>
      </w:r>
      <w:r>
        <w:rPr>
          <w:rFonts w:ascii="Times New Roman" w:eastAsia="Times New Roman" w:hAnsi="Times New Roman" w:cs="Times New Roman"/>
          <w:color w:val="000000"/>
          <w:spacing w:val="0"/>
          <w:w w:val="100"/>
          <w:position w:val="0"/>
          <w:sz w:val="18"/>
          <w:szCs w:val="18"/>
        </w:rPr>
        <w:t>7650</w:t>
      </w:r>
      <w:r>
        <w:rPr>
          <w:color w:val="000000"/>
          <w:spacing w:val="0"/>
          <w:w w:val="100"/>
          <w:position w:val="0"/>
        </w:rPr>
        <w:t>万，启天同信出资</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 目前公司已支付了增资款</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r>
        <w:rPr>
          <w:color w:val="000000"/>
          <w:spacing w:val="0"/>
          <w:w w:val="100"/>
          <w:position w:val="0"/>
        </w:rPr>
        <w:t>十六、其他重要事项</w:t>
      </w:r>
      <w:bookmarkEnd w:id="1830"/>
      <w:bookmarkEnd w:id="1831"/>
      <w:bookmarkEnd w:id="1832"/>
    </w:p>
    <w:p>
      <w:pPr>
        <w:pStyle w:val="Style39"/>
        <w:keepNext/>
        <w:keepLines/>
        <w:widowControl w:val="0"/>
        <w:shd w:val="clear" w:color="auto" w:fill="auto"/>
        <w:tabs>
          <w:tab w:pos="368" w:val="left"/>
        </w:tabs>
        <w:bidi w:val="0"/>
        <w:spacing w:before="0" w:after="18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bookmarkEnd w:id="1835"/>
      <w:r>
        <w:rPr>
          <w:color w:val="000000"/>
          <w:spacing w:val="0"/>
          <w:w w:val="100"/>
          <w:position w:val="0"/>
        </w:rPr>
        <w:t>、</w:t>
        <w:tab/>
        <w:t>前期会计差错更正</w:t>
      </w:r>
      <w:bookmarkEnd w:id="1833"/>
      <w:bookmarkEnd w:id="1834"/>
      <w:bookmarkEnd w:id="1836"/>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无。</w:t>
      </w:r>
    </w:p>
    <w:p>
      <w:pPr>
        <w:pStyle w:val="Style39"/>
        <w:keepNext/>
        <w:keepLines/>
        <w:widowControl w:val="0"/>
        <w:shd w:val="clear" w:color="auto" w:fill="auto"/>
        <w:tabs>
          <w:tab w:pos="378" w:val="left"/>
        </w:tabs>
        <w:bidi w:val="0"/>
        <w:spacing w:before="0" w:after="18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bookmarkEnd w:id="1839"/>
      <w:r>
        <w:rPr>
          <w:color w:val="000000"/>
          <w:spacing w:val="0"/>
          <w:w w:val="100"/>
          <w:position w:val="0"/>
        </w:rPr>
        <w:t>、</w:t>
        <w:tab/>
        <w:t>债务重组</w:t>
      </w:r>
      <w:bookmarkEnd w:id="1837"/>
      <w:bookmarkEnd w:id="1838"/>
      <w:bookmarkEnd w:id="1840"/>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无。</w:t>
      </w:r>
    </w:p>
    <w:p>
      <w:pPr>
        <w:pStyle w:val="Style39"/>
        <w:keepNext/>
        <w:keepLines/>
        <w:widowControl w:val="0"/>
        <w:shd w:val="clear" w:color="auto" w:fill="auto"/>
        <w:tabs>
          <w:tab w:pos="378" w:val="left"/>
        </w:tabs>
        <w:bidi w:val="0"/>
        <w:spacing w:before="0" w:after="4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3</w:t>
      </w:r>
      <w:bookmarkEnd w:id="1843"/>
      <w:r>
        <w:rPr>
          <w:color w:val="000000"/>
          <w:spacing w:val="0"/>
          <w:w w:val="100"/>
          <w:position w:val="0"/>
        </w:rPr>
        <w:t>、</w:t>
        <w:tab/>
        <w:t>资产置换</w:t>
      </w:r>
      <w:bookmarkEnd w:id="1841"/>
      <w:bookmarkEnd w:id="1842"/>
      <w:bookmarkEnd w:id="1844"/>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无。</w:t>
      </w:r>
    </w:p>
    <w:p>
      <w:pPr>
        <w:pStyle w:val="Style39"/>
        <w:keepNext/>
        <w:keepLines/>
        <w:widowControl w:val="0"/>
        <w:shd w:val="clear" w:color="auto" w:fill="auto"/>
        <w:tabs>
          <w:tab w:pos="378" w:val="left"/>
        </w:tabs>
        <w:bidi w:val="0"/>
        <w:spacing w:before="0" w:after="1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4</w:t>
      </w:r>
      <w:bookmarkEnd w:id="1847"/>
      <w:r>
        <w:rPr>
          <w:color w:val="000000"/>
          <w:spacing w:val="0"/>
          <w:w w:val="100"/>
          <w:position w:val="0"/>
        </w:rPr>
        <w:t>、</w:t>
        <w:tab/>
        <w:t>年金计划</w:t>
      </w:r>
      <w:bookmarkEnd w:id="1845"/>
      <w:bookmarkEnd w:id="1846"/>
      <w:bookmarkEnd w:id="1848"/>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无。</w:t>
      </w:r>
    </w:p>
    <w:p>
      <w:pPr>
        <w:pStyle w:val="Style39"/>
        <w:keepNext/>
        <w:keepLines/>
        <w:widowControl w:val="0"/>
        <w:shd w:val="clear" w:color="auto" w:fill="auto"/>
        <w:tabs>
          <w:tab w:pos="378" w:val="left"/>
        </w:tabs>
        <w:bidi w:val="0"/>
        <w:spacing w:before="0" w:after="1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5</w:t>
      </w:r>
      <w:bookmarkEnd w:id="1851"/>
      <w:r>
        <w:rPr>
          <w:color w:val="000000"/>
          <w:spacing w:val="0"/>
          <w:w w:val="100"/>
          <w:position w:val="0"/>
        </w:rPr>
        <w:t>、</w:t>
        <w:tab/>
        <w:t>终止经营</w:t>
      </w:r>
      <w:bookmarkEnd w:id="1849"/>
      <w:bookmarkEnd w:id="1850"/>
      <w:bookmarkEnd w:id="1852"/>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6</w:t>
      </w:r>
      <w:bookmarkEnd w:id="1855"/>
      <w:r>
        <w:rPr>
          <w:color w:val="000000"/>
          <w:spacing w:val="0"/>
          <w:w w:val="100"/>
          <w:position w:val="0"/>
        </w:rPr>
        <w:t>、分部信息</w:t>
      </w:r>
      <w:bookmarkEnd w:id="1853"/>
      <w:bookmarkEnd w:id="1854"/>
      <w:bookmarkEnd w:id="1856"/>
    </w:p>
    <w:p>
      <w:pPr>
        <w:pStyle w:val="Style47"/>
        <w:keepNext/>
        <w:keepLines/>
        <w:widowControl w:val="0"/>
        <w:shd w:val="clear" w:color="auto" w:fill="auto"/>
        <w:bidi w:val="0"/>
        <w:spacing w:before="0" w:after="16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857"/>
      <w:bookmarkEnd w:id="1858"/>
      <w:bookmarkEnd w:id="1859"/>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 xml:space="preserve">根据本公司的内部组织结构、管理要求及内部报告制度确定了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个报告分部，分别为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领域运营管理软件研发和服</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务板块（</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解决方案、系统集成、移动互联网运营、人工智能与大数据）、手机游戏板块、物联网技术应用板块、创新板 块。本公司的各个报告分部分别提供不同的产品或服务。由于每个分部需要不同的技术或市场策略，本公司管理层分别单独 管理各个报告分部的经营活动，定期评价这些报告分部的经营成果，以决定向其分配资源及评价其业绩。</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47"/>
        <w:keepNext/>
        <w:keepLines/>
        <w:widowControl w:val="0"/>
        <w:shd w:val="clear" w:color="auto" w:fill="auto"/>
        <w:bidi w:val="0"/>
        <w:spacing w:before="0" w:line="240" w:lineRule="auto"/>
        <w:ind w:left="0" w:right="0" w:firstLine="14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860"/>
      <w:bookmarkEnd w:id="1861"/>
      <w:bookmarkEnd w:id="1862"/>
    </w:p>
    <w:p>
      <w:pPr>
        <w:pStyle w:val="Style7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1262"/>
        <w:gridCol w:w="1368"/>
        <w:gridCol w:w="1368"/>
        <w:gridCol w:w="1368"/>
        <w:gridCol w:w="1373"/>
      </w:tblGrid>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ICT</w:t>
            </w:r>
            <w:r>
              <w:rPr>
                <w:color w:val="000000"/>
                <w:spacing w:val="0"/>
                <w:w w:val="100"/>
                <w:position w:val="0"/>
                <w:sz w:val="14"/>
                <w:szCs w:val="14"/>
              </w:rPr>
              <w:t>运营管理</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游戏</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物联网</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创新业务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其他）</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分部间抵销</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520" w:firstLine="0"/>
              <w:jc w:val="right"/>
              <w:rPr>
                <w:sz w:val="14"/>
                <w:szCs w:val="14"/>
              </w:rPr>
            </w:pPr>
            <w:r>
              <w:rPr>
                <w:color w:val="000000"/>
                <w:spacing w:val="0"/>
                <w:w w:val="100"/>
                <w:position w:val="0"/>
                <w:sz w:val="14"/>
                <w:szCs w:val="14"/>
              </w:rPr>
              <w:t>合计</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一、对外交易主营收入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2,370,302,534.34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354,372,300.85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4,541,387.11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171,039,723.59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2,900,255,945.89</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分部间交易主营收入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1,968,098.31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6,781,180.75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3,321,666.75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12,070,945.81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二、对外交易主营成本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1,565,141,448.54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75,166,898.46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2,085,345.45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66,257,596.71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1,708,651,289.16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分部间交易主营成本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10,102,847.50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10,150,945.81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三、对联营和合营企业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12,860,066.80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-2,746,555.59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10,113,511.21</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31,136,637.94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7,012,500.44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434,191.53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-33,600,623.59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71,788,683.37</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五、折旧和摊销费用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47,182,166.78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11,517,919.17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2,386,689.62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2,734,271.29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63,821,046.86</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六、利润总额（亏损总</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363,969,443.18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155,623,591.93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-17,336,254.81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22,193,985.99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28,126,302.53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496,324,463.76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26,450,229.52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1,686,233.09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4,488,223.75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5,359,296.36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27,265,390.00</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八、净利润（净亏损）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337,519,213.66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153,937,358.84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-17,336,254.81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17,705,762.24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22,767,006.17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469,059,073.76</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九、资产总额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6,599,902,472.04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2,016,205,467.48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71,313,927.07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721,253,081.95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2,377,566,130.50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7,031,108,818.04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十、负债总额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1,850,909,691.72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1,509,601,524.69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104,678,238.72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714,288,334.01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2,182,989,065.24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1,996,488,723.90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十一、其他重要的非现</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80"/>
              <w:jc w:val="left"/>
              <w:rPr>
                <w:sz w:val="14"/>
                <w:szCs w:val="14"/>
              </w:rPr>
            </w:pPr>
            <w:r>
              <w:rPr>
                <w:color w:val="000000"/>
                <w:spacing w:val="0"/>
                <w:w w:val="100"/>
                <w:position w:val="0"/>
                <w:sz w:val="14"/>
                <w:szCs w:val="14"/>
              </w:rPr>
              <w:t>折旧和摊销费以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外的其他非现金费用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40" w:line="240" w:lineRule="auto"/>
              <w:ind w:left="0" w:right="0" w:firstLine="400"/>
              <w:jc w:val="left"/>
              <w:rPr>
                <w:sz w:val="14"/>
                <w:szCs w:val="14"/>
              </w:rPr>
            </w:pPr>
            <w:r>
              <w:rPr>
                <w:color w:val="000000"/>
                <w:spacing w:val="0"/>
                <w:w w:val="100"/>
                <w:position w:val="0"/>
                <w:sz w:val="14"/>
                <w:szCs w:val="14"/>
              </w:rPr>
              <w:t>对联营企业和合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营企业的长期股权投资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186,821,751.22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146,776,166.71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333,597,917.93</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长期股权投资以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728,974,106.20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-520,011.58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12,820,149.52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9,495,950.75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4,187,909.06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746,582,285.83</w:t>
            </w:r>
          </w:p>
        </w:tc>
      </w:tr>
    </w:tbl>
    <w:p>
      <w:pPr>
        <w:pStyle w:val="Style7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外的其他非流动资产增</w:t>
      </w:r>
    </w:p>
    <w:p>
      <w:pPr>
        <w:pStyle w:val="Style7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加额</w:t>
      </w:r>
    </w:p>
    <w:p>
      <w:pPr>
        <w:pStyle w:val="Style39"/>
        <w:keepNext/>
        <w:keepLines/>
        <w:widowControl w:val="0"/>
        <w:shd w:val="clear" w:color="auto" w:fill="auto"/>
        <w:bidi w:val="0"/>
        <w:spacing w:before="0" w:after="46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color w:val="000000"/>
          <w:spacing w:val="0"/>
          <w:w w:val="100"/>
          <w:position w:val="0"/>
        </w:rPr>
        <w:t>、其他对投资者决策有影响的重要交易和事项</w:t>
      </w:r>
      <w:bookmarkEnd w:id="1863"/>
      <w:bookmarkEnd w:id="1864"/>
      <w:bookmarkEnd w:id="1866"/>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4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8</w:t>
      </w:r>
      <w:bookmarkEnd w:id="1869"/>
      <w:r>
        <w:rPr>
          <w:color w:val="000000"/>
          <w:spacing w:val="0"/>
          <w:w w:val="100"/>
          <w:position w:val="0"/>
        </w:rPr>
        <w:t>、其他</w:t>
      </w:r>
      <w:bookmarkEnd w:id="1867"/>
      <w:bookmarkEnd w:id="1868"/>
      <w:bookmarkEnd w:id="1870"/>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公司将北辰泰岳大厦部分楼层及停车位用于经营租赁租出，本年共取得租赁收入</w:t>
      </w:r>
      <w:r>
        <w:rPr>
          <w:rFonts w:ascii="Times New Roman" w:eastAsia="Times New Roman" w:hAnsi="Times New Roman" w:cs="Times New Roman"/>
          <w:color w:val="000000"/>
          <w:spacing w:val="0"/>
          <w:w w:val="100"/>
          <w:position w:val="0"/>
          <w:sz w:val="18"/>
          <w:szCs w:val="18"/>
        </w:rPr>
        <w:t>2,734.25</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color w:val="000000"/>
          <w:spacing w:val="0"/>
          <w:w w:val="100"/>
          <w:position w:val="0"/>
        </w:rPr>
        <w:t>十七、母公司财务报表主要项目注释</w:t>
      </w:r>
      <w:bookmarkEnd w:id="1871"/>
      <w:bookmarkEnd w:id="1872"/>
      <w:bookmarkEnd w:id="1873"/>
    </w:p>
    <w:p>
      <w:pPr>
        <w:pStyle w:val="Style39"/>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4"/>
      <w:bookmarkEnd w:id="1875"/>
      <w:bookmarkEnd w:id="1876"/>
    </w:p>
    <w:p>
      <w:pPr>
        <w:pStyle w:val="Style47"/>
        <w:keepNext/>
        <w:keepLines/>
        <w:widowControl w:val="0"/>
        <w:shd w:val="clear" w:color="auto" w:fill="auto"/>
        <w:bidi w:val="0"/>
        <w:spacing w:before="0" w:after="360" w:line="240" w:lineRule="auto"/>
        <w:ind w:left="0" w:right="0" w:firstLine="1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7"/>
      <w:bookmarkEnd w:id="1878"/>
      <w:bookmarkEnd w:id="1879"/>
    </w:p>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账面价值</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计提比例</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按信用风险特征组合计</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691,756,40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89,537,248</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602,219,15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74,587,665.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539,358,682.9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691,756,40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89,537,248</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602,219,15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74,587,665.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539,358,682.9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color w:val="000000"/>
          <w:spacing w:val="0"/>
          <w:w w:val="100"/>
          <w:position w:val="0"/>
          <w:sz w:val="19"/>
          <w:szCs w:val="19"/>
        </w:rPr>
        <w:t>寸</w:t>
      </w:r>
      <w:r>
        <w:rPr>
          <w:b/>
          <w:bCs/>
          <w:color w:val="000000"/>
          <w:spacing w:val="0"/>
          <w:w w:val="100"/>
          <w:position w:val="0"/>
        </w:rPr>
        <w:t>不适用</w:t>
      </w:r>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431,592,482.13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21,579,624.11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143,954,489.51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14,395,448.95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66,544,150.81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19,963,245.24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27,163,423.24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13,581,711.62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12,423,190.44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9,938,552.35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widowControl w:val="0"/>
        <w:spacing w:line="1" w:lineRule="exact"/>
      </w:pPr>
    </w:p>
    <w:tbl>
      <w:tblPr>
        <w:tblOverlap w:val="never"/>
        <w:jc w:val="center"/>
        <w:tblLayout w:type="fixed"/>
      </w:tblPr>
      <w:tblGrid>
        <w:gridCol w:w="2496"/>
        <w:gridCol w:w="2294"/>
        <w:gridCol w:w="2390"/>
        <w:gridCol w:w="2400"/>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10,078,666.63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10,078,666.63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691,756,402.76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89,537,248.90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880"/>
      <w:bookmarkEnd w:id="1881"/>
      <w:bookmarkEnd w:id="188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14,949,583.87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7"/>
        <w:keepNext/>
        <w:keepLines/>
        <w:widowControl w:val="0"/>
        <w:shd w:val="clear" w:color="auto" w:fill="auto"/>
        <w:tabs>
          <w:tab w:pos="493" w:val="left"/>
        </w:tabs>
        <w:bidi w:val="0"/>
        <w:spacing w:before="0" w:after="3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884"/>
      <w:bookmarkEnd w:id="1885"/>
      <w:bookmarkEnd w:id="1887"/>
    </w:p>
    <w:tbl>
      <w:tblPr>
        <w:tblOverlap w:val="never"/>
        <w:jc w:val="center"/>
        <w:tblLayout w:type="fixed"/>
      </w:tblPr>
      <w:tblGrid>
        <w:gridCol w:w="3634"/>
        <w:gridCol w:w="2078"/>
        <w:gridCol w:w="1829"/>
        <w:gridCol w:w="2131"/>
      </w:tblGrid>
      <w:tr>
        <w:trPr>
          <w:trHeight w:val="34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5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73,933,629.40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13,842,372.92</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46,952,344.00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4,776,326.38</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41,824,272.99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14,103,495.46</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37,219,899.40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3,649,499.92</w:t>
            </w:r>
          </w:p>
        </w:tc>
      </w:tr>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28,078,116.39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6,063,447.82</w:t>
            </w:r>
          </w:p>
        </w:tc>
      </w:tr>
      <w:tr>
        <w:trPr>
          <w:trHeight w:val="35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228,008,262.18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42,435,142.50</w:t>
            </w:r>
          </w:p>
        </w:tc>
      </w:tr>
    </w:tbl>
    <w:p>
      <w:pPr>
        <w:widowControl w:val="0"/>
        <w:spacing w:after="299" w:line="1" w:lineRule="exact"/>
      </w:pPr>
    </w:p>
    <w:p>
      <w:pPr>
        <w:pStyle w:val="Style47"/>
        <w:keepNext/>
        <w:keepLines/>
        <w:widowControl w:val="0"/>
        <w:shd w:val="clear" w:color="auto" w:fill="auto"/>
        <w:tabs>
          <w:tab w:pos="493" w:val="left"/>
        </w:tabs>
        <w:bidi w:val="0"/>
        <w:spacing w:before="0" w:after="46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88"/>
      <w:bookmarkEnd w:id="1889"/>
      <w:bookmarkEnd w:id="1891"/>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4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92"/>
      <w:bookmarkEnd w:id="1893"/>
      <w:bookmarkEnd w:id="1895"/>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6"/>
      <w:bookmarkEnd w:id="1897"/>
      <w:bookmarkEnd w:id="1898"/>
    </w:p>
    <w:p>
      <w:pPr>
        <w:pStyle w:val="Style47"/>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99"/>
      <w:bookmarkEnd w:id="1900"/>
      <w:bookmarkEnd w:id="190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26"/>
        <w:gridCol w:w="1526"/>
        <w:gridCol w:w="787"/>
        <w:gridCol w:w="1416"/>
        <w:gridCol w:w="1747"/>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3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668,344,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615,124,91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668,344,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403,288,248.07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20,164,412.40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132,872,740.97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13,287,274.10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118,374,601.96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35,512,380.59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6,158,925.00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668,344,139.70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76,408,034.19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47"/>
        <w:keepNext/>
        <w:keepLines/>
        <w:widowControl w:val="0"/>
        <w:shd w:val="clear" w:color="auto" w:fill="auto"/>
        <w:bidi w:val="0"/>
        <w:spacing w:before="0" w:after="400" w:line="240" w:lineRule="auto"/>
        <w:ind w:left="0" w:right="0" w:firstLine="0"/>
        <w:jc w:val="both"/>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2"/>
      <w:bookmarkEnd w:id="1903"/>
      <w:bookmarkEnd w:id="1904"/>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33,430,565.70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47"/>
        <w:keepNext/>
        <w:keepLines/>
        <w:widowControl w:val="0"/>
        <w:shd w:val="clear" w:color="auto" w:fill="auto"/>
        <w:tabs>
          <w:tab w:pos="493" w:val="left"/>
        </w:tabs>
        <w:bidi w:val="0"/>
        <w:spacing w:before="0" w:after="48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05"/>
      <w:bookmarkEnd w:id="1906"/>
      <w:bookmarkEnd w:id="1908"/>
    </w:p>
    <w:p>
      <w:pPr>
        <w:pStyle w:val="Style29"/>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w:t>
      </w:r>
      <w:bookmarkEnd w:id="191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909"/>
      <w:bookmarkEnd w:id="1910"/>
      <w:bookmarkEnd w:id="191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656,402,745.95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651,042,745.95</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11,650,362.25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6,904,858.62</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其他非大额、非特殊往来款项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154,778.48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员工股权激励相关款项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8,184,007.10</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668,344,139.70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666,286,390.15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13"/>
      <w:bookmarkEnd w:id="1914"/>
      <w:bookmarkEnd w:id="191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北京神州泰岳系统集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19,840,000.00</w:t>
            </w: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神州泰岳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105,123,475.95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28,680,613.59</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奇点新源国际技术开 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14,270,000.00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北京泰岳智桥信息技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6,315,000.00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宁波普金通信设备有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14,019,270.00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4,789,935.00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638,742,745.95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73,895,548.59</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color w:val="000000"/>
          <w:spacing w:val="0"/>
          <w:w w:val="100"/>
          <w:position w:val="0"/>
        </w:rPr>
        <w:t>、长期股权投资</w:t>
      </w:r>
      <w:bookmarkEnd w:id="1917"/>
      <w:bookmarkEnd w:id="1918"/>
      <w:bookmarkEnd w:id="192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2,623,661,939.57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2,580,908,339.57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2,017,196,467.94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1,976,480,467.94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329,298,213.39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329,298,213.39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453,004,504.37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453,004,504.37</w:t>
            </w:r>
          </w:p>
        </w:tc>
      </w:tr>
    </w:tbl>
    <w:p>
      <w:pPr>
        <w:widowControl w:val="0"/>
        <w:spacing w:line="1" w:lineRule="exact"/>
      </w:pPr>
      <w:r>
        <w:br w:type="page"/>
      </w:r>
    </w:p>
    <w:tbl>
      <w:tblPr>
        <w:tblOverlap w:val="never"/>
        <w:jc w:val="center"/>
        <w:tblLayout w:type="fixed"/>
      </w:tblPr>
      <w:tblGrid>
        <w:gridCol w:w="1368"/>
        <w:gridCol w:w="1373"/>
        <w:gridCol w:w="1368"/>
        <w:gridCol w:w="1363"/>
        <w:gridCol w:w="1368"/>
        <w:gridCol w:w="1368"/>
        <w:gridCol w:w="1378"/>
      </w:tblGrid>
      <w:tr>
        <w:trPr>
          <w:trHeight w:val="4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2,952,960,152.96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2,910,206,552.96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2,470,200,972.31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2,429,484,972.31</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1"/>
      <w:bookmarkEnd w:id="1922"/>
      <w:bookmarkEnd w:id="19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北京新媒传信科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12,348,720.16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12,348,720.16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北京神州泰岳信 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重庆新媒农信科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北京互联时代通 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6,977,459.86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6,977,459.86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北京神州泰岳系 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宁波普天通信技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宁波普金通讯设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15,800,065.45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15,800,065.45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奇点新源国际技 术开发（北京）有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神州泰岳（香港）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66,567,197.54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66,567,197.54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北京广通神州网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北京神州泰岳智 能数据技术有限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天津壳木软件有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40,716,000.00</w:t>
            </w: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天津泰岳小漫科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北京神州祥升科 技软件有限公司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32,453,024.93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32,453,024.93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北京融聚世界网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38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北京华泰德丰技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深圳市前海泰岳 梧桐投资基金管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重庆泰岳优才科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中科鼎富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 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2,017,196,467.94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606,977,971.63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2,623,661,939.57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42,753,600.00</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4"/>
      <w:bookmarkEnd w:id="1925"/>
      <w:bookmarkEnd w:id="192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6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深圳市前 海泰岳梧 桐投资基 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690,426.5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690,426.5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大连华信 计算机技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112,765,0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神州泰岳 顶策科技</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北京盈海 益讯科技 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6,343,435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北京华泰 德丰技术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北京中清 龙图网络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宁波泰岳 梧桐投资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5,285,546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4,677,646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管理有限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北京神州 泰岳良品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60,999,58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电子商务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北京神州 泰岳教育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蓝鸥科技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141,029,0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27.40</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珠海神州 泰岳投资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479,092.0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管理有限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珠海泰岳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梧桐投资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590,400.9</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管理有限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329,298,2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329,298,2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04.37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4</w:t>
      </w:r>
      <w:bookmarkEnd w:id="1929"/>
      <w:r>
        <w:rPr>
          <w:color w:val="000000"/>
          <w:spacing w:val="0"/>
          <w:w w:val="100"/>
          <w:position w:val="0"/>
        </w:rPr>
        <w:t>、营业收入和营业成本</w:t>
      </w:r>
      <w:bookmarkEnd w:id="1927"/>
      <w:bookmarkEnd w:id="1928"/>
      <w:bookmarkEnd w:id="193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616,481,398.76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167,053,925.36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543,456,618.46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111,232,822.80</w:t>
            </w:r>
          </w:p>
        </w:tc>
      </w:tr>
    </w:tbl>
    <w:p>
      <w:pPr>
        <w:widowControl w:val="0"/>
        <w:spacing w:line="1" w:lineRule="exact"/>
      </w:pPr>
      <w:r>
        <w:br w:type="page"/>
      </w:r>
    </w:p>
    <w:tbl>
      <w:tblPr>
        <w:tblOverlap w:val="never"/>
        <w:jc w:val="center"/>
        <w:tblLayout w:type="fixed"/>
      </w:tblPr>
      <w:tblGrid>
        <w:gridCol w:w="1997"/>
        <w:gridCol w:w="1838"/>
        <w:gridCol w:w="1910"/>
        <w:gridCol w:w="1915"/>
        <w:gridCol w:w="1925"/>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26,917,531.49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29,029,724.19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4,081,462.20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643,398,930.25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171,733,648.79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572,486,342.65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115,314,285.00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5</w:t>
      </w:r>
      <w:bookmarkEnd w:id="1933"/>
      <w:r>
        <w:rPr>
          <w:color w:val="000000"/>
          <w:spacing w:val="0"/>
          <w:w w:val="100"/>
          <w:position w:val="0"/>
        </w:rPr>
        <w:t>、投资收益</w:t>
      </w:r>
      <w:bookmarkEnd w:id="1931"/>
      <w:bookmarkEnd w:id="1932"/>
      <w:bookmarkEnd w:id="19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10,750,656.87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-3,984,088.65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5,489,417.01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-6,505,752.00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3,072,692.00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23,567,263.04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股份注销确认权益工具形成收益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166,886,615.94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44,924,572.54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344,657.31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权益法核算的长期股权投资转可供出售金 融资产持有期间确认的除净损益以外的其 他权益变动转投资收益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6,183,450.28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企业取得子公司、联营企业及合营企业的 投资成本大于取得投资时应享有被投资单 位可辨认净资产公允价值产生的损失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-19,478,786.26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173,468,181.15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61,074,686.93</w:t>
            </w:r>
          </w:p>
        </w:tc>
      </w:tr>
    </w:tbl>
    <w:p>
      <w:pPr>
        <w:widowControl w:val="0"/>
        <w:spacing w:after="339" w:line="1" w:lineRule="exact"/>
      </w:pPr>
    </w:p>
    <w:p>
      <w:pPr>
        <w:pStyle w:val="Style39"/>
        <w:keepNext/>
        <w:keepLines/>
        <w:widowControl w:val="0"/>
        <w:shd w:val="clear" w:color="auto" w:fill="auto"/>
        <w:bidi w:val="0"/>
        <w:spacing w:before="0" w:after="4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color w:val="000000"/>
          <w:spacing w:val="0"/>
          <w:w w:val="100"/>
          <w:position w:val="0"/>
        </w:rPr>
        <w:t>、其他</w:t>
      </w:r>
      <w:bookmarkEnd w:id="1935"/>
      <w:bookmarkEnd w:id="1936"/>
      <w:bookmarkEnd w:id="1938"/>
    </w:p>
    <w:p>
      <w:pPr>
        <w:pStyle w:val="Style29"/>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left"/>
      </w:pPr>
      <w:bookmarkStart w:id="1939" w:name="bookmark1939"/>
      <w:bookmarkStart w:id="1940" w:name="bookmark1940"/>
      <w:bookmarkStart w:id="1941" w:name="bookmark1941"/>
      <w:r>
        <w:rPr>
          <w:color w:val="000000"/>
          <w:spacing w:val="0"/>
          <w:w w:val="100"/>
          <w:position w:val="0"/>
        </w:rPr>
        <w:t>十八、补充资料</w:t>
      </w:r>
      <w:bookmarkEnd w:id="1939"/>
      <w:bookmarkEnd w:id="1940"/>
      <w:bookmarkEnd w:id="1941"/>
    </w:p>
    <w:p>
      <w:pPr>
        <w:pStyle w:val="Style39"/>
        <w:keepNext/>
        <w:keepLines/>
        <w:widowControl w:val="0"/>
        <w:shd w:val="clear" w:color="auto" w:fill="auto"/>
        <w:bidi w:val="0"/>
        <w:spacing w:before="0" w:after="34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42"/>
      <w:bookmarkEnd w:id="1943"/>
      <w:bookmarkEnd w:id="1944"/>
    </w:p>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-6,443,418.57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18,267,331.91</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684,379.57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3062"/>
        <w:gridCol w:w="3192"/>
      </w:tblGrid>
      <w:tr>
        <w:trPr>
          <w:trHeight w:val="10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5,353,963.38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165,154,448.10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1,712,227.03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48,652.09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181,255,825.27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140" w:line="310" w:lineRule="exact"/>
        <w:ind w:left="0" w:right="0" w:firstLine="0"/>
        <w:jc w:val="left"/>
      </w:pPr>
      <w:r>
        <w:rPr>
          <w:b/>
          <w:bCs/>
          <w:color w:val="000000"/>
          <w:spacing w:val="0"/>
          <w:w w:val="100"/>
          <w:position w:val="0"/>
          <w:sz w:val="19"/>
          <w:szCs w:val="19"/>
        </w:rPr>
        <w:t>寸</w:t>
      </w:r>
      <w:r>
        <w:rPr>
          <w:b/>
          <w:bCs/>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股份注销确认权益工具形成收益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166,886,615.94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对子公司丧失控制权改用权益法计量，剩 余股权按公允价值重新计量产生的利得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6,142,117.12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对子公司丧失控制权转为可供出售金融资 产，剩余股权按公允价值重新计量产生的 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6,742,631.87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权益法核算的长期股权投资转可供出售金 融资产持有期间确认的除净损益以外的其 他权益变动转投资收益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6,183,450.28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企业取得子公司、联营企业及合营企业的 投资成本大于取得投资时应享有被投资单 位可辨认净资产公允价值产生的损失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-20,800,367.11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165,154,448.10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45"/>
      <w:bookmarkEnd w:id="1946"/>
      <w:bookmarkEnd w:id="194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0.2565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0.1649</w:t>
            </w:r>
          </w:p>
        </w:tc>
      </w:tr>
    </w:tbl>
    <w:p>
      <w:pPr>
        <w:pStyle w:val="Style39"/>
        <w:keepNext/>
        <w:keepLines/>
        <w:widowControl w:val="0"/>
        <w:shd w:val="clear" w:color="auto" w:fill="auto"/>
        <w:tabs>
          <w:tab w:pos="378"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境内外会计准则下会计数据差异</w:t>
      </w:r>
      <w:bookmarkEnd w:id="1948"/>
      <w:bookmarkEnd w:id="1949"/>
      <w:bookmarkEnd w:id="1951"/>
    </w:p>
    <w:p>
      <w:pPr>
        <w:pStyle w:val="Style47"/>
        <w:keepNext/>
        <w:keepLines/>
        <w:widowControl w:val="0"/>
        <w:shd w:val="clear" w:color="auto" w:fill="auto"/>
        <w:tabs>
          <w:tab w:pos="493" w:val="left"/>
        </w:tabs>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52"/>
      <w:bookmarkEnd w:id="1953"/>
      <w:bookmarkEnd w:id="195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b/>
          <w:bCs/>
          <w:i/>
          <w:iCs/>
          <w:color w:val="000000"/>
          <w:spacing w:val="0"/>
          <w:w w:val="100"/>
          <w:position w:val="0"/>
        </w:rPr>
        <w:t>*</w:t>
      </w:r>
      <w:r>
        <w:rPr>
          <w:b/>
          <w:bCs/>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56"/>
      <w:bookmarkEnd w:id="1957"/>
      <w:bookmarkEnd w:id="1959"/>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不适用</w:t>
      </w:r>
    </w:p>
    <w:p>
      <w:pPr>
        <w:pStyle w:val="Style47"/>
        <w:keepNext/>
        <w:keepLines/>
        <w:widowControl w:val="0"/>
        <w:shd w:val="clear" w:color="auto" w:fill="auto"/>
        <w:bidi w:val="0"/>
        <w:spacing w:before="0" w:after="22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w:t>
      </w:r>
      <w:bookmarkEnd w:id="1960"/>
      <w:bookmarkEnd w:id="1961"/>
      <w:bookmarkEnd w:id="1963"/>
    </w:p>
    <w:p>
      <w:pPr>
        <w:pStyle w:val="Style18"/>
        <w:keepNext w:val="0"/>
        <w:keepLines w:val="0"/>
        <w:widowControl w:val="0"/>
        <w:shd w:val="clear" w:color="auto" w:fill="auto"/>
        <w:bidi w:val="0"/>
        <w:spacing w:before="0" w:after="540" w:line="240" w:lineRule="auto"/>
        <w:ind w:left="0" w:right="0" w:firstLine="0"/>
        <w:jc w:val="left"/>
      </w:pPr>
      <w:bookmarkStart w:id="1964" w:name="bookmark1964"/>
      <w:r>
        <w:rPr>
          <w:color w:val="000000"/>
          <w:spacing w:val="0"/>
          <w:w w:val="100"/>
          <w:position w:val="0"/>
        </w:rPr>
        <w:t>明该境外机构的名称</w:t>
      </w:r>
      <w:bookmarkEnd w:id="1964"/>
    </w:p>
    <w:p>
      <w:pPr>
        <w:pStyle w:val="Style29"/>
        <w:keepNext w:val="0"/>
        <w:keepLines w:val="0"/>
        <w:widowControl w:val="0"/>
        <w:shd w:val="clear" w:color="auto" w:fill="auto"/>
        <w:bidi w:val="0"/>
        <w:spacing w:before="0" w:after="540" w:line="240" w:lineRule="auto"/>
        <w:ind w:left="0" w:right="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469" w:right="982" w:bottom="1340" w:left="986" w:header="0" w:footer="3" w:gutter="0"/>
          <w:cols w:space="720"/>
          <w:noEndnote/>
          <w:titlePg/>
          <w:rtlGutter w:val="0"/>
          <w:docGrid w:linePitch="360"/>
        </w:sectPr>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w:t>
        <w:tab/>
        <w:t>其他</w:t>
      </w:r>
      <w:bookmarkEnd w:id="1965"/>
      <w:bookmarkEnd w:id="1966"/>
      <w:bookmarkEnd w:id="1968"/>
    </w:p>
    <w:p>
      <w:pPr>
        <w:pStyle w:val="Style16"/>
        <w:keepNext/>
        <w:keepLines/>
        <w:widowControl w:val="0"/>
        <w:shd w:val="clear" w:color="auto" w:fill="auto"/>
        <w:bidi w:val="0"/>
        <w:spacing w:before="0" w:after="620" w:line="240" w:lineRule="auto"/>
        <w:ind w:left="0" w:right="0" w:firstLine="0"/>
        <w:jc w:val="center"/>
      </w:pPr>
      <w:bookmarkStart w:id="1969" w:name="bookmark1969"/>
      <w:bookmarkStart w:id="1970" w:name="bookmark1970"/>
      <w:bookmarkStart w:id="1971" w:name="bookmark1971"/>
      <w:r>
        <w:rPr>
          <w:color w:val="000000"/>
          <w:spacing w:val="0"/>
          <w:w w:val="100"/>
          <w:position w:val="0"/>
        </w:rPr>
        <w:t>第十二节备查文件目录</w:t>
      </w:r>
      <w:bookmarkEnd w:id="1969"/>
      <w:bookmarkEnd w:id="1970"/>
      <w:bookmarkEnd w:id="1971"/>
    </w:p>
    <w:p>
      <w:pPr>
        <w:pStyle w:val="Style29"/>
        <w:keepNext w:val="0"/>
        <w:keepLines w:val="0"/>
        <w:widowControl w:val="0"/>
        <w:shd w:val="clear" w:color="auto" w:fill="auto"/>
        <w:tabs>
          <w:tab w:pos="435" w:val="left"/>
        </w:tabs>
        <w:bidi w:val="0"/>
        <w:spacing w:before="0" w:after="260" w:line="240" w:lineRule="auto"/>
        <w:ind w:left="0" w:right="0" w:firstLine="0"/>
        <w:jc w:val="left"/>
      </w:pPr>
      <w:bookmarkStart w:id="1972" w:name="bookmark1972"/>
      <w:r>
        <w:rPr>
          <w:color w:val="000000"/>
          <w:spacing w:val="0"/>
          <w:w w:val="100"/>
          <w:position w:val="0"/>
        </w:rPr>
        <w:t>一</w:t>
      </w:r>
      <w:bookmarkEnd w:id="1972"/>
      <w:r>
        <w:rPr>
          <w:color w:val="000000"/>
          <w:spacing w:val="0"/>
          <w:w w:val="100"/>
          <w:position w:val="0"/>
        </w:rPr>
        <w:t>、</w:t>
        <w:tab/>
        <w:t>载有法定代表人王宁先生、主管会计工作负责人林红女士、会计机构负责人王辉先生签名并盖章的财务报表;</w:t>
      </w:r>
    </w:p>
    <w:p>
      <w:pPr>
        <w:pStyle w:val="Style29"/>
        <w:keepNext w:val="0"/>
        <w:keepLines w:val="0"/>
        <w:widowControl w:val="0"/>
        <w:shd w:val="clear" w:color="auto" w:fill="auto"/>
        <w:tabs>
          <w:tab w:pos="435" w:val="left"/>
        </w:tabs>
        <w:bidi w:val="0"/>
        <w:spacing w:before="0" w:after="260" w:line="240" w:lineRule="auto"/>
        <w:ind w:left="0" w:right="0" w:firstLine="0"/>
        <w:jc w:val="left"/>
      </w:pPr>
      <w:bookmarkStart w:id="1973" w:name="bookmark1973"/>
      <w:r>
        <w:rPr>
          <w:color w:val="000000"/>
          <w:spacing w:val="0"/>
          <w:w w:val="100"/>
          <w:position w:val="0"/>
        </w:rPr>
        <w:t>二</w:t>
      </w:r>
      <w:bookmarkEnd w:id="1973"/>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260" w:line="240" w:lineRule="auto"/>
        <w:ind w:left="0" w:right="0" w:firstLine="0"/>
        <w:jc w:val="left"/>
      </w:pPr>
      <w:bookmarkStart w:id="1974" w:name="bookmark1974"/>
      <w:r>
        <w:rPr>
          <w:color w:val="000000"/>
          <w:spacing w:val="0"/>
          <w:w w:val="100"/>
          <w:position w:val="0"/>
        </w:rPr>
        <w:t>三</w:t>
      </w:r>
      <w:bookmarkEnd w:id="1974"/>
      <w:r>
        <w:rPr>
          <w:color w:val="000000"/>
          <w:spacing w:val="0"/>
          <w:w w:val="100"/>
          <w:position w:val="0"/>
        </w:rPr>
        <w:t>、</w:t>
        <w:tab/>
        <w:t>报告期内在中国证监会指定报纸上公开披露过的所有公司文件的正本及公告的原稿；</w:t>
      </w:r>
    </w:p>
    <w:p>
      <w:pPr>
        <w:pStyle w:val="Style29"/>
        <w:keepNext w:val="0"/>
        <w:keepLines w:val="0"/>
        <w:widowControl w:val="0"/>
        <w:shd w:val="clear" w:color="auto" w:fill="auto"/>
        <w:tabs>
          <w:tab w:pos="435" w:val="left"/>
        </w:tabs>
        <w:bidi w:val="0"/>
        <w:spacing w:before="0" w:after="260" w:line="240" w:lineRule="auto"/>
        <w:ind w:left="0" w:right="0" w:firstLine="0"/>
        <w:jc w:val="left"/>
      </w:pPr>
      <w:bookmarkStart w:id="1975" w:name="bookmark1975"/>
      <w:r>
        <w:rPr>
          <w:color w:val="000000"/>
          <w:spacing w:val="0"/>
          <w:w w:val="100"/>
          <w:position w:val="0"/>
        </w:rPr>
        <w:t>四</w:t>
      </w:r>
      <w:bookmarkEnd w:id="1975"/>
      <w:r>
        <w:rPr>
          <w:color w:val="000000"/>
          <w:spacing w:val="0"/>
          <w:w w:val="100"/>
          <w:position w:val="0"/>
        </w:rPr>
        <w:t>、</w:t>
        <w:tab/>
        <w:t>其他相关资料。</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585" w:right="1118" w:bottom="1585"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3758565</wp:posOffset>
              </wp:positionH>
              <wp:positionV relativeFrom="page">
                <wp:posOffset>10125710</wp:posOffset>
              </wp:positionV>
              <wp:extent cx="30480" cy="82550"/>
              <wp:wrapNone/>
              <wp:docPr id="6" name="Shape 6"/>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95.94999999999999pt;margin-top:797.30000000000007pt;width:2.3999999999999999pt;height:6.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3740785</wp:posOffset>
              </wp:positionH>
              <wp:positionV relativeFrom="page">
                <wp:posOffset>10008235</wp:posOffset>
              </wp:positionV>
              <wp:extent cx="100330" cy="79375"/>
              <wp:wrapNone/>
              <wp:docPr id="98" name="Shape 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4.55000000000001pt;margin-top:788.05000000000007pt;width:7.9000000000000004pt;height:6.25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3707130</wp:posOffset>
              </wp:positionH>
              <wp:positionV relativeFrom="page">
                <wp:posOffset>9957435</wp:posOffset>
              </wp:positionV>
              <wp:extent cx="146050" cy="79375"/>
              <wp:wrapNone/>
              <wp:docPr id="104" name="Shape 10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291.90000000000003pt;margin-top:784.05000000000007pt;width:11.5pt;height:6.25pt;z-index:-18874399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3740785</wp:posOffset>
              </wp:positionH>
              <wp:positionV relativeFrom="page">
                <wp:posOffset>10008235</wp:posOffset>
              </wp:positionV>
              <wp:extent cx="100330" cy="79375"/>
              <wp:wrapNone/>
              <wp:docPr id="110" name="Shape 1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4.55000000000001pt;margin-top:788.05000000000007pt;width:7.9000000000000004pt;height:6.25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3740785</wp:posOffset>
              </wp:positionH>
              <wp:positionV relativeFrom="page">
                <wp:posOffset>10008235</wp:posOffset>
              </wp:positionV>
              <wp:extent cx="100330" cy="79375"/>
              <wp:wrapNone/>
              <wp:docPr id="116" name="Shape 11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4.55000000000001pt;margin-top:788.05000000000007pt;width:7.9000000000000004pt;height:6.25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3684270</wp:posOffset>
              </wp:positionH>
              <wp:positionV relativeFrom="page">
                <wp:posOffset>9956165</wp:posOffset>
              </wp:positionV>
              <wp:extent cx="155575" cy="79375"/>
              <wp:wrapNone/>
              <wp:docPr id="123" name="Shape 1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0.10000000000002pt;margin-top:783.95000000000005pt;width:12.25pt;height:6.25pt;z-index:-18874398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3740785</wp:posOffset>
              </wp:positionH>
              <wp:positionV relativeFrom="page">
                <wp:posOffset>10008235</wp:posOffset>
              </wp:positionV>
              <wp:extent cx="100330" cy="79375"/>
              <wp:wrapNone/>
              <wp:docPr id="129" name="Shape 1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294.55000000000001pt;margin-top:788.05000000000007pt;width:7.9000000000000004pt;height:6.25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3740785</wp:posOffset>
              </wp:positionH>
              <wp:positionV relativeFrom="page">
                <wp:posOffset>10008235</wp:posOffset>
              </wp:positionV>
              <wp:extent cx="100330" cy="79375"/>
              <wp:wrapNone/>
              <wp:docPr id="135" name="Shape 1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294.55000000000001pt;margin-top:788.05000000000007pt;width:7.9000000000000004pt;height:6.25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3686175</wp:posOffset>
              </wp:positionH>
              <wp:positionV relativeFrom="page">
                <wp:posOffset>9956165</wp:posOffset>
              </wp:positionV>
              <wp:extent cx="155575" cy="79375"/>
              <wp:wrapNone/>
              <wp:docPr id="142" name="Shape 1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290.25pt;margin-top:783.95000000000005pt;width:12.25pt;height:6.25pt;z-index:-18874396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3703320</wp:posOffset>
              </wp:positionH>
              <wp:positionV relativeFrom="page">
                <wp:posOffset>9958070</wp:posOffset>
              </wp:positionV>
              <wp:extent cx="155575" cy="79375"/>
              <wp:wrapNone/>
              <wp:docPr id="144" name="Shape 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291.60000000000002pt;margin-top:784.10000000000002pt;width:12.25pt;height:6.25pt;z-index:-18874396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3703320</wp:posOffset>
              </wp:positionH>
              <wp:positionV relativeFrom="page">
                <wp:posOffset>9958070</wp:posOffset>
              </wp:positionV>
              <wp:extent cx="155575" cy="79375"/>
              <wp:wrapNone/>
              <wp:docPr id="146" name="Shape 1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291.60000000000002pt;margin-top:784.10000000000002pt;width:12.25pt;height:6.25pt;z-index:-18874395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3758565</wp:posOffset>
              </wp:positionH>
              <wp:positionV relativeFrom="page">
                <wp:posOffset>10125710</wp:posOffset>
              </wp:positionV>
              <wp:extent cx="30480" cy="82550"/>
              <wp:wrapNone/>
              <wp:docPr id="13" name="Shape 13"/>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5.94999999999999pt;margin-top:797.30000000000007pt;width:2.3999999999999999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72727"/>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3740785</wp:posOffset>
              </wp:positionH>
              <wp:positionV relativeFrom="page">
                <wp:posOffset>10008235</wp:posOffset>
              </wp:positionV>
              <wp:extent cx="100330" cy="79375"/>
              <wp:wrapNone/>
              <wp:docPr id="152" name="Shape 1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294.55000000000001pt;margin-top:788.05000000000007pt;width:7.9000000000000004pt;height:6.25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3740785</wp:posOffset>
              </wp:positionH>
              <wp:positionV relativeFrom="page">
                <wp:posOffset>10008235</wp:posOffset>
              </wp:positionV>
              <wp:extent cx="100330" cy="79375"/>
              <wp:wrapNone/>
              <wp:docPr id="158" name="Shape 1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294.55000000000001pt;margin-top:788.05000000000007pt;width:7.9000000000000004pt;height:6.25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3703320</wp:posOffset>
              </wp:positionH>
              <wp:positionV relativeFrom="page">
                <wp:posOffset>9958070</wp:posOffset>
              </wp:positionV>
              <wp:extent cx="155575" cy="79375"/>
              <wp:wrapNone/>
              <wp:docPr id="160" name="Shape 1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291.60000000000002pt;margin-top:784.10000000000002pt;width:12.25pt;height:6.25pt;z-index:-18874394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3703320</wp:posOffset>
              </wp:positionH>
              <wp:positionV relativeFrom="page">
                <wp:posOffset>9958070</wp:posOffset>
              </wp:positionV>
              <wp:extent cx="155575" cy="79375"/>
              <wp:wrapNone/>
              <wp:docPr id="162" name="Shape 1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1.60000000000002pt;margin-top:784.10000000000002pt;width:12.25pt;height:6.25pt;z-index:-18874394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6334125</wp:posOffset>
              </wp:positionH>
              <wp:positionV relativeFrom="page">
                <wp:posOffset>9382125</wp:posOffset>
              </wp:positionV>
              <wp:extent cx="499745" cy="106680"/>
              <wp:wrapNone/>
              <wp:docPr id="169" name="Shape 16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95" type="#_x0000_t202" style="position:absolute;margin-left:498.75pt;margin-top:738.75pt;width:39.350000000000001pt;height:8.4000000000000004pt;z-index:-1887439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3703320</wp:posOffset>
              </wp:positionH>
              <wp:positionV relativeFrom="page">
                <wp:posOffset>9958070</wp:posOffset>
              </wp:positionV>
              <wp:extent cx="152400" cy="79375"/>
              <wp:wrapNone/>
              <wp:docPr id="171" name="Shape 1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291.60000000000002pt;margin-top:784.10000000000002pt;width:12.pt;height:6.25pt;z-index:-18874393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6334125</wp:posOffset>
              </wp:positionH>
              <wp:positionV relativeFrom="page">
                <wp:posOffset>9382125</wp:posOffset>
              </wp:positionV>
              <wp:extent cx="499745" cy="106680"/>
              <wp:wrapNone/>
              <wp:docPr id="178" name="Shape 17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04" type="#_x0000_t202" style="position:absolute;margin-left:498.75pt;margin-top:738.75pt;width:39.350000000000001pt;height:8.4000000000000004pt;z-index:-18874392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3703320</wp:posOffset>
              </wp:positionH>
              <wp:positionV relativeFrom="page">
                <wp:posOffset>9958070</wp:posOffset>
              </wp:positionV>
              <wp:extent cx="152400" cy="79375"/>
              <wp:wrapNone/>
              <wp:docPr id="180" name="Shape 1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1.60000000000002pt;margin-top:784.10000000000002pt;width:12.pt;height:6.25pt;z-index:-18874392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3740785</wp:posOffset>
              </wp:positionH>
              <wp:positionV relativeFrom="page">
                <wp:posOffset>10008235</wp:posOffset>
              </wp:positionV>
              <wp:extent cx="100330" cy="79375"/>
              <wp:wrapNone/>
              <wp:docPr id="186" name="Shape 18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294.55000000000001pt;margin-top:788.05000000000007pt;width:7.9000000000000004pt;height:6.25pt;z-index:-1887439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3740785</wp:posOffset>
              </wp:positionH>
              <wp:positionV relativeFrom="page">
                <wp:posOffset>10008235</wp:posOffset>
              </wp:positionV>
              <wp:extent cx="100330" cy="79375"/>
              <wp:wrapNone/>
              <wp:docPr id="192" name="Shape 1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294.55000000000001pt;margin-top:788.05000000000007pt;width:7.9000000000000004pt;height:6.25pt;z-index:-1887439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6334125</wp:posOffset>
              </wp:positionH>
              <wp:positionV relativeFrom="page">
                <wp:posOffset>9662795</wp:posOffset>
              </wp:positionV>
              <wp:extent cx="499745" cy="106680"/>
              <wp:wrapNone/>
              <wp:docPr id="198" name="Shape 19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24" type="#_x0000_t202" style="position:absolute;margin-left:498.75pt;margin-top:760.85000000000002pt;width:39.350000000000001pt;height:8.4000000000000004pt;z-index:-18874390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3703320</wp:posOffset>
              </wp:positionH>
              <wp:positionV relativeFrom="page">
                <wp:posOffset>10092055</wp:posOffset>
              </wp:positionV>
              <wp:extent cx="158750" cy="79375"/>
              <wp:wrapNone/>
              <wp:docPr id="200" name="Shape 20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291.60000000000002pt;margin-top:794.64999999999998pt;width:12.5pt;height:6.25pt;z-index:-18874390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6334125</wp:posOffset>
              </wp:positionH>
              <wp:positionV relativeFrom="page">
                <wp:posOffset>9662795</wp:posOffset>
              </wp:positionV>
              <wp:extent cx="499745" cy="106680"/>
              <wp:wrapNone/>
              <wp:docPr id="206" name="Shape 20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32" type="#_x0000_t202" style="position:absolute;margin-left:498.75pt;margin-top:760.85000000000002pt;width:39.350000000000001pt;height:8.4000000000000004pt;z-index:-18874390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3703320</wp:posOffset>
              </wp:positionH>
              <wp:positionV relativeFrom="page">
                <wp:posOffset>10092055</wp:posOffset>
              </wp:positionV>
              <wp:extent cx="158750" cy="79375"/>
              <wp:wrapNone/>
              <wp:docPr id="208" name="Shape 20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1.60000000000002pt;margin-top:794.64999999999998pt;width:12.5pt;height:6.25pt;z-index:-18874389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3740785</wp:posOffset>
              </wp:positionH>
              <wp:positionV relativeFrom="page">
                <wp:posOffset>10008235</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4.55000000000001pt;margin-top:788.05000000000007pt;width:7.9000000000000004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3740785</wp:posOffset>
              </wp:positionH>
              <wp:positionV relativeFrom="page">
                <wp:posOffset>10008235</wp:posOffset>
              </wp:positionV>
              <wp:extent cx="100330" cy="79375"/>
              <wp:wrapNone/>
              <wp:docPr id="214" name="Shape 2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294.55000000000001pt;margin-top:788.05000000000007pt;width:7.9000000000000004pt;height:6.25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3740785</wp:posOffset>
              </wp:positionH>
              <wp:positionV relativeFrom="page">
                <wp:posOffset>10008235</wp:posOffset>
              </wp:positionV>
              <wp:extent cx="100330" cy="79375"/>
              <wp:wrapNone/>
              <wp:docPr id="220" name="Shape 2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294.55000000000001pt;margin-top:788.05000000000007pt;width:7.9000000000000004pt;height:6.25pt;z-index:-1887438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3740785</wp:posOffset>
              </wp:positionH>
              <wp:positionV relativeFrom="page">
                <wp:posOffset>10008235</wp:posOffset>
              </wp:positionV>
              <wp:extent cx="100330" cy="79375"/>
              <wp:wrapNone/>
              <wp:docPr id="226" name="Shape 2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294.55000000000001pt;margin-top:788.05000000000007pt;width:7.9000000000000004pt;height:6.25pt;z-index:-1887438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3704590</wp:posOffset>
              </wp:positionH>
              <wp:positionV relativeFrom="page">
                <wp:posOffset>9955530</wp:posOffset>
              </wp:positionV>
              <wp:extent cx="155575" cy="79375"/>
              <wp:wrapNone/>
              <wp:docPr id="233" name="Shape 2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1.69999999999999pt;margin-top:783.89999999999998pt;width:12.25pt;height:6.25pt;z-index:-18874387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6334125</wp:posOffset>
              </wp:positionH>
              <wp:positionV relativeFrom="page">
                <wp:posOffset>9662795</wp:posOffset>
              </wp:positionV>
              <wp:extent cx="499745" cy="106680"/>
              <wp:wrapNone/>
              <wp:docPr id="239" name="Shape 23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65" type="#_x0000_t202" style="position:absolute;margin-left:498.75pt;margin-top:760.85000000000002pt;width:39.350000000000001pt;height:8.4000000000000004pt;z-index:-18874386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3703320</wp:posOffset>
              </wp:positionH>
              <wp:positionV relativeFrom="page">
                <wp:posOffset>10092055</wp:posOffset>
              </wp:positionV>
              <wp:extent cx="158750" cy="79375"/>
              <wp:wrapNone/>
              <wp:docPr id="241" name="Shape 24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7" type="#_x0000_t202" style="position:absolute;margin-left:291.60000000000002pt;margin-top:794.64999999999998pt;width:12.5pt;height:6.25pt;z-index:-18874386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3740785</wp:posOffset>
              </wp:positionH>
              <wp:positionV relativeFrom="page">
                <wp:posOffset>10008235</wp:posOffset>
              </wp:positionV>
              <wp:extent cx="100330" cy="79375"/>
              <wp:wrapNone/>
              <wp:docPr id="253" name="Shape 2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294.55000000000001pt;margin-top:788.05000000000007pt;width:7.9000000000000004pt;height:6.25pt;z-index:-1887438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3740785</wp:posOffset>
              </wp:positionH>
              <wp:positionV relativeFrom="page">
                <wp:posOffset>10008235</wp:posOffset>
              </wp:positionV>
              <wp:extent cx="100330" cy="79375"/>
              <wp:wrapNone/>
              <wp:docPr id="259" name="Shape 2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294.55000000000001pt;margin-top:788.05000000000007pt;width:7.9000000000000004pt;height:6.25pt;z-index:-1887438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3740785</wp:posOffset>
              </wp:positionH>
              <wp:positionV relativeFrom="page">
                <wp:posOffset>10008235</wp:posOffset>
              </wp:positionV>
              <wp:extent cx="100330" cy="79375"/>
              <wp:wrapNone/>
              <wp:docPr id="265" name="Shape 26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4.55000000000001pt;margin-top:788.05000000000007pt;width:7.9000000000000004pt;height:6.25pt;z-index:-1887438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3740785</wp:posOffset>
              </wp:positionH>
              <wp:positionV relativeFrom="page">
                <wp:posOffset>10008235</wp:posOffset>
              </wp:positionV>
              <wp:extent cx="100330" cy="79375"/>
              <wp:wrapNone/>
              <wp:docPr id="271" name="Shape 27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294.55000000000001pt;margin-top:788.05000000000007pt;width:7.9000000000000004pt;height:6.25pt;z-index:-1887438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3700145</wp:posOffset>
              </wp:positionH>
              <wp:positionV relativeFrom="page">
                <wp:posOffset>9955530</wp:posOffset>
              </wp:positionV>
              <wp:extent cx="158750" cy="79375"/>
              <wp:wrapNone/>
              <wp:docPr id="277" name="Shape 27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291.35000000000002pt;margin-top:783.89999999999998pt;width:12.5pt;height:6.25pt;z-index:-1887438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3740785</wp:posOffset>
              </wp:positionH>
              <wp:positionV relativeFrom="page">
                <wp:posOffset>10008235</wp:posOffset>
              </wp:positionV>
              <wp:extent cx="100330" cy="79375"/>
              <wp:wrapNone/>
              <wp:docPr id="25" name="Shape 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4.55000000000001pt;margin-top:788.05000000000007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3740785</wp:posOffset>
              </wp:positionH>
              <wp:positionV relativeFrom="page">
                <wp:posOffset>10008235</wp:posOffset>
              </wp:positionV>
              <wp:extent cx="100330" cy="79375"/>
              <wp:wrapNone/>
              <wp:docPr id="289" name="Shape 2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294.55000000000001pt;margin-top:788.05000000000007pt;width:7.9000000000000004pt;height:6.25pt;z-index:-1887438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3740785</wp:posOffset>
              </wp:positionH>
              <wp:positionV relativeFrom="page">
                <wp:posOffset>10008235</wp:posOffset>
              </wp:positionV>
              <wp:extent cx="100330" cy="79375"/>
              <wp:wrapNone/>
              <wp:docPr id="295" name="Shape 29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294.55000000000001pt;margin-top:788.05000000000007pt;width:7.9000000000000004pt;height:6.25pt;z-index:-1887438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3704590</wp:posOffset>
              </wp:positionH>
              <wp:positionV relativeFrom="page">
                <wp:posOffset>9955530</wp:posOffset>
              </wp:positionV>
              <wp:extent cx="152400" cy="79375"/>
              <wp:wrapNone/>
              <wp:docPr id="302" name="Shape 3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291.69999999999999pt;margin-top:783.89999999999998pt;width:12.pt;height:6.25pt;z-index:-18874381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3735705</wp:posOffset>
              </wp:positionH>
              <wp:positionV relativeFrom="page">
                <wp:posOffset>9956165</wp:posOffset>
              </wp:positionV>
              <wp:extent cx="100330" cy="79375"/>
              <wp:wrapNone/>
              <wp:docPr id="33" name="Shape 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4.15000000000003pt;margin-top:783.95000000000005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3735705</wp:posOffset>
              </wp:positionH>
              <wp:positionV relativeFrom="page">
                <wp:posOffset>9956165</wp:posOffset>
              </wp:positionV>
              <wp:extent cx="100330" cy="79375"/>
              <wp:wrapNone/>
              <wp:docPr id="39" name="Shape 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4.15000000000003pt;margin-top:783.95000000000005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3740785</wp:posOffset>
              </wp:positionH>
              <wp:positionV relativeFrom="page">
                <wp:posOffset>10008235</wp:posOffset>
              </wp:positionV>
              <wp:extent cx="100330" cy="79375"/>
              <wp:wrapNone/>
              <wp:docPr id="45" name="Shape 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294.55000000000001pt;margin-top:788.05000000000007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3740785</wp:posOffset>
              </wp:positionH>
              <wp:positionV relativeFrom="page">
                <wp:posOffset>10008235</wp:posOffset>
              </wp:positionV>
              <wp:extent cx="100330" cy="79375"/>
              <wp:wrapNone/>
              <wp:docPr id="51" name="Shape 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294.55000000000001pt;margin-top:788.05000000000007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3740785</wp:posOffset>
              </wp:positionH>
              <wp:positionV relativeFrom="page">
                <wp:posOffset>10008235</wp:posOffset>
              </wp:positionV>
              <wp:extent cx="100330" cy="79375"/>
              <wp:wrapNone/>
              <wp:docPr id="92" name="Shape 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294.55000000000001pt;margin-top:788.05000000000007pt;width:7.9000000000000004pt;height:6.25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716280</wp:posOffset>
              </wp:positionH>
              <wp:positionV relativeFrom="page">
                <wp:posOffset>457835</wp:posOffset>
              </wp:positionV>
              <wp:extent cx="1143000" cy="320040"/>
              <wp:wrapNone/>
              <wp:docPr id="1" name="Shape 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399999999999999pt;margin-top:36.050000000000004pt;width:90.pt;height:25.199999999999999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3926205</wp:posOffset>
              </wp:positionH>
              <wp:positionV relativeFrom="page">
                <wp:posOffset>683260</wp:posOffset>
              </wp:positionV>
              <wp:extent cx="2673350" cy="106680"/>
              <wp:wrapNone/>
              <wp:docPr id="3" name="Shape 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09.15000000000003pt;margin-top:53.800000000000004pt;width:210.5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829310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299999999999997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728980</wp:posOffset>
              </wp:positionH>
              <wp:positionV relativeFrom="page">
                <wp:posOffset>525145</wp:posOffset>
              </wp:positionV>
              <wp:extent cx="1143000" cy="320040"/>
              <wp:wrapNone/>
              <wp:docPr id="94" name="Shape 94"/>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20" type="#_x0000_t202" style="position:absolute;margin-left:57.399999999999999pt;margin-top:41.350000000000001pt;width:90.pt;height:25.199999999999999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3938905</wp:posOffset>
              </wp:positionH>
              <wp:positionV relativeFrom="page">
                <wp:posOffset>750570</wp:posOffset>
              </wp:positionV>
              <wp:extent cx="2673350" cy="106680"/>
              <wp:wrapNone/>
              <wp:docPr id="96" name="Shape 9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10.15000000000003pt;margin-top:59.100000000000001pt;width:210.5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716915</wp:posOffset>
              </wp:positionH>
              <wp:positionV relativeFrom="page">
                <wp:posOffset>539115</wp:posOffset>
              </wp:positionV>
              <wp:extent cx="1139825" cy="320040"/>
              <wp:wrapNone/>
              <wp:docPr id="100" name="Shape 100"/>
              <a:graphic xmlns:a="http://schemas.openxmlformats.org/drawingml/2006/main">
                <a:graphicData uri="http://schemas.microsoft.com/office/word/2010/wordprocessingShape">
                  <wps:wsp>
                    <wps:cNvSpPr txBox="1"/>
                    <wps:spPr>
                      <a:xfrm>
                        <a:ext cx="1139825"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rFonts w:ascii="SimHei" w:eastAsia="SimHei" w:hAnsi="SimHei" w:cs="SimHei"/>
                              <w:color w:val="6FB04E"/>
                              <w:spacing w:val="0"/>
                              <w:w w:val="100"/>
                              <w:position w:val="0"/>
                              <w:sz w:val="20"/>
                              <w:szCs w:val="20"/>
                            </w:rPr>
                            <w:t>j</w:t>
                          </w: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126" type="#_x0000_t202" style="position:absolute;margin-left:56.450000000000003pt;margin-top:42.450000000000003pt;width:89.75pt;height:25.199999999999999pt;z-index:-18874400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rFonts w:ascii="SimHei" w:eastAsia="SimHei" w:hAnsi="SimHei" w:cs="SimHei"/>
                        <w:color w:val="6FB04E"/>
                        <w:spacing w:val="0"/>
                        <w:w w:val="100"/>
                        <w:position w:val="0"/>
                        <w:sz w:val="20"/>
                        <w:szCs w:val="20"/>
                      </w:rPr>
                      <w:t>j</w:t>
                    </w: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3926840</wp:posOffset>
              </wp:positionH>
              <wp:positionV relativeFrom="page">
                <wp:posOffset>764540</wp:posOffset>
              </wp:positionV>
              <wp:extent cx="2673350" cy="106680"/>
              <wp:wrapNone/>
              <wp:docPr id="102" name="Shape 10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09.19999999999999pt;margin-top:60.200000000000003pt;width:210.5pt;height:8.4000000000000004pt;z-index:-18874400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728980</wp:posOffset>
              </wp:positionH>
              <wp:positionV relativeFrom="page">
                <wp:posOffset>525145</wp:posOffset>
              </wp:positionV>
              <wp:extent cx="1143000" cy="320040"/>
              <wp:wrapNone/>
              <wp:docPr id="106" name="Shape 106"/>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32" type="#_x0000_t202" style="position:absolute;margin-left:57.399999999999999pt;margin-top:41.350000000000001pt;width:90.pt;height:25.199999999999999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3938905</wp:posOffset>
              </wp:positionH>
              <wp:positionV relativeFrom="page">
                <wp:posOffset>750570</wp:posOffset>
              </wp:positionV>
              <wp:extent cx="2673350" cy="106680"/>
              <wp:wrapNone/>
              <wp:docPr id="108" name="Shape 10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4" type="#_x0000_t202" style="position:absolute;margin-left:310.15000000000003pt;margin-top:59.100000000000001pt;width:210.5pt;height:8.4000000000000004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728980</wp:posOffset>
              </wp:positionH>
              <wp:positionV relativeFrom="page">
                <wp:posOffset>525145</wp:posOffset>
              </wp:positionV>
              <wp:extent cx="1143000" cy="320040"/>
              <wp:wrapNone/>
              <wp:docPr id="112" name="Shape 112"/>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38" type="#_x0000_t202" style="position:absolute;margin-left:57.399999999999999pt;margin-top:41.350000000000001pt;width:90.pt;height:25.199999999999999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3938905</wp:posOffset>
              </wp:positionH>
              <wp:positionV relativeFrom="page">
                <wp:posOffset>750570</wp:posOffset>
              </wp:positionV>
              <wp:extent cx="2673350" cy="106680"/>
              <wp:wrapNone/>
              <wp:docPr id="114" name="Shape 11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0" type="#_x0000_t202" style="position:absolute;margin-left:310.15000000000003pt;margin-top:59.100000000000001pt;width:210.5pt;height:8.4000000000000004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697230</wp:posOffset>
              </wp:positionH>
              <wp:positionV relativeFrom="page">
                <wp:posOffset>541020</wp:posOffset>
              </wp:positionV>
              <wp:extent cx="1143000" cy="320040"/>
              <wp:wrapNone/>
              <wp:docPr id="118" name="Shape 11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wps:txbx>
                    <wps:bodyPr wrap="none" lIns="0" tIns="0" rIns="0" bIns="0">
                      <a:spAutoFit/>
                    </wps:bodyPr>
                  </wps:wsp>
                </a:graphicData>
              </a:graphic>
            </wp:anchor>
          </w:drawing>
        </mc:Choice>
        <mc:Fallback>
          <w:pict>
            <v:shape id="_x0000_s1144" type="#_x0000_t202" style="position:absolute;margin-left:54.899999999999999pt;margin-top:42.600000000000001pt;width:90.pt;height:25.199999999999999pt;z-index:-18874398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3907155</wp:posOffset>
              </wp:positionH>
              <wp:positionV relativeFrom="page">
                <wp:posOffset>766445</wp:posOffset>
              </wp:positionV>
              <wp:extent cx="2673350" cy="106680"/>
              <wp:wrapNone/>
              <wp:docPr id="120" name="Shape 12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307.65000000000003pt;margin-top:60.350000000000001pt;width:210.5pt;height:8.4000000000000004pt;z-index:-18874398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912495</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71.850000000000009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728980</wp:posOffset>
              </wp:positionH>
              <wp:positionV relativeFrom="page">
                <wp:posOffset>525145</wp:posOffset>
              </wp:positionV>
              <wp:extent cx="1143000" cy="320040"/>
              <wp:wrapNone/>
              <wp:docPr id="125" name="Shape 125"/>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51" type="#_x0000_t202" style="position:absolute;margin-left:57.399999999999999pt;margin-top:41.350000000000001pt;width:90.pt;height:25.199999999999999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3938905</wp:posOffset>
              </wp:positionH>
              <wp:positionV relativeFrom="page">
                <wp:posOffset>750570</wp:posOffset>
              </wp:positionV>
              <wp:extent cx="2673350" cy="106680"/>
              <wp:wrapNone/>
              <wp:docPr id="127" name="Shape 12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3" type="#_x0000_t202" style="position:absolute;margin-left:310.15000000000003pt;margin-top:59.100000000000001pt;width:210.5pt;height:8.4000000000000004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728980</wp:posOffset>
              </wp:positionH>
              <wp:positionV relativeFrom="page">
                <wp:posOffset>525145</wp:posOffset>
              </wp:positionV>
              <wp:extent cx="1143000" cy="320040"/>
              <wp:wrapNone/>
              <wp:docPr id="131" name="Shape 13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57" type="#_x0000_t202" style="position:absolute;margin-left:57.399999999999999pt;margin-top:41.350000000000001pt;width:90.pt;height:25.199999999999999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3938905</wp:posOffset>
              </wp:positionH>
              <wp:positionV relativeFrom="page">
                <wp:posOffset>750570</wp:posOffset>
              </wp:positionV>
              <wp:extent cx="2673350" cy="106680"/>
              <wp:wrapNone/>
              <wp:docPr id="133" name="Shape 13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9" type="#_x0000_t202" style="position:absolute;margin-left:310.15000000000003pt;margin-top:59.100000000000001pt;width:210.5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699135</wp:posOffset>
              </wp:positionH>
              <wp:positionV relativeFrom="page">
                <wp:posOffset>541020</wp:posOffset>
              </wp:positionV>
              <wp:extent cx="1143000" cy="320040"/>
              <wp:wrapNone/>
              <wp:docPr id="137" name="Shape 137"/>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wps:txbx>
                    <wps:bodyPr wrap="none" lIns="0" tIns="0" rIns="0" bIns="0">
                      <a:spAutoFit/>
                    </wps:bodyPr>
                  </wps:wsp>
                </a:graphicData>
              </a:graphic>
            </wp:anchor>
          </w:drawing>
        </mc:Choice>
        <mc:Fallback>
          <w:pict>
            <v:shape id="_x0000_s1163" type="#_x0000_t202" style="position:absolute;margin-left:55.050000000000004pt;margin-top:42.600000000000001pt;width:90.pt;height:25.199999999999999pt;z-index:-18874396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3908425</wp:posOffset>
              </wp:positionH>
              <wp:positionV relativeFrom="page">
                <wp:posOffset>766445</wp:posOffset>
              </wp:positionV>
              <wp:extent cx="2673350" cy="106680"/>
              <wp:wrapNone/>
              <wp:docPr id="139" name="Shape 13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5" type="#_x0000_t202" style="position:absolute;margin-left:307.75pt;margin-top:60.350000000000001pt;width:210.5pt;height:8.4000000000000004pt;z-index:-18874396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912495</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71.850000000000009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716280</wp:posOffset>
              </wp:positionH>
              <wp:positionV relativeFrom="page">
                <wp:posOffset>457835</wp:posOffset>
              </wp:positionV>
              <wp:extent cx="1143000" cy="320040"/>
              <wp:wrapNone/>
              <wp:docPr id="8" name="Shape 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34" type="#_x0000_t202" style="position:absolute;margin-left:56.399999999999999pt;margin-top:36.050000000000004pt;width:90.pt;height:25.199999999999999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3926205</wp:posOffset>
              </wp:positionH>
              <wp:positionV relativeFrom="page">
                <wp:posOffset>683260</wp:posOffset>
              </wp:positionV>
              <wp:extent cx="2673350" cy="106680"/>
              <wp:wrapNone/>
              <wp:docPr id="10" name="Shape 1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09.15000000000003pt;margin-top:53.800000000000004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829310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299999999999997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728980</wp:posOffset>
              </wp:positionH>
              <wp:positionV relativeFrom="page">
                <wp:posOffset>525145</wp:posOffset>
              </wp:positionV>
              <wp:extent cx="1143000" cy="320040"/>
              <wp:wrapNone/>
              <wp:docPr id="148" name="Shape 14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74" type="#_x0000_t202" style="position:absolute;margin-left:57.399999999999999pt;margin-top:41.350000000000001pt;width:90.pt;height:25.199999999999999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3938905</wp:posOffset>
              </wp:positionH>
              <wp:positionV relativeFrom="page">
                <wp:posOffset>750570</wp:posOffset>
              </wp:positionV>
              <wp:extent cx="2673350" cy="106680"/>
              <wp:wrapNone/>
              <wp:docPr id="150" name="Shape 15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6" type="#_x0000_t202" style="position:absolute;margin-left:310.15000000000003pt;margin-top:59.100000000000001pt;width:210.5pt;height:8.4000000000000004pt;z-index:-1887439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728980</wp:posOffset>
              </wp:positionH>
              <wp:positionV relativeFrom="page">
                <wp:posOffset>525145</wp:posOffset>
              </wp:positionV>
              <wp:extent cx="1143000" cy="320040"/>
              <wp:wrapNone/>
              <wp:docPr id="154" name="Shape 154"/>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80" type="#_x0000_t202" style="position:absolute;margin-left:57.399999999999999pt;margin-top:41.350000000000001pt;width:90.pt;height:25.199999999999999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3938905</wp:posOffset>
              </wp:positionH>
              <wp:positionV relativeFrom="page">
                <wp:posOffset>750570</wp:posOffset>
              </wp:positionV>
              <wp:extent cx="2673350" cy="106680"/>
              <wp:wrapNone/>
              <wp:docPr id="156" name="Shape 15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2" type="#_x0000_t202" style="position:absolute;margin-left:310.15000000000003pt;margin-top:59.100000000000001pt;width:210.5pt;height:8.4000000000000004pt;z-index:-1887439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716280</wp:posOffset>
              </wp:positionH>
              <wp:positionV relativeFrom="page">
                <wp:posOffset>539750</wp:posOffset>
              </wp:positionV>
              <wp:extent cx="1143000" cy="320040"/>
              <wp:wrapNone/>
              <wp:docPr id="164" name="Shape 164"/>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190" type="#_x0000_t202" style="position:absolute;margin-left:56.399999999999999pt;margin-top:42.5pt;width:90.pt;height:25.199999999999999pt;z-index:-18874394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3926205</wp:posOffset>
              </wp:positionH>
              <wp:positionV relativeFrom="page">
                <wp:posOffset>765810</wp:posOffset>
              </wp:positionV>
              <wp:extent cx="2673350" cy="106680"/>
              <wp:wrapNone/>
              <wp:docPr id="166" name="Shape 16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2" type="#_x0000_t202" style="position:absolute;margin-left:309.15000000000003pt;margin-top:60.300000000000004pt;width:210.5pt;height:8.4000000000000004pt;z-index:-1887439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911225</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75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716280</wp:posOffset>
              </wp:positionH>
              <wp:positionV relativeFrom="page">
                <wp:posOffset>539750</wp:posOffset>
              </wp:positionV>
              <wp:extent cx="1143000" cy="320040"/>
              <wp:wrapNone/>
              <wp:docPr id="173" name="Shape 173"/>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199" type="#_x0000_t202" style="position:absolute;margin-left:56.399999999999999pt;margin-top:42.5pt;width:90.pt;height:25.199999999999999pt;z-index:-18874393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3926205</wp:posOffset>
              </wp:positionH>
              <wp:positionV relativeFrom="page">
                <wp:posOffset>765810</wp:posOffset>
              </wp:positionV>
              <wp:extent cx="2673350" cy="106680"/>
              <wp:wrapNone/>
              <wp:docPr id="175" name="Shape 17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309.15000000000003pt;margin-top:60.300000000000004pt;width:210.5pt;height:8.4000000000000004pt;z-index:-18874393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911225</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7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728980</wp:posOffset>
              </wp:positionH>
              <wp:positionV relativeFrom="page">
                <wp:posOffset>525145</wp:posOffset>
              </wp:positionV>
              <wp:extent cx="1143000" cy="320040"/>
              <wp:wrapNone/>
              <wp:docPr id="182" name="Shape 182"/>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08" type="#_x0000_t202" style="position:absolute;margin-left:57.399999999999999pt;margin-top:41.350000000000001pt;width:90.pt;height:25.199999999999999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3938905</wp:posOffset>
              </wp:positionH>
              <wp:positionV relativeFrom="page">
                <wp:posOffset>750570</wp:posOffset>
              </wp:positionV>
              <wp:extent cx="2673350" cy="106680"/>
              <wp:wrapNone/>
              <wp:docPr id="184" name="Shape 18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0" type="#_x0000_t202" style="position:absolute;margin-left:310.15000000000003pt;margin-top:59.100000000000001pt;width:210.5pt;height:8.4000000000000004pt;z-index:-1887439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728980</wp:posOffset>
              </wp:positionH>
              <wp:positionV relativeFrom="page">
                <wp:posOffset>525145</wp:posOffset>
              </wp:positionV>
              <wp:extent cx="1143000" cy="320040"/>
              <wp:wrapNone/>
              <wp:docPr id="188" name="Shape 18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14" type="#_x0000_t202" style="position:absolute;margin-left:57.399999999999999pt;margin-top:41.350000000000001pt;width:90.pt;height:25.199999999999999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3938905</wp:posOffset>
              </wp:positionH>
              <wp:positionV relativeFrom="page">
                <wp:posOffset>750570</wp:posOffset>
              </wp:positionV>
              <wp:extent cx="2673350" cy="106680"/>
              <wp:wrapNone/>
              <wp:docPr id="190" name="Shape 19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6" type="#_x0000_t202" style="position:absolute;margin-left:310.15000000000003pt;margin-top:59.100000000000001pt;width:210.5pt;height:8.4000000000000004pt;z-index:-1887439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716280</wp:posOffset>
              </wp:positionH>
              <wp:positionV relativeFrom="page">
                <wp:posOffset>539750</wp:posOffset>
              </wp:positionV>
              <wp:extent cx="1143000" cy="320040"/>
              <wp:wrapNone/>
              <wp:docPr id="194" name="Shape 194"/>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220" type="#_x0000_t202" style="position:absolute;margin-left:56.399999999999999pt;margin-top:42.5pt;width:90.pt;height:25.199999999999999pt;z-index:-18874391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3926205</wp:posOffset>
              </wp:positionH>
              <wp:positionV relativeFrom="page">
                <wp:posOffset>765810</wp:posOffset>
              </wp:positionV>
              <wp:extent cx="2673350" cy="106680"/>
              <wp:wrapNone/>
              <wp:docPr id="196" name="Shape 19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2" type="#_x0000_t202" style="position:absolute;margin-left:309.15000000000003pt;margin-top:60.300000000000004pt;width:210.5pt;height:8.4000000000000004pt;z-index:-18874391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716280</wp:posOffset>
              </wp:positionH>
              <wp:positionV relativeFrom="page">
                <wp:posOffset>539750</wp:posOffset>
              </wp:positionV>
              <wp:extent cx="1143000" cy="320040"/>
              <wp:wrapNone/>
              <wp:docPr id="202" name="Shape 202"/>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228" type="#_x0000_t202" style="position:absolute;margin-left:56.399999999999999pt;margin-top:42.5pt;width:90.pt;height:25.199999999999999pt;z-index:-18874390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3926205</wp:posOffset>
              </wp:positionH>
              <wp:positionV relativeFrom="page">
                <wp:posOffset>765810</wp:posOffset>
              </wp:positionV>
              <wp:extent cx="2673350" cy="106680"/>
              <wp:wrapNone/>
              <wp:docPr id="204" name="Shape 20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0" type="#_x0000_t202" style="position:absolute;margin-left:309.15000000000003pt;margin-top:60.300000000000004pt;width:210.5pt;height:8.4000000000000004pt;z-index:-18874390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728980</wp:posOffset>
              </wp:positionH>
              <wp:positionV relativeFrom="page">
                <wp:posOffset>525145</wp:posOffset>
              </wp:positionV>
              <wp:extent cx="1143000" cy="320040"/>
              <wp:wrapNone/>
              <wp:docPr id="15" name="Shape 15"/>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41" type="#_x0000_t202" style="position:absolute;margin-left:57.399999999999999pt;margin-top:41.350000000000001pt;width:90.pt;height:25.199999999999999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3938905</wp:posOffset>
              </wp:positionH>
              <wp:positionV relativeFrom="page">
                <wp:posOffset>750570</wp:posOffset>
              </wp:positionV>
              <wp:extent cx="2673350" cy="106680"/>
              <wp:wrapNone/>
              <wp:docPr id="17" name="Shape 1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10.15000000000003pt;margin-top:59.100000000000001pt;width:210.5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728980</wp:posOffset>
              </wp:positionH>
              <wp:positionV relativeFrom="page">
                <wp:posOffset>525145</wp:posOffset>
              </wp:positionV>
              <wp:extent cx="1143000" cy="320040"/>
              <wp:wrapNone/>
              <wp:docPr id="210" name="Shape 210"/>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36" type="#_x0000_t202" style="position:absolute;margin-left:57.399999999999999pt;margin-top:41.350000000000001pt;width:90.pt;height:25.199999999999999pt;z-index:-1887438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3938905</wp:posOffset>
              </wp:positionH>
              <wp:positionV relativeFrom="page">
                <wp:posOffset>750570</wp:posOffset>
              </wp:positionV>
              <wp:extent cx="2673350" cy="106680"/>
              <wp:wrapNone/>
              <wp:docPr id="212" name="Shape 21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8" type="#_x0000_t202" style="position:absolute;margin-left:310.15000000000003pt;margin-top:59.100000000000001pt;width:210.5pt;height:8.4000000000000004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728980</wp:posOffset>
              </wp:positionH>
              <wp:positionV relativeFrom="page">
                <wp:posOffset>525145</wp:posOffset>
              </wp:positionV>
              <wp:extent cx="1143000" cy="320040"/>
              <wp:wrapNone/>
              <wp:docPr id="216" name="Shape 216"/>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42" type="#_x0000_t202" style="position:absolute;margin-left:57.399999999999999pt;margin-top:41.350000000000001pt;width:90.pt;height:25.199999999999999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3938905</wp:posOffset>
              </wp:positionH>
              <wp:positionV relativeFrom="page">
                <wp:posOffset>750570</wp:posOffset>
              </wp:positionV>
              <wp:extent cx="2673350" cy="106680"/>
              <wp:wrapNone/>
              <wp:docPr id="218" name="Shape 21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4" type="#_x0000_t202" style="position:absolute;margin-left:310.15000000000003pt;margin-top:59.100000000000001pt;width:210.5pt;height:8.4000000000000004pt;z-index:-1887438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728980</wp:posOffset>
              </wp:positionH>
              <wp:positionV relativeFrom="page">
                <wp:posOffset>525145</wp:posOffset>
              </wp:positionV>
              <wp:extent cx="1143000" cy="320040"/>
              <wp:wrapNone/>
              <wp:docPr id="222" name="Shape 222"/>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48" type="#_x0000_t202" style="position:absolute;margin-left:57.399999999999999pt;margin-top:41.350000000000001pt;width:90.pt;height:25.199999999999999pt;z-index:-1887438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3938905</wp:posOffset>
              </wp:positionH>
              <wp:positionV relativeFrom="page">
                <wp:posOffset>750570</wp:posOffset>
              </wp:positionV>
              <wp:extent cx="2673350" cy="106680"/>
              <wp:wrapNone/>
              <wp:docPr id="224" name="Shape 22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0" type="#_x0000_t202" style="position:absolute;margin-left:310.15000000000003pt;margin-top:59.100000000000001pt;width:210.5pt;height:8.4000000000000004pt;z-index:-1887438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717550</wp:posOffset>
              </wp:positionH>
              <wp:positionV relativeFrom="page">
                <wp:posOffset>537210</wp:posOffset>
              </wp:positionV>
              <wp:extent cx="1143000" cy="320040"/>
              <wp:wrapNone/>
              <wp:docPr id="228" name="Shape 22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wps:txbx>
                    <wps:bodyPr wrap="none" lIns="0" tIns="0" rIns="0" bIns="0">
                      <a:spAutoFit/>
                    </wps:bodyPr>
                  </wps:wsp>
                </a:graphicData>
              </a:graphic>
            </wp:anchor>
          </w:drawing>
        </mc:Choice>
        <mc:Fallback>
          <w:pict>
            <v:shape id="_x0000_s1254" type="#_x0000_t202" style="position:absolute;margin-left:56.5pt;margin-top:42.300000000000004pt;width:90.pt;height:25.199999999999999pt;z-index:-18874387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u w:val="single"/>
                      </w:rPr>
                      <w:t>、</w:t>
                    </w:r>
                    <w:r>
                      <w:rPr>
                        <w:rFonts w:ascii="SimHei" w:eastAsia="SimHei" w:hAnsi="SimHei" w:cs="SimHei"/>
                        <w:color w:val="6FB04E"/>
                        <w:spacing w:val="0"/>
                        <w:w w:val="100"/>
                        <w:position w:val="0"/>
                        <w:sz w:val="20"/>
                        <w:szCs w:val="20"/>
                        <w:u w:val="single"/>
                      </w:rPr>
                      <w:t>_</w:t>
                    </w:r>
                    <w:r>
                      <w:rPr>
                        <w:rFonts w:ascii="SimHei" w:eastAsia="SimHei" w:hAnsi="SimHei" w:cs="SimHei"/>
                        <w:color w:val="6FB04E"/>
                        <w:spacing w:val="0"/>
                        <w:w w:val="100"/>
                        <w:position w:val="0"/>
                        <w:sz w:val="20"/>
                        <w:szCs w:val="20"/>
                        <w:u w:val="single"/>
                      </w:rPr>
                      <w:t>/</w:t>
                    </w:r>
                    <w:r>
                      <w:rPr>
                        <w:rFonts w:ascii="SimHei" w:eastAsia="SimHei" w:hAnsi="SimHei" w:cs="SimHei"/>
                        <w:color w:val="4E96C9"/>
                        <w:spacing w:val="0"/>
                        <w:w w:val="100"/>
                        <w:position w:val="0"/>
                        <w:sz w:val="20"/>
                        <w:szCs w:val="20"/>
                        <w:u w:val="single"/>
                      </w:rPr>
                      <w:t>神州泰岳</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3927475</wp:posOffset>
              </wp:positionH>
              <wp:positionV relativeFrom="page">
                <wp:posOffset>762635</wp:posOffset>
              </wp:positionV>
              <wp:extent cx="2673350" cy="106680"/>
              <wp:wrapNone/>
              <wp:docPr id="230" name="Shape 23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6" type="#_x0000_t202" style="position:absolute;margin-left:309.25pt;margin-top:60.050000000000004pt;width:210.5pt;height:8.4000000000000004pt;z-index:-18874387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908685</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549999999999997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716280</wp:posOffset>
              </wp:positionH>
              <wp:positionV relativeFrom="page">
                <wp:posOffset>539750</wp:posOffset>
              </wp:positionV>
              <wp:extent cx="1143000" cy="320040"/>
              <wp:wrapNone/>
              <wp:docPr id="235" name="Shape 235"/>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261" type="#_x0000_t202" style="position:absolute;margin-left:56.399999999999999pt;margin-top:42.5pt;width:90.pt;height:25.199999999999999pt;z-index:-18874387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3926205</wp:posOffset>
              </wp:positionH>
              <wp:positionV relativeFrom="page">
                <wp:posOffset>765810</wp:posOffset>
              </wp:positionV>
              <wp:extent cx="2673350" cy="106680"/>
              <wp:wrapNone/>
              <wp:docPr id="237" name="Shape 23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3" type="#_x0000_t202" style="position:absolute;margin-left:309.15000000000003pt;margin-top:60.300000000000004pt;width:210.5pt;height:8.4000000000000004pt;z-index:-18874387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728980</wp:posOffset>
              </wp:positionH>
              <wp:positionV relativeFrom="page">
                <wp:posOffset>525145</wp:posOffset>
              </wp:positionV>
              <wp:extent cx="1143000" cy="320040"/>
              <wp:wrapNone/>
              <wp:docPr id="249" name="Shape 249"/>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75" type="#_x0000_t202" style="position:absolute;margin-left:57.399999999999999pt;margin-top:41.350000000000001pt;width:90.pt;height:25.199999999999999pt;z-index:-1887438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3938905</wp:posOffset>
              </wp:positionH>
              <wp:positionV relativeFrom="page">
                <wp:posOffset>750570</wp:posOffset>
              </wp:positionV>
              <wp:extent cx="2673350" cy="106680"/>
              <wp:wrapNone/>
              <wp:docPr id="251" name="Shape 25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7" type="#_x0000_t202" style="position:absolute;margin-left:310.15000000000003pt;margin-top:59.100000000000001pt;width:210.5pt;height:8.4000000000000004pt;z-index:-1887438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728980</wp:posOffset>
              </wp:positionH>
              <wp:positionV relativeFrom="page">
                <wp:posOffset>525145</wp:posOffset>
              </wp:positionV>
              <wp:extent cx="1143000" cy="320040"/>
              <wp:wrapNone/>
              <wp:docPr id="255" name="Shape 255"/>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81" type="#_x0000_t202" style="position:absolute;margin-left:57.399999999999999pt;margin-top:41.350000000000001pt;width:90.pt;height:25.199999999999999pt;z-index:-1887438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3938905</wp:posOffset>
              </wp:positionH>
              <wp:positionV relativeFrom="page">
                <wp:posOffset>750570</wp:posOffset>
              </wp:positionV>
              <wp:extent cx="2673350" cy="106680"/>
              <wp:wrapNone/>
              <wp:docPr id="257" name="Shape 25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3" type="#_x0000_t202" style="position:absolute;margin-left:310.15000000000003pt;margin-top:59.100000000000001pt;width:210.5pt;height:8.4000000000000004pt;z-index:-1887438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728980</wp:posOffset>
              </wp:positionH>
              <wp:positionV relativeFrom="page">
                <wp:posOffset>525145</wp:posOffset>
              </wp:positionV>
              <wp:extent cx="1143000" cy="320040"/>
              <wp:wrapNone/>
              <wp:docPr id="261" name="Shape 26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87" type="#_x0000_t202" style="position:absolute;margin-left:57.399999999999999pt;margin-top:41.350000000000001pt;width:90.pt;height:25.199999999999999pt;z-index:-1887438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3938905</wp:posOffset>
              </wp:positionH>
              <wp:positionV relativeFrom="page">
                <wp:posOffset>750570</wp:posOffset>
              </wp:positionV>
              <wp:extent cx="2673350" cy="106680"/>
              <wp:wrapNone/>
              <wp:docPr id="263" name="Shape 26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9" type="#_x0000_t202" style="position:absolute;margin-left:310.15000000000003pt;margin-top:59.100000000000001pt;width:210.5pt;height:8.4000000000000004pt;z-index:-1887438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728980</wp:posOffset>
              </wp:positionH>
              <wp:positionV relativeFrom="page">
                <wp:posOffset>525145</wp:posOffset>
              </wp:positionV>
              <wp:extent cx="1143000" cy="320040"/>
              <wp:wrapNone/>
              <wp:docPr id="267" name="Shape 267"/>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293" type="#_x0000_t202" style="position:absolute;margin-left:57.399999999999999pt;margin-top:41.350000000000001pt;width:90.pt;height:25.199999999999999pt;z-index:-1887438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3938905</wp:posOffset>
              </wp:positionH>
              <wp:positionV relativeFrom="page">
                <wp:posOffset>750570</wp:posOffset>
              </wp:positionV>
              <wp:extent cx="2673350" cy="106680"/>
              <wp:wrapNone/>
              <wp:docPr id="269" name="Shape 26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5" type="#_x0000_t202" style="position:absolute;margin-left:310.15000000000003pt;margin-top:59.100000000000001pt;width:210.5pt;height:8.4000000000000004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713105</wp:posOffset>
              </wp:positionH>
              <wp:positionV relativeFrom="page">
                <wp:posOffset>537210</wp:posOffset>
              </wp:positionV>
              <wp:extent cx="1139825" cy="320040"/>
              <wp:wrapNone/>
              <wp:docPr id="273" name="Shape 273"/>
              <a:graphic xmlns:a="http://schemas.openxmlformats.org/drawingml/2006/main">
                <a:graphicData uri="http://schemas.microsoft.com/office/word/2010/wordprocessingShape">
                  <wps:wsp>
                    <wps:cNvSpPr txBox="1"/>
                    <wps:spPr>
                      <a:xfrm>
                        <a:ext cx="1139825"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rFonts w:ascii="SimHei" w:eastAsia="SimHei" w:hAnsi="SimHei" w:cs="SimHei"/>
                              <w:color w:val="6FB04E"/>
                              <w:spacing w:val="0"/>
                              <w:w w:val="100"/>
                              <w:position w:val="0"/>
                              <w:sz w:val="20"/>
                              <w:szCs w:val="20"/>
                            </w:rPr>
                            <w:t>j</w:t>
                          </w: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299" type="#_x0000_t202" style="position:absolute;margin-left:56.149999999999999pt;margin-top:42.300000000000004pt;width:89.75pt;height:25.199999999999999pt;z-index:-18874384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rFonts w:ascii="SimHei" w:eastAsia="SimHei" w:hAnsi="SimHei" w:cs="SimHei"/>
                        <w:color w:val="6FB04E"/>
                        <w:spacing w:val="0"/>
                        <w:w w:val="100"/>
                        <w:position w:val="0"/>
                        <w:sz w:val="20"/>
                        <w:szCs w:val="20"/>
                      </w:rPr>
                      <w:t>j</w:t>
                    </w:r>
                    <w:r>
                      <w:rPr>
                        <w:rFonts w:ascii="SimHei" w:eastAsia="SimHei" w:hAnsi="SimHei" w:cs="SimHei"/>
                        <w:color w:val="6FB04E"/>
                        <w:spacing w:val="0"/>
                        <w:w w:val="100"/>
                        <w:position w:val="0"/>
                        <w:sz w:val="20"/>
                        <w:szCs w:val="20"/>
                      </w:rPr>
                      <w:t>/</w:t>
                    </w:r>
                    <w:r>
                      <w:rPr>
                        <w:rFonts w:ascii="SimHei" w:eastAsia="SimHei" w:hAnsi="SimHei" w:cs="SimHei"/>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3922395</wp:posOffset>
              </wp:positionH>
              <wp:positionV relativeFrom="page">
                <wp:posOffset>762635</wp:posOffset>
              </wp:positionV>
              <wp:extent cx="2673350" cy="106680"/>
              <wp:wrapNone/>
              <wp:docPr id="275" name="Shape 27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1" type="#_x0000_t202" style="position:absolute;margin-left:308.85000000000002pt;margin-top:60.050000000000004pt;width:210.5pt;height:8.4000000000000004pt;z-index:-1887438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728980</wp:posOffset>
              </wp:positionH>
              <wp:positionV relativeFrom="page">
                <wp:posOffset>525145</wp:posOffset>
              </wp:positionV>
              <wp:extent cx="1143000" cy="320040"/>
              <wp:wrapNone/>
              <wp:docPr id="21" name="Shape 2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47" type="#_x0000_t202" style="position:absolute;margin-left:57.399999999999999pt;margin-top:41.350000000000001pt;width:90.pt;height:25.199999999999999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3938905</wp:posOffset>
              </wp:positionH>
              <wp:positionV relativeFrom="page">
                <wp:posOffset>750570</wp:posOffset>
              </wp:positionV>
              <wp:extent cx="2673350" cy="106680"/>
              <wp:wrapNone/>
              <wp:docPr id="23" name="Shape 2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10.15000000000003pt;margin-top:59.100000000000001pt;width:210.5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728980</wp:posOffset>
              </wp:positionH>
              <wp:positionV relativeFrom="page">
                <wp:posOffset>525145</wp:posOffset>
              </wp:positionV>
              <wp:extent cx="1143000" cy="320040"/>
              <wp:wrapNone/>
              <wp:docPr id="285" name="Shape 285"/>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311" type="#_x0000_t202" style="position:absolute;margin-left:57.399999999999999pt;margin-top:41.350000000000001pt;width:90.pt;height:25.199999999999999pt;z-index:-1887438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3938905</wp:posOffset>
              </wp:positionH>
              <wp:positionV relativeFrom="page">
                <wp:posOffset>750570</wp:posOffset>
              </wp:positionV>
              <wp:extent cx="2673350" cy="106680"/>
              <wp:wrapNone/>
              <wp:docPr id="287" name="Shape 28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3" type="#_x0000_t202" style="position:absolute;margin-left:310.15000000000003pt;margin-top:59.100000000000001pt;width:210.5pt;height:8.4000000000000004pt;z-index:-1887438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728980</wp:posOffset>
              </wp:positionH>
              <wp:positionV relativeFrom="page">
                <wp:posOffset>525145</wp:posOffset>
              </wp:positionV>
              <wp:extent cx="1143000" cy="320040"/>
              <wp:wrapNone/>
              <wp:docPr id="291" name="Shape 29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317" type="#_x0000_t202" style="position:absolute;margin-left:57.399999999999999pt;margin-top:41.350000000000001pt;width:90.pt;height:25.199999999999999pt;z-index:-1887438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3938905</wp:posOffset>
              </wp:positionH>
              <wp:positionV relativeFrom="page">
                <wp:posOffset>750570</wp:posOffset>
              </wp:positionV>
              <wp:extent cx="2673350" cy="106680"/>
              <wp:wrapNone/>
              <wp:docPr id="293" name="Shape 29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9" type="#_x0000_t202" style="position:absolute;margin-left:310.15000000000003pt;margin-top:59.100000000000001pt;width:210.5pt;height:8.4000000000000004pt;z-index:-1887438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717550</wp:posOffset>
              </wp:positionH>
              <wp:positionV relativeFrom="page">
                <wp:posOffset>537210</wp:posOffset>
              </wp:positionV>
              <wp:extent cx="1139825" cy="320040"/>
              <wp:wrapNone/>
              <wp:docPr id="297" name="Shape 297"/>
              <a:graphic xmlns:a="http://schemas.openxmlformats.org/drawingml/2006/main">
                <a:graphicData uri="http://schemas.microsoft.com/office/word/2010/wordprocessingShape">
                  <wps:wsp>
                    <wps:cNvSpPr txBox="1"/>
                    <wps:spPr>
                      <a:xfrm>
                        <a:ext cx="1139825" cy="3200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b/>
                              <w:bCs/>
                              <w:color w:val="6FB04E"/>
                              <w:spacing w:val="0"/>
                              <w:w w:val="100"/>
                              <w:position w:val="0"/>
                              <w:sz w:val="20"/>
                              <w:szCs w:val="20"/>
                            </w:rPr>
                            <w:t>j</w:t>
                          </w:r>
                          <w:r>
                            <w:rPr>
                              <w:b/>
                              <w:bCs/>
                              <w:color w:val="6FB04E"/>
                              <w:spacing w:val="0"/>
                              <w:w w:val="100"/>
                              <w:position w:val="0"/>
                              <w:sz w:val="20"/>
                              <w:szCs w:val="20"/>
                            </w:rPr>
                            <w:t>/</w:t>
                          </w:r>
                          <w:r>
                            <w:rPr>
                              <w:b/>
                              <w:bCs/>
                              <w:color w:val="4E96C9"/>
                              <w:spacing w:val="0"/>
                              <w:w w:val="100"/>
                              <w:position w:val="0"/>
                              <w:sz w:val="20"/>
                              <w:szCs w:val="20"/>
                            </w:rPr>
                            <w:t>神州泰岳</w:t>
                          </w:r>
                        </w:p>
                      </w:txbxContent>
                    </wps:txbx>
                    <wps:bodyPr wrap="none" lIns="0" tIns="0" rIns="0" bIns="0">
                      <a:spAutoFit/>
                    </wps:bodyPr>
                  </wps:wsp>
                </a:graphicData>
              </a:graphic>
            </wp:anchor>
          </w:drawing>
        </mc:Choice>
        <mc:Fallback>
          <w:pict>
            <v:shape id="_x0000_s1323" type="#_x0000_t202" style="position:absolute;margin-left:56.5pt;margin-top:42.300000000000004pt;width:89.75pt;height:25.199999999999999pt;z-index:-18874382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8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i/>
                        <w:iCs/>
                        <w:color w:val="6FB04E"/>
                        <w:spacing w:val="0"/>
                        <w:w w:val="100"/>
                        <w:position w:val="0"/>
                        <w:sz w:val="20"/>
                        <w:szCs w:val="20"/>
                      </w:rPr>
                      <w:t>、</w:t>
                    </w:r>
                    <w:r>
                      <w:rPr>
                        <w:b/>
                        <w:bCs/>
                        <w:color w:val="6FB04E"/>
                        <w:spacing w:val="0"/>
                        <w:w w:val="100"/>
                        <w:position w:val="0"/>
                        <w:sz w:val="20"/>
                        <w:szCs w:val="20"/>
                      </w:rPr>
                      <w:t>j</w:t>
                    </w:r>
                    <w:r>
                      <w:rPr>
                        <w:b/>
                        <w:bCs/>
                        <w:color w:val="6FB04E"/>
                        <w:spacing w:val="0"/>
                        <w:w w:val="100"/>
                        <w:position w:val="0"/>
                        <w:sz w:val="20"/>
                        <w:szCs w:val="20"/>
                      </w:rPr>
                      <w:t>/</w:t>
                    </w:r>
                    <w:r>
                      <w:rPr>
                        <w:b/>
                        <w:bCs/>
                        <w:color w:val="4E96C9"/>
                        <w:spacing w:val="0"/>
                        <w:w w:val="100"/>
                        <w:position w:val="0"/>
                        <w:sz w:val="20"/>
                        <w:szCs w:val="20"/>
                      </w:rPr>
                      <w:t>神州泰岳</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3927475</wp:posOffset>
              </wp:positionH>
              <wp:positionV relativeFrom="page">
                <wp:posOffset>762635</wp:posOffset>
              </wp:positionV>
              <wp:extent cx="2673350" cy="106680"/>
              <wp:wrapNone/>
              <wp:docPr id="299" name="Shape 29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5" type="#_x0000_t202" style="position:absolute;margin-left:309.25pt;margin-top:60.050000000000004pt;width:210.5pt;height:8.4000000000000004pt;z-index:-18874382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北京神州泰岳软件股份有限公司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911860</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799999999999997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724535</wp:posOffset>
              </wp:positionH>
              <wp:positionV relativeFrom="page">
                <wp:posOffset>537845</wp:posOffset>
              </wp:positionV>
              <wp:extent cx="1139825" cy="320040"/>
              <wp:wrapNone/>
              <wp:docPr id="29" name="Shape 29"/>
              <a:graphic xmlns:a="http://schemas.openxmlformats.org/drawingml/2006/main">
                <a:graphicData uri="http://schemas.microsoft.com/office/word/2010/wordprocessingShape">
                  <wps:wsp>
                    <wps:cNvSpPr txBox="1"/>
                    <wps:spPr>
                      <a:xfrm>
                        <a:ext cx="1139825"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j</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55" type="#_x0000_t202" style="position:absolute;margin-left:57.050000000000004pt;margin-top:42.350000000000001pt;width:89.75pt;height:25.199999999999999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j</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3933825</wp:posOffset>
              </wp:positionH>
              <wp:positionV relativeFrom="page">
                <wp:posOffset>763270</wp:posOffset>
              </wp:positionV>
              <wp:extent cx="2673350" cy="106680"/>
              <wp:wrapNone/>
              <wp:docPr id="31" name="Shape 3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09.75pt;margin-top:60.100000000000001pt;width:210.5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724535</wp:posOffset>
              </wp:positionH>
              <wp:positionV relativeFrom="page">
                <wp:posOffset>537845</wp:posOffset>
              </wp:positionV>
              <wp:extent cx="1139825" cy="320040"/>
              <wp:wrapNone/>
              <wp:docPr id="35" name="Shape 35"/>
              <a:graphic xmlns:a="http://schemas.openxmlformats.org/drawingml/2006/main">
                <a:graphicData uri="http://schemas.microsoft.com/office/word/2010/wordprocessingShape">
                  <wps:wsp>
                    <wps:cNvSpPr txBox="1"/>
                    <wps:spPr>
                      <a:xfrm>
                        <a:ext cx="1139825"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j</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61" type="#_x0000_t202" style="position:absolute;margin-left:57.050000000000004pt;margin-top:42.350000000000001pt;width:89.75pt;height:25.199999999999999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i/>
                        <w:iCs/>
                        <w:color w:val="6FB04E"/>
                        <w:spacing w:val="0"/>
                        <w:w w:val="100"/>
                        <w:position w:val="0"/>
                      </w:rPr>
                      <w:t>、</w:t>
                    </w:r>
                    <w:r>
                      <w:rPr>
                        <w:rFonts w:ascii="SimHei" w:eastAsia="SimHei" w:hAnsi="SimHei" w:cs="SimHei"/>
                        <w:color w:val="6FB04E"/>
                        <w:spacing w:val="0"/>
                        <w:w w:val="100"/>
                        <w:position w:val="0"/>
                      </w:rPr>
                      <w:t>j</w:t>
                    </w: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3933825</wp:posOffset>
              </wp:positionH>
              <wp:positionV relativeFrom="page">
                <wp:posOffset>763270</wp:posOffset>
              </wp:positionV>
              <wp:extent cx="2673350" cy="106680"/>
              <wp:wrapNone/>
              <wp:docPr id="37" name="Shape 3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09.75pt;margin-top:60.100000000000001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728980</wp:posOffset>
              </wp:positionH>
              <wp:positionV relativeFrom="page">
                <wp:posOffset>525145</wp:posOffset>
              </wp:positionV>
              <wp:extent cx="1143000" cy="320040"/>
              <wp:wrapNone/>
              <wp:docPr id="41" name="Shape 41"/>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67" type="#_x0000_t202" style="position:absolute;margin-left:57.399999999999999pt;margin-top:41.350000000000001pt;width:90.pt;height:25.199999999999999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3938905</wp:posOffset>
              </wp:positionH>
              <wp:positionV relativeFrom="page">
                <wp:posOffset>750570</wp:posOffset>
              </wp:positionV>
              <wp:extent cx="2673350" cy="106680"/>
              <wp:wrapNone/>
              <wp:docPr id="43" name="Shape 4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10.15000000000003pt;margin-top:59.100000000000001pt;width:210.5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728980</wp:posOffset>
              </wp:positionH>
              <wp:positionV relativeFrom="page">
                <wp:posOffset>525145</wp:posOffset>
              </wp:positionV>
              <wp:extent cx="1143000" cy="320040"/>
              <wp:wrapNone/>
              <wp:docPr id="47" name="Shape 47"/>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073" type="#_x0000_t202" style="position:absolute;margin-left:57.399999999999999pt;margin-top:41.350000000000001pt;width:90.pt;height:25.199999999999999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3938905</wp:posOffset>
              </wp:positionH>
              <wp:positionV relativeFrom="page">
                <wp:posOffset>750570</wp:posOffset>
              </wp:positionV>
              <wp:extent cx="2673350" cy="106680"/>
              <wp:wrapNone/>
              <wp:docPr id="49" name="Shape 4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10.15000000000003pt;margin-top:59.100000000000001pt;width:210.5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728980</wp:posOffset>
              </wp:positionH>
              <wp:positionV relativeFrom="page">
                <wp:posOffset>525145</wp:posOffset>
              </wp:positionV>
              <wp:extent cx="1143000" cy="320040"/>
              <wp:wrapNone/>
              <wp:docPr id="88" name="Shape 88"/>
              <a:graphic xmlns:a="http://schemas.openxmlformats.org/drawingml/2006/main">
                <a:graphicData uri="http://schemas.microsoft.com/office/word/2010/wordprocessingShape">
                  <wps:wsp>
                    <wps:cNvSpPr txBox="1"/>
                    <wps:spPr>
                      <a:xfrm>
                        <a:ext cx="114300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wps:txbx>
                    <wps:bodyPr wrap="none" lIns="0" tIns="0" rIns="0" bIns="0">
                      <a:spAutoFit/>
                    </wps:bodyPr>
                  </wps:wsp>
                </a:graphicData>
              </a:graphic>
            </wp:anchor>
          </w:drawing>
        </mc:Choice>
        <mc:Fallback>
          <w:pict>
            <v:shape id="_x0000_s1114" type="#_x0000_t202" style="position:absolute;margin-left:57.399999999999999pt;margin-top:41.350000000000001pt;width:90.pt;height:25.199999999999999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1D83C3"/>
                        <w:spacing w:val="0"/>
                        <w:w w:val="100"/>
                        <w:position w:val="0"/>
                        <w:sz w:val="34"/>
                        <w:szCs w:val="34"/>
                      </w:rPr>
                      <w:t>ultrapouuer</w:t>
                    </w:r>
                  </w:p>
                  <w:p>
                    <w:pPr>
                      <w:pStyle w:val="Style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FB04E"/>
                        <w:spacing w:val="0"/>
                        <w:w w:val="100"/>
                        <w:position w:val="0"/>
                      </w:rPr>
                      <w:t>、/</w:t>
                    </w:r>
                    <w:r>
                      <w:rPr>
                        <w:rFonts w:ascii="SimHei" w:eastAsia="SimHei" w:hAnsi="SimHei" w:cs="SimHei"/>
                        <w:color w:val="4E96C9"/>
                        <w:spacing w:val="0"/>
                        <w:w w:val="100"/>
                        <w:position w:val="0"/>
                      </w:rPr>
                      <w:t>神州泰岳</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3938905</wp:posOffset>
              </wp:positionH>
              <wp:positionV relativeFrom="page">
                <wp:posOffset>750570</wp:posOffset>
              </wp:positionV>
              <wp:extent cx="2673350" cy="106680"/>
              <wp:wrapNone/>
              <wp:docPr id="90" name="Shape 9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6" type="#_x0000_t202" style="position:absolute;margin-left:310.15000000000003pt;margin-top:59.100000000000001pt;width:210.5pt;height:8.4000000000000004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北京神州泰岳软件股份有限公司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5"/>
      <w:szCs w:val="15"/>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4">
    <w:name w:val="正文文本 (6)_"/>
    <w:basedOn w:val="DefaultParagraphFont"/>
    <w:link w:val="Style63"/>
    <w:rPr>
      <w:rFonts w:ascii="SimHei" w:eastAsia="SimHei" w:hAnsi="SimHei" w:cs="SimHei"/>
      <w:b/>
      <w:bCs/>
      <w:i/>
      <w:iCs/>
      <w:smallCaps w:val="0"/>
      <w:strike w:val="0"/>
      <w:sz w:val="20"/>
      <w:szCs w:val="20"/>
      <w:u w:val="none"/>
      <w:shd w:val="clear" w:color="auto" w:fill="auto"/>
    </w:rPr>
  </w:style>
  <w:style w:type="character" w:customStyle="1" w:styleId="CharStyle69">
    <w:name w:val="正文文本 (5)_"/>
    <w:basedOn w:val="DefaultParagraphFont"/>
    <w:link w:val="Style6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正文文本 (9)_"/>
    <w:basedOn w:val="DefaultParagraphFont"/>
    <w:link w:val="Style76"/>
    <w:rPr>
      <w:rFonts w:ascii="SimSun" w:eastAsia="SimSun" w:hAnsi="SimSun" w:cs="SimSun"/>
      <w:b w:val="0"/>
      <w:bCs w:val="0"/>
      <w:i w:val="0"/>
      <w:iCs w:val="0"/>
      <w:smallCaps w:val="0"/>
      <w:strike w:val="0"/>
      <w:sz w:val="14"/>
      <w:szCs w:val="14"/>
      <w:u w:val="none"/>
      <w:shd w:val="clear" w:color="auto" w:fill="auto"/>
    </w:rPr>
  </w:style>
  <w:style w:type="character" w:customStyle="1" w:styleId="CharStyle79">
    <w:name w:val="正文文本 (8)_"/>
    <w:basedOn w:val="DefaultParagraphFont"/>
    <w:link w:val="Style78"/>
    <w:rPr>
      <w:rFonts w:ascii="Times New Roman" w:eastAsia="Times New Roman" w:hAnsi="Times New Roman" w:cs="Times New Roman"/>
      <w:b w:val="0"/>
      <w:bCs w:val="0"/>
      <w:i w:val="0"/>
      <w:iCs w:val="0"/>
      <w:smallCaps w:val="0"/>
      <w:strike w:val="0"/>
      <w:sz w:val="15"/>
      <w:szCs w:val="15"/>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380" w:after="5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460" w:line="470" w:lineRule="exact"/>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w:basedOn w:val="Normal"/>
    <w:link w:val="CharStyle30"/>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3"/>
    <w:basedOn w:val="Normal"/>
    <w:link w:val="CharStyle4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3">
    <w:name w:val="正文文本 (6)"/>
    <w:basedOn w:val="Normal"/>
    <w:link w:val="CharStyle64"/>
    <w:pPr>
      <w:widowControl w:val="0"/>
      <w:shd w:val="clear" w:color="auto" w:fill="auto"/>
      <w:spacing w:after="380"/>
      <w:ind w:firstLine="460"/>
    </w:pPr>
    <w:rPr>
      <w:rFonts w:ascii="SimHei" w:eastAsia="SimHei" w:hAnsi="SimHei" w:cs="SimHei"/>
      <w:b/>
      <w:bCs/>
      <w:i/>
      <w:iCs/>
      <w:smallCaps w:val="0"/>
      <w:strike w:val="0"/>
      <w:sz w:val="20"/>
      <w:szCs w:val="20"/>
      <w:u w:val="none"/>
      <w:shd w:val="clear" w:color="auto" w:fill="auto"/>
    </w:rPr>
  </w:style>
  <w:style w:type="paragraph" w:customStyle="1" w:styleId="Style68">
    <w:name w:val="正文文本 (5)"/>
    <w:basedOn w:val="Normal"/>
    <w:link w:val="CharStyle69"/>
    <w:pPr>
      <w:widowControl w:val="0"/>
      <w:shd w:val="clear" w:color="auto" w:fill="auto"/>
      <w:spacing w:line="468" w:lineRule="exact"/>
      <w:ind w:left="4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正文文本 (9)"/>
    <w:basedOn w:val="Normal"/>
    <w:link w:val="CharStyle77"/>
    <w:pPr>
      <w:widowControl w:val="0"/>
      <w:shd w:val="clear" w:color="auto" w:fill="auto"/>
      <w:spacing w:after="100"/>
      <w:jc w:val="right"/>
    </w:pPr>
    <w:rPr>
      <w:rFonts w:ascii="SimSun" w:eastAsia="SimSun" w:hAnsi="SimSun" w:cs="SimSun"/>
      <w:b w:val="0"/>
      <w:bCs w:val="0"/>
      <w:i w:val="0"/>
      <w:iCs w:val="0"/>
      <w:smallCaps w:val="0"/>
      <w:strike w:val="0"/>
      <w:sz w:val="14"/>
      <w:szCs w:val="14"/>
      <w:u w:val="none"/>
      <w:shd w:val="clear" w:color="auto" w:fill="auto"/>
    </w:rPr>
  </w:style>
  <w:style w:type="paragraph" w:customStyle="1" w:styleId="Style78">
    <w:name w:val="正文文本 (8)"/>
    <w:basedOn w:val="Normal"/>
    <w:link w:val="CharStyle79"/>
    <w:pPr>
      <w:widowControl w:val="0"/>
      <w:shd w:val="clear" w:color="auto" w:fill="auto"/>
      <w:spacing w:after="120"/>
      <w:jc w:val="right"/>
    </w:pPr>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81">
    <w:name w:val="正文文本 (7)"/>
    <w:basedOn w:val="Normal"/>
    <w:link w:val="CharStyle82"/>
    <w:pPr>
      <w:widowControl w:val="0"/>
      <w:shd w:val="clear" w:color="auto" w:fill="auto"/>
      <w:spacing w:after="440"/>
      <w:ind w:right="40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s>
</file>

<file path=docProps/core.xml><?xml version="1.0" encoding="utf-8"?>
<cp:coreProperties xmlns:cp="http://schemas.openxmlformats.org/package/2006/metadata/core-properties" xmlns:dc="http://purl.org/dc/elements/1.1/">
  <dc:title>北京神州泰岳软件股份有限公司2016年年度报告全文</dc:title>
  <dc:subject/>
  <dc:creator>北京神州泰岳软件股份有限公司</dc:creator>
  <cp:keywords/>
</cp:coreProperties>
</file>