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7"/>
        <w:rPr>
          <w:rFonts w:ascii="Times New Roman" w:hAnsi="Times New Roman" w:cs="Times New Roman" w:eastAsia="Times New Roman" w:hint="default"/>
          <w:sz w:val="6"/>
          <w:szCs w:val="6"/>
        </w:rPr>
      </w:pPr>
    </w:p>
    <w:p>
      <w:pPr>
        <w:spacing w:line="930" w:lineRule="exact"/>
        <w:ind w:left="805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8"/>
          <w:sz w:val="20"/>
          <w:szCs w:val="20"/>
        </w:rPr>
        <w:drawing>
          <wp:inline distT="0" distB="0" distL="0" distR="0">
            <wp:extent cx="2093898" cy="590550"/>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093898" cy="590550"/>
                    </a:xfrm>
                    <a:prstGeom prst="rect">
                      <a:avLst/>
                    </a:prstGeom>
                  </pic:spPr>
                </pic:pic>
              </a:graphicData>
            </a:graphic>
          </wp:inline>
        </w:drawing>
      </w:r>
      <w:r>
        <w:rPr>
          <w:rFonts w:ascii="Times New Roman" w:hAnsi="Times New Roman" w:cs="Times New Roman" w:eastAsia="Times New Roman" w:hint="default"/>
          <w:position w:val="-18"/>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5"/>
          <w:szCs w:val="25"/>
        </w:rPr>
      </w:pPr>
    </w:p>
    <w:p>
      <w:pPr>
        <w:spacing w:line="6758" w:lineRule="exact"/>
        <w:ind w:left="14" w:right="-26"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34"/>
          <w:sz w:val="20"/>
          <w:szCs w:val="20"/>
        </w:rPr>
        <w:pict>
          <v:group style="width:593.4pt;height:337.95pt;mso-position-horizontal-relative:char;mso-position-vertical-relative:line" coordorigin="0,0" coordsize="11868,6759">
            <v:shape style="position:absolute;left:0;top:0;width:2769;height:5635" type="#_x0000_t75" stroked="false">
              <v:imagedata r:id="rId6" o:title=""/>
            </v:shape>
            <v:shape style="position:absolute;left:2817;top:0;width:9051;height:5635" type="#_x0000_t75" stroked="false">
              <v:imagedata r:id="rId7" o:title=""/>
            </v:shape>
            <v:shape style="position:absolute;left:4305;top:5674;width:1142;height:1085" type="#_x0000_t75" stroked="false">
              <v:imagedata r:id="rId8" o:title=""/>
            </v:shape>
            <v:shape style="position:absolute;left:0;top:5674;width:907;height:1085" type="#_x0000_t75" stroked="false">
              <v:imagedata r:id="rId9" o:title=""/>
            </v:shape>
            <v:shape style="position:absolute;left:3902;top:5674;width:326;height:1085" type="#_x0000_t75" stroked="false">
              <v:imagedata r:id="rId10" o:title=""/>
            </v:shape>
            <v:group style="position:absolute;left:5668;top:5674;width:2026;height:1085" coordorigin="5668,5674" coordsize="2026,1085">
              <v:shape style="position:absolute;left:5668;top:5674;width:2026;height:1085" coordorigin="5668,5674" coordsize="2026,1085" path="m5668,5674l7693,5674,7693,6758,5668,6758,5668,5674xe" filled="true" fillcolor="#163f64" stroked="false">
                <v:path arrowok="t"/>
                <v:fill type="solid"/>
              </v:shape>
              <v:shape style="position:absolute;left:5668;top:5722;width:2025;height:538" type="#_x0000_t75" stroked="false">
                <v:imagedata r:id="rId11" o:title=""/>
              </v:shape>
              <v:shape style="position:absolute;left:6320;top:6298;width:1373;height:461" type="#_x0000_t75" stroked="false">
                <v:imagedata r:id="rId12" o:title=""/>
              </v:shape>
            </v:group>
          </v:group>
        </w:pict>
      </w:r>
      <w:r>
        <w:rPr>
          <w:rFonts w:ascii="Times New Roman" w:hAnsi="Times New Roman" w:cs="Times New Roman" w:eastAsia="Times New Roman" w:hint="default"/>
          <w:position w:val="-134"/>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1"/>
          <w:szCs w:val="11"/>
        </w:rPr>
      </w:pPr>
    </w:p>
    <w:p>
      <w:pPr>
        <w:spacing w:line="1497" w:lineRule="exact"/>
        <w:ind w:left="523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9"/>
          <w:sz w:val="20"/>
          <w:szCs w:val="20"/>
        </w:rPr>
        <w:drawing>
          <wp:inline distT="0" distB="0" distL="0" distR="0">
            <wp:extent cx="956879" cy="950976"/>
            <wp:effectExtent l="0" t="0" r="0" b="0"/>
            <wp:docPr id="3" name="image9.jpeg" descr=""/>
            <wp:cNvGraphicFramePr>
              <a:graphicFrameLocks noChangeAspect="1"/>
            </wp:cNvGraphicFramePr>
            <a:graphic>
              <a:graphicData uri="http://schemas.openxmlformats.org/drawingml/2006/picture">
                <pic:pic>
                  <pic:nvPicPr>
                    <pic:cNvPr id="4" name="image9.jpeg"/>
                    <pic:cNvPicPr/>
                  </pic:nvPicPr>
                  <pic:blipFill>
                    <a:blip r:embed="rId13" cstate="print"/>
                    <a:stretch>
                      <a:fillRect/>
                    </a:stretch>
                  </pic:blipFill>
                  <pic:spPr>
                    <a:xfrm>
                      <a:off x="0" y="0"/>
                      <a:ext cx="956879" cy="950976"/>
                    </a:xfrm>
                    <a:prstGeom prst="rect">
                      <a:avLst/>
                    </a:prstGeom>
                  </pic:spPr>
                </pic:pic>
              </a:graphicData>
            </a:graphic>
          </wp:inline>
        </w:drawing>
      </w:r>
      <w:r>
        <w:rPr>
          <w:rFonts w:ascii="Times New Roman" w:hAnsi="Times New Roman" w:cs="Times New Roman" w:eastAsia="Times New Roman" w:hint="default"/>
          <w:position w:val="-29"/>
          <w:sz w:val="20"/>
          <w:szCs w:val="20"/>
        </w:rPr>
      </w:r>
    </w:p>
    <w:p>
      <w:pPr>
        <w:spacing w:line="240" w:lineRule="auto" w:before="1"/>
        <w:rPr>
          <w:rFonts w:ascii="Times New Roman" w:hAnsi="Times New Roman" w:cs="Times New Roman" w:eastAsia="Times New Roman" w:hint="default"/>
          <w:sz w:val="25"/>
          <w:szCs w:val="25"/>
        </w:rPr>
      </w:pPr>
    </w:p>
    <w:p>
      <w:pPr>
        <w:spacing w:line="288" w:lineRule="exact"/>
        <w:ind w:left="403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203.5pt;height:14.4pt;mso-position-horizontal-relative:char;mso-position-vertical-relative:line" coordorigin="0,0" coordsize="4070,288">
            <v:shape style="position:absolute;left:0;top:0;width:115;height:288" type="#_x0000_t75" stroked="false">
              <v:imagedata r:id="rId14" o:title=""/>
            </v:shape>
            <v:shape style="position:absolute;left:144;top:0;width:413;height:288" type="#_x0000_t75" stroked="false">
              <v:imagedata r:id="rId15" o:title=""/>
            </v:shape>
            <v:shape style="position:absolute;left:576;top:0;width:278;height:288" type="#_x0000_t75" stroked="false">
              <v:imagedata r:id="rId16" o:title=""/>
            </v:shape>
            <v:shape style="position:absolute;left:873;top:0;width:259;height:288" type="#_x0000_t75" stroked="false">
              <v:imagedata r:id="rId17" o:title=""/>
            </v:shape>
            <v:shape style="position:absolute;left:1161;top:0;width:2035;height:288" type="#_x0000_t75" stroked="false">
              <v:imagedata r:id="rId18" o:title=""/>
            </v:shape>
            <v:shape style="position:absolute;left:3215;top:0;width:269;height:288" type="#_x0000_t75" stroked="false">
              <v:imagedata r:id="rId19" o:title=""/>
            </v:shape>
            <v:shape style="position:absolute;left:3513;top:0;width:269;height:288" type="#_x0000_t75" stroked="false">
              <v:imagedata r:id="rId20" o:title=""/>
            </v:shape>
            <v:shape style="position:absolute;left:3801;top:0;width:269;height:288" type="#_x0000_t75" stroked="false">
              <v:imagedata r:id="rId21" o:title=""/>
            </v:shape>
          </v:group>
        </w:pict>
      </w:r>
      <w:r>
        <w:rPr>
          <w:rFonts w:ascii="Times New Roman" w:hAnsi="Times New Roman" w:cs="Times New Roman" w:eastAsia="Times New Roman" w:hint="default"/>
          <w:position w:val="-5"/>
          <w:sz w:val="20"/>
          <w:szCs w:val="20"/>
        </w:rPr>
      </w:r>
    </w:p>
    <w:p>
      <w:pPr>
        <w:spacing w:before="50"/>
        <w:ind w:left="1724" w:right="0" w:firstLine="0"/>
        <w:jc w:val="center"/>
        <w:rPr>
          <w:rFonts w:ascii="OCR A Extended" w:hAnsi="OCR A Extended" w:cs="OCR A Extended" w:eastAsia="OCR A Extended" w:hint="default"/>
          <w:sz w:val="33"/>
          <w:szCs w:val="33"/>
        </w:rPr>
      </w:pPr>
      <w:r>
        <w:rPr/>
        <w:pict>
          <v:group style="position:absolute;margin-left:240.431503pt;margin-top:6.685814pt;width:57.6pt;height:13.95pt;mso-position-horizontal-relative:page;mso-position-vertical-relative:paragraph;z-index:1072" coordorigin="4809,134" coordsize="1152,279">
            <v:shape style="position:absolute;left:4809;top:134;width:278;height:278" type="#_x0000_t75" stroked="false">
              <v:imagedata r:id="rId22" o:title=""/>
            </v:shape>
            <v:shape style="position:absolute;left:5106;top:134;width:269;height:278" type="#_x0000_t75" stroked="false">
              <v:imagedata r:id="rId23" o:title=""/>
            </v:shape>
            <v:shape style="position:absolute;left:5394;top:134;width:566;height:278" type="#_x0000_t75" stroked="false">
              <v:imagedata r:id="rId24" o:title=""/>
            </v:shape>
            <w10:wrap type="none"/>
          </v:group>
        </w:pict>
      </w:r>
      <w:r>
        <w:rPr/>
        <w:pict>
          <v:group style="position:absolute;margin-left:349.369598pt;margin-top:6.685814pt;width:7.7pt;height:13.95pt;mso-position-horizontal-relative:page;mso-position-vertical-relative:paragraph;z-index:-1193920" coordorigin="6987,134" coordsize="154,279">
            <v:shape style="position:absolute;left:6987;top:134;width:154;height:279" coordorigin="6987,134" coordsize="154,279" path="m6987,134l7141,134,7141,412,6987,412,6987,134xe" filled="true" fillcolor="#111f34" stroked="false">
              <v:path arrowok="t"/>
              <v:fill type="solid"/>
            </v:shape>
            <w10:wrap type="none"/>
          </v:group>
        </w:pict>
      </w:r>
      <w:r>
        <w:rPr>
          <w:position w:val="-3"/>
        </w:rPr>
        <w:drawing>
          <wp:inline distT="0" distB="0" distL="0" distR="0">
            <wp:extent cx="91421" cy="176784"/>
            <wp:effectExtent l="0" t="0" r="0" b="0"/>
            <wp:docPr id="5" name="image21.png" descr=""/>
            <wp:cNvGraphicFramePr>
              <a:graphicFrameLocks noChangeAspect="1"/>
            </wp:cNvGraphicFramePr>
            <a:graphic>
              <a:graphicData uri="http://schemas.openxmlformats.org/drawingml/2006/picture">
                <pic:pic>
                  <pic:nvPicPr>
                    <pic:cNvPr id="6" name="image21.png"/>
                    <pic:cNvPicPr/>
                  </pic:nvPicPr>
                  <pic:blipFill>
                    <a:blip r:embed="rId25" cstate="print"/>
                    <a:stretch>
                      <a:fillRect/>
                    </a:stretch>
                  </pic:blipFill>
                  <pic:spPr>
                    <a:xfrm>
                      <a:off x="0" y="0"/>
                      <a:ext cx="91421" cy="176784"/>
                    </a:xfrm>
                    <a:prstGeom prst="rect">
                      <a:avLst/>
                    </a:prstGeom>
                  </pic:spPr>
                </pic:pic>
              </a:graphicData>
            </a:graphic>
          </wp:inline>
        </w:drawing>
      </w:r>
      <w:r>
        <w:rPr>
          <w:position w:val="-3"/>
        </w:rPr>
      </w:r>
      <w:r>
        <w:rPr>
          <w:rFonts w:ascii="OCR A Extended"/>
          <w:color w:val="D3DAE8"/>
          <w:w w:val="93"/>
          <w:sz w:val="31"/>
        </w:rPr>
      </w:r>
      <w:r>
        <w:rPr>
          <w:rFonts w:ascii="OCR A Extended"/>
          <w:color w:val="D3DAE8"/>
          <w:spacing w:val="7"/>
          <w:sz w:val="31"/>
          <w:shd w:fill="11213A" w:color="auto" w:val="clear"/>
        </w:rPr>
        <w:t>000</w:t>
      </w:r>
      <w:r>
        <w:rPr>
          <w:rFonts w:ascii="OCR A Extended"/>
          <w:color w:val="D3DAE8"/>
          <w:spacing w:val="7"/>
          <w:sz w:val="31"/>
        </w:rPr>
      </w:r>
      <w:r>
        <w:rPr>
          <w:rFonts w:ascii="Arial"/>
          <w:color w:val="D8E4EF"/>
          <w:spacing w:val="7"/>
          <w:sz w:val="34"/>
        </w:rPr>
        <w:t>0</w:t>
      </w:r>
      <w:r>
        <w:rPr>
          <w:rFonts w:ascii="OCR A Extended"/>
          <w:color w:val="C3CCDA"/>
          <w:spacing w:val="7"/>
          <w:sz w:val="33"/>
        </w:rPr>
      </w:r>
      <w:r>
        <w:rPr>
          <w:rFonts w:ascii="OCR A Extended"/>
          <w:color w:val="C3CCDA"/>
          <w:spacing w:val="7"/>
          <w:sz w:val="33"/>
          <w:shd w:fill="0C1A2D" w:color="auto" w:val="clear"/>
        </w:rPr>
        <w:t>2</w:t>
      </w:r>
      <w:r>
        <w:rPr>
          <w:rFonts w:ascii="OCR A Extended"/>
          <w:color w:val="C3CCDA"/>
          <w:spacing w:val="7"/>
          <w:sz w:val="33"/>
        </w:rPr>
      </w:r>
      <w:r>
        <w:rPr>
          <w:rFonts w:ascii="OCR A Extended"/>
          <w:spacing w:val="7"/>
          <w:sz w:val="33"/>
        </w:rPr>
      </w:r>
    </w:p>
    <w:p>
      <w:pPr>
        <w:spacing w:before="41"/>
        <w:ind w:left="240" w:right="0" w:firstLine="0"/>
        <w:jc w:val="center"/>
        <w:rPr>
          <w:rFonts w:ascii="Arial" w:hAnsi="Arial" w:cs="Arial" w:eastAsia="Arial" w:hint="default"/>
          <w:sz w:val="30"/>
          <w:szCs w:val="30"/>
        </w:rPr>
      </w:pPr>
      <w:r>
        <w:rPr/>
        <w:pict>
          <v:group style="position:absolute;margin-left:275.464508pt;margin-top:6.246806pt;width:16.3500pt;height:12pt;mso-position-horizontal-relative:page;mso-position-vertical-relative:paragraph;z-index:-1193992" coordorigin="5509,125" coordsize="327,240">
            <v:group style="position:absolute;left:5509;top:125;width:144;height:240" coordorigin="5509,125" coordsize="144,240">
              <v:shape style="position:absolute;left:5509;top:125;width:144;height:240" coordorigin="5509,125" coordsize="144,240" path="m5509,125l5653,125,5653,365,5509,365,5509,125xe" filled="true" fillcolor="#0f1828" stroked="false">
                <v:path arrowok="t"/>
                <v:fill type="solid"/>
              </v:shape>
              <v:shape style="position:absolute;left:5672;top:125;width:163;height:240" type="#_x0000_t75" stroked="false">
                <v:imagedata r:id="rId26" o:title=""/>
              </v:shape>
            </v:group>
            <w10:wrap type="none"/>
          </v:group>
        </w:pict>
      </w:r>
      <w:r>
        <w:rPr/>
        <w:pict>
          <v:group style="position:absolute;margin-left:294.180695pt;margin-top:4.087242pt;width:15.4pt;height:16.3500pt;mso-position-horizontal-relative:page;mso-position-vertical-relative:paragraph;z-index:-1193968" coordorigin="5884,82" coordsize="308,327">
            <v:group style="position:absolute;left:5927;top:125;width:2;height:240" coordorigin="5927,125" coordsize="2,240">
              <v:shape style="position:absolute;left:5927;top:125;width:2;height:240" coordorigin="5927,125" coordsize="0,240" path="m5927,125l5927,365e" filled="false" stroked="true" strokeweight="4.319127pt" strokecolor="#1a1a1a">
                <v:path arrowok="t"/>
              </v:shape>
            </v:group>
            <v:group style="position:absolute;left:6037;top:125;width:154;height:240" coordorigin="6037,125" coordsize="154,240">
              <v:shape style="position:absolute;left:6037;top:125;width:154;height:240" coordorigin="6037,125" coordsize="154,240" path="m6037,125l6191,125,6191,365,6037,365,6037,125xe" filled="true" fillcolor="#0f1a2b" stroked="false">
                <v:path arrowok="t"/>
                <v:fill type="solid"/>
              </v:shape>
            </v:group>
            <w10:wrap type="none"/>
          </v:group>
        </w:pict>
      </w:r>
      <w:r>
        <w:rPr/>
        <w:pict>
          <v:group style="position:absolute;margin-left:314.816498pt;margin-top:6.246806pt;width:16.8pt;height:12pt;mso-position-horizontal-relative:page;mso-position-vertical-relative:paragraph;z-index:-1193944" coordorigin="6296,125" coordsize="336,240">
            <v:group style="position:absolute;left:6296;top:125;width:154;height:240" coordorigin="6296,125" coordsize="154,240">
              <v:shape style="position:absolute;left:6296;top:125;width:154;height:240" coordorigin="6296,125" coordsize="154,240" path="m6296,125l6450,125,6450,365,6296,365,6296,125xe" filled="true" fillcolor="#0a1624" stroked="false">
                <v:path arrowok="t"/>
                <v:fill type="solid"/>
              </v:shape>
            </v:group>
            <v:group style="position:absolute;left:6469;top:125;width:164;height:240" coordorigin="6469,125" coordsize="164,240">
              <v:shape style="position:absolute;left:6469;top:125;width:164;height:240" coordorigin="6469,125" coordsize="164,240" path="m6469,125l6632,125,6632,365,6469,365,6469,125xe" filled="true" fillcolor="#0a1826" stroked="false">
                <v:path arrowok="t"/>
                <v:fill type="solid"/>
              </v:shape>
            </v:group>
            <w10:wrap type="none"/>
          </v:group>
        </w:pict>
      </w:r>
      <w:r>
        <w:rPr>
          <w:rFonts w:ascii="OCR A Extended"/>
          <w:color w:val="E6EFF2"/>
          <w:w w:val="95"/>
          <w:sz w:val="33"/>
        </w:rPr>
        <w:t>2 </w:t>
      </w:r>
      <w:r>
        <w:rPr>
          <w:rFonts w:ascii="Arial"/>
          <w:color w:val="F4F4F4"/>
          <w:spacing w:val="13"/>
          <w:w w:val="95"/>
          <w:sz w:val="33"/>
        </w:rPr>
        <w:t>1</w:t>
      </w:r>
      <w:r>
        <w:rPr>
          <w:rFonts w:ascii="OCR A Extended"/>
          <w:color w:val="EBF4F9"/>
          <w:spacing w:val="13"/>
          <w:w w:val="95"/>
          <w:sz w:val="33"/>
        </w:rPr>
        <w:t>8</w:t>
      </w:r>
      <w:r>
        <w:rPr>
          <w:rFonts w:ascii="OCR A Extended"/>
          <w:color w:val="EBF4F9"/>
          <w:spacing w:val="-170"/>
          <w:w w:val="95"/>
          <w:sz w:val="33"/>
        </w:rPr>
        <w:t> </w:t>
      </w:r>
      <w:r>
        <w:rPr>
          <w:rFonts w:ascii="OCR A Extended"/>
          <w:color w:val="EDF4F9"/>
          <w:spacing w:val="-10"/>
          <w:w w:val="95"/>
          <w:sz w:val="33"/>
        </w:rPr>
        <w:t>0</w:t>
      </w:r>
      <w:r>
        <w:rPr>
          <w:rFonts w:ascii="Arial"/>
          <w:color w:val="FFFFFF"/>
          <w:spacing w:val="-10"/>
          <w:w w:val="95"/>
          <w:sz w:val="30"/>
        </w:rPr>
        <w:t>4</w:t>
      </w:r>
      <w:r>
        <w:rPr>
          <w:rFonts w:ascii="Arial"/>
          <w:spacing w:val="-10"/>
          <w:sz w:val="30"/>
        </w:rPr>
      </w:r>
    </w:p>
    <w:p>
      <w:pPr>
        <w:spacing w:after="0"/>
        <w:jc w:val="center"/>
        <w:rPr>
          <w:rFonts w:ascii="Arial" w:hAnsi="Arial" w:cs="Arial" w:eastAsia="Arial" w:hint="default"/>
          <w:sz w:val="30"/>
          <w:szCs w:val="30"/>
        </w:rPr>
        <w:sectPr>
          <w:type w:val="continuous"/>
          <w:pgSz w:w="11910" w:h="16840"/>
          <w:pgMar w:top="280" w:bottom="280" w:left="0" w:right="0"/>
        </w:sectPr>
      </w:pPr>
    </w:p>
    <w:p>
      <w:pPr>
        <w:spacing w:line="240" w:lineRule="auto" w:before="0"/>
        <w:rPr>
          <w:rFonts w:ascii="Arial" w:hAnsi="Arial" w:cs="Arial" w:eastAsia="Arial" w:hint="default"/>
          <w:sz w:val="20"/>
          <w:szCs w:val="20"/>
        </w:rPr>
      </w:pPr>
    </w:p>
    <w:p>
      <w:pPr>
        <w:spacing w:line="240" w:lineRule="auto" w:before="7"/>
        <w:rPr>
          <w:rFonts w:ascii="Arial" w:hAnsi="Arial" w:cs="Arial" w:eastAsia="Arial" w:hint="default"/>
          <w:sz w:val="28"/>
          <w:szCs w:val="28"/>
        </w:rPr>
      </w:pPr>
    </w:p>
    <w:p>
      <w:pPr>
        <w:pStyle w:val="Heading1"/>
        <w:spacing w:line="240" w:lineRule="auto"/>
        <w:ind w:left="3785" w:right="0"/>
        <w:jc w:val="left"/>
        <w:rPr>
          <w:b w:val="0"/>
          <w:bCs w:val="0"/>
        </w:rPr>
      </w:pPr>
      <w:bookmarkStart w:name="第一节 重要提示、目录和释义" w:id="1"/>
      <w:bookmarkEnd w:id="1"/>
      <w:r>
        <w:rPr>
          <w:b w:val="0"/>
          <w:bCs w:val="0"/>
        </w:rPr>
      </w:r>
      <w:bookmarkStart w:name="_bookmark0" w:id="2"/>
      <w:bookmarkEnd w:id="2"/>
      <w:r>
        <w:rPr>
          <w:b w:val="0"/>
          <w:bCs w:val="0"/>
        </w:rPr>
      </w:r>
      <w:r>
        <w:rPr/>
        <w:t>第一节</w:t>
      </w:r>
      <w:r>
        <w:rPr>
          <w:spacing w:val="-11"/>
        </w:rPr>
        <w:t> </w:t>
      </w:r>
      <w:r>
        <w:rPr/>
        <w:t>重要提示、目录和释义</w:t>
      </w:r>
      <w:r>
        <w:rPr>
          <w:b w:val="0"/>
          <w:bCs w:val="0"/>
        </w:rPr>
      </w:r>
    </w:p>
    <w:p>
      <w:pPr>
        <w:spacing w:line="240" w:lineRule="auto" w:before="7"/>
        <w:rPr>
          <w:rFonts w:ascii="宋体" w:hAnsi="宋体" w:cs="宋体" w:eastAsia="宋体" w:hint="default"/>
          <w:b/>
          <w:bCs/>
          <w:sz w:val="46"/>
          <w:szCs w:val="46"/>
        </w:rPr>
      </w:pPr>
    </w:p>
    <w:p>
      <w:pPr>
        <w:pStyle w:val="Heading3"/>
        <w:spacing w:line="408" w:lineRule="auto"/>
        <w:ind w:left="1133" w:right="0" w:firstLine="422"/>
        <w:jc w:val="left"/>
        <w:rPr>
          <w:b w:val="0"/>
          <w:bCs w:val="0"/>
        </w:rPr>
      </w:pPr>
      <w:r>
        <w:rPr>
          <w:spacing w:val="-1"/>
          <w:w w:val="95"/>
        </w:rPr>
        <w:t>公司董事会、监事会及董事、监事、高级管理人员保证年度报告内容的真实、准确、完整，不存在虚</w:t>
      </w:r>
      <w:r>
        <w:rPr>
          <w:spacing w:val="-84"/>
          <w:w w:val="95"/>
        </w:rPr>
        <w:t> </w:t>
      </w:r>
      <w:r>
        <w:rPr>
          <w:spacing w:val="-84"/>
          <w:w w:val="95"/>
        </w:rPr>
      </w:r>
      <w:r>
        <w:rPr/>
        <w:t>假记载、误导性陈述或重大遗漏，并承担个别和连带的法律责任。</w:t>
      </w:r>
      <w:r>
        <w:rPr>
          <w:b w:val="0"/>
          <w:bCs w:val="0"/>
        </w:rPr>
      </w:r>
    </w:p>
    <w:p>
      <w:pPr>
        <w:pStyle w:val="Heading3"/>
        <w:spacing w:line="386" w:lineRule="auto" w:before="46"/>
        <w:ind w:right="0" w:firstLine="422"/>
        <w:jc w:val="left"/>
        <w:rPr>
          <w:b w:val="0"/>
          <w:bCs w:val="0"/>
        </w:rPr>
      </w:pPr>
      <w:r>
        <w:rPr>
          <w:spacing w:val="-2"/>
          <w:w w:val="99"/>
        </w:rPr>
        <w:t>公司负责人王宁先生、主管会计工作负责人林红女士及会计机构负责人</w:t>
      </w:r>
      <w:r>
        <w:rPr>
          <w:rFonts w:ascii="Times New Roman" w:hAnsi="Times New Roman" w:cs="Times New Roman" w:eastAsia="Times New Roman" w:hint="default"/>
          <w:spacing w:val="-2"/>
          <w:w w:val="99"/>
        </w:rPr>
        <w:t>(</w:t>
      </w:r>
      <w:r>
        <w:rPr>
          <w:spacing w:val="-2"/>
          <w:w w:val="99"/>
        </w:rPr>
        <w:t>会计主管人员</w:t>
      </w:r>
      <w:r>
        <w:rPr>
          <w:rFonts w:ascii="Times New Roman" w:hAnsi="Times New Roman" w:cs="Times New Roman" w:eastAsia="Times New Roman" w:hint="default"/>
          <w:spacing w:val="-2"/>
          <w:w w:val="99"/>
        </w:rPr>
        <w:t>)</w:t>
      </w:r>
      <w:r>
        <w:rPr>
          <w:spacing w:val="-2"/>
          <w:w w:val="99"/>
        </w:rPr>
        <w:t>王辉先生声明：</w:t>
      </w:r>
      <w:r>
        <w:rPr>
          <w:w w:val="99"/>
        </w:rPr>
        <w:t> </w:t>
      </w:r>
      <w:r>
        <w:rPr/>
        <w:t>保证年度报告中财务报告的真实、准确、完整。</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0"/>
          <w:szCs w:val="20"/>
        </w:rPr>
      </w:pPr>
    </w:p>
    <w:p>
      <w:pPr>
        <w:pStyle w:val="Heading3"/>
        <w:spacing w:line="240" w:lineRule="auto"/>
        <w:ind w:left="1334" w:right="0"/>
        <w:jc w:val="left"/>
        <w:rPr>
          <w:b w:val="0"/>
          <w:bCs w:val="0"/>
        </w:rPr>
      </w:pPr>
      <w:r>
        <w:rPr/>
        <w:t>除下列董事外，其他董事亲自出席了审议本次年报的董事会会议。</w:t>
      </w:r>
      <w:r>
        <w:rPr>
          <w:b w:val="0"/>
          <w:bCs w:val="0"/>
        </w:rPr>
      </w:r>
    </w:p>
    <w:p>
      <w:pPr>
        <w:spacing w:line="240" w:lineRule="auto" w:before="13"/>
        <w:rPr>
          <w:rFonts w:ascii="宋体" w:hAnsi="宋体" w:cs="宋体" w:eastAsia="宋体" w:hint="default"/>
          <w:b/>
          <w:bCs/>
          <w:sz w:val="9"/>
          <w:szCs w:val="9"/>
        </w:rPr>
      </w:pPr>
    </w:p>
    <w:tbl>
      <w:tblPr>
        <w:tblW w:w="0" w:type="auto"/>
        <w:jc w:val="left"/>
        <w:tblInd w:w="1101" w:type="dxa"/>
        <w:tblLayout w:type="fixed"/>
        <w:tblCellMar>
          <w:top w:w="0" w:type="dxa"/>
          <w:left w:w="0" w:type="dxa"/>
          <w:bottom w:w="0" w:type="dxa"/>
          <w:right w:w="0" w:type="dxa"/>
        </w:tblCellMar>
        <w:tblLook w:val="01E0"/>
      </w:tblPr>
      <w:tblGrid>
        <w:gridCol w:w="2636"/>
        <w:gridCol w:w="2638"/>
        <w:gridCol w:w="2637"/>
        <w:gridCol w:w="1784"/>
      </w:tblGrid>
      <w:tr>
        <w:trPr>
          <w:trHeight w:val="617" w:hRule="exact"/>
        </w:trPr>
        <w:tc>
          <w:tcPr>
            <w:tcW w:w="26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3"/>
              <w:ind w:right="1"/>
              <w:jc w:val="center"/>
              <w:rPr>
                <w:rFonts w:ascii="宋体" w:hAnsi="宋体" w:cs="宋体" w:eastAsia="宋体" w:hint="default"/>
                <w:sz w:val="21"/>
                <w:szCs w:val="21"/>
              </w:rPr>
            </w:pPr>
            <w:r>
              <w:rPr>
                <w:rFonts w:ascii="宋体" w:hAnsi="宋体" w:cs="宋体" w:eastAsia="宋体" w:hint="default"/>
                <w:sz w:val="21"/>
                <w:szCs w:val="21"/>
              </w:rPr>
              <w:t>未亲自出席董事姓名</w:t>
            </w:r>
          </w:p>
        </w:tc>
        <w:tc>
          <w:tcPr>
            <w:tcW w:w="2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未亲自出席董事职务</w:t>
            </w:r>
          </w:p>
        </w:tc>
        <w:tc>
          <w:tcPr>
            <w:tcW w:w="2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3"/>
              <w:ind w:right="0"/>
              <w:jc w:val="center"/>
              <w:rPr>
                <w:rFonts w:ascii="宋体" w:hAnsi="宋体" w:cs="宋体" w:eastAsia="宋体" w:hint="default"/>
                <w:sz w:val="21"/>
                <w:szCs w:val="21"/>
              </w:rPr>
            </w:pPr>
            <w:r>
              <w:rPr>
                <w:rFonts w:ascii="宋体" w:hAnsi="宋体" w:cs="宋体" w:eastAsia="宋体" w:hint="default"/>
                <w:sz w:val="21"/>
                <w:szCs w:val="21"/>
              </w:rPr>
              <w:t>未亲自出席会议原因</w:t>
            </w:r>
          </w:p>
        </w:tc>
        <w:tc>
          <w:tcPr>
            <w:tcW w:w="1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3"/>
              <w:ind w:left="1" w:right="0"/>
              <w:jc w:val="center"/>
              <w:rPr>
                <w:rFonts w:ascii="宋体" w:hAnsi="宋体" w:cs="宋体" w:eastAsia="宋体" w:hint="default"/>
                <w:sz w:val="21"/>
                <w:szCs w:val="21"/>
              </w:rPr>
            </w:pPr>
            <w:r>
              <w:rPr>
                <w:rFonts w:ascii="宋体" w:hAnsi="宋体" w:cs="宋体" w:eastAsia="宋体" w:hint="default"/>
                <w:sz w:val="21"/>
                <w:szCs w:val="21"/>
              </w:rPr>
              <w:t>被委托人姓名</w:t>
            </w:r>
          </w:p>
        </w:tc>
      </w:tr>
      <w:tr>
        <w:trPr>
          <w:trHeight w:val="568" w:hRule="exact"/>
        </w:trPr>
        <w:tc>
          <w:tcPr>
            <w:tcW w:w="2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刘铁民先生</w:t>
            </w:r>
          </w:p>
        </w:tc>
        <w:tc>
          <w:tcPr>
            <w:tcW w:w="2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2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1"/>
              <w:jc w:val="center"/>
              <w:rPr>
                <w:rFonts w:ascii="宋体" w:hAnsi="宋体" w:cs="宋体" w:eastAsia="宋体" w:hint="default"/>
                <w:sz w:val="21"/>
                <w:szCs w:val="21"/>
              </w:rPr>
            </w:pPr>
            <w:r>
              <w:rPr>
                <w:rFonts w:ascii="宋体" w:hAnsi="宋体" w:cs="宋体" w:eastAsia="宋体" w:hint="default"/>
                <w:sz w:val="21"/>
                <w:szCs w:val="21"/>
              </w:rPr>
              <w:t>公务原因</w:t>
            </w:r>
          </w:p>
        </w:tc>
        <w:tc>
          <w:tcPr>
            <w:tcW w:w="1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罗建北女士</w:t>
            </w:r>
          </w:p>
        </w:tc>
      </w:tr>
    </w:tbl>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7"/>
          <w:szCs w:val="17"/>
        </w:rPr>
      </w:pPr>
    </w:p>
    <w:p>
      <w:pPr>
        <w:pStyle w:val="Heading3"/>
        <w:spacing w:line="408" w:lineRule="auto" w:before="35"/>
        <w:ind w:left="1133" w:right="1136" w:firstLine="422"/>
        <w:jc w:val="both"/>
        <w:rPr>
          <w:b w:val="0"/>
          <w:bCs w:val="0"/>
        </w:rPr>
      </w:pPr>
      <w:r>
        <w:rPr>
          <w:spacing w:val="-1"/>
          <w:w w:val="95"/>
        </w:rPr>
        <w:t>随着公司资产规模、业务规模的扩大，在战略规划、组织机构设置、企业文化建设、资源配置、运营</w:t>
      </w:r>
      <w:r>
        <w:rPr>
          <w:spacing w:val="-84"/>
          <w:w w:val="95"/>
        </w:rPr>
        <w:t> </w:t>
      </w:r>
      <w:r>
        <w:rPr>
          <w:spacing w:val="-84"/>
          <w:w w:val="95"/>
        </w:rPr>
      </w:r>
      <w:r>
        <w:rPr/>
        <w:t>管理，特别是资金管理、人才管理、内部控制等方面，都将对管理水平提出更大的挑战。</w:t>
      </w:r>
      <w:r>
        <w:rPr>
          <w:b w:val="0"/>
          <w:bCs w:val="0"/>
        </w:rPr>
      </w:r>
    </w:p>
    <w:p>
      <w:pPr>
        <w:pStyle w:val="Heading3"/>
        <w:spacing w:line="408" w:lineRule="auto" w:before="46"/>
        <w:ind w:left="1133" w:right="1137" w:firstLine="422"/>
        <w:jc w:val="both"/>
        <w:rPr>
          <w:b w:val="0"/>
          <w:bCs w:val="0"/>
        </w:rPr>
      </w:pPr>
      <w:r>
        <w:rPr>
          <w:spacing w:val="-1"/>
          <w:w w:val="95"/>
        </w:rPr>
        <w:t>人工智能、物联网通讯技术两大创新领域目前处于行业高速发展时期，技术更新迭代迅速，行业竞争</w:t>
      </w:r>
      <w:r>
        <w:rPr>
          <w:spacing w:val="-84"/>
          <w:w w:val="95"/>
        </w:rPr>
        <w:t> </w:t>
      </w:r>
      <w:r>
        <w:rPr>
          <w:spacing w:val="-84"/>
          <w:w w:val="95"/>
        </w:rPr>
      </w:r>
      <w:r>
        <w:rPr>
          <w:spacing w:val="-1"/>
          <w:w w:val="95"/>
        </w:rPr>
        <w:t>激烈。若公司不能及时提前预示及判断行业发展趋势，无法及时更新技术以满足市场需求，将很快失去在</w:t>
      </w:r>
      <w:r>
        <w:rPr>
          <w:spacing w:val="58"/>
          <w:w w:val="95"/>
        </w:rPr>
        <w:t> </w:t>
      </w:r>
      <w:r>
        <w:rPr>
          <w:spacing w:val="58"/>
          <w:w w:val="95"/>
        </w:rPr>
      </w:r>
      <w:r>
        <w:rPr/>
        <w:t>市场上的竞争力。若研发投入不能获得预期效果，将影响公司盈利能力及团队成长性。</w:t>
      </w:r>
      <w:r>
        <w:rPr>
          <w:b w:val="0"/>
          <w:bCs w:val="0"/>
        </w:rPr>
      </w:r>
    </w:p>
    <w:p>
      <w:pPr>
        <w:pStyle w:val="Heading3"/>
        <w:spacing w:line="408" w:lineRule="auto" w:before="46"/>
        <w:ind w:left="1133" w:right="1132" w:firstLine="422"/>
        <w:jc w:val="both"/>
        <w:rPr>
          <w:b w:val="0"/>
          <w:bCs w:val="0"/>
        </w:rPr>
      </w:pPr>
      <w:r>
        <w:rPr>
          <w:spacing w:val="-1"/>
          <w:w w:val="95"/>
        </w:rPr>
        <w:t>游戏产品具有更新快、可模仿性较高、玩家喜好转换快、市场竞争激烈等特点，如果公司无法持续推</w:t>
      </w:r>
      <w:r>
        <w:rPr>
          <w:spacing w:val="-79"/>
          <w:w w:val="95"/>
        </w:rPr>
        <w:t> </w:t>
      </w:r>
      <w:r>
        <w:rPr>
          <w:spacing w:val="-79"/>
          <w:w w:val="95"/>
        </w:rPr>
      </w:r>
      <w:r>
        <w:rPr>
          <w:spacing w:val="-1"/>
          <w:w w:val="95"/>
        </w:rPr>
        <w:t>出受玩家认可的成功的游戏产品，或由于游戏研发周期延长、推广时间延长等原因造成游戏无法按计划推</w:t>
      </w:r>
      <w:r>
        <w:rPr>
          <w:spacing w:val="59"/>
          <w:w w:val="95"/>
        </w:rPr>
        <w:t> </w:t>
      </w:r>
      <w:r>
        <w:rPr>
          <w:spacing w:val="59"/>
          <w:w w:val="95"/>
        </w:rPr>
      </w:r>
      <w:r>
        <w:rPr>
          <w:spacing w:val="-1"/>
          <w:w w:val="95"/>
        </w:rPr>
        <w:t>出，从而造成老游戏盈利能力出现下滑时，新游戏无法成功按时推出难以弥补老游戏收入的下滑，则将对</w:t>
      </w:r>
      <w:r>
        <w:rPr>
          <w:spacing w:val="58"/>
          <w:w w:val="95"/>
        </w:rPr>
        <w:t> </w:t>
      </w:r>
      <w:r>
        <w:rPr>
          <w:spacing w:val="58"/>
          <w:w w:val="95"/>
        </w:rPr>
      </w:r>
      <w:r>
        <w:rPr/>
        <w:t>公司的运营产生不利影响。</w:t>
      </w:r>
      <w:r>
        <w:rPr>
          <w:b w:val="0"/>
          <w:bCs w:val="0"/>
        </w:rPr>
      </w:r>
    </w:p>
    <w:p>
      <w:pPr>
        <w:pStyle w:val="Heading3"/>
        <w:spacing w:line="403" w:lineRule="auto" w:before="46"/>
        <w:ind w:left="1133" w:right="1133" w:firstLine="422"/>
        <w:jc w:val="both"/>
        <w:rPr>
          <w:b w:val="0"/>
          <w:bCs w:val="0"/>
        </w:rPr>
      </w:pPr>
      <w:r>
        <w:rPr>
          <w:w w:val="95"/>
        </w:rPr>
        <w:t>系统集成业务是公司</w:t>
      </w:r>
      <w:r>
        <w:rPr>
          <w:rFonts w:ascii="Times New Roman" w:hAnsi="Times New Roman" w:cs="Times New Roman" w:eastAsia="Times New Roman" w:hint="default"/>
          <w:w w:val="95"/>
        </w:rPr>
        <w:t>ICT</w:t>
      </w:r>
      <w:r>
        <w:rPr>
          <w:w w:val="95"/>
        </w:rPr>
        <w:t>运营管理中的组成部分，该业务的销售政策普遍采取赊销方式，随着系统集</w:t>
      </w:r>
      <w:r>
        <w:rPr>
          <w:spacing w:val="-79"/>
          <w:w w:val="95"/>
        </w:rPr>
        <w:t> </w:t>
      </w:r>
      <w:r>
        <w:rPr>
          <w:spacing w:val="-79"/>
          <w:w w:val="95"/>
        </w:rPr>
      </w:r>
      <w:r>
        <w:rPr>
          <w:spacing w:val="-1"/>
          <w:w w:val="95"/>
        </w:rPr>
        <w:t>成业务规模的扩大，应收款项余额加大。一旦出现呆账、死账将对公司产生较大程度的影响和损失，近年</w:t>
      </w:r>
      <w:r>
        <w:rPr>
          <w:spacing w:val="60"/>
          <w:w w:val="95"/>
        </w:rPr>
        <w:t> </w:t>
      </w:r>
      <w:r>
        <w:rPr>
          <w:spacing w:val="60"/>
          <w:w w:val="95"/>
        </w:rPr>
      </w:r>
      <w:r>
        <w:rPr>
          <w:spacing w:val="-1"/>
          <w:w w:val="95"/>
        </w:rPr>
        <w:t>来出现个别客户拖欠货款的情形。为此，公司一方面汲取经验教训，大规模减少系统集成业务的规模，进</w:t>
      </w:r>
      <w:r>
        <w:rPr>
          <w:spacing w:val="58"/>
          <w:w w:val="95"/>
        </w:rPr>
        <w:t> </w:t>
      </w:r>
      <w:r>
        <w:rPr>
          <w:spacing w:val="58"/>
          <w:w w:val="95"/>
        </w:rPr>
      </w:r>
      <w:r>
        <w:rPr>
          <w:spacing w:val="-1"/>
          <w:w w:val="99"/>
        </w:rPr>
        <w:t>一步加强客户的信用管理（包括黑名单制度、信用额度控制、结算政策、抵押担保等），选择信誉度好的</w:t>
      </w:r>
      <w:r>
        <w:rPr>
          <w:spacing w:val="-95"/>
          <w:w w:val="99"/>
        </w:rPr>
        <w:t> </w:t>
      </w:r>
      <w:r>
        <w:rPr>
          <w:spacing w:val="-95"/>
          <w:w w:val="99"/>
        </w:rPr>
      </w:r>
      <w:r>
        <w:rPr>
          <w:spacing w:val="-1"/>
          <w:w w:val="95"/>
        </w:rPr>
        <w:t>客户，严控信用额度与结算政策；另一方面运用包括法律手段在内的各种合法措施加大应收款项的催收力</w:t>
      </w:r>
      <w:r>
        <w:rPr>
          <w:spacing w:val="60"/>
          <w:w w:val="95"/>
        </w:rPr>
        <w:t> </w:t>
      </w:r>
      <w:r>
        <w:rPr>
          <w:spacing w:val="60"/>
          <w:w w:val="95"/>
        </w:rPr>
      </w:r>
      <w:r>
        <w:rPr/>
        <w:t>度，以保护上市公司合法权益。</w:t>
      </w:r>
      <w:r>
        <w:rPr>
          <w:b w:val="0"/>
          <w:bCs w:val="0"/>
        </w:rPr>
      </w:r>
    </w:p>
    <w:p>
      <w:pPr>
        <w:pStyle w:val="Heading3"/>
        <w:spacing w:line="408" w:lineRule="auto" w:before="50"/>
        <w:ind w:left="1133" w:right="1137" w:firstLine="422"/>
        <w:jc w:val="both"/>
        <w:rPr>
          <w:b w:val="0"/>
          <w:bCs w:val="0"/>
        </w:rPr>
      </w:pPr>
      <w:r>
        <w:rPr>
          <w:spacing w:val="-1"/>
          <w:w w:val="95"/>
        </w:rPr>
        <w:t>本年度报告中涉及的发展战略、经营计划等前瞻性陈述，不构成公司对投资者的实质承诺，投资者及</w:t>
      </w:r>
      <w:r>
        <w:rPr>
          <w:spacing w:val="-84"/>
          <w:w w:val="95"/>
        </w:rPr>
        <w:t> </w:t>
      </w:r>
      <w:r>
        <w:rPr>
          <w:spacing w:val="-84"/>
          <w:w w:val="95"/>
        </w:rPr>
      </w:r>
      <w:r>
        <w:rPr/>
        <w:t>相关人士均应当对此保持足够的风险认识，并且应当理解计划、预测与承诺之间的差异。</w:t>
      </w:r>
      <w:r>
        <w:rPr>
          <w:b w:val="0"/>
          <w:bCs w:val="0"/>
        </w:rPr>
      </w:r>
    </w:p>
    <w:p>
      <w:pPr>
        <w:spacing w:after="0" w:line="408" w:lineRule="auto"/>
        <w:jc w:val="both"/>
        <w:sectPr>
          <w:headerReference w:type="default" r:id="rId27"/>
          <w:footerReference w:type="default" r:id="rId28"/>
          <w:pgSz w:w="11910" w:h="16840"/>
          <w:pgMar w:header="851" w:footer="979" w:top="1320" w:bottom="1160" w:left="0" w:right="0"/>
          <w:pgNumType w:start="2"/>
        </w:sectPr>
      </w:pPr>
    </w:p>
    <w:p>
      <w:pPr>
        <w:pStyle w:val="Heading3"/>
        <w:spacing w:line="240" w:lineRule="auto" w:before="114"/>
        <w:ind w:left="1556" w:right="0"/>
        <w:jc w:val="left"/>
        <w:rPr>
          <w:b w:val="0"/>
          <w:bCs w:val="0"/>
        </w:rPr>
      </w:pPr>
      <w:r>
        <w:rPr/>
        <w:t>公司经本次董事会审议通过的利润分配预案为：以公司</w:t>
      </w:r>
      <w:r>
        <w:rPr>
          <w:spacing w:val="-5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5"/>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日总股本</w:t>
      </w:r>
      <w:r>
        <w:rPr>
          <w:spacing w:val="-55"/>
        </w:rPr>
        <w:t> </w:t>
      </w:r>
      <w:r>
        <w:rPr>
          <w:rFonts w:ascii="Times New Roman" w:hAnsi="Times New Roman" w:cs="Times New Roman" w:eastAsia="Times New Roman" w:hint="default"/>
        </w:rPr>
        <w:t>1,961,091,984</w:t>
      </w:r>
      <w:r>
        <w:rPr>
          <w:rFonts w:ascii="Times New Roman" w:hAnsi="Times New Roman" w:cs="Times New Roman" w:eastAsia="Times New Roman" w:hint="default"/>
          <w:spacing w:val="-1"/>
        </w:rPr>
        <w:t> </w:t>
      </w:r>
      <w:r>
        <w:rPr/>
        <w:t>股为</w:t>
      </w:r>
      <w:r>
        <w:rPr>
          <w:b w:val="0"/>
          <w:bCs w:val="0"/>
        </w:rPr>
      </w:r>
    </w:p>
    <w:p>
      <w:pPr>
        <w:pStyle w:val="Heading3"/>
        <w:spacing w:line="240" w:lineRule="auto" w:before="177"/>
        <w:ind w:left="1133" w:right="0"/>
        <w:jc w:val="left"/>
        <w:rPr>
          <w:b w:val="0"/>
          <w:bCs w:val="0"/>
        </w:rPr>
      </w:pPr>
      <w:r>
        <w:rPr>
          <w:spacing w:val="1"/>
          <w:w w:val="99"/>
        </w:rPr>
        <w:t>基数</w:t>
      </w:r>
      <w:r>
        <w:rPr>
          <w:w w:val="99"/>
        </w:rPr>
        <w:t>，</w:t>
      </w:r>
      <w:r>
        <w:rPr>
          <w:spacing w:val="1"/>
          <w:w w:val="99"/>
        </w:rPr>
        <w:t>向</w:t>
      </w:r>
      <w:r>
        <w:rPr>
          <w:w w:val="99"/>
        </w:rPr>
        <w:t>全</w:t>
      </w:r>
      <w:r>
        <w:rPr>
          <w:spacing w:val="1"/>
          <w:w w:val="99"/>
        </w:rPr>
        <w:t>体股东</w:t>
      </w:r>
      <w:r>
        <w:rPr>
          <w:w w:val="99"/>
        </w:rPr>
        <w:t>每</w:t>
      </w:r>
      <w:r>
        <w:rPr>
          <w:spacing w:val="-52"/>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spacing w:val="1"/>
          <w:w w:val="99"/>
        </w:rPr>
        <w:t>股派发</w:t>
      </w:r>
      <w:r>
        <w:rPr>
          <w:w w:val="99"/>
        </w:rPr>
        <w:t>现金</w:t>
      </w:r>
      <w:r>
        <w:rPr>
          <w:spacing w:val="1"/>
          <w:w w:val="99"/>
        </w:rPr>
        <w:t>红</w:t>
      </w:r>
      <w:r>
        <w:rPr>
          <w:w w:val="99"/>
        </w:rPr>
        <w:t>利</w:t>
      </w:r>
      <w:r>
        <w:rPr>
          <w:spacing w:val="-51"/>
        </w:rPr>
        <w:t> </w:t>
      </w:r>
      <w:r>
        <w:rPr>
          <w:rFonts w:ascii="Times New Roman" w:hAnsi="Times New Roman" w:cs="Times New Roman" w:eastAsia="Times New Roman" w:hint="default"/>
        </w:rPr>
        <w:t>0.</w:t>
      </w:r>
      <w:r>
        <w:rPr>
          <w:rFonts w:ascii="Times New Roman" w:hAnsi="Times New Roman" w:cs="Times New Roman" w:eastAsia="Times New Roman" w:hint="default"/>
          <w:spacing w:val="-1"/>
        </w:rPr>
        <w:t>0</w:t>
      </w:r>
      <w:r>
        <w:rPr>
          <w:rFonts w:ascii="Times New Roman" w:hAnsi="Times New Roman" w:cs="Times New Roman" w:eastAsia="Times New Roman" w:hint="default"/>
        </w:rPr>
        <w:t>7 </w:t>
      </w:r>
      <w:r>
        <w:rPr>
          <w:spacing w:val="-2"/>
          <w:w w:val="99"/>
        </w:rPr>
        <w:t>元</w:t>
      </w:r>
      <w:r>
        <w:rPr>
          <w:spacing w:val="1"/>
          <w:w w:val="99"/>
        </w:rPr>
        <w:t>（含税</w:t>
      </w:r>
      <w:r>
        <w:rPr>
          <w:spacing w:val="-105"/>
          <w:w w:val="99"/>
        </w:rPr>
        <w:t>）</w:t>
      </w:r>
      <w:r>
        <w:rPr>
          <w:w w:val="99"/>
        </w:rPr>
        <w:t>，送</w:t>
      </w:r>
      <w:r>
        <w:rPr>
          <w:spacing w:val="1"/>
          <w:w w:val="99"/>
        </w:rPr>
        <w:t>红</w:t>
      </w:r>
      <w:r>
        <w:rPr>
          <w:w w:val="99"/>
        </w:rPr>
        <w:t>股</w:t>
      </w:r>
      <w:r>
        <w:rPr>
          <w:spacing w:val="-52"/>
        </w:rPr>
        <w:t> </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w w:val="99"/>
        </w:rPr>
        <w:t>股（</w:t>
      </w:r>
      <w:r>
        <w:rPr>
          <w:spacing w:val="1"/>
          <w:w w:val="99"/>
        </w:rPr>
        <w:t>含税</w:t>
      </w:r>
      <w:r>
        <w:rPr>
          <w:spacing w:val="-105"/>
          <w:w w:val="99"/>
        </w:rPr>
        <w:t>）</w:t>
      </w:r>
      <w:r>
        <w:rPr>
          <w:w w:val="99"/>
        </w:rPr>
        <w:t>，以资</w:t>
      </w:r>
      <w:r>
        <w:rPr>
          <w:spacing w:val="1"/>
          <w:w w:val="99"/>
        </w:rPr>
        <w:t>本公积</w:t>
      </w:r>
      <w:r>
        <w:rPr>
          <w:w w:val="99"/>
        </w:rPr>
        <w:t>金向</w:t>
      </w:r>
      <w:r>
        <w:rPr>
          <w:spacing w:val="1"/>
          <w:w w:val="99"/>
        </w:rPr>
        <w:t>全体股</w:t>
      </w:r>
      <w:r>
        <w:rPr>
          <w:w w:val="99"/>
        </w:rPr>
        <w:t>东</w:t>
      </w:r>
      <w:r>
        <w:rPr>
          <w:b w:val="0"/>
          <w:bCs w:val="0"/>
        </w:rPr>
      </w:r>
    </w:p>
    <w:p>
      <w:pPr>
        <w:pStyle w:val="Heading3"/>
        <w:spacing w:line="240" w:lineRule="auto" w:before="177"/>
        <w:ind w:left="1133" w:right="0"/>
        <w:jc w:val="left"/>
        <w:rPr>
          <w:b w:val="0"/>
          <w:bCs w:val="0"/>
        </w:rPr>
      </w:pPr>
      <w:r>
        <w:rPr/>
        <w:t>每</w:t>
      </w:r>
      <w:r>
        <w:rPr>
          <w:spacing w:val="-53"/>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股转增</w:t>
      </w:r>
      <w:r>
        <w:rPr>
          <w:spacing w:val="-54"/>
        </w:rPr>
        <w:t> </w:t>
      </w:r>
      <w:r>
        <w:rPr>
          <w:rFonts w:ascii="Times New Roman" w:hAnsi="Times New Roman" w:cs="Times New Roman" w:eastAsia="Times New Roman" w:hint="default"/>
        </w:rPr>
        <w:t>0</w:t>
      </w:r>
      <w:r>
        <w:rPr>
          <w:rFonts w:ascii="Times New Roman" w:hAnsi="Times New Roman" w:cs="Times New Roman" w:eastAsia="Times New Roman" w:hint="default"/>
          <w:spacing w:val="-1"/>
        </w:rPr>
        <w:t> </w:t>
      </w:r>
      <w:r>
        <w:rPr/>
        <w:t>股。</w:t>
      </w:r>
      <w:r>
        <w:rPr>
          <w:b w:val="0"/>
          <w:bCs w:val="0"/>
        </w:rPr>
      </w:r>
    </w:p>
    <w:p>
      <w:pPr>
        <w:spacing w:after="0" w:line="240" w:lineRule="auto"/>
        <w:jc w:val="left"/>
        <w:sectPr>
          <w:pgSz w:w="11910" w:h="16840"/>
          <w:pgMar w:header="851" w:footer="979" w:top="1380" w:bottom="1160" w:left="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tabs>
          <w:tab w:pos="1264" w:val="left" w:leader="none"/>
        </w:tabs>
        <w:spacing w:before="165"/>
        <w:ind w:left="0" w:right="0"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2"/>
        <w:rPr>
          <w:rFonts w:ascii="宋体" w:hAnsi="宋体" w:cs="宋体" w:eastAsia="宋体" w:hint="default"/>
          <w:b/>
          <w:bCs/>
          <w:sz w:val="48"/>
          <w:szCs w:val="48"/>
        </w:rPr>
      </w:pPr>
    </w:p>
    <w:sdt>
      <w:sdtPr>
        <w:docPartObj>
          <w:docPartGallery w:val="Table of Contents"/>
          <w:docPartUnique/>
        </w:docPartObj>
      </w:sdtPr>
      <w:sdtEndPr/>
      <w:sdtContent>
        <w:p>
          <w:pPr>
            <w:pStyle w:val="TOC1"/>
            <w:tabs>
              <w:tab w:pos="10762" w:val="right" w:leader="dot"/>
            </w:tabs>
            <w:spacing w:line="240" w:lineRule="auto" w:before="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bookmark0">
            <w:r>
              <w:rPr/>
              <w:t>第一节 重要提示、目录和释义</w:t>
            </w:r>
            <w:r>
              <w:rPr>
                <w:rFonts w:ascii="Times New Roman" w:hAnsi="Times New Roman" w:cs="Times New Roman" w:eastAsia="Times New Roman" w:hint="default"/>
              </w:rPr>
              <w:tab/>
              <w:t>2</w:t>
            </w:r>
          </w:hyperlink>
        </w:p>
        <w:p>
          <w:pPr>
            <w:pStyle w:val="TOC1"/>
            <w:tabs>
              <w:tab w:pos="10762" w:val="right" w:leader="dot"/>
            </w:tabs>
            <w:spacing w:line="240" w:lineRule="auto" w:before="176"/>
            <w:ind w:right="0"/>
            <w:jc w:val="left"/>
            <w:rPr>
              <w:rFonts w:ascii="Times New Roman" w:hAnsi="Times New Roman" w:cs="Times New Roman" w:eastAsia="Times New Roman" w:hint="default"/>
            </w:rPr>
          </w:pPr>
          <w:hyperlink w:history="true" w:anchor="_bookmark1">
            <w:r>
              <w:rPr/>
              <w:t>第二节 公司简介和主要财务指标</w:t>
            </w:r>
            <w:r>
              <w:rPr>
                <w:rFonts w:ascii="Times New Roman" w:hAnsi="Times New Roman" w:cs="Times New Roman" w:eastAsia="Times New Roman" w:hint="default"/>
              </w:rPr>
              <w:tab/>
              <w:t>7</w:t>
            </w:r>
          </w:hyperlink>
        </w:p>
        <w:p>
          <w:pPr>
            <w:pStyle w:val="TOC1"/>
            <w:tabs>
              <w:tab w:pos="10754" w:val="right" w:leader="dot"/>
            </w:tabs>
            <w:spacing w:line="240" w:lineRule="auto"/>
            <w:ind w:right="0"/>
            <w:jc w:val="left"/>
            <w:rPr>
              <w:rFonts w:ascii="Times New Roman" w:hAnsi="Times New Roman" w:cs="Times New Roman" w:eastAsia="Times New Roman" w:hint="default"/>
            </w:rPr>
          </w:pPr>
          <w:hyperlink w:history="true" w:anchor="_bookmark2">
            <w:r>
              <w:rPr/>
              <w:t>第三节 公司业务概要</w:t>
            </w:r>
            <w:r>
              <w:rPr>
                <w:rFonts w:ascii="Times New Roman" w:hAnsi="Times New Roman" w:cs="Times New Roman" w:eastAsia="Times New Roman" w:hint="default"/>
              </w:rPr>
              <w:tab/>
            </w:r>
            <w:r>
              <w:rPr>
                <w:rFonts w:ascii="Times New Roman" w:hAnsi="Times New Roman" w:cs="Times New Roman" w:eastAsia="Times New Roman" w:hint="default"/>
                <w:spacing w:val="-9"/>
              </w:rPr>
              <w:t>11</w:t>
            </w:r>
            <w:r>
              <w:rPr>
                <w:rFonts w:ascii="Times New Roman" w:hAnsi="Times New Roman" w:cs="Times New Roman" w:eastAsia="Times New Roman" w:hint="default"/>
              </w:rPr>
            </w:r>
          </w:hyperlink>
        </w:p>
        <w:p>
          <w:pPr>
            <w:pStyle w:val="TOC1"/>
            <w:tabs>
              <w:tab w:pos="10762" w:val="right" w:leader="dot"/>
            </w:tabs>
            <w:spacing w:line="240" w:lineRule="auto"/>
            <w:ind w:right="0"/>
            <w:jc w:val="left"/>
            <w:rPr>
              <w:rFonts w:ascii="Times New Roman" w:hAnsi="Times New Roman" w:cs="Times New Roman" w:eastAsia="Times New Roman" w:hint="default"/>
            </w:rPr>
          </w:pPr>
          <w:hyperlink w:history="true" w:anchor="_bookmark3">
            <w:r>
              <w:rPr/>
              <w:t>第四节 经营情况讨论与分析</w:t>
            </w:r>
            <w:r>
              <w:rPr>
                <w:rFonts w:ascii="Times New Roman" w:hAnsi="Times New Roman" w:cs="Times New Roman" w:eastAsia="Times New Roman" w:hint="default"/>
              </w:rPr>
              <w:tab/>
              <w:t>23</w:t>
            </w:r>
          </w:hyperlink>
        </w:p>
        <w:p>
          <w:pPr>
            <w:pStyle w:val="TOC1"/>
            <w:tabs>
              <w:tab w:pos="10762" w:val="right" w:leader="dot"/>
            </w:tabs>
            <w:spacing w:line="240" w:lineRule="auto" w:before="176"/>
            <w:ind w:right="0"/>
            <w:jc w:val="left"/>
            <w:rPr>
              <w:rFonts w:ascii="Times New Roman" w:hAnsi="Times New Roman" w:cs="Times New Roman" w:eastAsia="Times New Roman" w:hint="default"/>
            </w:rPr>
          </w:pPr>
          <w:hyperlink w:history="true" w:anchor="_bookmark4">
            <w:r>
              <w:rPr/>
              <w:t>第五节 重要事项</w:t>
            </w:r>
            <w:r>
              <w:rPr>
                <w:rFonts w:ascii="Times New Roman" w:hAnsi="Times New Roman" w:cs="Times New Roman" w:eastAsia="Times New Roman" w:hint="default"/>
              </w:rPr>
              <w:tab/>
              <w:t>61</w:t>
            </w:r>
          </w:hyperlink>
        </w:p>
        <w:p>
          <w:pPr>
            <w:pStyle w:val="TOC1"/>
            <w:tabs>
              <w:tab w:pos="10762" w:val="right" w:leader="dot"/>
            </w:tabs>
            <w:spacing w:line="240" w:lineRule="auto"/>
            <w:ind w:right="0"/>
            <w:jc w:val="left"/>
            <w:rPr>
              <w:rFonts w:ascii="Times New Roman" w:hAnsi="Times New Roman" w:cs="Times New Roman" w:eastAsia="Times New Roman" w:hint="default"/>
            </w:rPr>
          </w:pPr>
          <w:hyperlink w:history="true" w:anchor="_bookmark5">
            <w:r>
              <w:rPr/>
              <w:t>第六节 股份变动及股东情况</w:t>
            </w:r>
            <w:r>
              <w:rPr>
                <w:rFonts w:ascii="Times New Roman" w:hAnsi="Times New Roman" w:cs="Times New Roman" w:eastAsia="Times New Roman" w:hint="default"/>
              </w:rPr>
              <w:tab/>
              <w:t>77</w:t>
            </w:r>
          </w:hyperlink>
        </w:p>
        <w:p>
          <w:pPr>
            <w:pStyle w:val="TOC1"/>
            <w:tabs>
              <w:tab w:pos="10762" w:val="right" w:leader="dot"/>
            </w:tabs>
            <w:spacing w:line="240" w:lineRule="auto"/>
            <w:ind w:right="0"/>
            <w:jc w:val="left"/>
            <w:rPr>
              <w:rFonts w:ascii="Times New Roman" w:hAnsi="Times New Roman" w:cs="Times New Roman" w:eastAsia="Times New Roman" w:hint="default"/>
            </w:rPr>
          </w:pPr>
          <w:hyperlink w:history="true" w:anchor="_bookmark6">
            <w:r>
              <w:rPr/>
              <w:t>第七节 优先股相关情况</w:t>
            </w:r>
            <w:r>
              <w:rPr>
                <w:rFonts w:ascii="Times New Roman" w:hAnsi="Times New Roman" w:cs="Times New Roman" w:eastAsia="Times New Roman" w:hint="default"/>
              </w:rPr>
              <w:tab/>
              <w:t>83</w:t>
            </w:r>
          </w:hyperlink>
        </w:p>
        <w:p>
          <w:pPr>
            <w:pStyle w:val="TOC1"/>
            <w:tabs>
              <w:tab w:pos="10762" w:val="right" w:leader="dot"/>
            </w:tabs>
            <w:spacing w:line="240" w:lineRule="auto" w:before="177"/>
            <w:ind w:right="0"/>
            <w:jc w:val="left"/>
            <w:rPr>
              <w:rFonts w:ascii="Times New Roman" w:hAnsi="Times New Roman" w:cs="Times New Roman" w:eastAsia="Times New Roman" w:hint="default"/>
            </w:rPr>
          </w:pPr>
          <w:hyperlink w:history="true" w:anchor="_bookmark7">
            <w:r>
              <w:rPr/>
              <w:t>第八节 董事、监事、高级管理人员和员工情况</w:t>
            </w:r>
            <w:r>
              <w:rPr>
                <w:rFonts w:ascii="Times New Roman" w:hAnsi="Times New Roman" w:cs="Times New Roman" w:eastAsia="Times New Roman" w:hint="default"/>
              </w:rPr>
              <w:tab/>
              <w:t>84</w:t>
            </w:r>
          </w:hyperlink>
        </w:p>
        <w:p>
          <w:pPr>
            <w:pStyle w:val="TOC1"/>
            <w:tabs>
              <w:tab w:pos="10762" w:val="right" w:leader="dot"/>
            </w:tabs>
            <w:spacing w:line="240" w:lineRule="auto"/>
            <w:ind w:right="0"/>
            <w:jc w:val="left"/>
            <w:rPr>
              <w:rFonts w:ascii="Times New Roman" w:hAnsi="Times New Roman" w:cs="Times New Roman" w:eastAsia="Times New Roman" w:hint="default"/>
            </w:rPr>
          </w:pPr>
          <w:hyperlink w:history="true" w:anchor="_bookmark8">
            <w:r>
              <w:rPr/>
              <w:t>第九节 公司治理</w:t>
            </w:r>
            <w:r>
              <w:rPr>
                <w:rFonts w:ascii="Times New Roman" w:hAnsi="Times New Roman" w:cs="Times New Roman" w:eastAsia="Times New Roman" w:hint="default"/>
              </w:rPr>
              <w:tab/>
              <w:t>95</w:t>
            </w:r>
          </w:hyperlink>
        </w:p>
        <w:p>
          <w:pPr>
            <w:pStyle w:val="TOC1"/>
            <w:tabs>
              <w:tab w:pos="10762" w:val="right" w:leader="dot"/>
            </w:tabs>
            <w:spacing w:line="240" w:lineRule="auto"/>
            <w:ind w:right="0"/>
            <w:jc w:val="left"/>
            <w:rPr>
              <w:rFonts w:ascii="Times New Roman" w:hAnsi="Times New Roman" w:cs="Times New Roman" w:eastAsia="Times New Roman" w:hint="default"/>
            </w:rPr>
          </w:pPr>
          <w:hyperlink w:history="true" w:anchor="_bookmark9">
            <w:r>
              <w:rPr/>
              <w:t>第十节 公司债券相关情况</w:t>
            </w:r>
            <w:r>
              <w:rPr>
                <w:rFonts w:ascii="Times New Roman" w:hAnsi="Times New Roman" w:cs="Times New Roman" w:eastAsia="Times New Roman" w:hint="default"/>
              </w:rPr>
              <w:tab/>
              <w:t>102</w:t>
            </w:r>
          </w:hyperlink>
        </w:p>
        <w:p>
          <w:pPr>
            <w:pStyle w:val="TOC1"/>
            <w:tabs>
              <w:tab w:pos="10762" w:val="right" w:leader="dot"/>
            </w:tabs>
            <w:spacing w:line="240" w:lineRule="auto" w:before="176"/>
            <w:ind w:right="0"/>
            <w:jc w:val="left"/>
            <w:rPr>
              <w:rFonts w:ascii="Times New Roman" w:hAnsi="Times New Roman" w:cs="Times New Roman" w:eastAsia="Times New Roman" w:hint="default"/>
            </w:rPr>
          </w:pPr>
          <w:hyperlink w:history="true" w:anchor="_bookmark10">
            <w:r>
              <w:rPr/>
              <w:t>第十一节 财务报告</w:t>
            </w:r>
            <w:r>
              <w:rPr>
                <w:rFonts w:ascii="Times New Roman" w:hAnsi="Times New Roman" w:cs="Times New Roman" w:eastAsia="Times New Roman" w:hint="default"/>
              </w:rPr>
              <w:tab/>
              <w:t>103</w:t>
            </w:r>
          </w:hyperlink>
        </w:p>
        <w:p>
          <w:pPr>
            <w:pStyle w:val="TOC1"/>
            <w:tabs>
              <w:tab w:pos="10762" w:val="right" w:leader="dot"/>
            </w:tabs>
            <w:spacing w:line="240" w:lineRule="auto"/>
            <w:ind w:right="0"/>
            <w:jc w:val="left"/>
            <w:rPr>
              <w:rFonts w:ascii="Times New Roman" w:hAnsi="Times New Roman" w:cs="Times New Roman" w:eastAsia="Times New Roman" w:hint="default"/>
            </w:rPr>
          </w:pPr>
          <w:hyperlink w:history="true" w:anchor="_bookmark11">
            <w:r>
              <w:rPr/>
              <w:t>第十二节 备查文件目录</w:t>
            </w:r>
            <w:r>
              <w:rPr>
                <w:rFonts w:ascii="Times New Roman" w:hAnsi="Times New Roman" w:cs="Times New Roman" w:eastAsia="Times New Roman" w:hint="default"/>
              </w:rPr>
              <w:tab/>
              <w:t>231</w:t>
            </w:r>
          </w:hyperlink>
        </w:p>
        <w:p>
          <w:pPr/>
          <w:r>
            <w:fldChar w:fldCharType="end"/>
          </w:r>
        </w:p>
      </w:sdtContent>
    </w:sdt>
    <w:p>
      <w:pPr>
        <w:spacing w:after="0"/>
        <w:sectPr>
          <w:pgSz w:w="11910" w:h="16840"/>
          <w:pgMar w:header="851" w:footer="979" w:top="1380" w:bottom="1160" w:left="0" w:right="0"/>
        </w:sectPr>
      </w:pPr>
    </w:p>
    <w:p>
      <w:pPr>
        <w:spacing w:before="804"/>
        <w:ind w:left="1" w:right="0"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8"/>
          <w:szCs w:val="18"/>
        </w:rPr>
      </w:pPr>
    </w:p>
    <w:p>
      <w:pPr>
        <w:pStyle w:val="BodyText"/>
        <w:spacing w:line="240" w:lineRule="auto"/>
        <w:ind w:left="630" w:right="1139"/>
        <w:jc w:val="right"/>
      </w:pPr>
      <w:r>
        <w:rPr/>
        <w:pict>
          <v:shape style="position:absolute;margin-left:56.459999pt;margin-top:-63.888252pt;width:479.25pt;height:581.2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525"/>
                    <w:gridCol w:w="609"/>
                    <w:gridCol w:w="5436"/>
                  </w:tblGrid>
                  <w:tr>
                    <w:trPr>
                      <w:trHeight w:val="322" w:hRule="exact"/>
                    </w:trPr>
                    <w:tc>
                      <w:tcPr>
                        <w:tcW w:w="3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785" w:hRule="exact"/>
                    </w:trPr>
                    <w:tc>
                      <w:tcPr>
                        <w:tcW w:w="3525"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运营管理</w:t>
                        </w:r>
                      </w:p>
                    </w:tc>
                    <w:tc>
                      <w:tcPr>
                        <w:tcW w:w="60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04" w:lineRule="auto" w:before="10"/>
                          <w:ind w:left="27"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ICT</w:t>
                        </w:r>
                        <w:r>
                          <w:rPr>
                            <w:rFonts w:ascii="宋体" w:hAnsi="宋体" w:cs="宋体" w:eastAsia="宋体" w:hint="default"/>
                            <w:sz w:val="18"/>
                            <w:szCs w:val="18"/>
                          </w:rPr>
                          <w:t>，即信息业（</w:t>
                        </w:r>
                        <w:r>
                          <w:rPr>
                            <w:rFonts w:ascii="Times New Roman" w:hAnsi="Times New Roman" w:cs="Times New Roman" w:eastAsia="Times New Roman" w:hint="default"/>
                            <w:sz w:val="18"/>
                            <w:szCs w:val="18"/>
                          </w:rPr>
                          <w:t>IT</w:t>
                        </w:r>
                        <w:r>
                          <w:rPr>
                            <w:rFonts w:ascii="宋体" w:hAnsi="宋体" w:cs="宋体" w:eastAsia="宋体" w:hint="default"/>
                            <w:sz w:val="18"/>
                            <w:szCs w:val="18"/>
                          </w:rPr>
                          <w:t>）与通信产业（</w:t>
                        </w:r>
                        <w:r>
                          <w:rPr>
                            <w:rFonts w:ascii="Times New Roman" w:hAnsi="Times New Roman" w:cs="Times New Roman" w:eastAsia="Times New Roman" w:hint="default"/>
                            <w:sz w:val="18"/>
                            <w:szCs w:val="18"/>
                          </w:rPr>
                          <w:t>CT</w:t>
                        </w:r>
                        <w:r>
                          <w:rPr>
                            <w:rFonts w:ascii="宋体" w:hAnsi="宋体" w:cs="宋体" w:eastAsia="宋体" w:hint="default"/>
                            <w:sz w:val="18"/>
                            <w:szCs w:val="18"/>
                          </w:rPr>
                          <w:t>）的统称，</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20"/>
                            <w:sz w:val="18"/>
                            <w:szCs w:val="18"/>
                          </w:rPr>
                          <w:t> </w:t>
                        </w:r>
                        <w:r>
                          <w:rPr>
                            <w:rFonts w:ascii="宋体" w:hAnsi="宋体" w:cs="宋体" w:eastAsia="宋体" w:hint="default"/>
                            <w:sz w:val="18"/>
                            <w:szCs w:val="18"/>
                          </w:rPr>
                          <w:t>领域运营管理</w:t>
                        </w:r>
                        <w:r>
                          <w:rPr>
                            <w:rFonts w:ascii="宋体" w:hAnsi="宋体" w:cs="宋体" w:eastAsia="宋体" w:hint="default"/>
                            <w:w w:val="99"/>
                            <w:sz w:val="18"/>
                            <w:szCs w:val="18"/>
                          </w:rPr>
                          <w:t> </w:t>
                        </w:r>
                        <w:r>
                          <w:rPr>
                            <w:rFonts w:ascii="宋体" w:hAnsi="宋体" w:cs="宋体" w:eastAsia="宋体" w:hint="default"/>
                            <w:sz w:val="18"/>
                            <w:szCs w:val="18"/>
                          </w:rPr>
                          <w:t>软件研发和服务即通过提供软件与服务的方式对</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1"/>
                            <w:sz w:val="18"/>
                            <w:szCs w:val="18"/>
                          </w:rPr>
                          <w:t> </w:t>
                        </w:r>
                        <w:r>
                          <w:rPr>
                            <w:rFonts w:ascii="宋体" w:hAnsi="宋体" w:cs="宋体" w:eastAsia="宋体" w:hint="default"/>
                            <w:spacing w:val="-8"/>
                            <w:sz w:val="18"/>
                            <w:szCs w:val="18"/>
                          </w:rPr>
                          <w:t>基础设施、业务</w:t>
                        </w:r>
                        <w:r>
                          <w:rPr>
                            <w:rFonts w:ascii="宋体" w:hAnsi="宋体" w:cs="宋体" w:eastAsia="宋体" w:hint="default"/>
                            <w:w w:val="99"/>
                            <w:sz w:val="18"/>
                            <w:szCs w:val="18"/>
                          </w:rPr>
                          <w:t> </w:t>
                        </w:r>
                        <w:r>
                          <w:rPr>
                            <w:rFonts w:ascii="宋体" w:hAnsi="宋体" w:cs="宋体" w:eastAsia="宋体" w:hint="default"/>
                            <w:spacing w:val="-2"/>
                            <w:sz w:val="18"/>
                            <w:szCs w:val="18"/>
                          </w:rPr>
                          <w:t>应用和运维体系进行全面统一的管理，及时发现和解决故障，规范运</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3"/>
                            <w:sz w:val="18"/>
                            <w:szCs w:val="18"/>
                          </w:rPr>
                          <w:t>行维护和支持服务工作，保障</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2"/>
                            <w:sz w:val="18"/>
                            <w:szCs w:val="18"/>
                          </w:rPr>
                          <w:t> </w:t>
                        </w:r>
                        <w:r>
                          <w:rPr>
                            <w:rFonts w:ascii="宋体" w:hAnsi="宋体" w:cs="宋体" w:eastAsia="宋体" w:hint="default"/>
                            <w:spacing w:val="-8"/>
                            <w:sz w:val="18"/>
                            <w:szCs w:val="18"/>
                          </w:rPr>
                          <w:t>系统安全、稳定、可靠、高效运行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公司</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ICT</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运营管理产品线主要涵盖</w:t>
                        </w:r>
                        <w:r>
                          <w:rPr>
                            <w:rFonts w:ascii="宋体" w:hAnsi="宋体" w:cs="宋体" w:eastAsia="宋体" w:hint="default"/>
                            <w:spacing w:val="-34"/>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网管、通信专业网管、流程管</w:t>
                        </w:r>
                        <w:r>
                          <w:rPr>
                            <w:rFonts w:ascii="宋体" w:hAnsi="宋体" w:cs="宋体" w:eastAsia="宋体" w:hint="default"/>
                            <w:w w:val="99"/>
                            <w:sz w:val="18"/>
                            <w:szCs w:val="18"/>
                          </w:rPr>
                          <w:t> </w:t>
                        </w:r>
                        <w:r>
                          <w:rPr>
                            <w:rFonts w:ascii="宋体" w:hAnsi="宋体" w:cs="宋体" w:eastAsia="宋体" w:hint="default"/>
                            <w:spacing w:val="-5"/>
                            <w:sz w:val="18"/>
                            <w:szCs w:val="18"/>
                          </w:rPr>
                          <w:t>理、信息安全管理、拨测及网络优化、移动互联网运营、系统集成等</w:t>
                        </w:r>
                      </w:p>
                    </w:tc>
                  </w:tr>
                  <w:tr>
                    <w:trPr>
                      <w:trHeight w:val="312" w:hRule="exact"/>
                    </w:trPr>
                    <w:tc>
                      <w:tcPr>
                        <w:tcW w:w="3525" w:type="dxa"/>
                        <w:vMerge/>
                        <w:tcBorders>
                          <w:left w:val="single" w:sz="4" w:space="0" w:color="000000"/>
                          <w:right w:val="single" w:sz="9" w:space="0" w:color="D2D2D2"/>
                        </w:tcBorders>
                      </w:tcPr>
                      <w:p>
                        <w:pPr/>
                      </w:p>
                    </w:tc>
                    <w:tc>
                      <w:tcPr>
                        <w:tcW w:w="6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785" w:hRule="exact"/>
                    </w:trPr>
                    <w:tc>
                      <w:tcPr>
                        <w:tcW w:w="3525" w:type="dxa"/>
                        <w:vMerge/>
                        <w:tcBorders>
                          <w:left w:val="single" w:sz="4" w:space="0" w:color="000000"/>
                          <w:bottom w:val="single" w:sz="4" w:space="0" w:color="000000"/>
                          <w:right w:val="single" w:sz="9" w:space="0" w:color="D2D2D2"/>
                        </w:tcBorders>
                      </w:tcPr>
                      <w:p>
                        <w:pPr/>
                      </w:p>
                    </w:tc>
                    <w:tc>
                      <w:tcPr>
                        <w:tcW w:w="60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318" w:hRule="exact"/>
                    </w:trPr>
                    <w:tc>
                      <w:tcPr>
                        <w:tcW w:w="3525" w:type="dxa"/>
                        <w:vMerge w:val="restart"/>
                        <w:tcBorders>
                          <w:top w:val="single" w:sz="4" w:space="0" w:color="000000"/>
                          <w:left w:val="single" w:sz="4" w:space="0" w:color="000000"/>
                          <w:right w:val="single" w:sz="9" w:space="0" w:color="D2D2D2"/>
                        </w:tcBorders>
                      </w:tcPr>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人工智能</w:t>
                        </w:r>
                      </w:p>
                    </w:tc>
                    <w:tc>
                      <w:tcPr>
                        <w:tcW w:w="60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09" w:lineRule="auto" w:before="11"/>
                          <w:ind w:left="27" w:right="22"/>
                          <w:jc w:val="left"/>
                          <w:rPr>
                            <w:rFonts w:ascii="宋体" w:hAnsi="宋体" w:cs="宋体" w:eastAsia="宋体" w:hint="default"/>
                            <w:sz w:val="18"/>
                            <w:szCs w:val="18"/>
                          </w:rPr>
                        </w:pPr>
                        <w:r>
                          <w:rPr>
                            <w:rFonts w:ascii="宋体" w:hAnsi="宋体" w:cs="宋体" w:eastAsia="宋体" w:hint="default"/>
                            <w:spacing w:val="-4"/>
                            <w:w w:val="99"/>
                            <w:sz w:val="18"/>
                            <w:szCs w:val="18"/>
                          </w:rPr>
                          <w:t>公司专注于自然语言处理（</w:t>
                        </w:r>
                        <w:r>
                          <w:rPr>
                            <w:rFonts w:ascii="Times New Roman" w:hAnsi="Times New Roman" w:cs="Times New Roman" w:eastAsia="Times New Roman" w:hint="default"/>
                            <w:spacing w:val="-4"/>
                            <w:w w:val="99"/>
                            <w:sz w:val="18"/>
                            <w:szCs w:val="18"/>
                          </w:rPr>
                          <w:t>NLP</w:t>
                        </w:r>
                        <w:r>
                          <w:rPr>
                            <w:rFonts w:ascii="宋体" w:hAnsi="宋体" w:cs="宋体" w:eastAsia="宋体" w:hint="default"/>
                            <w:spacing w:val="-4"/>
                            <w:w w:val="99"/>
                            <w:sz w:val="18"/>
                            <w:szCs w:val="18"/>
                          </w:rPr>
                          <w:t>），将独到的自然语言语义分析技术</w:t>
                        </w:r>
                        <w:r>
                          <w:rPr>
                            <w:rFonts w:ascii="宋体" w:hAnsi="宋体" w:cs="宋体" w:eastAsia="宋体" w:hint="default"/>
                            <w:spacing w:val="-70"/>
                            <w:w w:val="99"/>
                            <w:sz w:val="18"/>
                            <w:szCs w:val="18"/>
                          </w:rPr>
                          <w:t> </w:t>
                        </w:r>
                        <w:r>
                          <w:rPr>
                            <w:rFonts w:ascii="宋体" w:hAnsi="宋体" w:cs="宋体" w:eastAsia="宋体" w:hint="default"/>
                            <w:spacing w:val="-70"/>
                            <w:w w:val="99"/>
                            <w:sz w:val="18"/>
                            <w:szCs w:val="18"/>
                          </w:rPr>
                        </w:r>
                        <w:r>
                          <w:rPr>
                            <w:rFonts w:ascii="宋体" w:hAnsi="宋体" w:cs="宋体" w:eastAsia="宋体" w:hint="default"/>
                            <w:spacing w:val="-2"/>
                            <w:sz w:val="18"/>
                            <w:szCs w:val="18"/>
                          </w:rPr>
                          <w:t>深度学习、大数据技术、互联网信息采集技术等进行融合，解决不同</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垂直行业的业务系统人工智能化。</w:t>
                        </w:r>
                      </w:p>
                    </w:tc>
                  </w:tr>
                  <w:tr>
                    <w:trPr>
                      <w:trHeight w:val="312" w:hRule="exact"/>
                    </w:trPr>
                    <w:tc>
                      <w:tcPr>
                        <w:tcW w:w="3525" w:type="dxa"/>
                        <w:vMerge/>
                        <w:tcBorders>
                          <w:left w:val="single" w:sz="4" w:space="0" w:color="000000"/>
                          <w:right w:val="single" w:sz="9" w:space="0" w:color="D2D2D2"/>
                        </w:tcBorders>
                      </w:tcPr>
                      <w:p>
                        <w:pPr/>
                      </w:p>
                    </w:tc>
                    <w:tc>
                      <w:tcPr>
                        <w:tcW w:w="6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317" w:hRule="exact"/>
                    </w:trPr>
                    <w:tc>
                      <w:tcPr>
                        <w:tcW w:w="3525" w:type="dxa"/>
                        <w:vMerge/>
                        <w:tcBorders>
                          <w:left w:val="single" w:sz="4" w:space="0" w:color="000000"/>
                          <w:bottom w:val="single" w:sz="4" w:space="0" w:color="000000"/>
                          <w:right w:val="single" w:sz="9" w:space="0" w:color="D2D2D2"/>
                        </w:tcBorders>
                      </w:tcPr>
                      <w:p>
                        <w:pPr/>
                      </w:p>
                    </w:tc>
                    <w:tc>
                      <w:tcPr>
                        <w:tcW w:w="60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629" w:hRule="exact"/>
                    </w:trPr>
                    <w:tc>
                      <w:tcPr>
                        <w:tcW w:w="3525"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智享云</w:t>
                        </w:r>
                      </w:p>
                    </w:tc>
                    <w:tc>
                      <w:tcPr>
                        <w:tcW w:w="60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4" w:lineRule="auto" w:before="10"/>
                          <w:ind w:left="27" w:right="20"/>
                          <w:jc w:val="both"/>
                          <w:rPr>
                            <w:rFonts w:ascii="宋体" w:hAnsi="宋体" w:cs="宋体" w:eastAsia="宋体" w:hint="default"/>
                            <w:sz w:val="18"/>
                            <w:szCs w:val="18"/>
                          </w:rPr>
                        </w:pPr>
                        <w:r>
                          <w:rPr>
                            <w:rFonts w:ascii="宋体" w:hAnsi="宋体" w:cs="宋体" w:eastAsia="宋体" w:hint="default"/>
                            <w:spacing w:val="-2"/>
                            <w:sz w:val="18"/>
                            <w:szCs w:val="18"/>
                          </w:rPr>
                          <w:t>业务创新信息综合服务云平台，秉持共享互赢的生态理念，依托公司</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Times New Roman" w:hAnsi="Times New Roman" w:cs="Times New Roman" w:eastAsia="Times New Roman" w:hint="default"/>
                            <w:spacing w:val="-4"/>
                            <w:w w:val="99"/>
                            <w:sz w:val="18"/>
                            <w:szCs w:val="18"/>
                          </w:rPr>
                          <w:t>DINFO-OEC</w:t>
                        </w:r>
                        <w:r>
                          <w:rPr>
                            <w:rFonts w:ascii="宋体" w:hAnsi="宋体" w:cs="宋体" w:eastAsia="宋体" w:hint="default"/>
                            <w:spacing w:val="-4"/>
                            <w:w w:val="99"/>
                            <w:sz w:val="18"/>
                            <w:szCs w:val="18"/>
                          </w:rPr>
                          <w:t>（非结构化文本分析挖掘平台）、互联网信息采集的蜂鸟</w:t>
                        </w:r>
                        <w:r>
                          <w:rPr>
                            <w:rFonts w:ascii="宋体" w:hAnsi="宋体" w:cs="宋体" w:eastAsia="宋体" w:hint="default"/>
                            <w:spacing w:val="-57"/>
                            <w:w w:val="99"/>
                            <w:sz w:val="18"/>
                            <w:szCs w:val="18"/>
                          </w:rPr>
                          <w:t> </w:t>
                        </w:r>
                        <w:r>
                          <w:rPr>
                            <w:rFonts w:ascii="宋体" w:hAnsi="宋体" w:cs="宋体" w:eastAsia="宋体" w:hint="default"/>
                            <w:spacing w:val="-57"/>
                            <w:w w:val="99"/>
                            <w:sz w:val="18"/>
                            <w:szCs w:val="18"/>
                          </w:rPr>
                        </w:r>
                        <w:r>
                          <w:rPr>
                            <w:rFonts w:ascii="宋体" w:hAnsi="宋体" w:cs="宋体" w:eastAsia="宋体" w:hint="default"/>
                            <w:spacing w:val="-2"/>
                            <w:sz w:val="18"/>
                            <w:szCs w:val="18"/>
                          </w:rPr>
                          <w:t>系统和大数据流水线系统，为行业用户与合作伙伴提供更贴近业务场</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景的原子服务，使得每个用户都可以通过平台找到或者组合出符合自</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身需要的专属产品和服务。</w:t>
                        </w:r>
                      </w:p>
                    </w:tc>
                  </w:tr>
                  <w:tr>
                    <w:trPr>
                      <w:trHeight w:val="312" w:hRule="exact"/>
                    </w:trPr>
                    <w:tc>
                      <w:tcPr>
                        <w:tcW w:w="3525" w:type="dxa"/>
                        <w:vMerge/>
                        <w:tcBorders>
                          <w:left w:val="single" w:sz="4" w:space="0" w:color="000000"/>
                          <w:right w:val="single" w:sz="9" w:space="0" w:color="D2D2D2"/>
                        </w:tcBorders>
                      </w:tcPr>
                      <w:p>
                        <w:pPr/>
                      </w:p>
                    </w:tc>
                    <w:tc>
                      <w:tcPr>
                        <w:tcW w:w="6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629" w:hRule="exact"/>
                    </w:trPr>
                    <w:tc>
                      <w:tcPr>
                        <w:tcW w:w="3525" w:type="dxa"/>
                        <w:vMerge/>
                        <w:tcBorders>
                          <w:left w:val="single" w:sz="4" w:space="0" w:color="000000"/>
                          <w:bottom w:val="single" w:sz="4" w:space="0" w:color="000000"/>
                          <w:right w:val="single" w:sz="9" w:space="0" w:color="D2D2D2"/>
                        </w:tcBorders>
                      </w:tcPr>
                      <w:p>
                        <w:pPr/>
                      </w:p>
                    </w:tc>
                    <w:tc>
                      <w:tcPr>
                        <w:tcW w:w="60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785" w:hRule="exact"/>
                    </w:trPr>
                    <w:tc>
                      <w:tcPr>
                        <w:tcW w:w="3525"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5" w:right="0"/>
                          <w:jc w:val="center"/>
                          <w:rPr>
                            <w:rFonts w:ascii="宋体" w:hAnsi="宋体" w:cs="宋体" w:eastAsia="宋体" w:hint="default"/>
                            <w:sz w:val="18"/>
                            <w:szCs w:val="18"/>
                          </w:rPr>
                        </w:pPr>
                        <w:r>
                          <w:rPr>
                            <w:rFonts w:ascii="宋体" w:hAnsi="宋体" w:cs="宋体" w:eastAsia="宋体" w:hint="default"/>
                            <w:sz w:val="18"/>
                            <w:szCs w:val="18"/>
                          </w:rPr>
                          <w:t>智慧线</w:t>
                        </w:r>
                      </w:p>
                    </w:tc>
                    <w:tc>
                      <w:tcPr>
                        <w:tcW w:w="60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4" w:lineRule="auto" w:before="11"/>
                          <w:ind w:left="27" w:right="21"/>
                          <w:jc w:val="both"/>
                          <w:rPr>
                            <w:rFonts w:ascii="宋体" w:hAnsi="宋体" w:cs="宋体" w:eastAsia="宋体" w:hint="default"/>
                            <w:sz w:val="18"/>
                            <w:szCs w:val="18"/>
                          </w:rPr>
                        </w:pPr>
                        <w:r>
                          <w:rPr>
                            <w:rFonts w:ascii="宋体" w:hAnsi="宋体" w:cs="宋体" w:eastAsia="宋体" w:hint="default"/>
                            <w:spacing w:val="-2"/>
                            <w:sz w:val="18"/>
                            <w:szCs w:val="18"/>
                          </w:rPr>
                          <w:t>是公司物联网技术应用领域的核心产品，公司运用独创的设计和先进</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工艺，把物联网芯片嵌入到电缆中，形成集射频收发、供电、数字信</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号传输于一体的智能感知网络产品</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智慧线，作为物联网的异构网</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络的有益补充，其特有的线缆形态解决了多种场景的覆盖难题，其强</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大的信息安全、无线感知、精准定位、数据接入能力支撑广泛应用于</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工业场景，可为敏捷运维提供坚实的保障和支撑。</w:t>
                        </w:r>
                      </w:p>
                    </w:tc>
                  </w:tr>
                  <w:tr>
                    <w:trPr>
                      <w:trHeight w:val="312" w:hRule="exact"/>
                    </w:trPr>
                    <w:tc>
                      <w:tcPr>
                        <w:tcW w:w="3525" w:type="dxa"/>
                        <w:vMerge/>
                        <w:tcBorders>
                          <w:left w:val="single" w:sz="4" w:space="0" w:color="000000"/>
                          <w:right w:val="single" w:sz="9" w:space="0" w:color="D2D2D2"/>
                        </w:tcBorders>
                      </w:tcPr>
                      <w:p>
                        <w:pPr/>
                      </w:p>
                    </w:tc>
                    <w:tc>
                      <w:tcPr>
                        <w:tcW w:w="6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785" w:hRule="exact"/>
                    </w:trPr>
                    <w:tc>
                      <w:tcPr>
                        <w:tcW w:w="3525" w:type="dxa"/>
                        <w:vMerge/>
                        <w:tcBorders>
                          <w:left w:val="single" w:sz="4" w:space="0" w:color="000000"/>
                          <w:bottom w:val="single" w:sz="4" w:space="0" w:color="000000"/>
                          <w:right w:val="single" w:sz="9" w:space="0" w:color="D2D2D2"/>
                        </w:tcBorders>
                      </w:tcPr>
                      <w:p>
                        <w:pPr/>
                      </w:p>
                    </w:tc>
                    <w:tc>
                      <w:tcPr>
                        <w:tcW w:w="60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786" w:hRule="exact"/>
                    </w:trPr>
                    <w:tc>
                      <w:tcPr>
                        <w:tcW w:w="3525"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 w:right="0"/>
                          <w:jc w:val="center"/>
                          <w:rPr>
                            <w:rFonts w:ascii="Times New Roman" w:hAnsi="Times New Roman" w:cs="Times New Roman" w:eastAsia="Times New Roman" w:hint="default"/>
                            <w:sz w:val="18"/>
                            <w:szCs w:val="18"/>
                          </w:rPr>
                        </w:pPr>
                        <w:r>
                          <w:rPr>
                            <w:rFonts w:ascii="Times New Roman"/>
                            <w:sz w:val="18"/>
                          </w:rPr>
                          <w:t>Nu-WiFi</w:t>
                        </w:r>
                      </w:p>
                    </w:tc>
                    <w:tc>
                      <w:tcPr>
                        <w:tcW w:w="60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2" w:lineRule="auto" w:before="11"/>
                          <w:ind w:left="27" w:right="21"/>
                          <w:jc w:val="both"/>
                          <w:rPr>
                            <w:rFonts w:ascii="宋体" w:hAnsi="宋体" w:cs="宋体" w:eastAsia="宋体" w:hint="default"/>
                            <w:sz w:val="18"/>
                            <w:szCs w:val="18"/>
                          </w:rPr>
                        </w:pPr>
                        <w:r>
                          <w:rPr>
                            <w:rFonts w:ascii="宋体" w:hAnsi="宋体" w:cs="宋体" w:eastAsia="宋体" w:hint="default"/>
                            <w:sz w:val="18"/>
                            <w:szCs w:val="18"/>
                          </w:rPr>
                          <w:t>自主通信协议的物联网与标准 </w:t>
                        </w:r>
                        <w:r>
                          <w:rPr>
                            <w:rFonts w:ascii="Times New Roman" w:hAnsi="Times New Roman" w:cs="Times New Roman" w:eastAsia="Times New Roman" w:hint="default"/>
                            <w:sz w:val="18"/>
                            <w:szCs w:val="18"/>
                          </w:rPr>
                          <w:t>WiFi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协议进行深度融合，完美实现了 物联网的超低功率，海量终端接入特性与 </w:t>
                        </w:r>
                        <w:r>
                          <w:rPr>
                            <w:rFonts w:ascii="Times New Roman" w:hAnsi="Times New Roman" w:cs="Times New Roman" w:eastAsia="Times New Roman" w:hint="default"/>
                            <w:sz w:val="18"/>
                            <w:szCs w:val="18"/>
                          </w:rPr>
                          <w:t>WiFi</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网络的高带宽特性的 </w:t>
                        </w:r>
                        <w:r>
                          <w:rPr>
                            <w:rFonts w:ascii="宋体" w:hAnsi="宋体" w:cs="宋体" w:eastAsia="宋体" w:hint="default"/>
                            <w:spacing w:val="-2"/>
                            <w:sz w:val="18"/>
                            <w:szCs w:val="18"/>
                          </w:rPr>
                          <w:t>结合，实现了电磁敏感区，超低功率无线接入模式与常规区域自动漫</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游切换，并具备精准的功率控制能力和分级可控的安全接入机制，成</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4"/>
                            <w:sz w:val="18"/>
                            <w:szCs w:val="18"/>
                          </w:rPr>
                          <w:t>为国内外首个完全满足核电站高电磁安全和高信息安全要求的无线</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通信系统。</w:t>
                        </w:r>
                      </w:p>
                    </w:tc>
                  </w:tr>
                  <w:tr>
                    <w:trPr>
                      <w:trHeight w:val="312" w:hRule="exact"/>
                    </w:trPr>
                    <w:tc>
                      <w:tcPr>
                        <w:tcW w:w="3525" w:type="dxa"/>
                        <w:vMerge/>
                        <w:tcBorders>
                          <w:left w:val="single" w:sz="4" w:space="0" w:color="000000"/>
                          <w:right w:val="single" w:sz="9" w:space="0" w:color="D2D2D2"/>
                        </w:tcBorders>
                      </w:tcPr>
                      <w:p>
                        <w:pPr/>
                      </w:p>
                    </w:tc>
                    <w:tc>
                      <w:tcPr>
                        <w:tcW w:w="6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785" w:hRule="exact"/>
                    </w:trPr>
                    <w:tc>
                      <w:tcPr>
                        <w:tcW w:w="3525" w:type="dxa"/>
                        <w:vMerge/>
                        <w:tcBorders>
                          <w:left w:val="single" w:sz="4" w:space="0" w:color="000000"/>
                          <w:bottom w:val="single" w:sz="4" w:space="0" w:color="000000"/>
                          <w:right w:val="single" w:sz="9" w:space="0" w:color="D2D2D2"/>
                        </w:tcBorders>
                      </w:tcPr>
                      <w:p>
                        <w:pPr/>
                      </w:p>
                    </w:tc>
                    <w:tc>
                      <w:tcPr>
                        <w:tcW w:w="60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r>
                    <w:trPr>
                      <w:trHeight w:val="1409" w:hRule="exact"/>
                    </w:trPr>
                    <w:tc>
                      <w:tcPr>
                        <w:tcW w:w="3525" w:type="dxa"/>
                        <w:vMerge w:val="restart"/>
                        <w:tcBorders>
                          <w:top w:val="single" w:sz="4" w:space="0" w:color="000000"/>
                          <w:left w:val="single" w:sz="4" w:space="0" w:color="000000"/>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87" w:right="0"/>
                          <w:jc w:val="left"/>
                          <w:rPr>
                            <w:rFonts w:ascii="宋体" w:hAnsi="宋体" w:cs="宋体" w:eastAsia="宋体" w:hint="default"/>
                            <w:sz w:val="18"/>
                            <w:szCs w:val="18"/>
                          </w:rPr>
                        </w:pPr>
                        <w:r>
                          <w:rPr>
                            <w:rFonts w:ascii="宋体" w:hAnsi="宋体" w:cs="宋体" w:eastAsia="宋体" w:hint="default"/>
                            <w:sz w:val="18"/>
                            <w:szCs w:val="18"/>
                          </w:rPr>
                          <w:t>综合管廊安防通信一体化系统</w:t>
                        </w:r>
                      </w:p>
                    </w:tc>
                    <w:tc>
                      <w:tcPr>
                        <w:tcW w:w="609" w:type="dxa"/>
                        <w:tcBorders>
                          <w:top w:val="single" w:sz="4" w:space="0" w:color="000000"/>
                          <w:left w:val="single" w:sz="4" w:space="0" w:color="000000"/>
                          <w:bottom w:val="nil" w:sz="6" w:space="0" w:color="auto"/>
                          <w:right w:val="single" w:sz="4" w:space="0" w:color="000000"/>
                        </w:tcBorders>
                        <w:shd w:val="clear" w:color="auto" w:fill="D2D2D2"/>
                      </w:tcPr>
                      <w:p>
                        <w:pPr/>
                      </w:p>
                    </w:tc>
                    <w:tc>
                      <w:tcPr>
                        <w:tcW w:w="5436" w:type="dxa"/>
                        <w:vMerge w:val="restart"/>
                        <w:tcBorders>
                          <w:top w:val="single" w:sz="4" w:space="0" w:color="000000"/>
                          <w:left w:val="single" w:sz="9" w:space="0" w:color="D2D2D2"/>
                          <w:right w:val="single" w:sz="4" w:space="0" w:color="000000"/>
                        </w:tcBorders>
                      </w:tcPr>
                      <w:p>
                        <w:pPr>
                          <w:pStyle w:val="TableParagraph"/>
                          <w:spacing w:line="312" w:lineRule="auto" w:before="10"/>
                          <w:ind w:left="27" w:right="-9"/>
                          <w:jc w:val="both"/>
                          <w:rPr>
                            <w:rFonts w:ascii="宋体" w:hAnsi="宋体" w:cs="宋体" w:eastAsia="宋体" w:hint="default"/>
                            <w:sz w:val="18"/>
                            <w:szCs w:val="18"/>
                          </w:rPr>
                        </w:pPr>
                        <w:r>
                          <w:rPr>
                            <w:rFonts w:ascii="宋体" w:hAnsi="宋体" w:cs="宋体" w:eastAsia="宋体" w:hint="default"/>
                            <w:spacing w:val="4"/>
                            <w:sz w:val="18"/>
                            <w:szCs w:val="18"/>
                          </w:rPr>
                          <w:t>综合管廊安防通信一体化系统是以公司独创的隧道物联网技术为基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础，针对城镇综合管廊的管理、维护和安全特性，打造的管廊内</w:t>
                        </w:r>
                        <w:r>
                          <w:rPr>
                            <w:rFonts w:ascii="Times New Roman" w:hAnsi="Times New Roman" w:cs="Times New Roman" w:eastAsia="Times New Roman" w:hint="default"/>
                            <w:sz w:val="18"/>
                            <w:szCs w:val="18"/>
                          </w:rPr>
                          <w:t>“</w:t>
                        </w:r>
                        <w:r>
                          <w:rPr>
                            <w:rFonts w:ascii="宋体" w:hAnsi="宋体" w:cs="宋体" w:eastAsia="宋体" w:hint="default"/>
                            <w:sz w:val="18"/>
                            <w:szCs w:val="18"/>
                          </w:rPr>
                          <w:t>物</w:t>
                        </w:r>
                        <w:r>
                          <w:rPr>
                            <w:rFonts w:ascii="宋体" w:hAnsi="宋体" w:cs="宋体" w:eastAsia="宋体" w:hint="default"/>
                            <w:spacing w:val="-34"/>
                            <w:sz w:val="18"/>
                            <w:szCs w:val="18"/>
                          </w:rPr>
                          <w:t> </w:t>
                        </w:r>
                        <w:r>
                          <w:rPr>
                            <w:rFonts w:ascii="宋体" w:hAnsi="宋体" w:cs="宋体" w:eastAsia="宋体" w:hint="default"/>
                            <w:sz w:val="18"/>
                            <w:szCs w:val="18"/>
                          </w:rPr>
                          <w:t>联网融合通信平台</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28"/>
                            <w:sz w:val="18"/>
                            <w:szCs w:val="18"/>
                          </w:rPr>
                          <w:t> </w:t>
                        </w:r>
                        <w:r>
                          <w:rPr>
                            <w:rFonts w:ascii="宋体" w:hAnsi="宋体" w:cs="宋体" w:eastAsia="宋体" w:hint="default"/>
                            <w:sz w:val="18"/>
                            <w:szCs w:val="18"/>
                          </w:rPr>
                          <w:t>，实现移动通信、精确定位、入侵报警与无线宽 带四大（基础）功能，并在此基础上已经扩展人员管理、区域管理、 能源管理、安防系统联动、智能在线巡检、环境监测等丰富的业务应 用，同时也为未来系统扩容、管理升级、功能应用升级、大数据处理 </w:t>
                        </w:r>
                        <w:r>
                          <w:rPr>
                            <w:rFonts w:ascii="宋体" w:hAnsi="宋体" w:cs="宋体" w:eastAsia="宋体" w:hint="default"/>
                            <w:spacing w:val="4"/>
                            <w:sz w:val="18"/>
                            <w:szCs w:val="18"/>
                          </w:rPr>
                          <w:t>进行了前瞻设计。国务院近几年高度重视推进城市地下综合管廊建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7"/>
                            <w:sz w:val="18"/>
                            <w:szCs w:val="18"/>
                          </w:rPr>
                          <w:t>设，</w:t>
                        </w:r>
                        <w:r>
                          <w:rPr>
                            <w:rFonts w:ascii="Times New Roman" w:hAnsi="Times New Roman" w:cs="Times New Roman" w:eastAsia="Times New Roman" w:hint="default"/>
                            <w:spacing w:val="-7"/>
                            <w:sz w:val="18"/>
                            <w:szCs w:val="18"/>
                          </w:rPr>
                          <w:t>2013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年以来先后印发了《国务院关于加强城市基础设施建设的意 </w:t>
                        </w:r>
                        <w:r>
                          <w:rPr>
                            <w:rFonts w:ascii="宋体" w:hAnsi="宋体" w:cs="宋体" w:eastAsia="宋体" w:hint="default"/>
                            <w:spacing w:val="-8"/>
                            <w:sz w:val="18"/>
                            <w:szCs w:val="18"/>
                          </w:rPr>
                          <w:t>见》、《国务院办公厅关于加强城市地下管线建设管理的指导意见》。</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公司下属子公司奇点新源是《北京市智慧管廊智能化工程技术规范》</w:t>
                        </w:r>
                      </w:p>
                    </w:tc>
                  </w:tr>
                  <w:tr>
                    <w:trPr>
                      <w:trHeight w:val="312" w:hRule="exact"/>
                    </w:trPr>
                    <w:tc>
                      <w:tcPr>
                        <w:tcW w:w="3525" w:type="dxa"/>
                        <w:vMerge/>
                        <w:tcBorders>
                          <w:left w:val="single" w:sz="4" w:space="0" w:color="000000"/>
                          <w:right w:val="single" w:sz="9" w:space="0" w:color="D2D2D2"/>
                        </w:tcBorders>
                      </w:tcPr>
                      <w:p>
                        <w:pPr/>
                      </w:p>
                    </w:tc>
                    <w:tc>
                      <w:tcPr>
                        <w:tcW w:w="6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10"/>
                          <w:ind w:left="10"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vMerge/>
                        <w:tcBorders>
                          <w:left w:val="single" w:sz="9" w:space="0" w:color="D2D2D2"/>
                          <w:right w:val="single" w:sz="4" w:space="0" w:color="000000"/>
                        </w:tcBorders>
                      </w:tcPr>
                      <w:p>
                        <w:pPr/>
                      </w:p>
                    </w:tc>
                  </w:tr>
                  <w:tr>
                    <w:trPr>
                      <w:trHeight w:val="1409" w:hRule="exact"/>
                    </w:trPr>
                    <w:tc>
                      <w:tcPr>
                        <w:tcW w:w="3525" w:type="dxa"/>
                        <w:vMerge/>
                        <w:tcBorders>
                          <w:left w:val="single" w:sz="4" w:space="0" w:color="000000"/>
                          <w:bottom w:val="single" w:sz="4" w:space="0" w:color="000000"/>
                          <w:right w:val="single" w:sz="9" w:space="0" w:color="D2D2D2"/>
                        </w:tcBorders>
                      </w:tcPr>
                      <w:p>
                        <w:pPr/>
                      </w:p>
                    </w:tc>
                    <w:tc>
                      <w:tcPr>
                        <w:tcW w:w="609" w:type="dxa"/>
                        <w:tcBorders>
                          <w:top w:val="nil" w:sz="6" w:space="0" w:color="auto"/>
                          <w:left w:val="single" w:sz="4" w:space="0" w:color="000000"/>
                          <w:bottom w:val="single" w:sz="4" w:space="0" w:color="000000"/>
                          <w:right w:val="single" w:sz="4" w:space="0" w:color="000000"/>
                        </w:tcBorders>
                        <w:shd w:val="clear" w:color="auto" w:fill="D2D2D2"/>
                      </w:tcPr>
                      <w:p>
                        <w:pPr/>
                      </w:p>
                    </w:tc>
                    <w:tc>
                      <w:tcPr>
                        <w:tcW w:w="5436" w:type="dxa"/>
                        <w:vMerge/>
                        <w:tcBorders>
                          <w:left w:val="single" w:sz="9" w:space="0" w:color="D2D2D2"/>
                          <w:bottom w:val="single" w:sz="4" w:space="0" w:color="000000"/>
                          <w:right w:val="single" w:sz="4" w:space="0" w:color="000000"/>
                        </w:tcBorders>
                      </w:tcPr>
                      <w:p>
                        <w:pPr/>
                      </w:p>
                    </w:tc>
                  </w:tr>
                </w:tbl>
                <w:p>
                  <w:pPr/>
                </w:p>
              </w:txbxContent>
            </v:textbox>
            <w10:wrap type="none"/>
          </v:shape>
        </w:pict>
      </w:r>
      <w:r>
        <w:rPr/>
        <w:t>。</w:t>
      </w:r>
    </w:p>
    <w:p>
      <w:pPr>
        <w:spacing w:line="240" w:lineRule="auto" w:before="4"/>
        <w:rPr>
          <w:rFonts w:ascii="宋体" w:hAnsi="宋体" w:cs="宋体" w:eastAsia="宋体" w:hint="default"/>
          <w:sz w:val="26"/>
          <w:szCs w:val="26"/>
        </w:rPr>
      </w:pPr>
    </w:p>
    <w:p>
      <w:pPr>
        <w:pStyle w:val="BodyText"/>
        <w:spacing w:line="240" w:lineRule="auto" w:before="44"/>
        <w:ind w:left="630" w:right="1138"/>
        <w:jc w:val="right"/>
      </w:pPr>
      <w:r>
        <w:rPr/>
        <w:t>。</w:t>
      </w:r>
    </w:p>
    <w:p>
      <w:pPr>
        <w:pStyle w:val="BodyText"/>
        <w:spacing w:line="240" w:lineRule="auto" w:before="87"/>
        <w:ind w:left="630" w:right="1139"/>
        <w:jc w:val="right"/>
      </w:pPr>
      <w:r>
        <w:rPr/>
        <w:t>、</w:t>
      </w:r>
    </w:p>
    <w:p>
      <w:pPr>
        <w:spacing w:after="0" w:line="240" w:lineRule="auto"/>
        <w:jc w:val="right"/>
        <w:sectPr>
          <w:pgSz w:w="11910" w:h="16840"/>
          <w:pgMar w:header="851" w:footer="979" w:top="1380" w:bottom="1160" w:left="0" w:right="0"/>
        </w:sectPr>
      </w:pPr>
    </w:p>
    <w:p>
      <w:pPr>
        <w:spacing w:line="240" w:lineRule="auto" w:before="6"/>
        <w:rPr>
          <w:rFonts w:ascii="Times New Roman" w:hAnsi="Times New Roman" w:cs="Times New Roman" w:eastAsia="Times New Roman" w:hint="default"/>
          <w:sz w:val="4"/>
          <w:szCs w:val="4"/>
        </w:rPr>
      </w:pPr>
    </w:p>
    <w:tbl>
      <w:tblPr>
        <w:tblW w:w="0" w:type="auto"/>
        <w:jc w:val="left"/>
        <w:tblInd w:w="1129" w:type="dxa"/>
        <w:tblLayout w:type="fixed"/>
        <w:tblCellMar>
          <w:top w:w="0" w:type="dxa"/>
          <w:left w:w="0" w:type="dxa"/>
          <w:bottom w:w="0" w:type="dxa"/>
          <w:right w:w="0" w:type="dxa"/>
        </w:tblCellMar>
        <w:tblLook w:val="01E0"/>
      </w:tblPr>
      <w:tblGrid>
        <w:gridCol w:w="3525"/>
        <w:gridCol w:w="621"/>
        <w:gridCol w:w="5424"/>
      </w:tblGrid>
      <w:tr>
        <w:trPr>
          <w:trHeight w:val="322" w:hRule="exact"/>
        </w:trPr>
        <w:tc>
          <w:tcPr>
            <w:tcW w:w="3525" w:type="dxa"/>
            <w:tcBorders>
              <w:top w:val="single" w:sz="4" w:space="0" w:color="000000"/>
              <w:left w:val="single" w:sz="4" w:space="0" w:color="000000"/>
              <w:bottom w:val="single" w:sz="4" w:space="0" w:color="000000"/>
              <w:right w:val="single" w:sz="4" w:space="0" w:color="000000"/>
            </w:tcBorders>
          </w:tcPr>
          <w:p>
            <w:pP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的参编单位。</w:t>
            </w:r>
          </w:p>
        </w:tc>
      </w:tr>
      <w:tr>
        <w:trPr>
          <w:trHeight w:val="125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1397"/>
              <w:jc w:val="right"/>
              <w:rPr>
                <w:rFonts w:ascii="宋体" w:hAnsi="宋体" w:cs="宋体" w:eastAsia="宋体" w:hint="default"/>
                <w:sz w:val="18"/>
                <w:szCs w:val="18"/>
              </w:rPr>
            </w:pPr>
            <w:r>
              <w:rPr>
                <w:rFonts w:ascii="宋体" w:hAnsi="宋体" w:cs="宋体" w:eastAsia="宋体" w:hint="default"/>
                <w:sz w:val="18"/>
                <w:szCs w:val="18"/>
              </w:rPr>
              <w:t>周界安防</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11"/>
              <w:ind w:left="22" w:right="20"/>
              <w:jc w:val="both"/>
              <w:rPr>
                <w:rFonts w:ascii="宋体" w:hAnsi="宋体" w:cs="宋体" w:eastAsia="宋体" w:hint="default"/>
                <w:sz w:val="18"/>
                <w:szCs w:val="18"/>
              </w:rPr>
            </w:pPr>
            <w:r>
              <w:rPr>
                <w:rFonts w:ascii="宋体" w:hAnsi="宋体" w:cs="宋体" w:eastAsia="宋体" w:hint="default"/>
                <w:spacing w:val="-1"/>
                <w:sz w:val="18"/>
                <w:szCs w:val="18"/>
              </w:rPr>
              <w:t>公司自主研发的</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智慧墙入侵探测系统</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，拥有周界安防领先的核心技</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2"/>
                <w:sz w:val="18"/>
                <w:szCs w:val="18"/>
              </w:rPr>
              <w:t>术，利用芯片收发微波信号形成向量对外构建传感探测场，探测场信</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2"/>
                <w:sz w:val="18"/>
                <w:szCs w:val="18"/>
              </w:rPr>
              <w:t>号扰动波形分析形成报警信息，其抗干扰能力强，不受环境制约，施</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工方便，可进行精准定位与敌我识别。</w:t>
            </w:r>
          </w:p>
        </w:tc>
      </w:tr>
      <w:tr>
        <w:trPr>
          <w:trHeight w:val="219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right="1397"/>
              <w:jc w:val="right"/>
              <w:rPr>
                <w:rFonts w:ascii="宋体" w:hAnsi="宋体" w:cs="宋体" w:eastAsia="宋体" w:hint="default"/>
                <w:sz w:val="18"/>
                <w:szCs w:val="18"/>
              </w:rPr>
            </w:pPr>
            <w:r>
              <w:rPr>
                <w:rFonts w:ascii="宋体" w:hAnsi="宋体" w:cs="宋体" w:eastAsia="宋体" w:hint="default"/>
                <w:sz w:val="18"/>
                <w:szCs w:val="18"/>
              </w:rPr>
              <w:t>融合通信</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9"/>
              <w:jc w:val="both"/>
              <w:rPr>
                <w:rFonts w:ascii="宋体" w:hAnsi="宋体" w:cs="宋体" w:eastAsia="宋体" w:hint="default"/>
                <w:sz w:val="18"/>
                <w:szCs w:val="18"/>
              </w:rPr>
            </w:pPr>
            <w:r>
              <w:rPr>
                <w:rFonts w:ascii="宋体" w:hAnsi="宋体" w:cs="宋体" w:eastAsia="宋体" w:hint="default"/>
                <w:spacing w:val="-2"/>
                <w:sz w:val="18"/>
                <w:szCs w:val="18"/>
              </w:rPr>
              <w:t>把计算机技术与传统通信技术融合一体的新通信模式，融合计算机网</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络与传统通信网络在一个网络平台上，提供包括语音、数据、视频和</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多媒体业务信息通信技术在内的全业务服务，目前全球主流电信运营</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商都纷纷地将融合通信业务定位为业务和技术发展的核心方向。公司</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基于多年为中国移动通信集团公司研发并运营飞信项目的成功经验， </w:t>
            </w:r>
            <w:r>
              <w:rPr>
                <w:rFonts w:ascii="宋体" w:hAnsi="宋体" w:cs="宋体" w:eastAsia="宋体" w:hint="default"/>
                <w:spacing w:val="-2"/>
                <w:sz w:val="18"/>
                <w:szCs w:val="18"/>
              </w:rPr>
              <w:t>继续积极配合中国移动的融合通信战略，为中国移动提供个人融合通</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信与飞信融合北方节点和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PC</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客户端定制软件项目技术服务。</w:t>
            </w:r>
          </w:p>
        </w:tc>
      </w:tr>
      <w:tr>
        <w:trPr>
          <w:trHeight w:val="219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right="1397"/>
              <w:jc w:val="right"/>
              <w:rPr>
                <w:rFonts w:ascii="宋体" w:hAnsi="宋体" w:cs="宋体" w:eastAsia="宋体" w:hint="default"/>
                <w:sz w:val="18"/>
                <w:szCs w:val="18"/>
              </w:rPr>
            </w:pPr>
            <w:r>
              <w:rPr>
                <w:rFonts w:ascii="宋体" w:hAnsi="宋体" w:cs="宋体" w:eastAsia="宋体" w:hint="default"/>
                <w:sz w:val="18"/>
                <w:szCs w:val="18"/>
              </w:rPr>
              <w:t>信息安全</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4" w:lineRule="auto" w:before="10"/>
              <w:ind w:left="22" w:right="19"/>
              <w:jc w:val="both"/>
              <w:rPr>
                <w:rFonts w:ascii="Times New Roman" w:hAnsi="Times New Roman" w:cs="Times New Roman" w:eastAsia="Times New Roman" w:hint="default"/>
                <w:sz w:val="18"/>
                <w:szCs w:val="18"/>
              </w:rPr>
            </w:pPr>
            <w:r>
              <w:rPr>
                <w:rFonts w:ascii="宋体" w:hAnsi="宋体" w:cs="宋体" w:eastAsia="宋体" w:hint="default"/>
                <w:spacing w:val="-2"/>
                <w:sz w:val="18"/>
                <w:szCs w:val="18"/>
              </w:rPr>
              <w:t>信息安全管理业务是公司运营管理的重要组成部分，公司在信息安全</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管理领域拥有十五年的产品研发和项目实施经验，围绕企业的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人、</w:t>
            </w:r>
            <w:r>
              <w:rPr>
                <w:rFonts w:ascii="宋体" w:hAnsi="宋体" w:cs="宋体" w:eastAsia="宋体" w:hint="default"/>
                <w:spacing w:val="-81"/>
                <w:sz w:val="18"/>
                <w:szCs w:val="18"/>
              </w:rPr>
              <w:t> </w:t>
            </w:r>
            <w:r>
              <w:rPr>
                <w:rFonts w:ascii="宋体" w:hAnsi="宋体" w:cs="宋体" w:eastAsia="宋体" w:hint="default"/>
                <w:spacing w:val="2"/>
                <w:sz w:val="18"/>
                <w:szCs w:val="18"/>
              </w:rPr>
              <w:t>事、物</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推出了身份安全管控、行为安全管控、事件安全管控、流量</w:t>
            </w:r>
            <w:r>
              <w:rPr>
                <w:rFonts w:ascii="宋体" w:hAnsi="宋体" w:cs="宋体" w:eastAsia="宋体" w:hint="default"/>
                <w:sz w:val="18"/>
                <w:szCs w:val="18"/>
              </w:rPr>
              <w:t> 安全管控、资产安全管控、配置安全管控六大类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多款产品，是金 </w:t>
            </w:r>
            <w:r>
              <w:rPr>
                <w:rFonts w:ascii="宋体" w:hAnsi="宋体" w:cs="宋体" w:eastAsia="宋体" w:hint="default"/>
                <w:spacing w:val="-15"/>
                <w:sz w:val="18"/>
                <w:szCs w:val="18"/>
              </w:rPr>
              <w:t>融、电信等</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4"/>
                <w:sz w:val="18"/>
                <w:szCs w:val="18"/>
              </w:rPr>
              <w:t> </w:t>
            </w:r>
            <w:r>
              <w:rPr>
                <w:rFonts w:ascii="宋体" w:hAnsi="宋体" w:cs="宋体" w:eastAsia="宋体" w:hint="default"/>
                <w:spacing w:val="-4"/>
                <w:sz w:val="18"/>
                <w:szCs w:val="18"/>
              </w:rPr>
              <w:t>应用最密集行业中主流的安全产品和服务商，也是</w:t>
            </w:r>
            <w:r>
              <w:rPr>
                <w:rFonts w:ascii="宋体" w:hAnsi="宋体" w:cs="宋体" w:eastAsia="宋体" w:hint="default"/>
                <w:spacing w:val="-41"/>
                <w:sz w:val="18"/>
                <w:szCs w:val="18"/>
              </w:rPr>
              <w:t> </w:t>
            </w:r>
            <w:r>
              <w:rPr>
                <w:rFonts w:ascii="Times New Roman" w:hAnsi="Times New Roman" w:cs="Times New Roman" w:eastAsia="Times New Roman" w:hint="default"/>
                <w:w w:val="99"/>
                <w:sz w:val="18"/>
                <w:szCs w:val="18"/>
              </w:rPr>
              <w:t>IAM</w:t>
            </w:r>
            <w:r>
              <w:rPr>
                <w:rFonts w:ascii="Times New Roman" w:hAnsi="Times New Roman" w:cs="Times New Roman" w:eastAsia="Times New Roman" w:hint="default"/>
                <w:sz w:val="18"/>
                <w:szCs w:val="18"/>
              </w:rPr>
            </w:r>
          </w:p>
          <w:p>
            <w:pPr>
              <w:pStyle w:val="TableParagraph"/>
              <w:spacing w:line="300" w:lineRule="auto" w:before="9"/>
              <w:ind w:left="22" w:right="20"/>
              <w:jc w:val="both"/>
              <w:rPr>
                <w:rFonts w:ascii="宋体" w:hAnsi="宋体" w:cs="宋体" w:eastAsia="宋体" w:hint="default"/>
                <w:sz w:val="18"/>
                <w:szCs w:val="18"/>
              </w:rPr>
            </w:pPr>
            <w:r>
              <w:rPr>
                <w:rFonts w:ascii="宋体" w:hAnsi="宋体" w:cs="宋体" w:eastAsia="宋体" w:hint="default"/>
                <w:spacing w:val="-4"/>
                <w:w w:val="99"/>
                <w:sz w:val="18"/>
                <w:szCs w:val="18"/>
              </w:rPr>
              <w:t>（用户和认证管理）、</w:t>
            </w:r>
            <w:r>
              <w:rPr>
                <w:rFonts w:ascii="Times New Roman" w:hAnsi="Times New Roman" w:cs="Times New Roman" w:eastAsia="Times New Roman" w:hint="default"/>
                <w:spacing w:val="-4"/>
                <w:w w:val="99"/>
                <w:sz w:val="18"/>
                <w:szCs w:val="18"/>
              </w:rPr>
              <w:t>SIEM</w:t>
            </w:r>
            <w:r>
              <w:rPr>
                <w:rFonts w:ascii="宋体" w:hAnsi="宋体" w:cs="宋体" w:eastAsia="宋体" w:hint="default"/>
                <w:spacing w:val="-4"/>
                <w:w w:val="99"/>
                <w:sz w:val="18"/>
                <w:szCs w:val="18"/>
              </w:rPr>
              <w:t>（安全事件管理）和安全合规管理领域的</w:t>
            </w:r>
            <w:r>
              <w:rPr>
                <w:rFonts w:ascii="宋体" w:hAnsi="宋体" w:cs="宋体" w:eastAsia="宋体" w:hint="default"/>
                <w:spacing w:val="-64"/>
                <w:w w:val="99"/>
                <w:sz w:val="18"/>
                <w:szCs w:val="18"/>
              </w:rPr>
              <w:t> </w:t>
            </w:r>
            <w:r>
              <w:rPr>
                <w:rFonts w:ascii="宋体" w:hAnsi="宋体" w:cs="宋体" w:eastAsia="宋体" w:hint="default"/>
                <w:spacing w:val="-64"/>
                <w:w w:val="99"/>
                <w:sz w:val="18"/>
                <w:szCs w:val="18"/>
              </w:rPr>
            </w:r>
            <w:r>
              <w:rPr>
                <w:rFonts w:ascii="宋体" w:hAnsi="宋体" w:cs="宋体" w:eastAsia="宋体" w:hint="default"/>
                <w:sz w:val="18"/>
                <w:szCs w:val="18"/>
              </w:rPr>
              <w:t>领导厂商。</w:t>
            </w:r>
          </w:p>
        </w:tc>
      </w:tr>
      <w:tr>
        <w:trPr>
          <w:trHeight w:val="1571"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1397"/>
              <w:jc w:val="right"/>
              <w:rPr>
                <w:rFonts w:ascii="宋体" w:hAnsi="宋体" w:cs="宋体" w:eastAsia="宋体" w:hint="default"/>
                <w:sz w:val="18"/>
                <w:szCs w:val="18"/>
              </w:rPr>
            </w:pPr>
            <w:r>
              <w:rPr>
                <w:rFonts w:ascii="宋体" w:hAnsi="宋体" w:cs="宋体" w:eastAsia="宋体" w:hint="default"/>
                <w:sz w:val="18"/>
                <w:szCs w:val="18"/>
              </w:rPr>
              <w:t>手机游戏</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1"/>
              <w:ind w:left="22" w:right="21"/>
              <w:jc w:val="both"/>
              <w:rPr>
                <w:rFonts w:ascii="宋体" w:hAnsi="宋体" w:cs="宋体" w:eastAsia="宋体" w:hint="default"/>
                <w:sz w:val="18"/>
                <w:szCs w:val="18"/>
              </w:rPr>
            </w:pPr>
            <w:r>
              <w:rPr>
                <w:rFonts w:ascii="宋体" w:hAnsi="宋体" w:cs="宋体" w:eastAsia="宋体" w:hint="default"/>
                <w:spacing w:val="-2"/>
                <w:sz w:val="18"/>
                <w:szCs w:val="18"/>
              </w:rPr>
              <w:t>手机游戏是指运行于手机上的游戏软件。随着科技的发展，智能手机</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z w:val="18"/>
                <w:szCs w:val="18"/>
              </w:rPr>
              <w:t>日益普及，手机游戏产品画面日益精细、</w:t>
            </w:r>
            <w:r>
              <w:rPr>
                <w:rFonts w:ascii="Times New Roman" w:hAnsi="Times New Roman" w:cs="Times New Roman" w:eastAsia="Times New Roman" w:hint="default"/>
                <w:sz w:val="18"/>
                <w:szCs w:val="18"/>
              </w:rPr>
              <w:t>3D</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效果逼真、除了键盘操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作，还有触摸屏操作、屏幕感应操作、重力感应操作等，具有很强的</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娱乐性、竞技性和交互性。手游市场处于高速增长时期。公司手机游</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z w:val="18"/>
                <w:szCs w:val="18"/>
              </w:rPr>
              <w:t>戏业务以研发打造重度手游产品为主，定位于全球渠道游戏发行。</w:t>
            </w:r>
          </w:p>
        </w:tc>
      </w:tr>
    </w:tbl>
    <w:p>
      <w:pPr>
        <w:spacing w:after="0" w:line="314" w:lineRule="auto"/>
        <w:jc w:val="both"/>
        <w:rPr>
          <w:rFonts w:ascii="宋体" w:hAnsi="宋体" w:cs="宋体" w:eastAsia="宋体" w:hint="default"/>
          <w:sz w:val="18"/>
          <w:szCs w:val="18"/>
        </w:rPr>
        <w:sectPr>
          <w:pgSz w:w="11910" w:h="16840"/>
          <w:pgMar w:header="851" w:footer="979" w:top="1380" w:bottom="1160" w:left="0" w:right="0"/>
        </w:sect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0"/>
          <w:szCs w:val="20"/>
        </w:rPr>
      </w:pPr>
    </w:p>
    <w:p>
      <w:pPr>
        <w:pStyle w:val="Heading1"/>
        <w:spacing w:line="240" w:lineRule="auto"/>
        <w:ind w:left="3624" w:right="0"/>
        <w:jc w:val="left"/>
        <w:rPr>
          <w:b w:val="0"/>
          <w:bCs w:val="0"/>
        </w:rPr>
      </w:pPr>
      <w:bookmarkStart w:name="第二节 公司简介和主要财务指标" w:id="3"/>
      <w:bookmarkEnd w:id="3"/>
      <w:r>
        <w:rPr>
          <w:b w:val="0"/>
          <w:bCs w:val="0"/>
        </w:rPr>
      </w:r>
      <w:bookmarkStart w:name="_bookmark1" w:id="4"/>
      <w:bookmarkEnd w:id="4"/>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left="1133" w:right="0"/>
        <w:jc w:val="left"/>
        <w:rPr>
          <w:b w:val="0"/>
          <w:bCs w:val="0"/>
        </w:rPr>
      </w:pP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2694"/>
        <w:gridCol w:w="2543"/>
        <w:gridCol w:w="2145"/>
        <w:gridCol w:w="2188"/>
      </w:tblGrid>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股票简称</w:t>
            </w:r>
          </w:p>
        </w:tc>
        <w:tc>
          <w:tcPr>
            <w:tcW w:w="25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神州泰岳</w:t>
            </w:r>
          </w:p>
        </w:tc>
        <w:tc>
          <w:tcPr>
            <w:tcW w:w="2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1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300002</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公司的中文名称</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172" w:right="0"/>
              <w:jc w:val="left"/>
              <w:rPr>
                <w:rFonts w:ascii="宋体" w:hAnsi="宋体" w:cs="宋体" w:eastAsia="宋体" w:hint="default"/>
                <w:sz w:val="18"/>
                <w:szCs w:val="18"/>
              </w:rPr>
            </w:pPr>
            <w:r>
              <w:rPr>
                <w:rFonts w:ascii="宋体" w:hAnsi="宋体" w:cs="宋体" w:eastAsia="宋体" w:hint="default"/>
                <w:sz w:val="18"/>
                <w:szCs w:val="18"/>
              </w:rPr>
              <w:t>北京神州泰岳软件股份有限公司</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公司的中文简称</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神州泰岳</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公司的外文名称</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025" w:right="0"/>
              <w:jc w:val="left"/>
              <w:rPr>
                <w:rFonts w:ascii="Times New Roman" w:hAnsi="Times New Roman" w:cs="Times New Roman" w:eastAsia="Times New Roman" w:hint="default"/>
                <w:sz w:val="18"/>
                <w:szCs w:val="18"/>
              </w:rPr>
            </w:pPr>
            <w:r>
              <w:rPr>
                <w:rFonts w:ascii="Times New Roman"/>
                <w:sz w:val="18"/>
              </w:rPr>
              <w:t>Beijing Ultrapower Software Co.,</w:t>
            </w:r>
            <w:r>
              <w:rPr>
                <w:rFonts w:ascii="Times New Roman"/>
                <w:spacing w:val="-7"/>
                <w:sz w:val="18"/>
              </w:rPr>
              <w:t> </w:t>
            </w:r>
            <w:r>
              <w:rPr>
                <w:rFonts w:ascii="Times New Roman"/>
                <w:spacing w:val="-6"/>
                <w:sz w:val="18"/>
              </w:rPr>
              <w:t>LTD</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公司的外文名称缩写</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Ultrapower</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注册地址</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17" w:right="0"/>
              <w:jc w:val="left"/>
              <w:rPr>
                <w:rFonts w:ascii="宋体" w:hAnsi="宋体" w:cs="宋体" w:eastAsia="宋体" w:hint="default"/>
                <w:sz w:val="18"/>
                <w:szCs w:val="18"/>
              </w:rPr>
            </w:pPr>
            <w:r>
              <w:rPr>
                <w:rFonts w:ascii="宋体" w:hAnsi="宋体" w:cs="宋体" w:eastAsia="宋体" w:hint="default"/>
                <w:sz w:val="18"/>
                <w:szCs w:val="18"/>
              </w:rPr>
              <w:t>北京市海淀区万泉庄路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号万柳新贵大厦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座</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601 </w:t>
            </w:r>
            <w:r>
              <w:rPr>
                <w:rFonts w:ascii="宋体" w:hAnsi="宋体" w:cs="宋体" w:eastAsia="宋体" w:hint="default"/>
                <w:sz w:val="18"/>
                <w:szCs w:val="18"/>
              </w:rPr>
              <w:t>室</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100089</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办公地址</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722" w:right="0"/>
              <w:jc w:val="left"/>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100107</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hyperlink r:id="rId29">
              <w:r>
                <w:rPr>
                  <w:rFonts w:ascii="Times New Roman"/>
                  <w:sz w:val="18"/>
                </w:rPr>
                <w:t>www.ultrapower.com.cn</w:t>
              </w:r>
            </w:hyperlink>
          </w:p>
        </w:tc>
      </w:tr>
      <w:tr>
        <w:trPr>
          <w:trHeight w:val="40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687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hyperlink r:id="rId30">
              <w:r>
                <w:rPr>
                  <w:rFonts w:ascii="Times New Roman"/>
                  <w:sz w:val="18"/>
                </w:rPr>
                <w:t>IRM@ultrapower.com.cn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140" w:type="dxa"/>
        <w:tblLayout w:type="fixed"/>
        <w:tblCellMar>
          <w:top w:w="0" w:type="dxa"/>
          <w:left w:w="0" w:type="dxa"/>
          <w:bottom w:w="0" w:type="dxa"/>
          <w:right w:w="0" w:type="dxa"/>
        </w:tblCellMar>
        <w:tblLook w:val="01E0"/>
      </w:tblPr>
      <w:tblGrid>
        <w:gridCol w:w="2213"/>
        <w:gridCol w:w="3698"/>
        <w:gridCol w:w="3648"/>
      </w:tblGrid>
      <w:tr>
        <w:trPr>
          <w:trHeight w:val="402" w:hRule="exact"/>
        </w:trPr>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6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36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丁思茗</w:t>
            </w:r>
          </w:p>
        </w:tc>
      </w:tr>
      <w:tr>
        <w:trPr>
          <w:trHeight w:val="402" w:hRule="exact"/>
        </w:trPr>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联系地址</w:t>
            </w:r>
          </w:p>
        </w:tc>
        <w:tc>
          <w:tcPr>
            <w:tcW w:w="36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北京市朝阳区北苑路甲</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号院</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p>
        </w:tc>
      </w:tr>
      <w:tr>
        <w:trPr>
          <w:trHeight w:val="402" w:hRule="exact"/>
        </w:trPr>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电话</w:t>
            </w:r>
          </w:p>
        </w:tc>
        <w:tc>
          <w:tcPr>
            <w:tcW w:w="36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010-84927606</w:t>
            </w:r>
          </w:p>
        </w:tc>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010-84927606</w:t>
            </w:r>
          </w:p>
        </w:tc>
      </w:tr>
      <w:tr>
        <w:trPr>
          <w:trHeight w:val="402" w:hRule="exact"/>
        </w:trPr>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传真</w:t>
            </w:r>
          </w:p>
        </w:tc>
        <w:tc>
          <w:tcPr>
            <w:tcW w:w="36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010-58847583</w:t>
            </w:r>
          </w:p>
        </w:tc>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010-58847583</w:t>
            </w:r>
          </w:p>
        </w:tc>
      </w:tr>
      <w:tr>
        <w:trPr>
          <w:trHeight w:val="402" w:hRule="exact"/>
        </w:trPr>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电子信箱</w:t>
            </w:r>
          </w:p>
        </w:tc>
        <w:tc>
          <w:tcPr>
            <w:tcW w:w="369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hyperlink r:id="rId30">
              <w:r>
                <w:rPr>
                  <w:rFonts w:ascii="Times New Roman"/>
                  <w:sz w:val="18"/>
                </w:rPr>
                <w:t>IRM@ultrapower.com.cn</w:t>
              </w:r>
            </w:hyperlink>
          </w:p>
        </w:tc>
        <w:tc>
          <w:tcPr>
            <w:tcW w:w="3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hyperlink r:id="rId30">
              <w:r>
                <w:rPr>
                  <w:rFonts w:ascii="Times New Roman"/>
                  <w:sz w:val="18"/>
                </w:rPr>
                <w:t>IRM@ultrapower.com.cn</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《证券时报》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hyperlink r:id="rId31">
              <w:r>
                <w:rPr>
                  <w:rFonts w:ascii="Times New Roman"/>
                  <w:sz w:val="18"/>
                </w:rPr>
                <w:t>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公司董事会办公室</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四、其他有关资料" w:id="8"/>
      <w:bookmarkEnd w:id="8"/>
      <w:r>
        <w:rPr>
          <w:b w:val="0"/>
          <w:bCs w:val="0"/>
        </w:rPr>
      </w:r>
      <w:r>
        <w:rPr/>
        <w:t>四、其他有关资料</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left"/>
      </w:pPr>
      <w:r>
        <w:rPr/>
        <w:t>公司聘请的会计师事务所</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6"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009"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bl>
    <w:p>
      <w:pPr>
        <w:spacing w:after="0" w:line="240" w:lineRule="auto"/>
        <w:jc w:val="left"/>
        <w:rPr>
          <w:rFonts w:ascii="宋体" w:hAnsi="宋体" w:cs="宋体" w:eastAsia="宋体"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上海市南京东路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号新黄浦金融大厦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肖菲、陈迅骅</w:t>
            </w:r>
          </w:p>
        </w:tc>
      </w:tr>
    </w:tbl>
    <w:p>
      <w:pPr>
        <w:pStyle w:val="Heading4"/>
        <w:spacing w:line="240" w:lineRule="auto" w:before="88"/>
        <w:ind w:left="1134" w:right="0"/>
        <w:jc w:val="left"/>
        <w:rPr>
          <w:b w:val="0"/>
          <w:bCs w:val="0"/>
        </w:rPr>
      </w:pPr>
      <w:r>
        <w:rPr/>
        <w:t>公司聘请的报告期内履行持续督导职责的保荐机构</w:t>
      </w:r>
      <w:r>
        <w:rPr>
          <w:b w:val="0"/>
          <w:bCs w:val="0"/>
        </w:rPr>
      </w:r>
    </w:p>
    <w:p>
      <w:pPr>
        <w:spacing w:line="240" w:lineRule="auto" w:before="10"/>
        <w:rPr>
          <w:rFonts w:ascii="宋体" w:hAnsi="宋体" w:cs="宋体" w:eastAsia="宋体" w:hint="default"/>
          <w:b/>
          <w:bCs/>
          <w:sz w:val="17"/>
          <w:szCs w:val="17"/>
        </w:rPr>
      </w:pPr>
    </w:p>
    <w:p>
      <w:pPr>
        <w:spacing w:line="451" w:lineRule="auto" w:before="0"/>
        <w:ind w:left="1134" w:right="67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公司聘请的报告期内履行持续督导职责的财务顾问</w:t>
      </w:r>
      <w:r>
        <w:rPr>
          <w:rFonts w:ascii="宋体" w:hAnsi="宋体" w:cs="宋体" w:eastAsia="宋体" w:hint="default"/>
          <w:sz w:val="18"/>
          <w:szCs w:val="18"/>
        </w:rPr>
      </w:r>
    </w:p>
    <w:p>
      <w:pPr>
        <w:spacing w:before="74"/>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8"/>
        <w:ind w:right="0"/>
        <w:jc w:val="left"/>
        <w:rPr>
          <w:b w:val="0"/>
          <w:bCs w:val="0"/>
        </w:rPr>
      </w:pPr>
      <w:bookmarkStart w:name="五、主要会计数据和财务指标" w:id="9"/>
      <w:bookmarkEnd w:id="9"/>
      <w:r>
        <w:rPr>
          <w:b w:val="0"/>
          <w:bCs w:val="0"/>
        </w:rPr>
      </w:r>
      <w:r>
        <w:rPr/>
        <w:t>五、主要会计数据和财务指标</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right="0"/>
        <w:jc w:val="left"/>
      </w:pPr>
      <w:r>
        <w:rPr/>
        <w:t>公司是否需追溯调整或重述以前年度会计数据</w:t>
      </w:r>
    </w:p>
    <w:p>
      <w:pPr>
        <w:spacing w:line="240" w:lineRule="auto" w:before="12"/>
        <w:rPr>
          <w:rFonts w:ascii="宋体" w:hAnsi="宋体" w:cs="宋体" w:eastAsia="宋体" w:hint="default"/>
          <w:sz w:val="20"/>
          <w:szCs w:val="20"/>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2"/>
        <w:rPr>
          <w:rFonts w:ascii="宋体" w:hAnsi="宋体" w:cs="宋体" w:eastAsia="宋体" w:hint="default"/>
          <w:b/>
          <w:bCs/>
          <w:sz w:val="12"/>
          <w:szCs w:val="12"/>
        </w:rPr>
      </w:pPr>
    </w:p>
    <w:tbl>
      <w:tblPr>
        <w:tblW w:w="0" w:type="auto"/>
        <w:jc w:val="left"/>
        <w:tblInd w:w="1140" w:type="dxa"/>
        <w:tblLayout w:type="fixed"/>
        <w:tblCellMar>
          <w:top w:w="0" w:type="dxa"/>
          <w:left w:w="0" w:type="dxa"/>
          <w:bottom w:w="0" w:type="dxa"/>
          <w:right w:w="0" w:type="dxa"/>
        </w:tblCellMar>
        <w:tblLook w:val="01E0"/>
      </w:tblPr>
      <w:tblGrid>
        <w:gridCol w:w="2598"/>
        <w:gridCol w:w="1751"/>
        <w:gridCol w:w="1736"/>
        <w:gridCol w:w="1738"/>
        <w:gridCol w:w="1735"/>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2,026,498,700.16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2,936,581,930.55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-30.99%</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2,773,487,308.85</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119,550,096.20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507,331,705.29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-76.44%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351,341,166.79</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54,576,722.16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326,075,880.02</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-83.26%</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255,414,502.32</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540,664,802.30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91,291,377.55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492.24%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64,239,462.80</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0.0610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0.2565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-76.22%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0.1774</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0.0610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0.2565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-76.22%</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0.1768</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2.35%</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10.18%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-7.83%</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3"/>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6,924,625,392.43</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7,031,108,818.04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-1.51%</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5,906,579,402.68</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75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5,146,199,239.88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5,033,349,236.74</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2.24%</w:t>
            </w:r>
          </w:p>
        </w:tc>
        <w:tc>
          <w:tcPr>
            <w:tcW w:w="1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4,946,010,040.92</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六、分季度主要财务指标" w:id="10"/>
      <w:bookmarkEnd w:id="10"/>
      <w:r>
        <w:rPr>
          <w:b w:val="0"/>
          <w:bCs w:val="0"/>
        </w:rPr>
      </w:r>
      <w:r>
        <w:rPr/>
        <w:t>六、分季度主要财务指标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598"/>
        <w:gridCol w:w="1752"/>
        <w:gridCol w:w="1739"/>
        <w:gridCol w:w="1740"/>
        <w:gridCol w:w="1729"/>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3"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628,684,945.22</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565,519,944.77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441,115,647.62</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391,178,162.55</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18,732,778.08</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-3,414,538.02</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-51,969,452.80</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156,201,308.94</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7,165,065.59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-61,779,259.04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-58,342,118.68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167,533,034.29</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5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-88,353,927.57</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290,323,123.21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21,461,517.48</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317,234,089.18</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pStyle w:val="BodyText"/>
        <w:spacing w:line="240" w:lineRule="auto" w:before="141"/>
        <w:ind w:left="1134" w:right="0"/>
        <w:jc w:val="left"/>
      </w:pPr>
      <w:r>
        <w:rPr/>
        <w:t>上述财务指标或其加总数是否与公司已披露季度报告、半年度报告相关财务指标存在重大差异</w:t>
      </w:r>
    </w:p>
    <w:p>
      <w:pPr>
        <w:spacing w:line="240" w:lineRule="auto" w:before="10"/>
        <w:rPr>
          <w:rFonts w:ascii="宋体" w:hAnsi="宋体" w:cs="宋体" w:eastAsia="宋体" w:hint="default"/>
          <w:sz w:val="20"/>
          <w:szCs w:val="20"/>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7"/>
        <w:ind w:left="1133" w:right="0"/>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7"/>
        <w:rPr>
          <w:rFonts w:ascii="宋体" w:hAnsi="宋体" w:cs="宋体" w:eastAsia="宋体" w:hint="default"/>
          <w:b/>
          <w:bCs/>
          <w:sz w:val="32"/>
          <w:szCs w:val="32"/>
        </w:rPr>
      </w:pPr>
    </w:p>
    <w:p>
      <w:pPr>
        <w:pStyle w:val="BodyText"/>
        <w:spacing w:line="489" w:lineRule="auto"/>
        <w:ind w:left="1134" w:right="17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公司报告期不存在按照国际会计准则与按照中国会计准则披露的财务报告中净利润和净资产差异情况。</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32"/>
          <w:szCs w:val="32"/>
        </w:rPr>
      </w:pPr>
    </w:p>
    <w:p>
      <w:pPr>
        <w:pStyle w:val="BodyText"/>
        <w:spacing w:line="489" w:lineRule="auto"/>
        <w:ind w:left="1134" w:right="26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公司报告期不存在按照境外会计准则与按照中国会计准则披露的财务报告中净利润和净资产差异情况。</w:t>
      </w:r>
    </w:p>
    <w:p>
      <w:pPr>
        <w:spacing w:line="240" w:lineRule="auto" w:before="9"/>
        <w:rPr>
          <w:rFonts w:ascii="宋体" w:hAnsi="宋体" w:cs="宋体" w:eastAsia="宋体" w:hint="default"/>
          <w:sz w:val="16"/>
          <w:szCs w:val="16"/>
        </w:rPr>
      </w:pPr>
    </w:p>
    <w:p>
      <w:pPr>
        <w:pStyle w:val="Heading2"/>
        <w:spacing w:line="240" w:lineRule="auto"/>
        <w:ind w:right="0"/>
        <w:jc w:val="left"/>
        <w:rPr>
          <w:b w:val="0"/>
          <w:bCs w:val="0"/>
        </w:rPr>
      </w:pPr>
      <w:bookmarkStart w:name="八、非经常性损益项目及金额" w:id="14"/>
      <w:bookmarkEnd w:id="14"/>
      <w:r>
        <w:rPr>
          <w:b w:val="0"/>
          <w:bCs w:val="0"/>
        </w:rPr>
      </w:r>
      <w:r>
        <w:rPr/>
        <w:t>八、非经常性损益项目及金额</w:t>
      </w:r>
      <w:r>
        <w:rPr>
          <w:b w:val="0"/>
          <w:bCs w:val="0"/>
        </w:rPr>
      </w:r>
    </w:p>
    <w:p>
      <w:pPr>
        <w:spacing w:line="240" w:lineRule="auto" w:before="2"/>
        <w:rPr>
          <w:rFonts w:ascii="宋体" w:hAnsi="宋体" w:cs="宋体" w:eastAsia="宋体" w:hint="default"/>
          <w:b/>
          <w:bCs/>
          <w:sz w:val="23"/>
          <w:szCs w:val="23"/>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3"/>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273"/>
        <w:gridCol w:w="1532"/>
        <w:gridCol w:w="1520"/>
        <w:gridCol w:w="1522"/>
        <w:gridCol w:w="1710"/>
      </w:tblGrid>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 值准备的冲销部分）</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11,684,624.72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-6,443,418.57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447,706.32</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6,702,013.42</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18,267,331.91</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23,203,990.08</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 占用费</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90,958.90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 合并日的当期净损益</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4,025,354.37</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57,238,765.38</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684,379.57</w:t>
            </w:r>
          </w:p>
        </w:tc>
        <w:tc>
          <w:tcPr>
            <w:tcW w:w="1522" w:type="dxa"/>
            <w:tcBorders>
              <w:top w:val="single" w:sz="4" w:space="0" w:color="000000"/>
              <w:left w:val="single" w:sz="4" w:space="0" w:color="000000"/>
              <w:bottom w:val="single" w:sz="4" w:space="0" w:color="000000"/>
              <w:right w:val="single" w:sz="4" w:space="0" w:color="000000"/>
            </w:tcBorders>
          </w:tcPr>
          <w:p>
            <w:pP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12,898,514.07</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5,353,963.38</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5,316,960.74</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532" w:type="dxa"/>
            <w:tcBorders>
              <w:top w:val="single" w:sz="4" w:space="0" w:color="000000"/>
              <w:left w:val="single" w:sz="13" w:space="0" w:color="D2D2D2"/>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165,154,448.10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69,461,158.34</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22,096,300.10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1,712,227.03</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4,160,138.23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3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1,454,243.45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48,652.09</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2,459,326.05</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2" w:right="0"/>
              <w:jc w:val="left"/>
              <w:rPr>
                <w:rFonts w:ascii="Times New Roman" w:hAnsi="Times New Roman" w:cs="Times New Roman" w:eastAsia="Times New Roman" w:hint="default"/>
                <w:sz w:val="18"/>
                <w:szCs w:val="18"/>
              </w:rPr>
            </w:pPr>
            <w:r>
              <w:rPr>
                <w:rFonts w:ascii="Times New Roman"/>
                <w:sz w:val="18"/>
              </w:rPr>
              <w:t>64,973,374.04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3" w:right="0"/>
              <w:jc w:val="left"/>
              <w:rPr>
                <w:rFonts w:ascii="Times New Roman" w:hAnsi="Times New Roman" w:cs="Times New Roman" w:eastAsia="Times New Roman" w:hint="default"/>
                <w:sz w:val="18"/>
                <w:szCs w:val="18"/>
              </w:rPr>
            </w:pPr>
            <w:r>
              <w:rPr>
                <w:rFonts w:ascii="Times New Roman"/>
                <w:sz w:val="18"/>
              </w:rPr>
              <w:t>181,255,825.27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4" w:right="0"/>
              <w:jc w:val="left"/>
              <w:rPr>
                <w:rFonts w:ascii="Times New Roman" w:hAnsi="Times New Roman" w:cs="Times New Roman" w:eastAsia="Times New Roman" w:hint="default"/>
                <w:sz w:val="18"/>
                <w:szCs w:val="18"/>
              </w:rPr>
            </w:pPr>
            <w:r>
              <w:rPr>
                <w:rFonts w:ascii="Times New Roman"/>
                <w:sz w:val="18"/>
              </w:rPr>
              <w:t>95,926,664.47</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spacing w:line="240" w:lineRule="auto" w:before="9"/>
        <w:rPr>
          <w:rFonts w:ascii="宋体" w:hAnsi="宋体" w:cs="宋体" w:eastAsia="宋体" w:hint="default"/>
          <w:sz w:val="16"/>
          <w:szCs w:val="16"/>
        </w:rPr>
      </w:pPr>
    </w:p>
    <w:p>
      <w:pPr>
        <w:pStyle w:val="BodyText"/>
        <w:spacing w:line="451" w:lineRule="auto"/>
        <w:ind w:left="1134"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spacing w:before="113"/>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19"/>
          <w:szCs w:val="19"/>
        </w:rPr>
      </w:pPr>
    </w:p>
    <w:p>
      <w:pPr>
        <w:pStyle w:val="BodyText"/>
        <w:spacing w:line="451" w:lineRule="auto"/>
        <w:ind w:right="1116"/>
        <w:jc w:val="left"/>
      </w:pPr>
      <w:r>
        <w:rPr/>
        <w:t>公司报告期不存在将根据《公开发行证券的公司信息披露解释性公告第</w:t>
      </w:r>
      <w:r>
        <w:rPr>
          <w:spacing w:val="-53"/>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451" w:lineRule="auto"/>
        <w:jc w:val="left"/>
        <w:sectPr>
          <w:pgSz w:w="11910" w:h="16840"/>
          <w:pgMar w:header="851" w:footer="979" w:top="1380" w:bottom="1160" w:left="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pStyle w:val="Heading1"/>
        <w:spacing w:line="240" w:lineRule="auto"/>
        <w:ind w:right="0"/>
        <w:jc w:val="center"/>
        <w:rPr>
          <w:b w:val="0"/>
          <w:bCs w:val="0"/>
        </w:rPr>
      </w:pPr>
      <w:bookmarkStart w:name="第三节 公司业务概要" w:id="15"/>
      <w:bookmarkEnd w:id="15"/>
      <w:r>
        <w:rPr>
          <w:b w:val="0"/>
          <w:bCs w:val="0"/>
        </w:rPr>
      </w:r>
      <w:bookmarkStart w:name="_bookmark2" w:id="16"/>
      <w:bookmarkEnd w:id="16"/>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left"/>
        <w:rPr>
          <w:b w:val="0"/>
          <w:bCs w:val="0"/>
        </w:rPr>
      </w:pPr>
      <w:bookmarkStart w:name="一、报告期内公司从事的主要业务" w:id="17"/>
      <w:bookmarkEnd w:id="17"/>
      <w:r>
        <w:rPr>
          <w:b w:val="0"/>
          <w:bCs w:val="0"/>
        </w:rPr>
      </w:r>
      <w:r>
        <w:rPr/>
        <w:t>一、报告期内公司从事的主要业务</w:t>
      </w:r>
      <w:r>
        <w:rPr>
          <w:b w:val="0"/>
          <w:bCs w:val="0"/>
        </w:rPr>
      </w:r>
    </w:p>
    <w:p>
      <w:pPr>
        <w:spacing w:line="240" w:lineRule="auto" w:before="7"/>
        <w:rPr>
          <w:rFonts w:ascii="宋体" w:hAnsi="宋体" w:cs="宋体" w:eastAsia="宋体" w:hint="default"/>
          <w:b/>
          <w:bCs/>
          <w:sz w:val="32"/>
          <w:szCs w:val="32"/>
        </w:rPr>
      </w:pPr>
    </w:p>
    <w:p>
      <w:pPr>
        <w:pStyle w:val="Heading4"/>
        <w:spacing w:line="518" w:lineRule="auto"/>
        <w:ind w:left="1134" w:right="7680"/>
        <w:jc w:val="left"/>
        <w:rPr>
          <w:rFonts w:ascii="宋体" w:hAnsi="宋体" w:cs="宋体" w:eastAsia="宋体" w:hint="default"/>
          <w:b w:val="0"/>
          <w:bCs w:val="0"/>
        </w:rPr>
      </w:pPr>
      <w:r>
        <w:rPr/>
        <w:t>公司是否需要遵守特殊行业的披露要求</w:t>
      </w:r>
      <w:r>
        <w:rPr>
          <w:w w:val="99"/>
        </w:rPr>
        <w:t> </w:t>
      </w:r>
      <w:r>
        <w:rPr>
          <w:rFonts w:ascii="宋体" w:hAnsi="宋体" w:cs="宋体" w:eastAsia="宋体" w:hint="default"/>
          <w:b w:val="0"/>
          <w:bCs w:val="0"/>
        </w:rPr>
        <w:t>是</w:t>
      </w:r>
    </w:p>
    <w:p>
      <w:pPr>
        <w:pStyle w:val="BodyText"/>
        <w:spacing w:line="240" w:lineRule="auto" w:before="63"/>
        <w:ind w:left="1134" w:right="0"/>
        <w:jc w:val="left"/>
      </w:pPr>
      <w:r>
        <w:rPr/>
        <w:t>互联网游戏业</w:t>
      </w:r>
    </w:p>
    <w:p>
      <w:pPr>
        <w:spacing w:line="240" w:lineRule="auto" w:before="9"/>
        <w:rPr>
          <w:rFonts w:ascii="宋体" w:hAnsi="宋体" w:cs="宋体" w:eastAsia="宋体" w:hint="default"/>
          <w:sz w:val="20"/>
          <w:szCs w:val="20"/>
        </w:rPr>
      </w:pPr>
    </w:p>
    <w:p>
      <w:pPr>
        <w:pStyle w:val="BodyText"/>
        <w:spacing w:line="458" w:lineRule="auto"/>
        <w:ind w:right="1130" w:firstLine="360"/>
        <w:jc w:val="both"/>
      </w:pPr>
      <w:r>
        <w:rPr>
          <w:rFonts w:ascii="Times New Roman" w:hAnsi="Times New Roman" w:cs="Times New Roman" w:eastAsia="Times New Roman" w:hint="default"/>
        </w:rPr>
        <w:t>2017 </w:t>
      </w:r>
      <w:r>
        <w:rPr>
          <w:spacing w:val="-4"/>
        </w:rPr>
        <w:t>年，是公司战略转型的关键一年。伴随信息产业进入革命性的新时代，创新技术与行业应用层出不穷。公司自</w:t>
      </w:r>
      <w:r>
        <w:rPr>
          <w:spacing w:val="-31"/>
        </w:rPr>
        <w:t> </w:t>
      </w:r>
      <w:r>
        <w:rPr>
          <w:rFonts w:ascii="Times New Roman" w:hAnsi="Times New Roman" w:cs="Times New Roman" w:eastAsia="Times New Roman" w:hint="default"/>
        </w:rPr>
        <w:t>2016 </w:t>
      </w:r>
      <w:r>
        <w:rPr>
          <w:spacing w:val="-2"/>
        </w:rPr>
        <w:t>年起始，开始进行具有前瞻性的创新布局，在原有</w:t>
      </w:r>
      <w:r>
        <w:rPr>
          <w:spacing w:val="-32"/>
        </w:rPr>
        <w:t> </w:t>
      </w:r>
      <w:r>
        <w:rPr>
          <w:rFonts w:ascii="Times New Roman" w:hAnsi="Times New Roman" w:cs="Times New Roman" w:eastAsia="Times New Roman" w:hint="default"/>
          <w:spacing w:val="-1"/>
        </w:rPr>
        <w:t>ICT</w:t>
      </w:r>
      <w:r>
        <w:rPr>
          <w:spacing w:val="-1"/>
        </w:rPr>
        <w:t>、互联网运营管理的优势地位以及物联网通信技术的研发实力基础之</w:t>
      </w:r>
      <w:r>
        <w:rPr>
          <w:spacing w:val="-87"/>
        </w:rPr>
        <w:t> </w:t>
      </w:r>
      <w:r>
        <w:rPr>
          <w:spacing w:val="-87"/>
        </w:rPr>
      </w:r>
      <w:r>
        <w:rPr>
          <w:spacing w:val="-2"/>
        </w:rPr>
        <w:t>上，积极向人工智能、工业物联网领域大力投入，全面引领公司从传统计算机软件企业向创新科技型企业转型。历经两年的</w:t>
      </w:r>
      <w:r>
        <w:rPr>
          <w:spacing w:val="-66"/>
        </w:rPr>
        <w:t> </w:t>
      </w:r>
      <w:r>
        <w:rPr>
          <w:spacing w:val="-66"/>
        </w:rPr>
      </w:r>
      <w:r>
        <w:rPr/>
        <w:t>大规模投入，公司的 </w:t>
      </w:r>
      <w:r>
        <w:rPr>
          <w:rFonts w:ascii="Times New Roman" w:hAnsi="Times New Roman" w:cs="Times New Roman" w:eastAsia="Times New Roman" w:hint="default"/>
        </w:rPr>
        <w:t>AI </w:t>
      </w:r>
      <w:r>
        <w:rPr/>
        <w:t>大数据、物联网通信技术在市场拓展、行业认可等方面打下了良好基础，为公司 </w:t>
      </w:r>
      <w:r>
        <w:rPr>
          <w:rFonts w:ascii="Times New Roman" w:hAnsi="Times New Roman" w:cs="Times New Roman" w:eastAsia="Times New Roman" w:hint="default"/>
        </w:rPr>
        <w:t>2018</w:t>
      </w:r>
      <w:r>
        <w:rPr>
          <w:rFonts w:ascii="Times New Roman" w:hAnsi="Times New Roman" w:cs="Times New Roman" w:eastAsia="Times New Roman" w:hint="default"/>
          <w:spacing w:val="-2"/>
        </w:rPr>
        <w:t> </w:t>
      </w:r>
      <w:r>
        <w:rPr/>
        <w:t>年度及以后 的业绩增长增添了强大驱动力。</w:t>
      </w:r>
    </w:p>
    <w:p>
      <w:pPr>
        <w:pStyle w:val="Heading4"/>
        <w:spacing w:line="240" w:lineRule="auto" w:before="68"/>
        <w:ind w:right="0"/>
        <w:jc w:val="left"/>
        <w:rPr>
          <w:b w:val="0"/>
          <w:bCs w:val="0"/>
        </w:rPr>
      </w:pPr>
      <w:r>
        <w:rPr>
          <w:rFonts w:ascii="Times New Roman" w:hAnsi="Times New Roman" w:cs="Times New Roman" w:eastAsia="Times New Roman" w:hint="default"/>
        </w:rPr>
        <w:t>1</w:t>
      </w:r>
      <w:r>
        <w:rPr/>
        <w:t>、人工智能、大数据领域</w:t>
      </w:r>
      <w:r>
        <w:rPr>
          <w:b w:val="0"/>
          <w:bCs w:val="0"/>
        </w:rPr>
      </w:r>
    </w:p>
    <w:p>
      <w:pPr>
        <w:spacing w:line="240" w:lineRule="auto" w:before="9"/>
        <w:rPr>
          <w:rFonts w:ascii="宋体" w:hAnsi="宋体" w:cs="宋体" w:eastAsia="宋体" w:hint="default"/>
          <w:b/>
          <w:bCs/>
          <w:sz w:val="16"/>
          <w:szCs w:val="16"/>
        </w:rPr>
      </w:pPr>
    </w:p>
    <w:p>
      <w:pPr>
        <w:spacing w:line="460" w:lineRule="auto" w:before="0"/>
        <w:ind w:left="1133" w:right="1129" w:firstLine="360"/>
        <w:jc w:val="both"/>
        <w:rPr>
          <w:rFonts w:ascii="宋体" w:hAnsi="宋体" w:cs="宋体" w:eastAsia="宋体" w:hint="default"/>
          <w:sz w:val="18"/>
          <w:szCs w:val="18"/>
        </w:rPr>
      </w:pPr>
      <w:r>
        <w:rPr>
          <w:rFonts w:ascii="宋体" w:hAnsi="宋体" w:cs="宋体" w:eastAsia="宋体" w:hint="default"/>
          <w:spacing w:val="-2"/>
          <w:w w:val="99"/>
          <w:sz w:val="18"/>
          <w:szCs w:val="18"/>
        </w:rPr>
        <w:t>公司人工智能大数据板块专注于自然语言处理（</w:t>
      </w:r>
      <w:r>
        <w:rPr>
          <w:rFonts w:ascii="Times New Roman" w:hAnsi="Times New Roman" w:cs="Times New Roman" w:eastAsia="Times New Roman" w:hint="default"/>
          <w:spacing w:val="-2"/>
          <w:w w:val="99"/>
          <w:sz w:val="18"/>
          <w:szCs w:val="18"/>
        </w:rPr>
        <w:t>NLP</w:t>
      </w:r>
      <w:r>
        <w:rPr>
          <w:rFonts w:ascii="宋体" w:hAnsi="宋体" w:cs="宋体" w:eastAsia="宋体" w:hint="default"/>
          <w:spacing w:val="-2"/>
          <w:w w:val="99"/>
          <w:sz w:val="18"/>
          <w:szCs w:val="18"/>
        </w:rPr>
        <w:t>），</w:t>
      </w:r>
      <w:r>
        <w:rPr>
          <w:rFonts w:ascii="宋体" w:hAnsi="宋体" w:cs="宋体" w:eastAsia="宋体" w:hint="default"/>
          <w:b/>
          <w:bCs/>
          <w:spacing w:val="-2"/>
          <w:w w:val="99"/>
          <w:sz w:val="18"/>
          <w:szCs w:val="18"/>
        </w:rPr>
        <w:t>公司所具备的中文自然语言分析技术已进入</w:t>
      </w:r>
      <w:r>
        <w:rPr>
          <w:rFonts w:ascii="宋体" w:hAnsi="宋体" w:cs="宋体" w:eastAsia="宋体" w:hint="default"/>
          <w:b/>
          <w:bCs/>
          <w:w w:val="99"/>
          <w:sz w:val="18"/>
          <w:szCs w:val="18"/>
        </w:rPr>
        <w:t> </w:t>
      </w:r>
      <w:r>
        <w:rPr>
          <w:rFonts w:ascii="Times New Roman" w:hAnsi="Times New Roman" w:cs="Times New Roman" w:eastAsia="Times New Roman" w:hint="default"/>
          <w:b/>
          <w:bCs/>
          <w:spacing w:val="-1"/>
          <w:sz w:val="18"/>
          <w:szCs w:val="18"/>
        </w:rPr>
        <w:t>Gartner</w:t>
      </w:r>
      <w:r>
        <w:rPr>
          <w:rFonts w:ascii="Times New Roman" w:hAnsi="Times New Roman" w:cs="Times New Roman" w:eastAsia="Times New Roman" w:hint="default"/>
          <w:b/>
          <w:bCs/>
          <w:spacing w:val="-16"/>
          <w:sz w:val="18"/>
          <w:szCs w:val="18"/>
        </w:rPr>
        <w:t> </w:t>
      </w:r>
      <w:r>
        <w:rPr>
          <w:rFonts w:ascii="宋体" w:hAnsi="宋体" w:cs="宋体" w:eastAsia="宋体" w:hint="default"/>
          <w:b/>
          <w:bCs/>
          <w:w w:val="99"/>
          <w:sz w:val="18"/>
          <w:szCs w:val="18"/>
        </w:rPr>
        <w:t>的观察象 </w:t>
      </w:r>
      <w:r>
        <w:rPr>
          <w:rFonts w:ascii="宋体" w:hAnsi="宋体" w:cs="宋体" w:eastAsia="宋体" w:hint="default"/>
          <w:b/>
          <w:bCs/>
          <w:sz w:val="18"/>
          <w:szCs w:val="18"/>
        </w:rPr>
        <w:t>限，达到业界领先水平</w:t>
      </w:r>
      <w:r>
        <w:rPr>
          <w:rFonts w:ascii="宋体" w:hAnsi="宋体" w:cs="宋体" w:eastAsia="宋体" w:hint="default"/>
          <w:sz w:val="18"/>
          <w:szCs w:val="18"/>
        </w:rPr>
        <w:t>。从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年开始，人工智能的深度学习算法成功应用于语音识别和图像识别等方面，带动了新一轮 </w:t>
      </w:r>
      <w:r>
        <w:rPr>
          <w:rFonts w:ascii="宋体" w:hAnsi="宋体" w:cs="宋体" w:eastAsia="宋体" w:hint="default"/>
          <w:spacing w:val="-3"/>
          <w:sz w:val="18"/>
          <w:szCs w:val="18"/>
        </w:rPr>
        <w:t>的革新浪潮，将</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技术推向各行各业。在语音与图像处理技术之后，</w:t>
      </w:r>
      <w:r>
        <w:rPr>
          <w:rFonts w:ascii="Times New Roman" w:hAnsi="Times New Roman" w:cs="Times New Roman" w:eastAsia="Times New Roman" w:hint="default"/>
          <w:sz w:val="18"/>
          <w:szCs w:val="18"/>
        </w:rPr>
        <w:t>NLP</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将成为人工智能下一个突破所在。</w:t>
      </w:r>
      <w:r>
        <w:rPr>
          <w:rFonts w:ascii="Times New Roman" w:hAnsi="Times New Roman" w:cs="Times New Roman" w:eastAsia="Times New Roman" w:hint="default"/>
          <w:b/>
          <w:bCs/>
          <w:sz w:val="18"/>
          <w:szCs w:val="18"/>
        </w:rPr>
        <w:t>NLP</w:t>
      </w:r>
      <w:r>
        <w:rPr>
          <w:rFonts w:ascii="Times New Roman" w:hAnsi="Times New Roman" w:cs="Times New Roman" w:eastAsia="Times New Roman" w:hint="default"/>
          <w:b/>
          <w:bCs/>
          <w:spacing w:val="-14"/>
          <w:sz w:val="18"/>
          <w:szCs w:val="18"/>
        </w:rPr>
        <w:t> </w:t>
      </w:r>
      <w:r>
        <w:rPr>
          <w:rFonts w:ascii="宋体" w:hAnsi="宋体" w:cs="宋体" w:eastAsia="宋体" w:hint="default"/>
          <w:b/>
          <w:bCs/>
          <w:sz w:val="18"/>
          <w:szCs w:val="18"/>
        </w:rPr>
        <w:t>的任务就</w:t>
      </w:r>
      <w:r>
        <w:rPr>
          <w:rFonts w:ascii="宋体" w:hAnsi="宋体" w:cs="宋体" w:eastAsia="宋体" w:hint="default"/>
          <w:b/>
          <w:bCs/>
          <w:w w:val="99"/>
          <w:sz w:val="18"/>
          <w:szCs w:val="18"/>
        </w:rPr>
        <w:t> </w:t>
      </w:r>
      <w:r>
        <w:rPr>
          <w:rFonts w:ascii="宋体" w:hAnsi="宋体" w:cs="宋体" w:eastAsia="宋体" w:hint="default"/>
          <w:b/>
          <w:bCs/>
          <w:sz w:val="18"/>
          <w:szCs w:val="18"/>
        </w:rPr>
        <w:t>是要理解人类语言与背后的思维逻辑，这即是人工智能技术的制高点，又是产业化应用的下一个风口</w:t>
      </w:r>
      <w:r>
        <w:rPr>
          <w:rFonts w:ascii="宋体" w:hAnsi="宋体" w:cs="宋体" w:eastAsia="宋体" w:hint="default"/>
          <w:sz w:val="18"/>
          <w:szCs w:val="18"/>
        </w:rPr>
        <w:t>。同时，利用高速的</w:t>
      </w:r>
      <w:r>
        <w:rPr>
          <w:rFonts w:ascii="宋体" w:hAnsi="宋体" w:cs="宋体" w:eastAsia="宋体" w:hint="default"/>
          <w:spacing w:val="-30"/>
          <w:sz w:val="18"/>
          <w:szCs w:val="18"/>
        </w:rPr>
        <w:t> </w:t>
      </w:r>
      <w:r>
        <w:rPr>
          <w:rFonts w:ascii="宋体" w:hAnsi="宋体" w:cs="宋体" w:eastAsia="宋体" w:hint="default"/>
          <w:spacing w:val="-2"/>
          <w:sz w:val="18"/>
          <w:szCs w:val="18"/>
        </w:rPr>
        <w:t>数据总线及大数据融合共享技术，进而通过对海量的大数据预处理，迅速完成信息获取、事件关联及进一步的情报预测，又</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能有效释放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的生产力，并辅助整理、提供大量的训练素材，实现</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AI</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和大数据的相辅相成。</w:t>
      </w:r>
    </w:p>
    <w:p>
      <w:pPr>
        <w:pStyle w:val="BodyText"/>
        <w:spacing w:line="456" w:lineRule="auto" w:before="35"/>
        <w:ind w:right="1132" w:firstLine="360"/>
        <w:jc w:val="both"/>
      </w:pPr>
      <w:r>
        <w:rPr>
          <w:spacing w:val="-1"/>
          <w:w w:val="99"/>
        </w:rPr>
        <w:t>在核心工具方面，公司拥有自主研发的专利平台</w:t>
      </w:r>
      <w:r>
        <w:rPr>
          <w:rFonts w:ascii="Times New Roman" w:hAnsi="Times New Roman" w:cs="Times New Roman" w:eastAsia="Times New Roman" w:hint="default"/>
          <w:b/>
          <w:bCs/>
          <w:spacing w:val="-1"/>
          <w:w w:val="99"/>
        </w:rPr>
        <w:t>DINFO-OEC</w:t>
      </w:r>
      <w:r>
        <w:rPr>
          <w:spacing w:val="-1"/>
          <w:w w:val="99"/>
        </w:rPr>
        <w:t>（非结构化文本分析挖掘平台），可将非结构化文本数据</w:t>
      </w:r>
      <w:r>
        <w:rPr>
          <w:w w:val="99"/>
        </w:rPr>
        <w:t> </w:t>
      </w:r>
      <w:r>
        <w:rPr>
          <w:spacing w:val="-2"/>
          <w:w w:val="99"/>
        </w:rPr>
        <w:t>转化成结构化数据。</w:t>
      </w:r>
      <w:r>
        <w:rPr>
          <w:rFonts w:ascii="Times New Roman" w:hAnsi="Times New Roman" w:cs="Times New Roman" w:eastAsia="Times New Roman" w:hint="default"/>
          <w:spacing w:val="-2"/>
          <w:w w:val="99"/>
        </w:rPr>
        <w:t>DINFO-OEC</w:t>
      </w:r>
      <w:r>
        <w:rPr>
          <w:spacing w:val="-2"/>
          <w:w w:val="99"/>
        </w:rPr>
        <w:t>是目前国内唯一的</w:t>
      </w:r>
      <w:r>
        <w:rPr>
          <w:rFonts w:ascii="Times New Roman" w:hAnsi="Times New Roman" w:cs="Times New Roman" w:eastAsia="Times New Roman" w:hint="default"/>
          <w:spacing w:val="-2"/>
          <w:w w:val="99"/>
        </w:rPr>
        <w:t>NLP</w:t>
      </w:r>
      <w:r>
        <w:rPr>
          <w:spacing w:val="-2"/>
          <w:w w:val="99"/>
        </w:rPr>
        <w:t>集成开发平台（</w:t>
      </w:r>
      <w:r>
        <w:rPr>
          <w:rFonts w:ascii="Times New Roman" w:hAnsi="Times New Roman" w:cs="Times New Roman" w:eastAsia="Times New Roman" w:hint="default"/>
          <w:spacing w:val="-2"/>
          <w:w w:val="99"/>
        </w:rPr>
        <w:t>NLP-IDE</w:t>
      </w:r>
      <w:r>
        <w:rPr>
          <w:spacing w:val="-2"/>
          <w:w w:val="99"/>
        </w:rPr>
        <w:t>），与国际和国内同类产品相比，具有融合</w:t>
      </w:r>
      <w:r>
        <w:rPr>
          <w:spacing w:val="-82"/>
          <w:w w:val="99"/>
        </w:rPr>
        <w:t> </w:t>
      </w:r>
      <w:r>
        <w:rPr>
          <w:spacing w:val="-82"/>
          <w:w w:val="99"/>
        </w:rPr>
      </w:r>
      <w:r>
        <w:rPr/>
        <w:t>语言先验知识与深度学习（包括增强学习、迁移学习）框架于一体、面向业务的快速建模、多种算法集成及评价、可视化</w:t>
      </w:r>
      <w:r>
        <w:rPr>
          <w:spacing w:val="-9"/>
        </w:rPr>
        <w:t> </w:t>
      </w:r>
      <w:r>
        <w:rPr>
          <w:spacing w:val="-9"/>
        </w:rPr>
      </w:r>
      <w:r>
        <w:rPr>
          <w:rFonts w:ascii="Times New Roman" w:hAnsi="Times New Roman" w:cs="Times New Roman" w:eastAsia="Times New Roman" w:hint="default"/>
          <w:spacing w:val="-2"/>
        </w:rPr>
        <w:t>NLP</w:t>
      </w:r>
      <w:r>
        <w:rPr>
          <w:spacing w:val="-2"/>
        </w:rPr>
        <w:t>建模、扩增语义表示及语义分析算法、场景化定制开发及多语种的自动支持等独特能力。报告期内，公司进一步研发推</w:t>
      </w:r>
      <w:r>
        <w:rPr>
          <w:spacing w:val="-46"/>
        </w:rPr>
        <w:t> </w:t>
      </w:r>
      <w:r>
        <w:rPr>
          <w:spacing w:val="-46"/>
        </w:rPr>
      </w:r>
      <w:r>
        <w:rPr>
          <w:spacing w:val="-4"/>
          <w:w w:val="99"/>
        </w:rPr>
        <w:t>出</w:t>
      </w:r>
      <w:r>
        <w:rPr>
          <w:rFonts w:ascii="Times New Roman" w:hAnsi="Times New Roman" w:cs="Times New Roman" w:eastAsia="Times New Roman" w:hint="default"/>
          <w:b/>
          <w:bCs/>
          <w:spacing w:val="-4"/>
          <w:w w:val="99"/>
        </w:rPr>
        <w:t>ULTRA-NLP</w:t>
      </w:r>
      <w:r>
        <w:rPr>
          <w:spacing w:val="-4"/>
          <w:w w:val="99"/>
        </w:rPr>
        <w:t>（自然语言处理算法平台），集机器学习、语义规则、深度学习于一体，构建体系完备的</w:t>
      </w:r>
      <w:r>
        <w:rPr>
          <w:rFonts w:ascii="Times New Roman" w:hAnsi="Times New Roman" w:cs="Times New Roman" w:eastAsia="Times New Roman" w:hint="default"/>
          <w:spacing w:val="-4"/>
          <w:w w:val="99"/>
        </w:rPr>
        <w:t>NLP</w:t>
      </w:r>
      <w:r>
        <w:rPr>
          <w:spacing w:val="-4"/>
          <w:w w:val="99"/>
        </w:rPr>
        <w:t>算法库，为</w:t>
      </w:r>
      <w:r>
        <w:rPr>
          <w:rFonts w:ascii="Times New Roman" w:hAnsi="Times New Roman" w:cs="Times New Roman" w:eastAsia="Times New Roman" w:hint="default"/>
          <w:spacing w:val="-4"/>
          <w:w w:val="99"/>
        </w:rPr>
        <w:t>OEC</w:t>
      </w:r>
      <w:r>
        <w:rPr>
          <w:rFonts w:ascii="Times New Roman" w:hAnsi="Times New Roman" w:cs="Times New Roman" w:eastAsia="Times New Roman" w:hint="default"/>
          <w:spacing w:val="-21"/>
          <w:w w:val="99"/>
        </w:rPr>
        <w:t> </w:t>
      </w:r>
      <w:r>
        <w:rPr>
          <w:rFonts w:ascii="Times New Roman" w:hAnsi="Times New Roman" w:cs="Times New Roman" w:eastAsia="Times New Roman" w:hint="default"/>
          <w:spacing w:val="-21"/>
          <w:w w:val="99"/>
        </w:rPr>
      </w:r>
      <w:r>
        <w:rPr/>
        <w:t>提供先进的底层算法支撑。</w:t>
      </w:r>
    </w:p>
    <w:p>
      <w:pPr>
        <w:pStyle w:val="BodyText"/>
        <w:spacing w:line="458" w:lineRule="auto" w:before="70"/>
        <w:ind w:right="0" w:firstLine="360"/>
        <w:jc w:val="left"/>
      </w:pPr>
      <w:r>
        <w:rPr/>
        <w:t>报告期内，公司成功发布了</w:t>
      </w:r>
      <w:r>
        <w:rPr>
          <w:rFonts w:ascii="Times New Roman" w:hAnsi="Times New Roman" w:cs="Times New Roman" w:eastAsia="Times New Roman" w:hint="default"/>
        </w:rPr>
        <w:t>“</w:t>
      </w:r>
      <w:r>
        <w:rPr>
          <w:rFonts w:ascii="宋体" w:hAnsi="宋体" w:cs="宋体" w:eastAsia="宋体" w:hint="default"/>
          <w:b/>
          <w:bCs/>
        </w:rPr>
        <w:t>智享云</w:t>
      </w:r>
      <w:r>
        <w:rPr>
          <w:rFonts w:ascii="Times New Roman" w:hAnsi="Times New Roman" w:cs="Times New Roman" w:eastAsia="Times New Roman" w:hint="default"/>
        </w:rPr>
        <w:t>”</w:t>
      </w:r>
      <w:r>
        <w:rPr/>
        <w:t>业务创新共享服务云平台。通过将</w:t>
      </w:r>
      <w:r>
        <w:rPr>
          <w:rFonts w:ascii="Times New Roman" w:hAnsi="Times New Roman" w:cs="Times New Roman" w:eastAsia="Times New Roman" w:hint="default"/>
        </w:rPr>
        <w:t>AI</w:t>
      </w:r>
      <w:r>
        <w:rPr/>
        <w:t>与大数据技术整合，以云生态（公有、私有） </w:t>
      </w:r>
      <w:r>
        <w:rPr>
          <w:spacing w:val="-2"/>
        </w:rPr>
        <w:t>的模式，带动整体业务创新，最大化地发挥人工智能技术的业务价值，推进人工智能研究成果的产业化落地，使得每个用户</w:t>
      </w:r>
      <w:r>
        <w:rPr>
          <w:spacing w:val="-66"/>
        </w:rPr>
        <w:t> </w:t>
      </w:r>
      <w:r>
        <w:rPr>
          <w:spacing w:val="-66"/>
        </w:rPr>
      </w:r>
      <w:r>
        <w:rPr/>
        <w:t>都可以通过平台找到或者组合出符合自身需要的专属产品和服务。公司</w:t>
      </w:r>
      <w:r>
        <w:rPr>
          <w:rFonts w:ascii="Times New Roman" w:hAnsi="Times New Roman" w:cs="Times New Roman" w:eastAsia="Times New Roman" w:hint="default"/>
        </w:rPr>
        <w:t>“</w:t>
      </w:r>
      <w:r>
        <w:rPr/>
        <w:t>小富智能对话机器人</w:t>
      </w:r>
      <w:r>
        <w:rPr>
          <w:rFonts w:ascii="Times New Roman" w:hAnsi="Times New Roman" w:cs="Times New Roman" w:eastAsia="Times New Roman" w:hint="default"/>
        </w:rPr>
        <w:t>”</w:t>
      </w:r>
      <w:r>
        <w:rPr/>
        <w:t>产品，采用了业界首创的面向 场景的设计理念，覆盖客服问答场景、外呼场景、智能推荐场景、营销场景和个人助理场景等五类典型场景。</w:t>
      </w:r>
    </w:p>
    <w:p>
      <w:pPr>
        <w:spacing w:after="0" w:line="458" w:lineRule="auto"/>
        <w:jc w:val="left"/>
        <w:sectPr>
          <w:pgSz w:w="11910" w:h="16840"/>
          <w:pgMar w:header="851" w:footer="979" w:top="138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1"/>
          <w:szCs w:val="11"/>
        </w:rPr>
      </w:pPr>
    </w:p>
    <w:p>
      <w:pPr>
        <w:spacing w:line="4644" w:lineRule="exact"/>
        <w:ind w:left="1798"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226807" cy="2948940"/>
            <wp:effectExtent l="0" t="0" r="0" b="0"/>
            <wp:docPr id="7" name="image25.jpeg" descr=""/>
            <wp:cNvGraphicFramePr>
              <a:graphicFrameLocks noChangeAspect="1"/>
            </wp:cNvGraphicFramePr>
            <a:graphic>
              <a:graphicData uri="http://schemas.openxmlformats.org/drawingml/2006/picture">
                <pic:pic>
                  <pic:nvPicPr>
                    <pic:cNvPr id="8" name="image25.jpeg"/>
                    <pic:cNvPicPr/>
                  </pic:nvPicPr>
                  <pic:blipFill>
                    <a:blip r:embed="rId32" cstate="print"/>
                    <a:stretch>
                      <a:fillRect/>
                    </a:stretch>
                  </pic:blipFill>
                  <pic:spPr>
                    <a:xfrm>
                      <a:off x="0" y="0"/>
                      <a:ext cx="5226807" cy="2948940"/>
                    </a:xfrm>
                    <a:prstGeom prst="rect">
                      <a:avLst/>
                    </a:prstGeom>
                  </pic:spPr>
                </pic:pic>
              </a:graphicData>
            </a:graphic>
          </wp:inline>
        </w:drawing>
      </w:r>
      <w:r>
        <w:rPr>
          <w:rFonts w:ascii="宋体" w:hAnsi="宋体" w:cs="宋体" w:eastAsia="宋体" w:hint="default"/>
          <w:position w:val="-92"/>
          <w:sz w:val="20"/>
          <w:szCs w:val="20"/>
        </w:rPr>
      </w:r>
    </w:p>
    <w:p>
      <w:pPr>
        <w:spacing w:line="240" w:lineRule="auto" w:before="1"/>
        <w:rPr>
          <w:rFonts w:ascii="宋体" w:hAnsi="宋体" w:cs="宋体" w:eastAsia="宋体" w:hint="default"/>
          <w:sz w:val="18"/>
          <w:szCs w:val="18"/>
        </w:rPr>
      </w:pPr>
    </w:p>
    <w:p>
      <w:pPr>
        <w:pStyle w:val="Heading4"/>
        <w:spacing w:line="240" w:lineRule="auto" w:before="44"/>
        <w:ind w:left="5140" w:right="0"/>
        <w:jc w:val="left"/>
        <w:rPr>
          <w:b w:val="0"/>
          <w:bCs w:val="0"/>
        </w:rPr>
      </w:pPr>
      <w:r>
        <w:rPr/>
        <w:t>（智享云创新架构）</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pStyle w:val="BodyText"/>
        <w:spacing w:line="463" w:lineRule="auto"/>
        <w:ind w:right="1033" w:firstLine="360"/>
        <w:jc w:val="left"/>
      </w:pPr>
      <w:r>
        <w:rPr>
          <w:spacing w:val="-5"/>
          <w:w w:val="99"/>
        </w:rPr>
        <w:t>报告期内，公司在</w:t>
      </w:r>
      <w:r>
        <w:rPr>
          <w:rFonts w:ascii="宋体" w:hAnsi="宋体" w:cs="宋体" w:eastAsia="宋体" w:hint="default"/>
          <w:b/>
          <w:bCs/>
          <w:spacing w:val="-5"/>
          <w:w w:val="99"/>
        </w:rPr>
        <w:t>公安领域</w:t>
      </w:r>
      <w:r>
        <w:rPr>
          <w:spacing w:val="-5"/>
          <w:w w:val="99"/>
        </w:rPr>
        <w:t>取得突破性进展，为公安机关定制开发了</w:t>
      </w:r>
      <w:r>
        <w:rPr>
          <w:rFonts w:ascii="Times New Roman" w:hAnsi="Times New Roman" w:cs="Times New Roman" w:eastAsia="Times New Roman" w:hint="default"/>
          <w:spacing w:val="-5"/>
          <w:w w:val="99"/>
        </w:rPr>
        <w:t>“</w:t>
      </w:r>
      <w:r>
        <w:rPr>
          <w:spacing w:val="-5"/>
          <w:w w:val="99"/>
        </w:rPr>
        <w:t>智脑刑侦案事件智能分析系统</w:t>
      </w:r>
      <w:r>
        <w:rPr>
          <w:rFonts w:ascii="Times New Roman" w:hAnsi="Times New Roman" w:cs="Times New Roman" w:eastAsia="Times New Roman" w:hint="default"/>
          <w:spacing w:val="-5"/>
          <w:w w:val="99"/>
        </w:rPr>
        <w:t>”</w:t>
      </w:r>
      <w:r>
        <w:rPr>
          <w:spacing w:val="-5"/>
          <w:w w:val="99"/>
        </w:rPr>
        <w:t>、</w:t>
      </w:r>
      <w:r>
        <w:rPr>
          <w:rFonts w:ascii="Times New Roman" w:hAnsi="Times New Roman" w:cs="Times New Roman" w:eastAsia="Times New Roman" w:hint="default"/>
          <w:spacing w:val="-5"/>
          <w:w w:val="99"/>
        </w:rPr>
        <w:t>“</w:t>
      </w:r>
      <w:r>
        <w:rPr>
          <w:spacing w:val="-5"/>
          <w:w w:val="99"/>
        </w:rPr>
        <w:t>合成作战平台</w:t>
      </w:r>
      <w:r>
        <w:rPr>
          <w:rFonts w:ascii="Times New Roman" w:hAnsi="Times New Roman" w:cs="Times New Roman" w:eastAsia="Times New Roman" w:hint="default"/>
          <w:spacing w:val="-5"/>
          <w:w w:val="99"/>
        </w:rPr>
        <w:t>”</w:t>
      </w:r>
      <w:r>
        <w:rPr>
          <w:spacing w:val="-5"/>
          <w:w w:val="99"/>
        </w:rPr>
        <w:t>、</w:t>
      </w:r>
      <w:r>
        <w:rPr/>
        <w:t> </w:t>
      </w:r>
      <w:r>
        <w:rPr>
          <w:rFonts w:ascii="Times New Roman" w:hAnsi="Times New Roman" w:cs="Times New Roman" w:eastAsia="Times New Roman" w:hint="default"/>
        </w:rPr>
        <w:t>“</w:t>
      </w:r>
      <w:r>
        <w:rPr/>
        <w:t>实有人口服务管理平台</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扫黑除恶智能研判平台</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数据质量管理平台</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大数据交换共享平台</w:t>
      </w:r>
      <w:r>
        <w:rPr>
          <w:rFonts w:ascii="Times New Roman" w:hAnsi="Times New Roman" w:cs="Times New Roman" w:eastAsia="Times New Roman" w:hint="default"/>
        </w:rPr>
        <w:t>”</w:t>
      </w:r>
      <w:r>
        <w:rPr/>
        <w:t>等可靠、稳定的大数据 </w:t>
      </w:r>
      <w:r>
        <w:rPr>
          <w:spacing w:val="-2"/>
        </w:rPr>
        <w:t>和人工智能创新产品及服务。公司在</w:t>
      </w:r>
      <w:r>
        <w:rPr>
          <w:rFonts w:ascii="宋体" w:hAnsi="宋体" w:cs="宋体" w:eastAsia="宋体" w:hint="default"/>
          <w:b/>
          <w:bCs/>
          <w:spacing w:val="-2"/>
        </w:rPr>
        <w:t>银行领域</w:t>
      </w:r>
      <w:r>
        <w:rPr>
          <w:spacing w:val="-2"/>
        </w:rPr>
        <w:t>继续保持领先地位，为众多国有银行和股份制银行提供客服对话机器人、客服</w:t>
      </w:r>
      <w:r>
        <w:rPr>
          <w:spacing w:val="-70"/>
        </w:rPr>
        <w:t> </w:t>
      </w:r>
      <w:r>
        <w:rPr>
          <w:spacing w:val="-70"/>
        </w:rPr>
      </w:r>
      <w:r>
        <w:rPr/>
        <w:t>大数据分析挖掘系统、统一业务知识库系统、金融领域的第三方个人征信获取工具、信贷大数据服务平台、信贷风险监测、</w:t>
      </w:r>
      <w:r>
        <w:rPr>
          <w:spacing w:val="-85"/>
        </w:rPr>
        <w:t> </w:t>
      </w:r>
      <w:r>
        <w:rPr>
          <w:spacing w:val="-85"/>
        </w:rPr>
      </w:r>
      <w:r>
        <w:rPr/>
        <w:t>互联网信息获取及分析、证券云投研报告解析平台等。</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5"/>
          <w:szCs w:val="15"/>
        </w:rPr>
      </w:pPr>
    </w:p>
    <w:p>
      <w:pPr>
        <w:spacing w:line="4282" w:lineRule="exact"/>
        <w:ind w:left="1800" w:right="0" w:firstLine="0"/>
        <w:rPr>
          <w:rFonts w:ascii="宋体" w:hAnsi="宋体" w:cs="宋体" w:eastAsia="宋体" w:hint="default"/>
          <w:sz w:val="20"/>
          <w:szCs w:val="20"/>
        </w:rPr>
      </w:pPr>
      <w:r>
        <w:rPr>
          <w:rFonts w:ascii="宋体" w:hAnsi="宋体" w:cs="宋体" w:eastAsia="宋体" w:hint="default"/>
          <w:position w:val="-85"/>
          <w:sz w:val="20"/>
          <w:szCs w:val="20"/>
        </w:rPr>
        <w:drawing>
          <wp:inline distT="0" distB="0" distL="0" distR="0">
            <wp:extent cx="5235846" cy="2719578"/>
            <wp:effectExtent l="0" t="0" r="0" b="0"/>
            <wp:docPr id="9" name="image26.jpeg" descr=""/>
            <wp:cNvGraphicFramePr>
              <a:graphicFrameLocks noChangeAspect="1"/>
            </wp:cNvGraphicFramePr>
            <a:graphic>
              <a:graphicData uri="http://schemas.openxmlformats.org/drawingml/2006/picture">
                <pic:pic>
                  <pic:nvPicPr>
                    <pic:cNvPr id="10" name="image26.jpeg"/>
                    <pic:cNvPicPr/>
                  </pic:nvPicPr>
                  <pic:blipFill>
                    <a:blip r:embed="rId33" cstate="print"/>
                    <a:stretch>
                      <a:fillRect/>
                    </a:stretch>
                  </pic:blipFill>
                  <pic:spPr>
                    <a:xfrm>
                      <a:off x="0" y="0"/>
                      <a:ext cx="5235846" cy="2719578"/>
                    </a:xfrm>
                    <a:prstGeom prst="rect">
                      <a:avLst/>
                    </a:prstGeom>
                  </pic:spPr>
                </pic:pic>
              </a:graphicData>
            </a:graphic>
          </wp:inline>
        </w:drawing>
      </w:r>
      <w:r>
        <w:rPr>
          <w:rFonts w:ascii="宋体" w:hAnsi="宋体" w:cs="宋体" w:eastAsia="宋体" w:hint="default"/>
          <w:position w:val="-85"/>
          <w:sz w:val="20"/>
          <w:szCs w:val="20"/>
        </w:rPr>
      </w:r>
    </w:p>
    <w:p>
      <w:pPr>
        <w:pStyle w:val="Heading4"/>
        <w:spacing w:line="240" w:lineRule="auto" w:before="152"/>
        <w:ind w:left="0" w:right="0"/>
        <w:jc w:val="center"/>
        <w:rPr>
          <w:b w:val="0"/>
          <w:bCs w:val="0"/>
        </w:rPr>
      </w:pPr>
      <w:r>
        <w:rPr/>
        <w:t>（人工智能在公安行业应用的总体架构）</w:t>
      </w:r>
      <w:r>
        <w:rPr>
          <w:b w:val="0"/>
          <w:bCs w:val="0"/>
        </w:rPr>
      </w:r>
    </w:p>
    <w:p>
      <w:pPr>
        <w:spacing w:after="0" w:line="240" w:lineRule="auto"/>
        <w:jc w:val="center"/>
        <w:sectPr>
          <w:pgSz w:w="11910" w:h="16840"/>
          <w:pgMar w:header="851" w:footer="979" w:top="1380" w:bottom="1160" w:left="0" w:right="0"/>
        </w:sectPr>
      </w:pPr>
    </w:p>
    <w:p>
      <w:pPr>
        <w:pStyle w:val="Heading4"/>
        <w:spacing w:line="240" w:lineRule="auto" w:before="140"/>
        <w:ind w:right="0"/>
        <w:jc w:val="left"/>
        <w:rPr>
          <w:b w:val="0"/>
          <w:bCs w:val="0"/>
        </w:rPr>
      </w:pPr>
      <w:r>
        <w:rPr>
          <w:rFonts w:ascii="Times New Roman" w:hAnsi="Times New Roman" w:cs="Times New Roman" w:eastAsia="Times New Roman" w:hint="default"/>
        </w:rPr>
        <w:t>2</w:t>
      </w:r>
      <w:r>
        <w:rPr/>
        <w:t>、物联网、工业互联网领域</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right="1130" w:firstLine="360"/>
        <w:jc w:val="both"/>
      </w:pPr>
      <w:r>
        <w:rPr>
          <w:spacing w:val="-5"/>
        </w:rPr>
        <w:t>从</w:t>
      </w:r>
      <w:r>
        <w:rPr>
          <w:rFonts w:ascii="Times New Roman" w:hAnsi="Times New Roman" w:cs="Times New Roman" w:eastAsia="Times New Roman" w:hint="default"/>
          <w:spacing w:val="-5"/>
        </w:rPr>
        <w:t>“</w:t>
      </w:r>
      <w:r>
        <w:rPr>
          <w:spacing w:val="-5"/>
        </w:rPr>
        <w:t>物联网</w:t>
      </w:r>
      <w:r>
        <w:rPr>
          <w:rFonts w:ascii="Times New Roman" w:hAnsi="Times New Roman" w:cs="Times New Roman" w:eastAsia="Times New Roman" w:hint="default"/>
          <w:spacing w:val="-5"/>
        </w:rPr>
        <w:t>”</w:t>
      </w:r>
      <w:r>
        <w:rPr>
          <w:spacing w:val="-5"/>
        </w:rPr>
        <w:t>到</w:t>
      </w:r>
      <w:r>
        <w:rPr>
          <w:rFonts w:ascii="Times New Roman" w:hAnsi="Times New Roman" w:cs="Times New Roman" w:eastAsia="Times New Roman" w:hint="default"/>
          <w:spacing w:val="-5"/>
        </w:rPr>
        <w:t>“</w:t>
      </w:r>
      <w:r>
        <w:rPr>
          <w:spacing w:val="-5"/>
        </w:rPr>
        <w:t>智能制造</w:t>
      </w:r>
      <w:r>
        <w:rPr>
          <w:rFonts w:ascii="Times New Roman" w:hAnsi="Times New Roman" w:cs="Times New Roman" w:eastAsia="Times New Roman" w:hint="default"/>
          <w:spacing w:val="-5"/>
        </w:rPr>
        <w:t>”</w:t>
      </w:r>
      <w:r>
        <w:rPr>
          <w:spacing w:val="-5"/>
        </w:rPr>
        <w:t>、</w:t>
      </w:r>
      <w:r>
        <w:rPr>
          <w:rFonts w:ascii="Times New Roman" w:hAnsi="Times New Roman" w:cs="Times New Roman" w:eastAsia="Times New Roman" w:hint="default"/>
          <w:spacing w:val="-5"/>
        </w:rPr>
        <w:t>“</w:t>
      </w:r>
      <w:r>
        <w:rPr>
          <w:spacing w:val="-5"/>
        </w:rPr>
        <w:t>工业互联网</w:t>
      </w:r>
      <w:r>
        <w:rPr>
          <w:rFonts w:ascii="Times New Roman" w:hAnsi="Times New Roman" w:cs="Times New Roman" w:eastAsia="Times New Roman" w:hint="default"/>
          <w:spacing w:val="-5"/>
        </w:rPr>
        <w:t>”</w:t>
      </w:r>
      <w:r>
        <w:rPr>
          <w:spacing w:val="-5"/>
        </w:rPr>
        <w:t>，从</w:t>
      </w:r>
      <w:r>
        <w:rPr>
          <w:rFonts w:ascii="Times New Roman" w:hAnsi="Times New Roman" w:cs="Times New Roman" w:eastAsia="Times New Roman" w:hint="default"/>
          <w:spacing w:val="-5"/>
        </w:rPr>
        <w:t>“</w:t>
      </w:r>
      <w:r>
        <w:rPr>
          <w:spacing w:val="-5"/>
        </w:rPr>
        <w:t>大数据</w:t>
      </w:r>
      <w:r>
        <w:rPr>
          <w:rFonts w:ascii="Times New Roman" w:hAnsi="Times New Roman" w:cs="Times New Roman" w:eastAsia="Times New Roman" w:hint="default"/>
          <w:spacing w:val="-5"/>
        </w:rPr>
        <w:t>”</w:t>
      </w:r>
      <w:r>
        <w:rPr>
          <w:spacing w:val="-5"/>
        </w:rPr>
        <w:t>到</w:t>
      </w:r>
      <w:r>
        <w:rPr>
          <w:rFonts w:ascii="Times New Roman" w:hAnsi="Times New Roman" w:cs="Times New Roman" w:eastAsia="Times New Roman" w:hint="default"/>
          <w:spacing w:val="-5"/>
        </w:rPr>
        <w:t>“</w:t>
      </w:r>
      <w:r>
        <w:rPr>
          <w:spacing w:val="-5"/>
        </w:rPr>
        <w:t>互联网</w:t>
      </w:r>
      <w:r>
        <w:rPr>
          <w:rFonts w:ascii="Times New Roman" w:hAnsi="Times New Roman" w:cs="Times New Roman" w:eastAsia="Times New Roman" w:hint="default"/>
          <w:spacing w:val="-5"/>
        </w:rPr>
        <w:t>+”</w:t>
      </w:r>
      <w:r>
        <w:rPr>
          <w:spacing w:val="-5"/>
        </w:rPr>
        <w:t>、</w:t>
      </w:r>
      <w:r>
        <w:rPr>
          <w:rFonts w:ascii="Times New Roman" w:hAnsi="Times New Roman" w:cs="Times New Roman" w:eastAsia="Times New Roman" w:hint="default"/>
          <w:spacing w:val="-5"/>
        </w:rPr>
        <w:t>“</w:t>
      </w:r>
      <w:r>
        <w:rPr>
          <w:spacing w:val="-5"/>
        </w:rPr>
        <w:t>数字中国</w:t>
      </w:r>
      <w:r>
        <w:rPr>
          <w:rFonts w:ascii="Times New Roman" w:hAnsi="Times New Roman" w:cs="Times New Roman" w:eastAsia="Times New Roman" w:hint="default"/>
          <w:spacing w:val="-5"/>
        </w:rPr>
        <w:t>”</w:t>
      </w:r>
      <w:r>
        <w:rPr>
          <w:spacing w:val="-5"/>
        </w:rPr>
        <w:t>，都离不开一个基础概念</w:t>
      </w:r>
      <w:r>
        <w:rPr>
          <w:rFonts w:ascii="Times New Roman" w:hAnsi="Times New Roman" w:cs="Times New Roman" w:eastAsia="Times New Roman" w:hint="default"/>
          <w:spacing w:val="-5"/>
        </w:rPr>
        <w:t>——</w:t>
      </w:r>
      <w:r>
        <w:rPr>
          <w:spacing w:val="-5"/>
        </w:rPr>
        <w:t>万物互联。</w:t>
      </w:r>
      <w:r>
        <w:rPr/>
        <w:t> </w:t>
      </w:r>
      <w:r>
        <w:rPr>
          <w:spacing w:val="-2"/>
        </w:rPr>
        <w:t>只有实现了物联网的底层通信传输，才能真正实现万物互联、人机交互，才能进一步获取海量的数据来源以实现网络化、数</w:t>
      </w:r>
      <w:r>
        <w:rPr>
          <w:spacing w:val="-66"/>
        </w:rPr>
        <w:t> </w:t>
      </w:r>
      <w:r>
        <w:rPr>
          <w:spacing w:val="-66"/>
        </w:rPr>
      </w:r>
      <w:r>
        <w:rPr/>
        <w:t>字化、智能化。</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spacing w:line="6361" w:lineRule="exact"/>
        <w:ind w:left="1683" w:right="0" w:firstLine="0"/>
        <w:rPr>
          <w:rFonts w:ascii="宋体" w:hAnsi="宋体" w:cs="宋体" w:eastAsia="宋体" w:hint="default"/>
          <w:sz w:val="20"/>
          <w:szCs w:val="20"/>
        </w:rPr>
      </w:pPr>
      <w:r>
        <w:rPr>
          <w:rFonts w:ascii="宋体" w:hAnsi="宋体" w:cs="宋体" w:eastAsia="宋体" w:hint="default"/>
          <w:position w:val="-126"/>
          <w:sz w:val="20"/>
          <w:szCs w:val="20"/>
        </w:rPr>
        <w:pict>
          <v:group style="width:426.5pt;height:318.1pt;mso-position-horizontal-relative:char;mso-position-vertical-relative:line" coordorigin="0,0" coordsize="8530,6362">
            <v:shape style="position:absolute;left:0;top:0;width:8530;height:6361" type="#_x0000_t75" stroked="false">
              <v:imagedata r:id="rId34" o:title=""/>
            </v:shape>
            <v:shape style="position:absolute;left:69;top:153;width:8306;height:6138" type="#_x0000_t75" stroked="false">
              <v:imagedata r:id="rId35" o:title=""/>
            </v:shape>
            <v:group style="position:absolute;left:54;top:138;width:8336;height:6169" coordorigin="54,138" coordsize="8336,6169">
              <v:shape style="position:absolute;left:54;top:138;width:8336;height:6169" coordorigin="54,138" coordsize="8336,6169" path="m54,6307l8390,6307,8390,138,54,138,54,6307xe" filled="false" stroked="true" strokeweight="1.5pt" strokecolor="#9dc3e6">
                <v:path arrowok="t"/>
              </v:shape>
            </v:group>
          </v:group>
        </w:pict>
      </w:r>
      <w:r>
        <w:rPr>
          <w:rFonts w:ascii="宋体" w:hAnsi="宋体" w:cs="宋体" w:eastAsia="宋体" w:hint="default"/>
          <w:position w:val="-126"/>
          <w:sz w:val="20"/>
          <w:szCs w:val="20"/>
        </w:rPr>
      </w:r>
    </w:p>
    <w:p>
      <w:pPr>
        <w:spacing w:line="240" w:lineRule="auto" w:before="5"/>
        <w:rPr>
          <w:rFonts w:ascii="宋体" w:hAnsi="宋体" w:cs="宋体" w:eastAsia="宋体" w:hint="default"/>
          <w:sz w:val="14"/>
          <w:szCs w:val="14"/>
        </w:rPr>
      </w:pPr>
    </w:p>
    <w:p>
      <w:pPr>
        <w:pStyle w:val="Heading4"/>
        <w:spacing w:line="240" w:lineRule="auto"/>
        <w:ind w:left="3515" w:right="0"/>
        <w:jc w:val="left"/>
        <w:rPr>
          <w:b w:val="0"/>
          <w:bCs w:val="0"/>
        </w:rPr>
      </w:pPr>
      <w:r>
        <w:rPr/>
        <w:t>（物联网体系架构图，公司在传输层、业务层拥有核心技术）</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spacing w:line="458" w:lineRule="auto" w:before="0"/>
        <w:ind w:left="1133" w:right="0" w:firstLine="361"/>
        <w:jc w:val="left"/>
        <w:rPr>
          <w:rFonts w:ascii="宋体" w:hAnsi="宋体" w:cs="宋体" w:eastAsia="宋体" w:hint="default"/>
          <w:sz w:val="18"/>
          <w:szCs w:val="18"/>
        </w:rPr>
      </w:pPr>
      <w:r>
        <w:rPr>
          <w:rFonts w:ascii="宋体" w:hAnsi="宋体" w:cs="宋体" w:eastAsia="宋体" w:hint="default"/>
          <w:b/>
          <w:bCs/>
          <w:sz w:val="18"/>
          <w:szCs w:val="18"/>
        </w:rPr>
        <w:t>公司自</w:t>
      </w:r>
      <w:r>
        <w:rPr>
          <w:rFonts w:ascii="Times New Roman" w:hAnsi="Times New Roman" w:cs="Times New Roman" w:eastAsia="Times New Roman" w:hint="default"/>
          <w:b/>
          <w:bCs/>
          <w:sz w:val="18"/>
          <w:szCs w:val="18"/>
        </w:rPr>
        <w:t>2011</w:t>
      </w:r>
      <w:r>
        <w:rPr>
          <w:rFonts w:ascii="宋体" w:hAnsi="宋体" w:cs="宋体" w:eastAsia="宋体" w:hint="default"/>
          <w:b/>
          <w:bCs/>
          <w:sz w:val="18"/>
          <w:szCs w:val="18"/>
        </w:rPr>
        <w:t>年伊始至今，一直专注于物联网通讯技术的探索研究</w:t>
      </w:r>
      <w:r>
        <w:rPr>
          <w:rFonts w:ascii="宋体" w:hAnsi="宋体" w:cs="宋体" w:eastAsia="宋体" w:hint="default"/>
          <w:sz w:val="18"/>
          <w:szCs w:val="18"/>
        </w:rPr>
        <w:t>，</w:t>
      </w:r>
      <w:r>
        <w:rPr>
          <w:rFonts w:ascii="宋体" w:hAnsi="宋体" w:cs="宋体" w:eastAsia="宋体" w:hint="default"/>
          <w:b/>
          <w:bCs/>
          <w:sz w:val="18"/>
          <w:szCs w:val="18"/>
        </w:rPr>
        <w:t>形成了</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满足工业环境特殊要求的无线通信、定位、</w:t>
      </w:r>
      <w:r>
        <w:rPr>
          <w:rFonts w:ascii="宋体" w:hAnsi="宋体" w:cs="宋体" w:eastAsia="宋体" w:hint="default"/>
          <w:b/>
          <w:bCs/>
          <w:w w:val="99"/>
          <w:sz w:val="18"/>
          <w:szCs w:val="18"/>
        </w:rPr>
        <w:t> </w:t>
      </w:r>
      <w:r>
        <w:rPr>
          <w:rFonts w:ascii="宋体" w:hAnsi="宋体" w:cs="宋体" w:eastAsia="宋体" w:hint="default"/>
          <w:b/>
          <w:bCs/>
          <w:sz w:val="18"/>
          <w:szCs w:val="18"/>
        </w:rPr>
        <w:t>安防、传输、感知</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的专利技术体系</w:t>
      </w:r>
      <w:r>
        <w:rPr>
          <w:rFonts w:ascii="宋体" w:hAnsi="宋体" w:cs="宋体" w:eastAsia="宋体" w:hint="default"/>
          <w:sz w:val="18"/>
          <w:szCs w:val="18"/>
        </w:rPr>
        <w:t>，现已申请专利</w:t>
      </w:r>
      <w:r>
        <w:rPr>
          <w:rFonts w:ascii="Times New Roman" w:hAnsi="Times New Roman" w:cs="Times New Roman" w:eastAsia="Times New Roman" w:hint="default"/>
          <w:sz w:val="18"/>
          <w:szCs w:val="18"/>
        </w:rPr>
        <w:t>130</w:t>
      </w:r>
      <w:r>
        <w:rPr>
          <w:rFonts w:ascii="宋体" w:hAnsi="宋体" w:cs="宋体" w:eastAsia="宋体" w:hint="default"/>
          <w:sz w:val="18"/>
          <w:szCs w:val="18"/>
        </w:rPr>
        <w:t>余项，其中</w:t>
      </w:r>
      <w:r>
        <w:rPr>
          <w:rFonts w:ascii="Times New Roman" w:hAnsi="Times New Roman" w:cs="Times New Roman" w:eastAsia="Times New Roman" w:hint="default"/>
          <w:sz w:val="18"/>
          <w:szCs w:val="18"/>
        </w:rPr>
        <w:t>PCT</w:t>
      </w:r>
      <w:r>
        <w:rPr>
          <w:rFonts w:ascii="宋体" w:hAnsi="宋体" w:cs="宋体" w:eastAsia="宋体" w:hint="default"/>
          <w:sz w:val="18"/>
          <w:szCs w:val="18"/>
        </w:rPr>
        <w:t>国际专利</w:t>
      </w:r>
      <w:r>
        <w:rPr>
          <w:rFonts w:ascii="Times New Roman" w:hAnsi="Times New Roman" w:cs="Times New Roman" w:eastAsia="Times New Roman" w:hint="default"/>
          <w:sz w:val="18"/>
          <w:szCs w:val="18"/>
        </w:rPr>
        <w:t>14</w:t>
      </w:r>
      <w:r>
        <w:rPr>
          <w:rFonts w:ascii="宋体" w:hAnsi="宋体" w:cs="宋体" w:eastAsia="宋体" w:hint="default"/>
          <w:sz w:val="18"/>
          <w:szCs w:val="18"/>
        </w:rPr>
        <w:t>项。公司以自主研发的</w:t>
      </w:r>
      <w:r>
        <w:rPr>
          <w:rFonts w:ascii="Times New Roman" w:hAnsi="Times New Roman" w:cs="Times New Roman" w:eastAsia="Times New Roman" w:hint="default"/>
          <w:sz w:val="18"/>
          <w:szCs w:val="18"/>
        </w:rPr>
        <w:t>“</w:t>
      </w:r>
      <w:r>
        <w:rPr>
          <w:rFonts w:ascii="宋体" w:hAnsi="宋体" w:cs="宋体" w:eastAsia="宋体" w:hint="default"/>
          <w:sz w:val="18"/>
          <w:szCs w:val="18"/>
        </w:rPr>
        <w:t>智慧线</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智慧</w:t>
      </w:r>
      <w:r>
        <w:rPr>
          <w:rFonts w:ascii="宋体" w:hAnsi="宋体" w:cs="宋体" w:eastAsia="宋体" w:hint="default"/>
          <w:spacing w:val="-41"/>
          <w:sz w:val="18"/>
          <w:szCs w:val="18"/>
        </w:rPr>
        <w:t> </w:t>
      </w:r>
      <w:r>
        <w:rPr>
          <w:rFonts w:ascii="宋体" w:hAnsi="宋体" w:cs="宋体" w:eastAsia="宋体" w:hint="default"/>
          <w:sz w:val="18"/>
          <w:szCs w:val="18"/>
        </w:rPr>
        <w:t>墙</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智慧芯</w:t>
      </w:r>
      <w:r>
        <w:rPr>
          <w:rFonts w:ascii="Times New Roman" w:hAnsi="Times New Roman" w:cs="Times New Roman" w:eastAsia="Times New Roman" w:hint="default"/>
          <w:sz w:val="18"/>
          <w:szCs w:val="18"/>
        </w:rPr>
        <w:t>”</w:t>
      </w:r>
      <w:r>
        <w:rPr>
          <w:rFonts w:ascii="宋体" w:hAnsi="宋体" w:cs="宋体" w:eastAsia="宋体" w:hint="default"/>
          <w:sz w:val="18"/>
          <w:szCs w:val="18"/>
        </w:rPr>
        <w:t>系列为核心，可实现传统工业的信息网与传感网络的基础建设，利用公司领先的网管监控、信息安全、人工</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pacing w:val="-2"/>
          <w:sz w:val="18"/>
          <w:szCs w:val="18"/>
        </w:rPr>
        <w:t>智能大数据等优势业务基础，针对特种行业的工业场景，进行传感数据的分析，业务流程的梳理，消除信息孤岛，建立企业</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私有运营数据平台，积极实现工业互联网领域的智能运营服务。</w:t>
      </w:r>
    </w:p>
    <w:p>
      <w:pPr>
        <w:pStyle w:val="Heading4"/>
        <w:spacing w:line="477" w:lineRule="auto" w:before="68"/>
        <w:ind w:left="1133" w:right="0" w:firstLine="361"/>
        <w:jc w:val="left"/>
        <w:rPr>
          <w:b w:val="0"/>
          <w:bCs w:val="0"/>
        </w:rPr>
      </w:pPr>
      <w:r>
        <w:rPr/>
        <w:t>公司聚焦核电核岛、城市综合管廊、机场、高铁、石油炼化等重点行业，不断推出智慧矿山、智慧石油、智慧核电、</w:t>
      </w:r>
      <w:r>
        <w:rPr>
          <w:w w:val="99"/>
        </w:rPr>
        <w:t> </w:t>
      </w:r>
      <w:r>
        <w:rPr/>
        <w:t>智慧管廊、智慧安防、智慧边防等行业整体解决方案。</w:t>
      </w:r>
      <w:r>
        <w:rPr>
          <w:b w:val="0"/>
          <w:bCs w:val="0"/>
        </w:rPr>
      </w:r>
    </w:p>
    <w:p>
      <w:pPr>
        <w:spacing w:after="0" w:line="477" w:lineRule="auto"/>
        <w:jc w:val="left"/>
        <w:sectPr>
          <w:pgSz w:w="11910" w:h="16840"/>
          <w:pgMar w:header="851" w:footer="979" w:top="1380" w:bottom="1160" w:left="0" w:right="0"/>
        </w:sectPr>
      </w:pPr>
    </w:p>
    <w:p>
      <w:pPr>
        <w:spacing w:line="240" w:lineRule="auto" w:before="11"/>
        <w:rPr>
          <w:rFonts w:ascii="宋体" w:hAnsi="宋体" w:cs="宋体" w:eastAsia="宋体" w:hint="default"/>
          <w:b/>
          <w:bCs/>
          <w:sz w:val="15"/>
          <w:szCs w:val="15"/>
        </w:rPr>
      </w:pPr>
    </w:p>
    <w:p>
      <w:pPr>
        <w:spacing w:line="4698" w:lineRule="exact"/>
        <w:ind w:left="1798" w:right="0" w:firstLine="0"/>
        <w:rPr>
          <w:rFonts w:ascii="宋体" w:hAnsi="宋体" w:cs="宋体" w:eastAsia="宋体" w:hint="default"/>
          <w:sz w:val="20"/>
          <w:szCs w:val="20"/>
        </w:rPr>
      </w:pPr>
      <w:r>
        <w:rPr>
          <w:rFonts w:ascii="宋体" w:hAnsi="宋体" w:cs="宋体" w:eastAsia="宋体" w:hint="default"/>
          <w:position w:val="-93"/>
          <w:sz w:val="20"/>
          <w:szCs w:val="20"/>
        </w:rPr>
        <w:drawing>
          <wp:inline distT="0" distB="0" distL="0" distR="0">
            <wp:extent cx="5303434" cy="2983229"/>
            <wp:effectExtent l="0" t="0" r="0" b="0"/>
            <wp:docPr id="11" name="image29.jpeg" descr=""/>
            <wp:cNvGraphicFramePr>
              <a:graphicFrameLocks noChangeAspect="1"/>
            </wp:cNvGraphicFramePr>
            <a:graphic>
              <a:graphicData uri="http://schemas.openxmlformats.org/drawingml/2006/picture">
                <pic:pic>
                  <pic:nvPicPr>
                    <pic:cNvPr id="12" name="image29.jpeg"/>
                    <pic:cNvPicPr/>
                  </pic:nvPicPr>
                  <pic:blipFill>
                    <a:blip r:embed="rId36" cstate="print"/>
                    <a:stretch>
                      <a:fillRect/>
                    </a:stretch>
                  </pic:blipFill>
                  <pic:spPr>
                    <a:xfrm>
                      <a:off x="0" y="0"/>
                      <a:ext cx="5303434" cy="2983229"/>
                    </a:xfrm>
                    <a:prstGeom prst="rect">
                      <a:avLst/>
                    </a:prstGeom>
                  </pic:spPr>
                </pic:pic>
              </a:graphicData>
            </a:graphic>
          </wp:inline>
        </w:drawing>
      </w:r>
      <w:r>
        <w:rPr>
          <w:rFonts w:ascii="宋体" w:hAnsi="宋体" w:cs="宋体" w:eastAsia="宋体" w:hint="default"/>
          <w:position w:val="-93"/>
          <w:sz w:val="20"/>
          <w:szCs w:val="20"/>
        </w:rPr>
      </w:r>
    </w:p>
    <w:p>
      <w:pPr>
        <w:spacing w:line="240" w:lineRule="auto" w:before="13"/>
        <w:rPr>
          <w:rFonts w:ascii="宋体" w:hAnsi="宋体" w:cs="宋体" w:eastAsia="宋体" w:hint="default"/>
          <w:b/>
          <w:bCs/>
          <w:sz w:val="13"/>
          <w:szCs w:val="13"/>
        </w:rPr>
      </w:pPr>
    </w:p>
    <w:p>
      <w:pPr>
        <w:pStyle w:val="Heading4"/>
        <w:spacing w:line="240" w:lineRule="auto" w:before="44"/>
        <w:ind w:left="4259" w:right="0"/>
        <w:jc w:val="left"/>
        <w:rPr>
          <w:b w:val="0"/>
          <w:bCs w:val="0"/>
        </w:rPr>
      </w:pPr>
      <w:r>
        <w:rPr/>
        <w:t>（</w:t>
      </w:r>
      <w:r>
        <w:rPr>
          <w:rFonts w:ascii="Times New Roman" w:hAnsi="Times New Roman" w:cs="Times New Roman" w:eastAsia="Times New Roman" w:hint="default"/>
        </w:rPr>
        <w:t>Nu-WiFi</w:t>
      </w:r>
      <w:r>
        <w:rPr/>
        <w:t>核电专业无线通信系统架构图）</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6"/>
          <w:szCs w:val="16"/>
        </w:rPr>
      </w:pPr>
    </w:p>
    <w:p>
      <w:pPr>
        <w:spacing w:line="470" w:lineRule="auto" w:before="0"/>
        <w:ind w:left="1133" w:right="1128" w:firstLine="360"/>
        <w:jc w:val="both"/>
        <w:rPr>
          <w:rFonts w:ascii="宋体" w:hAnsi="宋体" w:cs="宋体" w:eastAsia="宋体" w:hint="default"/>
          <w:sz w:val="18"/>
          <w:szCs w:val="18"/>
        </w:rPr>
      </w:pPr>
      <w:r>
        <w:rPr>
          <w:rFonts w:ascii="宋体" w:hAnsi="宋体" w:cs="宋体" w:eastAsia="宋体" w:hint="default"/>
          <w:sz w:val="18"/>
          <w:szCs w:val="18"/>
        </w:rPr>
        <w:t>在</w:t>
      </w:r>
      <w:r>
        <w:rPr>
          <w:rFonts w:ascii="宋体" w:hAnsi="宋体" w:cs="宋体" w:eastAsia="宋体" w:hint="default"/>
          <w:b/>
          <w:bCs/>
          <w:sz w:val="18"/>
          <w:szCs w:val="18"/>
        </w:rPr>
        <w:t>工业互联网核电领域</w:t>
      </w:r>
      <w:r>
        <w:rPr>
          <w:rFonts w:ascii="宋体" w:hAnsi="宋体" w:cs="宋体" w:eastAsia="宋体" w:hint="default"/>
          <w:sz w:val="18"/>
          <w:szCs w:val="18"/>
        </w:rPr>
        <w:t>，</w:t>
      </w:r>
      <w:r>
        <w:rPr>
          <w:rFonts w:ascii="宋体" w:hAnsi="宋体" w:cs="宋体" w:eastAsia="宋体" w:hint="default"/>
          <w:b/>
          <w:bCs/>
          <w:sz w:val="18"/>
          <w:szCs w:val="18"/>
        </w:rPr>
        <w:t>公司顺利与中国广核集团签署了有关核电通信与物联网的框架合作协议，</w:t>
      </w:r>
      <w:r>
        <w:rPr>
          <w:rFonts w:ascii="宋体" w:hAnsi="宋体" w:cs="宋体" w:eastAsia="宋体" w:hint="default"/>
          <w:sz w:val="18"/>
          <w:szCs w:val="18"/>
        </w:rPr>
        <w:t>合作成立通信与物 </w:t>
      </w:r>
      <w:r>
        <w:rPr>
          <w:rFonts w:ascii="宋体" w:hAnsi="宋体" w:cs="宋体" w:eastAsia="宋体" w:hint="default"/>
          <w:spacing w:val="-2"/>
          <w:sz w:val="18"/>
          <w:szCs w:val="18"/>
        </w:rPr>
        <w:t>联网应用实验室，起草核电行业无线通信技术标准、开展物联网智能化应用等方向的深度合作。在</w:t>
      </w:r>
      <w:r>
        <w:rPr>
          <w:rFonts w:ascii="宋体" w:hAnsi="宋体" w:cs="宋体" w:eastAsia="宋体" w:hint="default"/>
          <w:b/>
          <w:bCs/>
          <w:spacing w:val="-2"/>
          <w:sz w:val="18"/>
          <w:szCs w:val="18"/>
        </w:rPr>
        <w:t>城市综合管廊领域</w:t>
      </w:r>
      <w:r>
        <w:rPr>
          <w:rFonts w:ascii="宋体" w:hAnsi="宋体" w:cs="宋体" w:eastAsia="宋体" w:hint="default"/>
          <w:spacing w:val="-2"/>
          <w:sz w:val="18"/>
          <w:szCs w:val="18"/>
        </w:rPr>
        <w:t>，综合</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管廊安防通信一体化系统成功中标北京、天津等多地管廊项目，并持续跟进全国十余个省市的项目，市场前景可期。在</w:t>
      </w:r>
      <w:r>
        <w:rPr>
          <w:rFonts w:ascii="宋体" w:hAnsi="宋体" w:cs="宋体" w:eastAsia="宋体" w:hint="default"/>
          <w:b/>
          <w:bCs/>
          <w:spacing w:val="-2"/>
          <w:sz w:val="18"/>
          <w:szCs w:val="18"/>
        </w:rPr>
        <w:t>周界</w:t>
      </w:r>
      <w:r>
        <w:rPr>
          <w:rFonts w:ascii="宋体" w:hAnsi="宋体" w:cs="宋体" w:eastAsia="宋体" w:hint="default"/>
          <w:b/>
          <w:bCs/>
          <w:spacing w:val="-66"/>
          <w:sz w:val="18"/>
          <w:szCs w:val="18"/>
        </w:rPr>
        <w:t> </w:t>
      </w:r>
      <w:r>
        <w:rPr>
          <w:rFonts w:ascii="宋体" w:hAnsi="宋体" w:cs="宋体" w:eastAsia="宋体" w:hint="default"/>
          <w:b/>
          <w:bCs/>
          <w:spacing w:val="-5"/>
          <w:w w:val="99"/>
          <w:sz w:val="18"/>
          <w:szCs w:val="18"/>
        </w:rPr>
        <w:t>安防领域</w:t>
      </w:r>
      <w:r>
        <w:rPr>
          <w:rFonts w:ascii="宋体" w:hAnsi="宋体" w:cs="宋体" w:eastAsia="宋体" w:hint="default"/>
          <w:spacing w:val="-5"/>
          <w:w w:val="99"/>
          <w:sz w:val="18"/>
          <w:szCs w:val="18"/>
        </w:rPr>
        <w:t>，公司自主研发的</w:t>
      </w:r>
      <w:r>
        <w:rPr>
          <w:rFonts w:ascii="Times New Roman" w:hAnsi="Times New Roman" w:cs="Times New Roman" w:eastAsia="Times New Roman" w:hint="default"/>
          <w:spacing w:val="-5"/>
          <w:w w:val="99"/>
          <w:sz w:val="18"/>
          <w:szCs w:val="18"/>
        </w:rPr>
        <w:t>“</w:t>
      </w:r>
      <w:r>
        <w:rPr>
          <w:rFonts w:ascii="宋体" w:hAnsi="宋体" w:cs="宋体" w:eastAsia="宋体" w:hint="default"/>
          <w:spacing w:val="-5"/>
          <w:w w:val="99"/>
          <w:sz w:val="18"/>
          <w:szCs w:val="18"/>
        </w:rPr>
        <w:t>智慧墙入侵探测系统</w:t>
      </w:r>
      <w:r>
        <w:rPr>
          <w:rFonts w:ascii="Times New Roman" w:hAnsi="Times New Roman" w:cs="Times New Roman" w:eastAsia="Times New Roman" w:hint="default"/>
          <w:spacing w:val="-5"/>
          <w:w w:val="99"/>
          <w:sz w:val="18"/>
          <w:szCs w:val="18"/>
        </w:rPr>
        <w:t>”</w:t>
      </w:r>
      <w:r>
        <w:rPr>
          <w:rFonts w:ascii="宋体" w:hAnsi="宋体" w:cs="宋体" w:eastAsia="宋体" w:hint="default"/>
          <w:spacing w:val="-5"/>
          <w:w w:val="99"/>
          <w:sz w:val="18"/>
          <w:szCs w:val="18"/>
        </w:rPr>
        <w:t>在机场（贵阳、乌鲁木齐等）、重要单位（边防站、故宫、油储库、监狱、</w:t>
      </w:r>
      <w:r>
        <w:rPr>
          <w:rFonts w:ascii="宋体" w:hAnsi="宋体" w:cs="宋体" w:eastAsia="宋体" w:hint="default"/>
          <w:spacing w:val="-60"/>
          <w:w w:val="99"/>
          <w:sz w:val="18"/>
          <w:szCs w:val="18"/>
        </w:rPr>
        <w:t> </w:t>
      </w:r>
      <w:r>
        <w:rPr>
          <w:rFonts w:ascii="宋体" w:hAnsi="宋体" w:cs="宋体" w:eastAsia="宋体" w:hint="default"/>
          <w:spacing w:val="-60"/>
          <w:w w:val="99"/>
          <w:sz w:val="18"/>
          <w:szCs w:val="18"/>
        </w:rPr>
      </w:r>
      <w:r>
        <w:rPr>
          <w:rFonts w:ascii="宋体" w:hAnsi="宋体" w:cs="宋体" w:eastAsia="宋体" w:hint="default"/>
          <w:sz w:val="18"/>
          <w:szCs w:val="18"/>
        </w:rPr>
        <w:t>核电站等）等众多领域已逐步落地。</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2"/>
          <w:szCs w:val="22"/>
        </w:rPr>
      </w:pPr>
    </w:p>
    <w:p>
      <w:pPr>
        <w:pStyle w:val="Heading4"/>
        <w:spacing w:line="240" w:lineRule="auto"/>
        <w:ind w:right="0"/>
        <w:jc w:val="left"/>
        <w:rPr>
          <w:b w:val="0"/>
          <w:bCs w:val="0"/>
        </w:rPr>
      </w:pPr>
      <w:r>
        <w:rPr>
          <w:rFonts w:ascii="Times New Roman" w:hAnsi="Times New Roman" w:cs="Times New Roman" w:eastAsia="Times New Roman" w:hint="default"/>
        </w:rPr>
        <w:t>3</w:t>
      </w:r>
      <w:r>
        <w:rPr/>
        <w:t>、</w:t>
      </w:r>
      <w:r>
        <w:rPr>
          <w:rFonts w:ascii="Times New Roman" w:hAnsi="Times New Roman" w:cs="Times New Roman" w:eastAsia="Times New Roman" w:hint="default"/>
        </w:rPr>
        <w:t>ICT</w:t>
      </w:r>
      <w:r>
        <w:rPr/>
        <w:t>运营管理、信息安全领域</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130" w:firstLine="362"/>
        <w:jc w:val="both"/>
      </w:pPr>
      <w:r>
        <w:rPr>
          <w:rFonts w:ascii="Times New Roman" w:hAnsi="Times New Roman" w:cs="Times New Roman" w:eastAsia="Times New Roman" w:hint="default"/>
        </w:rPr>
        <w:t>ICT</w:t>
      </w:r>
      <w:r>
        <w:rPr>
          <w:rFonts w:ascii="Times New Roman" w:hAnsi="Times New Roman" w:cs="Times New Roman" w:eastAsia="Times New Roman" w:hint="default"/>
          <w:spacing w:val="-17"/>
        </w:rPr>
        <w:t> </w:t>
      </w:r>
      <w:r>
        <w:rPr/>
        <w:t>运营管理是公司传统核心业务。</w:t>
      </w:r>
      <w:r>
        <w:rPr>
          <w:rFonts w:ascii="Times New Roman" w:hAnsi="Times New Roman" w:cs="Times New Roman" w:eastAsia="Times New Roman" w:hint="default"/>
        </w:rPr>
        <w:t>ICT</w:t>
      </w:r>
      <w:r>
        <w:rPr>
          <w:rFonts w:ascii="Times New Roman" w:hAnsi="Times New Roman" w:cs="Times New Roman" w:eastAsia="Times New Roman" w:hint="default"/>
          <w:spacing w:val="-17"/>
        </w:rPr>
        <w:t> </w:t>
      </w:r>
      <w:r>
        <w:rPr/>
        <w:t>是信息产业（</w:t>
      </w:r>
      <w:r>
        <w:rPr>
          <w:rFonts w:ascii="Times New Roman" w:hAnsi="Times New Roman" w:cs="Times New Roman" w:eastAsia="Times New Roman" w:hint="default"/>
        </w:rPr>
        <w:t>IT</w:t>
      </w:r>
      <w:r>
        <w:rPr/>
        <w:t>）与通信产业（</w:t>
      </w:r>
      <w:r>
        <w:rPr>
          <w:rFonts w:ascii="Times New Roman" w:hAnsi="Times New Roman" w:cs="Times New Roman" w:eastAsia="Times New Roman" w:hint="default"/>
        </w:rPr>
        <w:t>CT</w:t>
      </w:r>
      <w:r>
        <w:rPr/>
        <w:t>）的统称，</w:t>
      </w:r>
      <w:r>
        <w:rPr>
          <w:rFonts w:ascii="Times New Roman" w:hAnsi="Times New Roman" w:cs="Times New Roman" w:eastAsia="Times New Roman" w:hint="default"/>
        </w:rPr>
        <w:t>ICT</w:t>
      </w:r>
      <w:r>
        <w:rPr>
          <w:rFonts w:ascii="Times New Roman" w:hAnsi="Times New Roman" w:cs="Times New Roman" w:eastAsia="Times New Roman" w:hint="default"/>
          <w:spacing w:val="-17"/>
        </w:rPr>
        <w:t> </w:t>
      </w:r>
      <w:r>
        <w:rPr/>
        <w:t>运营管理即通过提供软件与</w:t>
      </w:r>
      <w:r>
        <w:rPr>
          <w:w w:val="99"/>
        </w:rPr>
        <w:t> </w:t>
      </w:r>
      <w:r>
        <w:rPr/>
        <w:t>服务的方式对</w:t>
      </w:r>
      <w:r>
        <w:rPr>
          <w:spacing w:val="-31"/>
        </w:rPr>
        <w:t> </w:t>
      </w:r>
      <w:r>
        <w:rPr>
          <w:rFonts w:ascii="Times New Roman" w:hAnsi="Times New Roman" w:cs="Times New Roman" w:eastAsia="Times New Roman" w:hint="default"/>
        </w:rPr>
        <w:t>ICT</w:t>
      </w:r>
      <w:r>
        <w:rPr>
          <w:rFonts w:ascii="Times New Roman" w:hAnsi="Times New Roman" w:cs="Times New Roman" w:eastAsia="Times New Roman" w:hint="default"/>
          <w:spacing w:val="14"/>
        </w:rPr>
        <w:t> </w:t>
      </w:r>
      <w:r>
        <w:rPr/>
        <w:t>基础设施、业务应用和运维体系进行全面统一的管理，保障</w:t>
      </w:r>
      <w:r>
        <w:rPr>
          <w:spacing w:val="-31"/>
        </w:rPr>
        <w:t> </w:t>
      </w:r>
      <w:r>
        <w:rPr>
          <w:rFonts w:ascii="Times New Roman" w:hAnsi="Times New Roman" w:cs="Times New Roman" w:eastAsia="Times New Roman" w:hint="default"/>
        </w:rPr>
        <w:t>ICT</w:t>
      </w:r>
      <w:r>
        <w:rPr>
          <w:rFonts w:ascii="Times New Roman" w:hAnsi="Times New Roman" w:cs="Times New Roman" w:eastAsia="Times New Roman" w:hint="default"/>
          <w:spacing w:val="14"/>
        </w:rPr>
        <w:t> </w:t>
      </w:r>
      <w:r>
        <w:rPr/>
        <w:t>系统安全、稳定、可靠、高效运行，支</w:t>
      </w:r>
      <w:r>
        <w:rPr>
          <w:w w:val="99"/>
        </w:rPr>
        <w:t> </w:t>
      </w:r>
      <w:r>
        <w:rPr/>
        <w:t>撑业务发展。近年，在人工智能、云计算、大数据、软件定义网络</w:t>
      </w:r>
      <w:r>
        <w:rPr>
          <w:rFonts w:ascii="Times New Roman" w:hAnsi="Times New Roman" w:cs="Times New Roman" w:eastAsia="Times New Roman" w:hint="default"/>
        </w:rPr>
        <w:t>(SDN)</w:t>
      </w:r>
      <w:r>
        <w:rPr/>
        <w:t>、网络虚拟化</w:t>
      </w:r>
      <w:r>
        <w:rPr>
          <w:rFonts w:ascii="Times New Roman" w:hAnsi="Times New Roman" w:cs="Times New Roman" w:eastAsia="Times New Roman" w:hint="default"/>
        </w:rPr>
        <w:t>(NFV)</w:t>
      </w:r>
      <w:r>
        <w:rPr/>
        <w:t>等新架构、新技术的推动下，</w:t>
      </w:r>
      <w:r>
        <w:rPr>
          <w:spacing w:val="-56"/>
        </w:rPr>
        <w:t> </w:t>
      </w:r>
      <w:r>
        <w:rPr>
          <w:spacing w:val="-56"/>
        </w:rPr>
      </w:r>
      <w:r>
        <w:rPr>
          <w:rFonts w:ascii="Times New Roman" w:hAnsi="Times New Roman" w:cs="Times New Roman" w:eastAsia="Times New Roman" w:hint="default"/>
        </w:rPr>
        <w:t>ICT </w:t>
      </w:r>
      <w:r>
        <w:rPr/>
        <w:t>环境正发生着颠覆性变革，对运营管理的刚性需求越来越强烈。同时，伴随电信运营商底层通信传输网络</w:t>
      </w:r>
      <w:r>
        <w:rPr>
          <w:spacing w:val="-79"/>
        </w:rPr>
        <w:t> </w:t>
      </w:r>
      <w:r>
        <w:rPr>
          <w:rFonts w:ascii="Times New Roman" w:hAnsi="Times New Roman" w:cs="Times New Roman" w:eastAsia="Times New Roman" w:hint="default"/>
        </w:rPr>
        <w:t>5G</w:t>
      </w:r>
      <w:r>
        <w:rPr/>
        <w:t>、</w:t>
      </w:r>
      <w:r>
        <w:rPr>
          <w:rFonts w:ascii="Times New Roman" w:hAnsi="Times New Roman" w:cs="Times New Roman" w:eastAsia="Times New Roman" w:hint="default"/>
        </w:rPr>
        <w:t>NB-IOT </w:t>
      </w:r>
      <w:r>
        <w:rPr/>
        <w:t>的部署，电信网络的规模和复杂度不断升级，运营管理需求的空间越来越大。</w:t>
      </w:r>
    </w:p>
    <w:p>
      <w:pPr>
        <w:spacing w:line="451" w:lineRule="auto" w:before="74"/>
        <w:ind w:left="1133" w:right="1132" w:firstLine="360"/>
        <w:jc w:val="both"/>
        <w:rPr>
          <w:rFonts w:ascii="宋体" w:hAnsi="宋体" w:cs="宋体" w:eastAsia="宋体" w:hint="default"/>
          <w:sz w:val="18"/>
          <w:szCs w:val="18"/>
        </w:rPr>
      </w:pPr>
      <w:r>
        <w:rPr>
          <w:rFonts w:ascii="宋体" w:hAnsi="宋体" w:cs="宋体" w:eastAsia="宋体" w:hint="default"/>
          <w:sz w:val="18"/>
          <w:szCs w:val="18"/>
        </w:rPr>
        <w:t>公司在该领域一直处于国内领先水平。在中国电子信息产业发展研究院及赛迪顾问（</w:t>
      </w:r>
      <w:r>
        <w:rPr>
          <w:rFonts w:ascii="Times New Roman" w:hAnsi="Times New Roman" w:cs="Times New Roman" w:eastAsia="Times New Roman" w:hint="default"/>
          <w:sz w:val="18"/>
          <w:szCs w:val="18"/>
        </w:rPr>
        <w:t>CCID</w:t>
      </w:r>
      <w:r>
        <w:rPr>
          <w:rFonts w:ascii="宋体" w:hAnsi="宋体" w:cs="宋体" w:eastAsia="宋体" w:hint="default"/>
          <w:sz w:val="18"/>
          <w:szCs w:val="18"/>
        </w:rPr>
        <w:t>）主办的</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中国</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IT</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市场 年会</w:t>
      </w:r>
      <w:r>
        <w:rPr>
          <w:rFonts w:ascii="Times New Roman" w:hAnsi="Times New Roman" w:cs="Times New Roman" w:eastAsia="Times New Roman" w:hint="default"/>
          <w:sz w:val="18"/>
          <w:szCs w:val="18"/>
        </w:rPr>
        <w:t>”</w:t>
      </w:r>
      <w:r>
        <w:rPr>
          <w:rFonts w:ascii="宋体" w:hAnsi="宋体" w:cs="宋体" w:eastAsia="宋体" w:hint="default"/>
          <w:sz w:val="18"/>
          <w:szCs w:val="18"/>
        </w:rPr>
        <w:t>上，</w:t>
      </w:r>
      <w:r>
        <w:rPr>
          <w:rFonts w:ascii="宋体" w:hAnsi="宋体" w:cs="宋体" w:eastAsia="宋体" w:hint="default"/>
          <w:b/>
          <w:bCs/>
          <w:sz w:val="18"/>
          <w:szCs w:val="18"/>
        </w:rPr>
        <w:t>公司连续第八年蝉联中国</w:t>
      </w:r>
      <w:r>
        <w:rPr>
          <w:rFonts w:ascii="宋体" w:hAnsi="宋体" w:cs="宋体" w:eastAsia="宋体" w:hint="default"/>
          <w:b/>
          <w:bCs/>
          <w:spacing w:val="-47"/>
          <w:sz w:val="18"/>
          <w:szCs w:val="18"/>
        </w:rPr>
        <w:t> </w:t>
      </w:r>
      <w:r>
        <w:rPr>
          <w:rFonts w:ascii="Times New Roman" w:hAnsi="Times New Roman" w:cs="Times New Roman" w:eastAsia="Times New Roman" w:hint="default"/>
          <w:b/>
          <w:bCs/>
          <w:sz w:val="18"/>
          <w:szCs w:val="18"/>
        </w:rPr>
        <w:t>IT</w:t>
      </w:r>
      <w:r>
        <w:rPr>
          <w:rFonts w:ascii="Times New Roman" w:hAnsi="Times New Roman" w:cs="Times New Roman" w:eastAsia="Times New Roman" w:hint="default"/>
          <w:b/>
          <w:bCs/>
          <w:spacing w:val="-3"/>
          <w:sz w:val="18"/>
          <w:szCs w:val="18"/>
        </w:rPr>
        <w:t> </w:t>
      </w:r>
      <w:r>
        <w:rPr>
          <w:rFonts w:ascii="宋体" w:hAnsi="宋体" w:cs="宋体" w:eastAsia="宋体" w:hint="default"/>
          <w:b/>
          <w:bCs/>
          <w:sz w:val="18"/>
          <w:szCs w:val="18"/>
        </w:rPr>
        <w:t>服务管理市场榜首</w:t>
      </w:r>
      <w:r>
        <w:rPr>
          <w:rFonts w:ascii="宋体" w:hAnsi="宋体" w:cs="宋体" w:eastAsia="宋体" w:hint="default"/>
          <w:sz w:val="18"/>
          <w:szCs w:val="18"/>
        </w:rPr>
        <w:t>。</w:t>
      </w:r>
    </w:p>
    <w:p>
      <w:pPr>
        <w:spacing w:after="0" w:line="451" w:lineRule="auto"/>
        <w:jc w:val="both"/>
        <w:rPr>
          <w:rFonts w:ascii="宋体" w:hAnsi="宋体" w:cs="宋体" w:eastAsia="宋体" w:hint="default"/>
          <w:sz w:val="18"/>
          <w:szCs w:val="18"/>
        </w:rPr>
        <w:sectPr>
          <w:pgSz w:w="11910" w:h="16840"/>
          <w:pgMar w:header="851" w:footer="979" w:top="1380" w:bottom="1160" w:left="0" w:right="0"/>
        </w:sectPr>
      </w:pPr>
    </w:p>
    <w:p>
      <w:pPr>
        <w:spacing w:line="240" w:lineRule="auto" w:before="5"/>
        <w:rPr>
          <w:rFonts w:ascii="宋体" w:hAnsi="宋体" w:cs="宋体" w:eastAsia="宋体" w:hint="default"/>
          <w:sz w:val="15"/>
          <w:szCs w:val="15"/>
        </w:rPr>
      </w:pPr>
    </w:p>
    <w:p>
      <w:pPr>
        <w:spacing w:line="4377" w:lineRule="exact"/>
        <w:ind w:left="4288" w:right="0" w:firstLine="0"/>
        <w:rPr>
          <w:rFonts w:ascii="宋体" w:hAnsi="宋体" w:cs="宋体" w:eastAsia="宋体" w:hint="default"/>
          <w:sz w:val="20"/>
          <w:szCs w:val="20"/>
        </w:rPr>
      </w:pPr>
      <w:r>
        <w:rPr>
          <w:rFonts w:ascii="宋体" w:hAnsi="宋体" w:cs="宋体" w:eastAsia="宋体" w:hint="default"/>
          <w:position w:val="-87"/>
          <w:sz w:val="20"/>
          <w:szCs w:val="20"/>
        </w:rPr>
        <w:drawing>
          <wp:inline distT="0" distB="0" distL="0" distR="0">
            <wp:extent cx="2103871" cy="2779776"/>
            <wp:effectExtent l="0" t="0" r="0" b="0"/>
            <wp:docPr id="13" name="image30.jpeg" descr=""/>
            <wp:cNvGraphicFramePr>
              <a:graphicFrameLocks noChangeAspect="1"/>
            </wp:cNvGraphicFramePr>
            <a:graphic>
              <a:graphicData uri="http://schemas.openxmlformats.org/drawingml/2006/picture">
                <pic:pic>
                  <pic:nvPicPr>
                    <pic:cNvPr id="14" name="image30.jpeg"/>
                    <pic:cNvPicPr/>
                  </pic:nvPicPr>
                  <pic:blipFill>
                    <a:blip r:embed="rId37" cstate="print"/>
                    <a:stretch>
                      <a:fillRect/>
                    </a:stretch>
                  </pic:blipFill>
                  <pic:spPr>
                    <a:xfrm>
                      <a:off x="0" y="0"/>
                      <a:ext cx="2103871" cy="2779776"/>
                    </a:xfrm>
                    <a:prstGeom prst="rect">
                      <a:avLst/>
                    </a:prstGeom>
                  </pic:spPr>
                </pic:pic>
              </a:graphicData>
            </a:graphic>
          </wp:inline>
        </w:drawing>
      </w:r>
      <w:r>
        <w:rPr>
          <w:rFonts w:ascii="宋体" w:hAnsi="宋体" w:cs="宋体" w:eastAsia="宋体" w:hint="default"/>
          <w:position w:val="-87"/>
          <w:sz w:val="20"/>
          <w:szCs w:val="20"/>
        </w:rPr>
      </w:r>
    </w:p>
    <w:p>
      <w:pPr>
        <w:spacing w:line="240" w:lineRule="auto" w:before="1"/>
        <w:rPr>
          <w:rFonts w:ascii="宋体" w:hAnsi="宋体" w:cs="宋体" w:eastAsia="宋体" w:hint="default"/>
          <w:sz w:val="15"/>
          <w:szCs w:val="15"/>
        </w:rPr>
      </w:pPr>
    </w:p>
    <w:p>
      <w:pPr>
        <w:pStyle w:val="Heading4"/>
        <w:spacing w:line="240" w:lineRule="auto" w:before="44"/>
        <w:ind w:left="4481" w:right="0"/>
        <w:jc w:val="left"/>
        <w:rPr>
          <w:b w:val="0"/>
          <w:bCs w:val="0"/>
        </w:rPr>
      </w:pPr>
      <w:r>
        <w:rPr/>
        <w:t>（</w:t>
      </w:r>
      <w:r>
        <w:rPr>
          <w:rFonts w:ascii="Times New Roman" w:hAnsi="Times New Roman" w:cs="Times New Roman" w:eastAsia="Times New Roman" w:hint="default"/>
        </w:rPr>
        <w:t>IT</w:t>
      </w:r>
      <w:r>
        <w:rPr>
          <w:rFonts w:ascii="Times New Roman" w:hAnsi="Times New Roman" w:cs="Times New Roman" w:eastAsia="Times New Roman" w:hint="default"/>
          <w:spacing w:val="-4"/>
        </w:rPr>
        <w:t> </w:t>
      </w:r>
      <w:r>
        <w:rPr/>
        <w:t>服务管理市场年度占有率第一）</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6"/>
          <w:szCs w:val="16"/>
        </w:rPr>
      </w:pPr>
    </w:p>
    <w:p>
      <w:pPr>
        <w:pStyle w:val="BodyText"/>
        <w:spacing w:line="458" w:lineRule="auto"/>
        <w:ind w:right="1043" w:firstLine="361"/>
        <w:jc w:val="left"/>
      </w:pPr>
      <w:r>
        <w:rPr>
          <w:rFonts w:ascii="宋体" w:hAnsi="宋体" w:cs="宋体" w:eastAsia="宋体" w:hint="default"/>
          <w:b/>
          <w:bCs/>
        </w:rPr>
        <w:t>在运营服务领域</w:t>
      </w:r>
      <w:r>
        <w:rPr/>
        <w:t>，公司是三大电信运营商长期的战略合作伙伴，是中国移动业务支撑网运营管理系统和 </w:t>
      </w:r>
      <w:r>
        <w:rPr>
          <w:rFonts w:ascii="Times New Roman" w:hAnsi="Times New Roman" w:cs="Times New Roman" w:eastAsia="Times New Roman" w:hint="default"/>
        </w:rPr>
        <w:t>OSS</w:t>
      </w:r>
      <w:r>
        <w:rPr>
          <w:rFonts w:ascii="Times New Roman" w:hAnsi="Times New Roman" w:cs="Times New Roman" w:eastAsia="Times New Roman" w:hint="default"/>
          <w:spacing w:val="-16"/>
        </w:rPr>
        <w:t> </w:t>
      </w:r>
      <w:r>
        <w:rPr/>
        <w:t>运维规范 的主要参与者之一，在金融、保险、政府等领域也拥有很多高端客户，包括：建设银行、农业银行、民生银行、光大银行、</w:t>
      </w:r>
      <w:r>
        <w:rPr>
          <w:spacing w:val="-85"/>
        </w:rPr>
        <w:t> </w:t>
      </w:r>
      <w:r>
        <w:rPr>
          <w:spacing w:val="-85"/>
        </w:rPr>
      </w:r>
      <w:r>
        <w:rPr/>
        <w:t>中信证券、国家开发银行、中国人寿等等。公司旗下产品系列全面丰富、不断创新，主要包括</w:t>
      </w:r>
      <w:r>
        <w:rPr>
          <w:spacing w:val="-59"/>
        </w:rPr>
        <w:t> </w:t>
      </w:r>
      <w:r>
        <w:rPr>
          <w:rFonts w:ascii="Times New Roman" w:hAnsi="Times New Roman" w:cs="Times New Roman" w:eastAsia="Times New Roman" w:hint="default"/>
        </w:rPr>
        <w:t>IT</w:t>
      </w:r>
      <w:r>
        <w:rPr>
          <w:rFonts w:ascii="Times New Roman" w:hAnsi="Times New Roman" w:cs="Times New Roman" w:eastAsia="Times New Roman" w:hint="default"/>
          <w:spacing w:val="-15"/>
        </w:rPr>
        <w:t> </w:t>
      </w:r>
      <w:r>
        <w:rPr/>
        <w:t>监控系统</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NMS”</w:t>
      </w:r>
      <w:r>
        <w:rPr/>
        <w:t>、</w:t>
      </w:r>
      <w:r>
        <w:rPr>
          <w:rFonts w:ascii="Times New Roman" w:hAnsi="Times New Roman" w:cs="Times New Roman" w:eastAsia="Times New Roman" w:hint="default"/>
        </w:rPr>
        <w:t>IT</w:t>
      </w:r>
      <w:r>
        <w:rPr>
          <w:rFonts w:ascii="Times New Roman" w:hAnsi="Times New Roman" w:cs="Times New Roman" w:eastAsia="Times New Roman" w:hint="default"/>
          <w:w w:val="99"/>
        </w:rPr>
        <w:t> </w:t>
      </w:r>
      <w:r>
        <w:rPr/>
        <w:t>运维流程管理系统</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BPP”</w:t>
      </w:r>
      <w:r>
        <w:rPr/>
        <w:t>、配置管理系统</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CMDB”</w:t>
      </w:r>
      <w:r>
        <w:rPr/>
        <w:t>、自动化运维平台</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OAS”</w:t>
      </w:r>
      <w:r>
        <w:rPr/>
        <w:t>、</w:t>
      </w:r>
      <w:r>
        <w:rPr>
          <w:rFonts w:ascii="Times New Roman" w:hAnsi="Times New Roman" w:cs="Times New Roman" w:eastAsia="Times New Roman" w:hint="default"/>
        </w:rPr>
        <w:t>IT</w:t>
      </w:r>
      <w:r>
        <w:rPr>
          <w:rFonts w:ascii="Times New Roman" w:hAnsi="Times New Roman" w:cs="Times New Roman" w:eastAsia="Times New Roman" w:hint="default"/>
          <w:spacing w:val="1"/>
        </w:rPr>
        <w:t> </w:t>
      </w:r>
      <w:r>
        <w:rPr/>
        <w:t>运维移动应用</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ME”</w:t>
      </w:r>
      <w:r>
        <w:rPr/>
        <w:t>、</w:t>
      </w:r>
      <w:r>
        <w:rPr>
          <w:w w:val="100"/>
        </w:rPr>
        <w:t> </w:t>
      </w:r>
      <w:r>
        <w:rPr/>
        <w:t>故障管理系统</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TOMAS”</w:t>
      </w:r>
      <w:r>
        <w:rPr/>
        <w:t>、电子运维系统</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EOMS”</w:t>
      </w:r>
      <w:r>
        <w:rPr/>
        <w:t>、大屏呈现系统</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LSIPS”</w:t>
      </w:r>
      <w:r>
        <w:rPr/>
        <w:t>等等。</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line="4644" w:lineRule="exact"/>
        <w:ind w:left="1798" w:right="0" w:firstLine="0"/>
        <w:rPr>
          <w:rFonts w:ascii="宋体" w:hAnsi="宋体" w:cs="宋体" w:eastAsia="宋体" w:hint="default"/>
          <w:sz w:val="20"/>
          <w:szCs w:val="20"/>
        </w:rPr>
      </w:pPr>
      <w:r>
        <w:rPr>
          <w:rFonts w:ascii="宋体" w:hAnsi="宋体" w:cs="宋体" w:eastAsia="宋体" w:hint="default"/>
          <w:position w:val="-92"/>
          <w:sz w:val="20"/>
          <w:szCs w:val="20"/>
        </w:rPr>
        <w:drawing>
          <wp:inline distT="0" distB="0" distL="0" distR="0">
            <wp:extent cx="5238663" cy="2948940"/>
            <wp:effectExtent l="0" t="0" r="0" b="0"/>
            <wp:docPr id="15" name="image31.jpeg" descr=""/>
            <wp:cNvGraphicFramePr>
              <a:graphicFrameLocks noChangeAspect="1"/>
            </wp:cNvGraphicFramePr>
            <a:graphic>
              <a:graphicData uri="http://schemas.openxmlformats.org/drawingml/2006/picture">
                <pic:pic>
                  <pic:nvPicPr>
                    <pic:cNvPr id="16" name="image31.jpeg"/>
                    <pic:cNvPicPr/>
                  </pic:nvPicPr>
                  <pic:blipFill>
                    <a:blip r:embed="rId38" cstate="print"/>
                    <a:stretch>
                      <a:fillRect/>
                    </a:stretch>
                  </pic:blipFill>
                  <pic:spPr>
                    <a:xfrm>
                      <a:off x="0" y="0"/>
                      <a:ext cx="5238663" cy="2948940"/>
                    </a:xfrm>
                    <a:prstGeom prst="rect">
                      <a:avLst/>
                    </a:prstGeom>
                  </pic:spPr>
                </pic:pic>
              </a:graphicData>
            </a:graphic>
          </wp:inline>
        </w:drawing>
      </w:r>
      <w:r>
        <w:rPr>
          <w:rFonts w:ascii="宋体" w:hAnsi="宋体" w:cs="宋体" w:eastAsia="宋体" w:hint="default"/>
          <w:position w:val="-92"/>
          <w:sz w:val="20"/>
          <w:szCs w:val="20"/>
        </w:rPr>
      </w:r>
    </w:p>
    <w:p>
      <w:pPr>
        <w:spacing w:line="240" w:lineRule="auto" w:before="9"/>
        <w:rPr>
          <w:rFonts w:ascii="宋体" w:hAnsi="宋体" w:cs="宋体" w:eastAsia="宋体" w:hint="default"/>
          <w:sz w:val="24"/>
          <w:szCs w:val="24"/>
        </w:rPr>
      </w:pPr>
    </w:p>
    <w:p>
      <w:pPr>
        <w:pStyle w:val="Heading4"/>
        <w:spacing w:line="240" w:lineRule="auto"/>
        <w:ind w:left="0" w:right="0"/>
        <w:jc w:val="center"/>
        <w:rPr>
          <w:b w:val="0"/>
          <w:bCs w:val="0"/>
        </w:rPr>
      </w:pPr>
      <w:r>
        <w:rPr/>
        <w:t>（智能运维架构图）</w:t>
      </w:r>
      <w:r>
        <w:rPr>
          <w:b w:val="0"/>
          <w:bCs w:val="0"/>
        </w:rPr>
      </w:r>
    </w:p>
    <w:p>
      <w:pPr>
        <w:spacing w:after="0" w:line="240" w:lineRule="auto"/>
        <w:jc w:val="center"/>
        <w:sectPr>
          <w:pgSz w:w="11910" w:h="16840"/>
          <w:pgMar w:header="851" w:footer="979" w:top="1380" w:bottom="1160" w:left="0" w:right="0"/>
        </w:sectPr>
      </w:pPr>
    </w:p>
    <w:p>
      <w:pPr>
        <w:pStyle w:val="BodyText"/>
        <w:spacing w:line="477" w:lineRule="auto" w:before="140"/>
        <w:ind w:left="1134" w:right="1026" w:firstLine="361"/>
        <w:jc w:val="left"/>
      </w:pPr>
      <w:r>
        <w:rPr>
          <w:rFonts w:ascii="宋体" w:hAnsi="宋体" w:cs="宋体" w:eastAsia="宋体" w:hint="default"/>
          <w:b/>
          <w:bCs/>
        </w:rPr>
        <w:t>在信息安全领域</w:t>
      </w:r>
      <w:r>
        <w:rPr/>
        <w:t>，公司拥有十五年以上的产品研发和项目实施经验，拥有一支精于企业安全管理的专家团队，在电信、 金融、能源、政府等主要领域拥有广泛的行业客户。</w:t>
      </w:r>
      <w:r>
        <w:rPr>
          <w:rFonts w:ascii="Times New Roman" w:hAnsi="Times New Roman" w:cs="Times New Roman" w:eastAsia="Times New Roman" w:hint="default"/>
        </w:rPr>
        <w:t>2017</w:t>
      </w:r>
      <w:r>
        <w:rPr>
          <w:rFonts w:ascii="Times New Roman" w:hAnsi="Times New Roman" w:cs="Times New Roman" w:eastAsia="Times New Roman" w:hint="default"/>
          <w:spacing w:val="-6"/>
        </w:rPr>
        <w:t> </w:t>
      </w:r>
      <w:r>
        <w:rPr/>
        <w:t>年</w:t>
      </w:r>
      <w:r>
        <w:rPr>
          <w:spacing w:val="-51"/>
        </w:rPr>
        <w:t> </w:t>
      </w:r>
      <w:r>
        <w:rPr>
          <w:rFonts w:ascii="Times New Roman" w:hAnsi="Times New Roman" w:cs="Times New Roman" w:eastAsia="Times New Roman" w:hint="default"/>
        </w:rPr>
        <w:t>12</w:t>
      </w:r>
      <w:r>
        <w:rPr>
          <w:rFonts w:ascii="Times New Roman" w:hAnsi="Times New Roman" w:cs="Times New Roman" w:eastAsia="Times New Roman" w:hint="default"/>
          <w:spacing w:val="-6"/>
        </w:rPr>
        <w:t> </w:t>
      </w:r>
      <w:r>
        <w:rPr/>
        <w:t>月，泰岳安全公司入选赛迪顾问（</w:t>
      </w:r>
      <w:r>
        <w:rPr>
          <w:rFonts w:ascii="Times New Roman" w:hAnsi="Times New Roman" w:cs="Times New Roman" w:eastAsia="Times New Roman" w:hint="default"/>
        </w:rPr>
        <w:t>CCID</w:t>
      </w:r>
      <w:r>
        <w:rPr/>
        <w:t>）评选的</w:t>
      </w:r>
      <w:r>
        <w:rPr>
          <w:spacing w:val="-5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6"/>
        </w:rPr>
        <w:t> </w:t>
      </w:r>
      <w:r>
        <w:rPr/>
        <w:t>年度</w:t>
      </w:r>
    </w:p>
    <w:p>
      <w:pPr>
        <w:pStyle w:val="BodyText"/>
        <w:spacing w:line="451" w:lineRule="auto" w:before="21"/>
        <w:ind w:right="1129"/>
        <w:jc w:val="both"/>
      </w:pPr>
      <w:r>
        <w:rPr/>
        <w:t>中国网络安全最具投资价值的</w:t>
      </w:r>
      <w:r>
        <w:rPr>
          <w:spacing w:val="-41"/>
        </w:rPr>
        <w:t> </w:t>
      </w:r>
      <w:r>
        <w:rPr>
          <w:rFonts w:ascii="Times New Roman" w:hAnsi="Times New Roman" w:cs="Times New Roman" w:eastAsia="Times New Roman" w:hint="default"/>
        </w:rPr>
        <w:t>60</w:t>
      </w:r>
      <w:r>
        <w:rPr>
          <w:rFonts w:ascii="Times New Roman" w:hAnsi="Times New Roman" w:cs="Times New Roman" w:eastAsia="Times New Roman" w:hint="default"/>
          <w:spacing w:val="4"/>
        </w:rPr>
        <w:t> </w:t>
      </w:r>
      <w:r>
        <w:rPr/>
        <w:t>强企业。公司着力打造基础安全管理解决方案，以支撑企业日常安全管理及运维工作，包 括：以人为核心的身份与访问安全管理平台</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IAM”</w:t>
      </w:r>
      <w:r>
        <w:rPr/>
        <w:t>、以事件为核心的安全运维管理平台</w:t>
      </w:r>
      <w:r>
        <w:rPr>
          <w:rFonts w:ascii="Times New Roman" w:hAnsi="Times New Roman" w:cs="Times New Roman" w:eastAsia="Times New Roman" w:hint="default"/>
        </w:rPr>
        <w:t>“Ultra</w:t>
      </w:r>
      <w:r>
        <w:rPr>
          <w:rFonts w:ascii="Times New Roman" w:hAnsi="Times New Roman" w:cs="Times New Roman" w:eastAsia="Times New Roman" w:hint="default"/>
        </w:rPr>
        <w:t>-</w:t>
      </w:r>
      <w:r>
        <w:rPr>
          <w:rFonts w:ascii="Times New Roman" w:hAnsi="Times New Roman" w:cs="Times New Roman" w:eastAsia="Times New Roman" w:hint="default"/>
        </w:rPr>
        <w:t>SOMC”</w:t>
      </w:r>
      <w:r>
        <w:rPr/>
        <w:t>、以资产核查及</w:t>
      </w:r>
      <w:r>
        <w:rPr>
          <w:spacing w:val="-58"/>
        </w:rPr>
        <w:t> </w:t>
      </w:r>
      <w:r>
        <w:rPr>
          <w:spacing w:val="-58"/>
        </w:rPr>
      </w:r>
      <w:r>
        <w:rPr>
          <w:spacing w:val="-1"/>
        </w:rPr>
        <w:t>安全配置为核心的合规安全管理平台</w:t>
      </w:r>
      <w:r>
        <w:rPr>
          <w:rFonts w:ascii="Times New Roman" w:hAnsi="Times New Roman" w:cs="Times New Roman" w:eastAsia="Times New Roman" w:hint="default"/>
          <w:spacing w:val="-1"/>
        </w:rPr>
        <w:t>“Ultra</w:t>
      </w:r>
      <w:r>
        <w:rPr>
          <w:rFonts w:ascii="Times New Roman" w:hAnsi="Times New Roman" w:cs="Times New Roman" w:eastAsia="Times New Roman" w:hint="default"/>
          <w:spacing w:val="-1"/>
        </w:rPr>
        <w:t>-</w:t>
      </w:r>
      <w:r>
        <w:rPr>
          <w:rFonts w:ascii="Times New Roman" w:hAnsi="Times New Roman" w:cs="Times New Roman" w:eastAsia="Times New Roman" w:hint="default"/>
          <w:spacing w:val="-1"/>
        </w:rPr>
        <w:t>BMS”</w:t>
      </w:r>
      <w:r>
        <w:rPr>
          <w:spacing w:val="-1"/>
        </w:rPr>
        <w:t>和以数据为核心的数据安全管理平台</w:t>
      </w:r>
      <w:r>
        <w:rPr>
          <w:rFonts w:ascii="Times New Roman" w:hAnsi="Times New Roman" w:cs="Times New Roman" w:eastAsia="Times New Roman" w:hint="default"/>
          <w:spacing w:val="-1"/>
        </w:rPr>
        <w:t>“Ultra</w:t>
      </w:r>
      <w:r>
        <w:rPr>
          <w:rFonts w:ascii="Times New Roman" w:hAnsi="Times New Roman" w:cs="Times New Roman" w:eastAsia="Times New Roman" w:hint="default"/>
          <w:spacing w:val="-1"/>
        </w:rPr>
        <w:t>-</w:t>
      </w:r>
      <w:r>
        <w:rPr>
          <w:rFonts w:ascii="Times New Roman" w:hAnsi="Times New Roman" w:cs="Times New Roman" w:eastAsia="Times New Roman" w:hint="default"/>
          <w:spacing w:val="-1"/>
        </w:rPr>
        <w:t>DSM”</w:t>
      </w:r>
      <w:r>
        <w:rPr>
          <w:spacing w:val="-1"/>
        </w:rPr>
        <w:t>。针对云计算、大数据和</w:t>
      </w:r>
      <w:r>
        <w:rPr>
          <w:spacing w:val="-83"/>
        </w:rPr>
        <w:t> </w:t>
      </w:r>
      <w:r>
        <w:rPr>
          <w:spacing w:val="-83"/>
        </w:rPr>
      </w:r>
      <w:r>
        <w:rPr>
          <w:spacing w:val="6"/>
        </w:rPr>
        <w:t>移动化带来的企业 </w:t>
      </w:r>
      <w:r>
        <w:rPr>
          <w:rFonts w:ascii="Times New Roman" w:hAnsi="Times New Roman" w:cs="Times New Roman" w:eastAsia="Times New Roman" w:hint="default"/>
        </w:rPr>
        <w:t>IT</w:t>
      </w:r>
      <w:r>
        <w:rPr>
          <w:rFonts w:ascii="Times New Roman" w:hAnsi="Times New Roman" w:cs="Times New Roman" w:eastAsia="Times New Roman" w:hint="default"/>
          <w:spacing w:val="29"/>
        </w:rPr>
        <w:t> </w:t>
      </w:r>
      <w:r>
        <w:rPr>
          <w:spacing w:val="5"/>
        </w:rPr>
        <w:t>架构变革，公司着力打造企业信息安全云服务平台</w:t>
      </w:r>
      <w:r>
        <w:rPr>
          <w:rFonts w:ascii="Times New Roman" w:hAnsi="Times New Roman" w:cs="Times New Roman" w:eastAsia="Times New Roman" w:hint="default"/>
          <w:spacing w:val="5"/>
        </w:rPr>
        <w:t>“SecCloud”</w:t>
      </w:r>
      <w:r>
        <w:rPr>
          <w:spacing w:val="5"/>
        </w:rPr>
        <w:t>、企业云计算环境的安全管控方案</w:t>
      </w:r>
      <w:r>
        <w:rPr/>
        <w:t> </w:t>
      </w:r>
      <w:r>
        <w:rPr>
          <w:rFonts w:ascii="Times New Roman" w:hAnsi="Times New Roman" w:cs="Times New Roman" w:eastAsia="Times New Roman" w:hint="default"/>
          <w:spacing w:val="-1"/>
        </w:rPr>
        <w:t>“SecStack”</w:t>
      </w:r>
      <w:r>
        <w:rPr>
          <w:spacing w:val="-1"/>
        </w:rPr>
        <w:t>、企业移动安全管理解决方案</w:t>
      </w:r>
      <w:r>
        <w:rPr>
          <w:rFonts w:ascii="Times New Roman" w:hAnsi="Times New Roman" w:cs="Times New Roman" w:eastAsia="Times New Roman" w:hint="default"/>
          <w:spacing w:val="-1"/>
        </w:rPr>
        <w:t>“SecTouch”</w:t>
      </w:r>
      <w:r>
        <w:rPr>
          <w:spacing w:val="-1"/>
        </w:rPr>
        <w:t>以及企业信息安全大数据分析和态势感知方案</w:t>
      </w:r>
      <w:r>
        <w:rPr>
          <w:rFonts w:ascii="Times New Roman" w:hAnsi="Times New Roman" w:cs="Times New Roman" w:eastAsia="Times New Roman" w:hint="default"/>
          <w:spacing w:val="-1"/>
        </w:rPr>
        <w:t>“SecSight”</w:t>
      </w:r>
      <w:r>
        <w:rPr>
          <w:spacing w:val="-1"/>
        </w:rPr>
        <w:t>等四大新型安全</w:t>
      </w:r>
      <w:r>
        <w:rPr>
          <w:spacing w:val="-88"/>
        </w:rPr>
        <w:t> </w:t>
      </w:r>
      <w:r>
        <w:rPr>
          <w:spacing w:val="-88"/>
        </w:rPr>
      </w:r>
      <w:r>
        <w:rPr/>
        <w:t>管理解决方案。</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spacing w:line="4536" w:lineRule="exact"/>
        <w:ind w:left="1887" w:right="0" w:firstLine="0"/>
        <w:rPr>
          <w:rFonts w:ascii="宋体" w:hAnsi="宋体" w:cs="宋体" w:eastAsia="宋体" w:hint="default"/>
          <w:sz w:val="20"/>
          <w:szCs w:val="20"/>
        </w:rPr>
      </w:pPr>
      <w:r>
        <w:rPr>
          <w:rFonts w:ascii="宋体" w:hAnsi="宋体" w:cs="宋体" w:eastAsia="宋体" w:hint="default"/>
          <w:position w:val="-90"/>
          <w:sz w:val="20"/>
          <w:szCs w:val="20"/>
        </w:rPr>
        <w:drawing>
          <wp:inline distT="0" distB="0" distL="0" distR="0">
            <wp:extent cx="5119367" cy="2880360"/>
            <wp:effectExtent l="0" t="0" r="0" b="0"/>
            <wp:docPr id="17" name="image32.jpeg" descr=""/>
            <wp:cNvGraphicFramePr>
              <a:graphicFrameLocks noChangeAspect="1"/>
            </wp:cNvGraphicFramePr>
            <a:graphic>
              <a:graphicData uri="http://schemas.openxmlformats.org/drawingml/2006/picture">
                <pic:pic>
                  <pic:nvPicPr>
                    <pic:cNvPr id="18" name="image32.jpeg"/>
                    <pic:cNvPicPr/>
                  </pic:nvPicPr>
                  <pic:blipFill>
                    <a:blip r:embed="rId39" cstate="print"/>
                    <a:stretch>
                      <a:fillRect/>
                    </a:stretch>
                  </pic:blipFill>
                  <pic:spPr>
                    <a:xfrm>
                      <a:off x="0" y="0"/>
                      <a:ext cx="5119367" cy="2880360"/>
                    </a:xfrm>
                    <a:prstGeom prst="rect">
                      <a:avLst/>
                    </a:prstGeom>
                  </pic:spPr>
                </pic:pic>
              </a:graphicData>
            </a:graphic>
          </wp:inline>
        </w:drawing>
      </w:r>
      <w:r>
        <w:rPr>
          <w:rFonts w:ascii="宋体" w:hAnsi="宋体" w:cs="宋体" w:eastAsia="宋体" w:hint="default"/>
          <w:position w:val="-90"/>
          <w:sz w:val="20"/>
          <w:szCs w:val="20"/>
        </w:rPr>
      </w:r>
    </w:p>
    <w:p>
      <w:pPr>
        <w:spacing w:line="240" w:lineRule="auto" w:before="10"/>
        <w:rPr>
          <w:rFonts w:ascii="宋体" w:hAnsi="宋体" w:cs="宋体" w:eastAsia="宋体" w:hint="default"/>
          <w:sz w:val="13"/>
          <w:szCs w:val="13"/>
        </w:rPr>
      </w:pPr>
    </w:p>
    <w:p>
      <w:pPr>
        <w:pStyle w:val="Heading4"/>
        <w:spacing w:line="240" w:lineRule="auto"/>
        <w:ind w:left="5014" w:right="0"/>
        <w:jc w:val="left"/>
        <w:rPr>
          <w:b w:val="0"/>
          <w:bCs w:val="0"/>
        </w:rPr>
      </w:pPr>
      <w:r>
        <w:rPr/>
        <w:t>（</w:t>
      </w:r>
      <w:r>
        <w:rPr>
          <w:rFonts w:ascii="Times New Roman" w:hAnsi="Times New Roman" w:cs="Times New Roman" w:eastAsia="Times New Roman" w:hint="default"/>
        </w:rPr>
        <w:t>Ultra-SAFE</w:t>
      </w:r>
      <w:r>
        <w:rPr>
          <w:rFonts w:ascii="Times New Roman" w:hAnsi="Times New Roman" w:cs="Times New Roman" w:eastAsia="Times New Roman" w:hint="default"/>
          <w:spacing w:val="-3"/>
        </w:rPr>
        <w:t> </w:t>
      </w:r>
      <w:r>
        <w:rPr/>
        <w:t>架构图）</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6"/>
          <w:szCs w:val="16"/>
        </w:rPr>
      </w:pPr>
    </w:p>
    <w:p>
      <w:pPr>
        <w:pStyle w:val="BodyText"/>
        <w:spacing w:line="451" w:lineRule="auto"/>
        <w:ind w:left="1494" w:right="1118" w:firstLine="1"/>
        <w:jc w:val="left"/>
      </w:pPr>
      <w:r>
        <w:rPr>
          <w:rFonts w:ascii="Times New Roman" w:hAnsi="Times New Roman" w:cs="Times New Roman" w:eastAsia="Times New Roman" w:hint="default"/>
          <w:b/>
          <w:bCs/>
        </w:rPr>
        <w:t>4</w:t>
      </w:r>
      <w:r>
        <w:rPr>
          <w:rFonts w:ascii="宋体" w:hAnsi="宋体" w:cs="宋体" w:eastAsia="宋体" w:hint="default"/>
          <w:b/>
          <w:bCs/>
        </w:rPr>
        <w:t>、手机游戏</w:t>
      </w:r>
      <w:r>
        <w:rPr>
          <w:rFonts w:ascii="宋体" w:hAnsi="宋体" w:cs="宋体" w:eastAsia="宋体" w:hint="default"/>
          <w:b/>
          <w:bCs/>
          <w:w w:val="99"/>
        </w:rPr>
        <w:t> </w:t>
      </w:r>
      <w:r>
        <w:rPr>
          <w:spacing w:val="-2"/>
        </w:rPr>
        <w:t>公司手机游戏业务以研发打造重度手游产品为主，定位于全球渠道游戏发行。旗下重要手游研发团队</w:t>
      </w:r>
      <w:r>
        <w:rPr>
          <w:rFonts w:ascii="Times New Roman" w:hAnsi="Times New Roman" w:cs="Times New Roman" w:eastAsia="Times New Roman" w:hint="default"/>
          <w:spacing w:val="-2"/>
        </w:rPr>
        <w:t>——</w:t>
      </w:r>
      <w:r>
        <w:rPr>
          <w:spacing w:val="-2"/>
        </w:rPr>
        <w:t>壳木软件是中</w:t>
      </w:r>
    </w:p>
    <w:p>
      <w:pPr>
        <w:pStyle w:val="BodyText"/>
        <w:spacing w:line="451" w:lineRule="auto" w:before="43"/>
        <w:ind w:right="1132"/>
        <w:jc w:val="both"/>
      </w:pPr>
      <w:r>
        <w:rPr>
          <w:spacing w:val="-3"/>
        </w:rPr>
        <w:t>国目前为数不多的拥有独立研发世界水准的</w:t>
      </w:r>
      <w:r>
        <w:rPr>
          <w:rFonts w:ascii="Times New Roman" w:hAnsi="Times New Roman" w:cs="Times New Roman" w:eastAsia="Times New Roman" w:hint="default"/>
          <w:spacing w:val="-3"/>
        </w:rPr>
        <w:t>3D</w:t>
      </w:r>
      <w:r>
        <w:rPr>
          <w:spacing w:val="-3"/>
        </w:rPr>
        <w:t>游戏引擎能力（可兼容各种层次的移动设备）的一流手机游戏研发团队，</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2"/>
        </w:rPr>
        <w:t> </w:t>
      </w:r>
      <w:r>
        <w:rPr/>
        <w:t>年即获得了</w:t>
      </w:r>
      <w:r>
        <w:rPr>
          <w:rFonts w:ascii="Times New Roman" w:hAnsi="Times New Roman" w:cs="Times New Roman" w:eastAsia="Times New Roman" w:hint="default"/>
        </w:rPr>
        <w:t>Google Play</w:t>
      </w:r>
      <w:r>
        <w:rPr/>
        <w:t>官方颁发的</w:t>
      </w:r>
      <w:r>
        <w:rPr>
          <w:rFonts w:ascii="Times New Roman" w:hAnsi="Times New Roman" w:cs="Times New Roman" w:eastAsia="Times New Roman" w:hint="default"/>
        </w:rPr>
        <w:t>“Android Top</w:t>
      </w:r>
      <w:r>
        <w:rPr>
          <w:rFonts w:ascii="Times New Roman" w:hAnsi="Times New Roman" w:cs="Times New Roman" w:eastAsia="Times New Roman" w:hint="default"/>
          <w:spacing w:val="8"/>
        </w:rPr>
        <w:t> </w:t>
      </w:r>
      <w:r>
        <w:rPr>
          <w:rFonts w:ascii="Times New Roman" w:hAnsi="Times New Roman" w:cs="Times New Roman" w:eastAsia="Times New Roman" w:hint="default"/>
        </w:rPr>
        <w:t>Developer”</w:t>
      </w:r>
      <w:r>
        <w:rPr/>
        <w:t>（全球顶级开发者）认证，是中国大陆地区最早一家荣获此殊荣 的手机游戏开发团队。</w:t>
      </w:r>
      <w:r>
        <w:rPr>
          <w:rFonts w:ascii="Times New Roman" w:hAnsi="Times New Roman" w:cs="Times New Roman" w:eastAsia="Times New Roman" w:hint="default"/>
        </w:rPr>
        <w:t>2015</w:t>
      </w:r>
      <w:r>
        <w:rPr/>
        <w:t>年，壳木软件获得北京中关村高新技术企业协会评选的</w:t>
      </w:r>
      <w:r>
        <w:rPr>
          <w:rFonts w:ascii="Times New Roman" w:hAnsi="Times New Roman" w:cs="Times New Roman" w:eastAsia="Times New Roman" w:hint="default"/>
        </w:rPr>
        <w:t>“2015</w:t>
      </w:r>
      <w:r>
        <w:rPr/>
        <w:t>中关村高成长企业</w:t>
      </w:r>
      <w:r>
        <w:rPr>
          <w:rFonts w:ascii="Times New Roman" w:hAnsi="Times New Roman" w:cs="Times New Roman" w:eastAsia="Times New Roman" w:hint="default"/>
        </w:rPr>
        <w:t>TOP100”</w:t>
      </w:r>
      <w:r>
        <w:rPr/>
        <w:t>。</w:t>
      </w:r>
    </w:p>
    <w:p>
      <w:pPr>
        <w:pStyle w:val="BodyText"/>
        <w:spacing w:line="477" w:lineRule="auto" w:before="43"/>
        <w:ind w:right="0" w:firstLine="360"/>
        <w:jc w:val="left"/>
      </w:pPr>
      <w:r>
        <w:rPr>
          <w:spacing w:val="-9"/>
        </w:rPr>
        <w:t>公司已成功研发并发行了《小小帝国》、《人在天朝》、《战火与秩序》等大型重度游戏。从产品的设计层面，壳木团队在</w:t>
      </w:r>
      <w:r>
        <w:rPr/>
        <w:t> 竞争激烈的手游市场中，擅长以独特的内容设计，在同质化严重的诸多游戏产品中推出自身独具魅力的手游产品。</w:t>
      </w:r>
    </w:p>
    <w:p>
      <w:pPr>
        <w:pStyle w:val="BodyText"/>
        <w:spacing w:line="451" w:lineRule="auto" w:before="54"/>
        <w:ind w:left="1134" w:right="0" w:firstLine="360"/>
        <w:jc w:val="left"/>
      </w:pPr>
      <w:r>
        <w:rPr/>
        <w:t>《战火与秩序》是手游研发团队精心打造的一款全</w:t>
      </w:r>
      <w:r>
        <w:rPr>
          <w:rFonts w:ascii="Times New Roman" w:hAnsi="Times New Roman" w:cs="Times New Roman" w:eastAsia="Times New Roman" w:hint="default"/>
        </w:rPr>
        <w:t>3D</w:t>
      </w:r>
      <w:r>
        <w:rPr/>
        <w:t>画面的战争策略型游戏，在传统策略游戏玩法基础上，深入强化</w:t>
      </w:r>
      <w:r>
        <w:rPr>
          <w:spacing w:val="1"/>
        </w:rPr>
        <w:t> </w:t>
      </w:r>
      <w:r>
        <w:rPr>
          <w:spacing w:val="-2"/>
        </w:rPr>
        <w:t>了联盟、社交、战斗等游戏元素，为策略游戏玩家提供了更好的体验和更深度的乐趣。《战火与秩序》上线至今已获得多次</w:t>
      </w:r>
    </w:p>
    <w:p>
      <w:pPr>
        <w:spacing w:after="0" w:line="451" w:lineRule="auto"/>
        <w:jc w:val="left"/>
        <w:sectPr>
          <w:pgSz w:w="11910" w:h="16840"/>
          <w:pgMar w:header="851" w:footer="979" w:top="1380" w:bottom="1160" w:left="0" w:right="0"/>
        </w:sectPr>
      </w:pPr>
    </w:p>
    <w:p>
      <w:pPr>
        <w:pStyle w:val="BodyText"/>
        <w:spacing w:line="451" w:lineRule="auto" w:before="140"/>
        <w:ind w:right="1132"/>
        <w:jc w:val="left"/>
      </w:pPr>
      <w:r>
        <w:rPr/>
        <w:t>谷歌全球精选游戏首页推荐，</w:t>
      </w:r>
      <w:r>
        <w:rPr>
          <w:rFonts w:ascii="Times New Roman" w:hAnsi="Times New Roman" w:cs="Times New Roman" w:eastAsia="Times New Roman" w:hint="default"/>
        </w:rPr>
        <w:t>2017</w:t>
      </w:r>
      <w:r>
        <w:rPr/>
        <w:t>年，荣获由七麦数据联合创新工场、清科集团、品途集团主办的</w:t>
      </w:r>
      <w:r>
        <w:rPr>
          <w:rFonts w:ascii="Times New Roman" w:hAnsi="Times New Roman" w:cs="Times New Roman" w:eastAsia="Times New Roman" w:hint="default"/>
        </w:rPr>
        <w:t>“NextWorld</w:t>
      </w:r>
      <w:r>
        <w:rPr>
          <w:rFonts w:ascii="Times New Roman" w:hAnsi="Times New Roman" w:cs="Times New Roman" w:eastAsia="Times New Roman" w:hint="default"/>
          <w:spacing w:val="14"/>
        </w:rPr>
        <w:t> </w:t>
      </w:r>
      <w:r>
        <w:rPr>
          <w:rFonts w:ascii="Times New Roman" w:hAnsi="Times New Roman" w:cs="Times New Roman" w:eastAsia="Times New Roman" w:hint="default"/>
        </w:rPr>
        <w:t>2017</w:t>
      </w:r>
      <w:r>
        <w:rPr/>
        <w:t>年度最</w:t>
      </w:r>
      <w:r>
        <w:rPr>
          <w:w w:val="100"/>
        </w:rPr>
        <w:t> </w:t>
      </w:r>
      <w:r>
        <w:rPr/>
        <w:t>具风采</w:t>
      </w:r>
      <w:r>
        <w:rPr>
          <w:rFonts w:ascii="Times New Roman" w:hAnsi="Times New Roman" w:cs="Times New Roman" w:eastAsia="Times New Roman" w:hint="default"/>
        </w:rPr>
        <w:t>-</w:t>
      </w:r>
      <w:r>
        <w:rPr/>
        <w:t>创享游戏</w:t>
      </w:r>
      <w:r>
        <w:rPr>
          <w:rFonts w:ascii="Times New Roman" w:hAnsi="Times New Roman" w:cs="Times New Roman" w:eastAsia="Times New Roman" w:hint="default"/>
        </w:rPr>
        <w:t>”</w:t>
      </w:r>
      <w:r>
        <w:rPr/>
        <w:t>大奖。</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spacing w:line="3513" w:lineRule="exact"/>
        <w:ind w:left="2622" w:right="0" w:firstLine="0"/>
        <w:rPr>
          <w:rFonts w:ascii="宋体" w:hAnsi="宋体" w:cs="宋体" w:eastAsia="宋体" w:hint="default"/>
          <w:sz w:val="20"/>
          <w:szCs w:val="20"/>
        </w:rPr>
      </w:pPr>
      <w:r>
        <w:rPr>
          <w:rFonts w:ascii="宋体" w:hAnsi="宋体" w:cs="宋体" w:eastAsia="宋体" w:hint="default"/>
          <w:position w:val="-69"/>
          <w:sz w:val="20"/>
          <w:szCs w:val="20"/>
        </w:rPr>
        <w:drawing>
          <wp:inline distT="0" distB="0" distL="0" distR="0">
            <wp:extent cx="4264120" cy="2230945"/>
            <wp:effectExtent l="0" t="0" r="0" b="0"/>
            <wp:docPr id="19" name="image33.jpeg" descr=""/>
            <wp:cNvGraphicFramePr>
              <a:graphicFrameLocks noChangeAspect="1"/>
            </wp:cNvGraphicFramePr>
            <a:graphic>
              <a:graphicData uri="http://schemas.openxmlformats.org/drawingml/2006/picture">
                <pic:pic>
                  <pic:nvPicPr>
                    <pic:cNvPr id="20" name="image33.jpeg"/>
                    <pic:cNvPicPr/>
                  </pic:nvPicPr>
                  <pic:blipFill>
                    <a:blip r:embed="rId40" cstate="print"/>
                    <a:stretch>
                      <a:fillRect/>
                    </a:stretch>
                  </pic:blipFill>
                  <pic:spPr>
                    <a:xfrm>
                      <a:off x="0" y="0"/>
                      <a:ext cx="4264120" cy="2230945"/>
                    </a:xfrm>
                    <a:prstGeom prst="rect">
                      <a:avLst/>
                    </a:prstGeom>
                  </pic:spPr>
                </pic:pic>
              </a:graphicData>
            </a:graphic>
          </wp:inline>
        </w:drawing>
      </w:r>
      <w:r>
        <w:rPr>
          <w:rFonts w:ascii="宋体" w:hAnsi="宋体" w:cs="宋体" w:eastAsia="宋体" w:hint="default"/>
          <w:position w:val="-69"/>
          <w:sz w:val="20"/>
          <w:szCs w:val="20"/>
        </w:rPr>
      </w:r>
    </w:p>
    <w:p>
      <w:pPr>
        <w:spacing w:line="240" w:lineRule="auto" w:before="7"/>
        <w:rPr>
          <w:rFonts w:ascii="宋体" w:hAnsi="宋体" w:cs="宋体" w:eastAsia="宋体" w:hint="default"/>
          <w:sz w:val="14"/>
          <w:szCs w:val="14"/>
        </w:rPr>
      </w:pPr>
    </w:p>
    <w:p>
      <w:pPr>
        <w:pStyle w:val="Heading4"/>
        <w:spacing w:line="240" w:lineRule="auto"/>
        <w:ind w:left="0" w:right="0"/>
        <w:jc w:val="center"/>
        <w:rPr>
          <w:b w:val="0"/>
          <w:bCs w:val="0"/>
        </w:rPr>
      </w:pPr>
      <w:r>
        <w:rPr/>
        <w:t>（《战火与秩序》游戏画面）</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8"/>
        <w:rPr>
          <w:rFonts w:ascii="宋体" w:hAnsi="宋体" w:cs="宋体" w:eastAsia="宋体" w:hint="default"/>
          <w:b/>
          <w:bCs/>
          <w:sz w:val="20"/>
          <w:szCs w:val="20"/>
        </w:rPr>
      </w:pPr>
    </w:p>
    <w:p>
      <w:pPr>
        <w:pStyle w:val="BodyText"/>
        <w:spacing w:line="451" w:lineRule="auto"/>
        <w:ind w:right="1130" w:firstLine="362"/>
        <w:jc w:val="both"/>
      </w:pPr>
      <w:r>
        <w:rPr>
          <w:rFonts w:ascii="Times New Roman" w:hAnsi="Times New Roman" w:cs="Times New Roman" w:eastAsia="Times New Roman" w:hint="default"/>
        </w:rPr>
        <w:t>2018</w:t>
      </w:r>
      <w:r>
        <w:rPr>
          <w:rFonts w:ascii="Times New Roman" w:hAnsi="Times New Roman" w:cs="Times New Roman" w:eastAsia="Times New Roman" w:hint="default"/>
          <w:spacing w:val="-26"/>
        </w:rPr>
        <w:t> </w:t>
      </w:r>
      <w:r>
        <w:rPr/>
        <w:t>年初，公司下属游戏发行合资公司</w:t>
      </w:r>
      <w:r>
        <w:rPr>
          <w:rFonts w:ascii="Times New Roman" w:hAnsi="Times New Roman" w:cs="Times New Roman" w:eastAsia="Times New Roman" w:hint="default"/>
        </w:rPr>
        <w:t>——</w:t>
      </w:r>
      <w:r>
        <w:rPr/>
        <w:t>北京神州泰奇互动科技有限公司经过近一年的论证研究，对外推出</w:t>
      </w:r>
      <w:r>
        <w:rPr>
          <w:rFonts w:ascii="Times New Roman" w:hAnsi="Times New Roman" w:cs="Times New Roman" w:eastAsia="Times New Roman" w:hint="default"/>
        </w:rPr>
        <w:t>“</w:t>
      </w:r>
      <w:r>
        <w:rPr/>
        <w:t>泰奇猫 </w:t>
      </w:r>
      <w:r>
        <w:rPr>
          <w:spacing w:val="-1"/>
          <w:w w:val="100"/>
        </w:rPr>
        <w:t>娱乐云终端</w:t>
      </w:r>
      <w:r>
        <w:rPr>
          <w:rFonts w:ascii="Times New Roman" w:hAnsi="Times New Roman" w:cs="Times New Roman" w:eastAsia="Times New Roman" w:hint="default"/>
          <w:spacing w:val="-1"/>
          <w:w w:val="100"/>
        </w:rPr>
        <w:t>”</w:t>
      </w:r>
      <w:r>
        <w:rPr>
          <w:spacing w:val="-1"/>
          <w:w w:val="100"/>
        </w:rPr>
        <w:t>设备（简称</w:t>
      </w:r>
      <w:r>
        <w:rPr>
          <w:spacing w:val="-43"/>
          <w:w w:val="100"/>
        </w:rPr>
        <w:t> </w:t>
      </w:r>
      <w:r>
        <w:rPr>
          <w:rFonts w:ascii="Times New Roman" w:hAnsi="Times New Roman" w:cs="Times New Roman" w:eastAsia="Times New Roman" w:hint="default"/>
          <w:spacing w:val="-1"/>
        </w:rPr>
        <w:t>TQC</w:t>
      </w:r>
      <w:r>
        <w:rPr>
          <w:spacing w:val="-1"/>
        </w:rPr>
        <w:t>）的网络预约，并发布《泰奇互动区块链发展战略及</w:t>
      </w:r>
      <w:r>
        <w:rPr>
          <w:spacing w:val="-41"/>
        </w:rPr>
        <w:t> </w:t>
      </w:r>
      <w:r>
        <w:rPr>
          <w:rFonts w:ascii="Times New Roman" w:hAnsi="Times New Roman" w:cs="Times New Roman" w:eastAsia="Times New Roman" w:hint="default"/>
        </w:rPr>
        <w:t>TQC</w:t>
      </w:r>
      <w:r>
        <w:rPr>
          <w:rFonts w:ascii="Times New Roman" w:hAnsi="Times New Roman" w:cs="Times New Roman" w:eastAsia="Times New Roman" w:hint="default"/>
          <w:spacing w:val="2"/>
        </w:rPr>
        <w:t> </w:t>
      </w:r>
      <w:r>
        <w:rPr>
          <w:spacing w:val="-6"/>
        </w:rPr>
        <w:t>项目白皮书》。泰奇互动系神州泰岳</w:t>
      </w:r>
      <w:r>
        <w:rPr/>
        <w:t> 与三六零科技股份有限公司旗下全资公司 </w:t>
      </w:r>
      <w:r>
        <w:rPr>
          <w:rFonts w:ascii="Times New Roman" w:hAnsi="Times New Roman" w:cs="Times New Roman" w:eastAsia="Times New Roman" w:hint="default"/>
        </w:rPr>
        <w:t>Qifei International Development Co. Limited </w:t>
      </w:r>
      <w:r>
        <w:rPr/>
        <w:t>于 </w:t>
      </w:r>
      <w:r>
        <w:rPr>
          <w:rFonts w:ascii="Times New Roman" w:hAnsi="Times New Roman" w:cs="Times New Roman" w:eastAsia="Times New Roman" w:hint="default"/>
        </w:rPr>
        <w:t>2014</w:t>
      </w:r>
      <w:r>
        <w:rPr>
          <w:rFonts w:ascii="Times New Roman" w:hAnsi="Times New Roman" w:cs="Times New Roman" w:eastAsia="Times New Roman" w:hint="default"/>
          <w:spacing w:val="-20"/>
        </w:rPr>
        <w:t> </w:t>
      </w:r>
      <w:r>
        <w:rPr/>
        <w:t>年在新加坡联合投资成立的 </w:t>
      </w:r>
      <w:r>
        <w:rPr>
          <w:rFonts w:ascii="Times New Roman" w:hAnsi="Times New Roman" w:cs="Times New Roman" w:eastAsia="Times New Roman" w:hint="default"/>
        </w:rPr>
        <w:t>Ultrapower 360 Pte. </w:t>
      </w:r>
      <w:r>
        <w:rPr>
          <w:rFonts w:ascii="Times New Roman" w:hAnsi="Times New Roman" w:cs="Times New Roman" w:eastAsia="Times New Roman" w:hint="default"/>
          <w:spacing w:val="-1"/>
        </w:rPr>
        <w:t>Ltd</w:t>
      </w:r>
      <w:r>
        <w:rPr>
          <w:rFonts w:ascii="Times New Roman" w:hAnsi="Times New Roman" w:cs="Times New Roman" w:eastAsia="Times New Roman" w:hint="default"/>
        </w:rPr>
        <w:t> </w:t>
      </w:r>
      <w:r>
        <w:rPr/>
        <w:t>的全资子公司。</w:t>
      </w:r>
      <w:r>
        <w:rPr>
          <w:rFonts w:ascii="Times New Roman" w:hAnsi="Times New Roman" w:cs="Times New Roman" w:eastAsia="Times New Roman" w:hint="default"/>
        </w:rPr>
        <w:t>TQC </w:t>
      </w:r>
      <w:r>
        <w:rPr/>
        <w:t>体系既包括 </w:t>
      </w:r>
      <w:r>
        <w:rPr>
          <w:rFonts w:ascii="Times New Roman" w:hAnsi="Times New Roman" w:cs="Times New Roman" w:eastAsia="Times New Roman" w:hint="default"/>
        </w:rPr>
        <w:t>TQC </w:t>
      </w:r>
      <w:r>
        <w:rPr/>
        <w:t>娱乐云终端（硬件）和 </w:t>
      </w:r>
      <w:r>
        <w:rPr>
          <w:rFonts w:ascii="Times New Roman" w:hAnsi="Times New Roman" w:cs="Times New Roman" w:eastAsia="Times New Roman" w:hint="default"/>
        </w:rPr>
        <w:t>TQC</w:t>
      </w:r>
      <w:r>
        <w:rPr>
          <w:rFonts w:ascii="Times New Roman" w:hAnsi="Times New Roman" w:cs="Times New Roman" w:eastAsia="Times New Roman" w:hint="default"/>
          <w:spacing w:val="-27"/>
        </w:rPr>
        <w:t> </w:t>
      </w:r>
      <w:r>
        <w:rPr>
          <w:spacing w:val="-7"/>
        </w:rPr>
        <w:t>智能平台（软件），也包括基于</w:t>
      </w:r>
      <w:r>
        <w:rPr/>
        <w:t> </w:t>
      </w:r>
      <w:r>
        <w:rPr>
          <w:rFonts w:ascii="Times New Roman" w:hAnsi="Times New Roman" w:cs="Times New Roman" w:eastAsia="Times New Roman" w:hint="default"/>
        </w:rPr>
        <w:t>TQC</w:t>
      </w:r>
      <w:r>
        <w:rPr>
          <w:rFonts w:ascii="Times New Roman" w:hAnsi="Times New Roman" w:cs="Times New Roman" w:eastAsia="Times New Roman" w:hint="default"/>
          <w:spacing w:val="7"/>
        </w:rPr>
        <w:t> </w:t>
      </w:r>
      <w:r>
        <w:rPr/>
        <w:t>开发的游戏及应用内容，形成一个软硬件结合、内容产出与奖励激励互相促进的有机生态。目前该项目运作正常。公 司后续会继续跟进区块链底层技术的研究，结合现有物联网、</w:t>
      </w:r>
      <w:r>
        <w:rPr>
          <w:rFonts w:ascii="Times New Roman" w:hAnsi="Times New Roman" w:cs="Times New Roman" w:eastAsia="Times New Roman" w:hint="default"/>
        </w:rPr>
        <w:t>AI</w:t>
      </w:r>
      <w:r>
        <w:rPr/>
        <w:t>、手机游戏等业务，推动自身技术的不断革新。</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9"/>
          <w:szCs w:val="19"/>
        </w:rPr>
      </w:pPr>
    </w:p>
    <w:p>
      <w:pPr>
        <w:pStyle w:val="Heading2"/>
        <w:spacing w:line="240" w:lineRule="auto"/>
        <w:ind w:left="1133" w:right="0"/>
        <w:jc w:val="left"/>
        <w:rPr>
          <w:b w:val="0"/>
          <w:bCs w:val="0"/>
        </w:rPr>
      </w:pPr>
      <w:bookmarkStart w:name="二、主要资产重大变化情况" w:id="18"/>
      <w:bookmarkEnd w:id="18"/>
      <w:r>
        <w:rPr>
          <w:b w:val="0"/>
          <w:bCs w:val="0"/>
        </w:rPr>
      </w: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主要资产重大变化情况" w:id="19"/>
      <w:bookmarkEnd w:id="19"/>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40" w:type="dxa"/>
        <w:tblLayout w:type="fixed"/>
        <w:tblCellMar>
          <w:top w:w="0" w:type="dxa"/>
          <w:left w:w="0" w:type="dxa"/>
          <w:bottom w:w="0" w:type="dxa"/>
          <w:right w:w="0" w:type="dxa"/>
        </w:tblCellMar>
        <w:tblLook w:val="01E0"/>
      </w:tblPr>
      <w:tblGrid>
        <w:gridCol w:w="3041"/>
        <w:gridCol w:w="6517"/>
      </w:tblGrid>
      <w:tr>
        <w:trPr>
          <w:trHeight w:val="186" w:hRule="exact"/>
        </w:trPr>
        <w:tc>
          <w:tcPr>
            <w:tcW w:w="3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5" w:hRule="exact"/>
        </w:trPr>
        <w:tc>
          <w:tcPr>
            <w:tcW w:w="3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本期未发生重大变化</w:t>
            </w:r>
          </w:p>
        </w:tc>
      </w:tr>
      <w:tr>
        <w:trPr>
          <w:trHeight w:val="402" w:hRule="exact"/>
        </w:trPr>
        <w:tc>
          <w:tcPr>
            <w:tcW w:w="3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本期未发生重大变化</w:t>
            </w:r>
          </w:p>
        </w:tc>
      </w:tr>
      <w:tr>
        <w:trPr>
          <w:trHeight w:val="402" w:hRule="exact"/>
        </w:trPr>
        <w:tc>
          <w:tcPr>
            <w:tcW w:w="3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10" w:right="0"/>
              <w:jc w:val="left"/>
              <w:rPr>
                <w:rFonts w:ascii="宋体" w:hAnsi="宋体" w:cs="宋体" w:eastAsia="宋体" w:hint="default"/>
                <w:sz w:val="18"/>
                <w:szCs w:val="18"/>
              </w:rPr>
            </w:pPr>
            <w:r>
              <w:rPr>
                <w:rFonts w:ascii="宋体" w:hAnsi="宋体" w:cs="宋体" w:eastAsia="宋体" w:hint="default"/>
                <w:sz w:val="18"/>
                <w:szCs w:val="18"/>
              </w:rPr>
              <w:t>本期未发生重大变化</w:t>
            </w:r>
          </w:p>
        </w:tc>
      </w:tr>
      <w:tr>
        <w:trPr>
          <w:trHeight w:val="402" w:hRule="exact"/>
        </w:trPr>
        <w:tc>
          <w:tcPr>
            <w:tcW w:w="3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0" w:right="0"/>
              <w:jc w:val="left"/>
              <w:rPr>
                <w:rFonts w:ascii="宋体" w:hAnsi="宋体" w:cs="宋体" w:eastAsia="宋体" w:hint="default"/>
                <w:sz w:val="18"/>
                <w:szCs w:val="18"/>
              </w:rPr>
            </w:pPr>
            <w:r>
              <w:rPr>
                <w:rFonts w:ascii="宋体" w:hAnsi="宋体" w:cs="宋体" w:eastAsia="宋体" w:hint="default"/>
                <w:sz w:val="18"/>
                <w:szCs w:val="18"/>
              </w:rPr>
              <w:t>本期未发生重大变化</w:t>
            </w:r>
          </w:p>
        </w:tc>
      </w:tr>
      <w:tr>
        <w:trPr>
          <w:trHeight w:val="403" w:hRule="exact"/>
        </w:trPr>
        <w:tc>
          <w:tcPr>
            <w:tcW w:w="30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99.92%</w:t>
            </w:r>
            <w:r>
              <w:rPr>
                <w:rFonts w:ascii="宋体" w:hAnsi="宋体" w:cs="宋体" w:eastAsia="宋体" w:hint="default"/>
                <w:spacing w:val="-80"/>
                <w:sz w:val="18"/>
                <w:szCs w:val="18"/>
              </w:rPr>
              <w:t>，</w:t>
            </w:r>
            <w:r>
              <w:rPr>
                <w:rFonts w:ascii="宋体" w:hAnsi="宋体" w:cs="宋体" w:eastAsia="宋体" w:hint="default"/>
                <w:sz w:val="18"/>
                <w:szCs w:val="18"/>
              </w:rPr>
              <w:t>主要系系统集成业务应收票据本期收回以及对相关诉讼客户的</w:t>
            </w:r>
          </w:p>
        </w:tc>
      </w:tr>
    </w:tbl>
    <w:p>
      <w:pPr>
        <w:spacing w:after="0" w:line="240" w:lineRule="auto"/>
        <w:jc w:val="left"/>
        <w:rPr>
          <w:rFonts w:ascii="宋体" w:hAnsi="宋体" w:cs="宋体" w:eastAsia="宋体"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b/>
          <w:bCs/>
          <w:sz w:val="3"/>
          <w:szCs w:val="3"/>
        </w:rPr>
      </w:pPr>
    </w:p>
    <w:tbl>
      <w:tblPr>
        <w:tblW w:w="0" w:type="auto"/>
        <w:jc w:val="left"/>
        <w:tblInd w:w="1129" w:type="dxa"/>
        <w:tblLayout w:type="fixed"/>
        <w:tblCellMar>
          <w:top w:w="0" w:type="dxa"/>
          <w:left w:w="0" w:type="dxa"/>
          <w:bottom w:w="0" w:type="dxa"/>
          <w:right w:w="0" w:type="dxa"/>
        </w:tblCellMar>
        <w:tblLook w:val="01E0"/>
      </w:tblPr>
      <w:tblGrid>
        <w:gridCol w:w="3051"/>
        <w:gridCol w:w="6517"/>
      </w:tblGrid>
      <w:tr>
        <w:trPr>
          <w:trHeight w:val="362"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应收款项重分类至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其他应收款</w:t>
            </w:r>
            <w:r>
              <w:rPr>
                <w:rFonts w:ascii="Times New Roman" w:hAnsi="Times New Roman" w:cs="Times New Roman" w:eastAsia="Times New Roman" w:hint="default"/>
                <w:sz w:val="18"/>
                <w:szCs w:val="18"/>
              </w:rPr>
              <w:t>”</w:t>
            </w:r>
            <w:r>
              <w:rPr>
                <w:rFonts w:ascii="宋体" w:hAnsi="宋体" w:cs="宋体" w:eastAsia="宋体" w:hint="default"/>
                <w:sz w:val="18"/>
                <w:szCs w:val="18"/>
              </w:rPr>
              <w:t>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77"/>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，主要系公司出售北京中清龙图网络技术有限公司股权中包含已 宣告但尚未发放的现金股利所致。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21"/>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31"/>
                <w:sz w:val="18"/>
                <w:szCs w:val="18"/>
              </w:rPr>
              <w:t> </w:t>
            </w:r>
            <w:r>
              <w:rPr>
                <w:rFonts w:ascii="Times New Roman" w:hAnsi="Times New Roman" w:cs="Times New Roman" w:eastAsia="Times New Roman" w:hint="default"/>
                <w:spacing w:val="-3"/>
                <w:sz w:val="18"/>
                <w:szCs w:val="18"/>
              </w:rPr>
              <w:t>30.85%</w:t>
            </w:r>
            <w:r>
              <w:rPr>
                <w:rFonts w:ascii="宋体" w:hAnsi="宋体" w:cs="宋体" w:eastAsia="宋体" w:hint="default"/>
                <w:spacing w:val="-3"/>
                <w:sz w:val="18"/>
                <w:szCs w:val="18"/>
              </w:rPr>
              <w:t>，主要系结合公司战略调整，系统集成业务大规模收缩，集成业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务相关存货减少所致。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303"/>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39.59%</w:t>
            </w:r>
            <w:r>
              <w:rPr>
                <w:rFonts w:ascii="宋体" w:hAnsi="宋体" w:cs="宋体" w:eastAsia="宋体" w:hint="default"/>
                <w:sz w:val="18"/>
                <w:szCs w:val="18"/>
              </w:rPr>
              <w:t>，主要系本期处置持有的北京中清龙图网络技术有限公司及 </w:t>
            </w:r>
            <w:r>
              <w:rPr>
                <w:rFonts w:ascii="Times New Roman" w:hAnsi="Times New Roman" w:cs="Times New Roman" w:eastAsia="Times New Roman" w:hint="default"/>
                <w:sz w:val="18"/>
                <w:szCs w:val="18"/>
              </w:rPr>
              <w:t>Reliance Jio Messaging Services Private Limited</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的股权所致。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33"/>
              <w:jc w:val="left"/>
              <w:rPr>
                <w:rFonts w:ascii="宋体" w:hAnsi="宋体" w:cs="宋体" w:eastAsia="宋体" w:hint="default"/>
                <w:sz w:val="18"/>
                <w:szCs w:val="18"/>
              </w:rPr>
            </w:pPr>
            <w:r>
              <w:rPr>
                <w:rFonts w:ascii="宋体" w:hAnsi="宋体" w:cs="宋体" w:eastAsia="宋体" w:hint="default"/>
                <w:sz w:val="18"/>
                <w:szCs w:val="18"/>
              </w:rPr>
              <w:t>较期初增长</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818.59%</w:t>
            </w:r>
            <w:r>
              <w:rPr>
                <w:rFonts w:ascii="宋体" w:hAnsi="宋体" w:cs="宋体" w:eastAsia="宋体" w:hint="default"/>
                <w:sz w:val="18"/>
                <w:szCs w:val="18"/>
              </w:rPr>
              <w:t>，主要系系统集成业务相关诉讼客户的应收款项重分类至此科 目所致。</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较期初下降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67.70%</w:t>
            </w:r>
            <w:r>
              <w:rPr>
                <w:rFonts w:ascii="宋体" w:hAnsi="宋体" w:cs="宋体" w:eastAsia="宋体" w:hint="default"/>
                <w:sz w:val="18"/>
                <w:szCs w:val="18"/>
              </w:rPr>
              <w:t>，主要系本期游戏版权金款摊销所致。</w:t>
            </w:r>
          </w:p>
        </w:tc>
      </w:tr>
      <w:tr>
        <w:trPr>
          <w:trHeight w:val="714"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123"/>
              <w:jc w:val="left"/>
              <w:rPr>
                <w:rFonts w:ascii="宋体" w:hAnsi="宋体" w:cs="宋体" w:eastAsia="宋体" w:hint="default"/>
                <w:sz w:val="18"/>
                <w:szCs w:val="18"/>
              </w:rPr>
            </w:pPr>
            <w:r>
              <w:rPr>
                <w:rFonts w:ascii="宋体" w:hAnsi="宋体" w:cs="宋体" w:eastAsia="宋体" w:hint="default"/>
                <w:sz w:val="18"/>
                <w:szCs w:val="18"/>
              </w:rPr>
              <w:t>较期初增长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40.46%</w:t>
            </w:r>
            <w:r>
              <w:rPr>
                <w:rFonts w:ascii="宋体" w:hAnsi="宋体" w:cs="宋体" w:eastAsia="宋体" w:hint="default"/>
                <w:sz w:val="18"/>
                <w:szCs w:val="18"/>
              </w:rPr>
              <w:t>，主要系本期增加的资产减值准备形成的可抵扣暂时性差异所 致。</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较期初增长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86.14%</w:t>
            </w:r>
            <w:r>
              <w:rPr>
                <w:rFonts w:ascii="宋体" w:hAnsi="宋体" w:cs="宋体" w:eastAsia="宋体" w:hint="default"/>
                <w:sz w:val="18"/>
                <w:szCs w:val="18"/>
              </w:rPr>
              <w:t>，主要系公司一年内到期的保本理财产品本期增加所致。</w:t>
            </w:r>
          </w:p>
        </w:tc>
      </w:tr>
      <w:tr>
        <w:trPr>
          <w:trHeight w:val="402" w:hRule="exact"/>
        </w:trPr>
        <w:tc>
          <w:tcPr>
            <w:tcW w:w="30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较期初增长</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18,356.34%</w:t>
            </w:r>
            <w:r>
              <w:rPr>
                <w:rFonts w:ascii="宋体" w:hAnsi="宋体" w:cs="宋体" w:eastAsia="宋体" w:hint="default"/>
                <w:sz w:val="18"/>
                <w:szCs w:val="18"/>
              </w:rPr>
              <w:t>，主要系公司预付科研楼土地出让金分类至该科目所致。</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both"/>
        <w:rPr>
          <w:b w:val="0"/>
          <w:bCs w:val="0"/>
        </w:rPr>
      </w:pPr>
      <w:bookmarkStart w:name="2、主要境外资产情况" w:id="20"/>
      <w:bookmarkEnd w:id="20"/>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pStyle w:val="Heading2"/>
        <w:spacing w:line="240" w:lineRule="auto"/>
        <w:ind w:right="0"/>
        <w:jc w:val="both"/>
        <w:rPr>
          <w:b w:val="0"/>
          <w:bCs w:val="0"/>
        </w:rPr>
      </w:pPr>
      <w:bookmarkStart w:name="三、核心竞争力分析" w:id="21"/>
      <w:bookmarkEnd w:id="21"/>
      <w:r>
        <w:rPr>
          <w:b w:val="0"/>
          <w:bCs w:val="0"/>
        </w:rPr>
      </w:r>
      <w:r>
        <w:rPr/>
        <w:t>三、核心竞争力分析</w:t>
      </w:r>
      <w:r>
        <w:rPr>
          <w:b w:val="0"/>
          <w:bCs w:val="0"/>
        </w:rPr>
      </w:r>
    </w:p>
    <w:p>
      <w:pPr>
        <w:spacing w:line="240" w:lineRule="auto" w:before="8"/>
        <w:rPr>
          <w:rFonts w:ascii="宋体" w:hAnsi="宋体" w:cs="宋体" w:eastAsia="宋体" w:hint="default"/>
          <w:b/>
          <w:bCs/>
          <w:sz w:val="32"/>
          <w:szCs w:val="32"/>
        </w:rPr>
      </w:pPr>
    </w:p>
    <w:p>
      <w:pPr>
        <w:pStyle w:val="Heading4"/>
        <w:spacing w:line="516" w:lineRule="auto"/>
        <w:ind w:left="1134" w:right="7680"/>
        <w:jc w:val="left"/>
        <w:rPr>
          <w:rFonts w:ascii="宋体" w:hAnsi="宋体" w:cs="宋体" w:eastAsia="宋体" w:hint="default"/>
          <w:b w:val="0"/>
          <w:bCs w:val="0"/>
        </w:rPr>
      </w:pPr>
      <w:r>
        <w:rPr/>
        <w:t>公司是否需要遵守特殊行业的披露要求</w:t>
      </w:r>
      <w:r>
        <w:rPr>
          <w:w w:val="99"/>
        </w:rPr>
        <w:t> </w:t>
      </w:r>
      <w:r>
        <w:rPr>
          <w:rFonts w:ascii="宋体" w:hAnsi="宋体" w:cs="宋体" w:eastAsia="宋体" w:hint="default"/>
          <w:b w:val="0"/>
          <w:bCs w:val="0"/>
        </w:rPr>
        <w:t>是</w:t>
      </w:r>
    </w:p>
    <w:p>
      <w:pPr>
        <w:pStyle w:val="BodyText"/>
        <w:spacing w:line="240" w:lineRule="auto" w:before="66"/>
        <w:ind w:left="1134" w:right="0"/>
        <w:jc w:val="both"/>
      </w:pPr>
      <w:r>
        <w:rPr/>
        <w:t>互联网游戏业</w:t>
      </w:r>
    </w:p>
    <w:p>
      <w:pPr>
        <w:spacing w:line="240" w:lineRule="auto" w:before="9"/>
        <w:rPr>
          <w:rFonts w:ascii="宋体" w:hAnsi="宋体" w:cs="宋体" w:eastAsia="宋体" w:hint="default"/>
          <w:sz w:val="20"/>
          <w:szCs w:val="20"/>
        </w:rPr>
      </w:pPr>
    </w:p>
    <w:p>
      <w:pPr>
        <w:pStyle w:val="BodyText"/>
        <w:spacing w:line="477" w:lineRule="auto"/>
        <w:ind w:right="0" w:firstLine="360"/>
        <w:jc w:val="left"/>
      </w:pPr>
      <w:r>
        <w:rPr>
          <w:spacing w:val="-2"/>
        </w:rPr>
        <w:t>公司的核心竞争力主要体现在研发创新、行业经验、客户资源、市场品牌等各方面。报告期内，公司的上述竞争优势得</w:t>
      </w:r>
      <w:r>
        <w:rPr/>
        <w:t> 到了进一步的提升。</w:t>
      </w:r>
    </w:p>
    <w:p>
      <w:pPr>
        <w:pStyle w:val="BodyText"/>
        <w:spacing w:line="451" w:lineRule="auto" w:before="54"/>
        <w:ind w:left="1493" w:right="0" w:firstLine="1"/>
        <w:jc w:val="left"/>
      </w:pPr>
      <w:r>
        <w:rPr>
          <w:rFonts w:ascii="Times New Roman" w:hAnsi="Times New Roman" w:cs="Times New Roman" w:eastAsia="Times New Roman" w:hint="default"/>
          <w:b/>
          <w:bCs/>
        </w:rPr>
        <w:t>1</w:t>
      </w:r>
      <w:r>
        <w:rPr>
          <w:rFonts w:ascii="宋体" w:hAnsi="宋体" w:cs="宋体" w:eastAsia="宋体" w:hint="default"/>
          <w:b/>
          <w:bCs/>
        </w:rPr>
        <w:t>、计算机软件研发实力</w:t>
      </w:r>
      <w:r>
        <w:rPr>
          <w:rFonts w:ascii="宋体" w:hAnsi="宋体" w:cs="宋体" w:eastAsia="宋体" w:hint="default"/>
          <w:b/>
          <w:bCs/>
          <w:w w:val="99"/>
        </w:rPr>
        <w:t> </w:t>
      </w:r>
      <w:r>
        <w:rPr>
          <w:spacing w:val="-2"/>
        </w:rPr>
        <w:t>公司自</w:t>
      </w:r>
      <w:r>
        <w:rPr>
          <w:rFonts w:ascii="Times New Roman" w:hAnsi="Times New Roman" w:cs="Times New Roman" w:eastAsia="Times New Roman" w:hint="default"/>
          <w:spacing w:val="-2"/>
        </w:rPr>
        <w:t>2001</w:t>
      </w:r>
      <w:r>
        <w:rPr>
          <w:spacing w:val="-2"/>
        </w:rPr>
        <w:t>年正式设立以来，始终从事信息技术产业的产品研发与技术服务，多年秉承专注专业的精神，坚持计算机应</w:t>
      </w:r>
    </w:p>
    <w:p>
      <w:pPr>
        <w:pStyle w:val="BodyText"/>
        <w:spacing w:line="456" w:lineRule="auto" w:before="43"/>
        <w:ind w:right="1130"/>
        <w:jc w:val="both"/>
      </w:pPr>
      <w:r>
        <w:rPr>
          <w:spacing w:val="-2"/>
        </w:rPr>
        <w:t>用软件的自助研发与创新。公司拥有深厚的计算机软件研发实力，拥有经验丰富的研发团队，技术人员占员工总人数的比例</w:t>
      </w:r>
      <w:r>
        <w:rPr>
          <w:spacing w:val="-66"/>
        </w:rPr>
        <w:t> </w:t>
      </w:r>
      <w:r>
        <w:rPr>
          <w:spacing w:val="-66"/>
        </w:rPr>
      </w:r>
      <w:r>
        <w:rPr>
          <w:spacing w:val="-1"/>
        </w:rPr>
        <w:t>近</w:t>
      </w:r>
      <w:r>
        <w:rPr>
          <w:rFonts w:ascii="Times New Roman" w:hAnsi="Times New Roman" w:cs="Times New Roman" w:eastAsia="Times New Roman" w:hint="default"/>
          <w:spacing w:val="-1"/>
        </w:rPr>
        <w:t>80%</w:t>
      </w:r>
      <w:r>
        <w:rPr>
          <w:spacing w:val="-1"/>
        </w:rPr>
        <w:t>。公司及子公司连续多年被认定为国家规划布局内重点软件企业及高新技术企业，具备计算机系统集成一级资质、国</w:t>
      </w:r>
      <w:r>
        <w:rPr>
          <w:spacing w:val="-88"/>
        </w:rPr>
        <w:t> </w:t>
      </w:r>
      <w:r>
        <w:rPr>
          <w:spacing w:val="-88"/>
        </w:rPr>
      </w:r>
      <w:r>
        <w:rPr/>
        <w:t>家信息安全认证服务二级资质、</w:t>
      </w:r>
      <w:r>
        <w:rPr>
          <w:rFonts w:ascii="Times New Roman" w:hAnsi="Times New Roman" w:cs="Times New Roman" w:eastAsia="Times New Roman" w:hint="default"/>
        </w:rPr>
        <w:t>ISO9001:2000</w:t>
      </w:r>
      <w:r>
        <w:rPr/>
        <w:t>质量管理体系认证、</w:t>
      </w:r>
      <w:r>
        <w:rPr>
          <w:rFonts w:ascii="Times New Roman" w:hAnsi="Times New Roman" w:cs="Times New Roman" w:eastAsia="Times New Roman" w:hint="default"/>
        </w:rPr>
        <w:t>ISO20000</w:t>
      </w:r>
      <w:r>
        <w:rPr>
          <w:rFonts w:ascii="Times New Roman" w:hAnsi="Times New Roman" w:cs="Times New Roman" w:eastAsia="Times New Roman" w:hint="default"/>
          <w:spacing w:val="40"/>
        </w:rPr>
        <w:t> </w:t>
      </w:r>
      <w:r>
        <w:rPr>
          <w:rFonts w:ascii="Times New Roman" w:hAnsi="Times New Roman" w:cs="Times New Roman" w:eastAsia="Times New Roman" w:hint="default"/>
        </w:rPr>
        <w:t>IT</w:t>
      </w:r>
      <w:r>
        <w:rPr/>
        <w:t>服务管理国际标准认证、</w:t>
      </w:r>
      <w:r>
        <w:rPr>
          <w:rFonts w:ascii="Times New Roman" w:hAnsi="Times New Roman" w:cs="Times New Roman" w:eastAsia="Times New Roman" w:hint="default"/>
        </w:rPr>
        <w:t>ISO27001</w:t>
      </w:r>
      <w:r>
        <w:rPr/>
        <w:t>信息安全 管理体系认证、信息技术服务运行维护标准符合性证书</w:t>
      </w:r>
      <w:r>
        <w:rPr>
          <w:rFonts w:ascii="Times New Roman" w:hAnsi="Times New Roman" w:cs="Times New Roman" w:eastAsia="Times New Roman" w:hint="default"/>
        </w:rPr>
        <w:t>ITSS</w:t>
      </w:r>
      <w:r>
        <w:rPr/>
        <w:t>三级、安防工程企业涉及施工维护能力一级等多项资质。报告</w:t>
      </w:r>
      <w:r>
        <w:rPr>
          <w:spacing w:val="-13"/>
        </w:rPr>
        <w:t> </w:t>
      </w:r>
      <w:r>
        <w:rPr>
          <w:spacing w:val="-13"/>
        </w:rPr>
      </w:r>
      <w:r>
        <w:rPr/>
        <w:t>期内，公司软件能力成熟度模型集成顺利通过</w:t>
      </w:r>
      <w:r>
        <w:rPr>
          <w:rFonts w:ascii="Times New Roman" w:hAnsi="Times New Roman" w:cs="Times New Roman" w:eastAsia="Times New Roman" w:hint="default"/>
        </w:rPr>
        <w:t>CMMI L5</w:t>
      </w:r>
      <w:r>
        <w:rPr/>
        <w:t>级认证。</w:t>
      </w:r>
      <w:r>
        <w:rPr>
          <w:rFonts w:ascii="Times New Roman" w:hAnsi="Times New Roman" w:cs="Times New Roman" w:eastAsia="Times New Roman" w:hint="default"/>
        </w:rPr>
        <w:t>CMMI</w:t>
      </w:r>
      <w:r>
        <w:rPr>
          <w:rFonts w:ascii="Times New Roman" w:hAnsi="Times New Roman" w:cs="Times New Roman" w:eastAsia="Times New Roman" w:hint="default"/>
          <w:spacing w:val="1"/>
        </w:rPr>
        <w:t> </w:t>
      </w:r>
      <w:r>
        <w:rPr>
          <w:rFonts w:ascii="Times New Roman" w:hAnsi="Times New Roman" w:cs="Times New Roman" w:eastAsia="Times New Roman" w:hint="default"/>
        </w:rPr>
        <w:t>L5</w:t>
      </w:r>
      <w:r>
        <w:rPr/>
        <w:t>级是目前软件业对能力成熟度要求最高、申请难</w:t>
      </w:r>
      <w:r>
        <w:rPr>
          <w:w w:val="99"/>
        </w:rPr>
        <w:t> </w:t>
      </w:r>
      <w:r>
        <w:rPr/>
        <w:t>度最大、级别最高的评估。这一认证的获得，标志着神州泰岳的质量管理和过程改进已跻身于全球软件业的顶尖水平。</w:t>
      </w:r>
    </w:p>
    <w:p>
      <w:pPr>
        <w:pStyle w:val="BodyText"/>
        <w:spacing w:line="240" w:lineRule="auto" w:before="70"/>
        <w:ind w:left="1493" w:right="0"/>
        <w:jc w:val="left"/>
        <w:rPr>
          <w:rFonts w:ascii="Times New Roman" w:hAnsi="Times New Roman" w:cs="Times New Roman" w:eastAsia="Times New Roman" w:hint="default"/>
        </w:rPr>
      </w:pPr>
      <w:r>
        <w:rPr/>
        <w:t>报告期内，公司及子公司新取得</w:t>
      </w:r>
      <w:r>
        <w:rPr>
          <w:rFonts w:ascii="Times New Roman" w:hAnsi="Times New Roman" w:cs="Times New Roman" w:eastAsia="Times New Roman" w:hint="default"/>
        </w:rPr>
        <w:t>129</w:t>
      </w:r>
      <w:r>
        <w:rPr/>
        <w:t>项软件著作权、新获专利授权</w:t>
      </w:r>
      <w:r>
        <w:rPr>
          <w:rFonts w:ascii="Times New Roman" w:hAnsi="Times New Roman" w:cs="Times New Roman" w:eastAsia="Times New Roman" w:hint="default"/>
        </w:rPr>
        <w:t>107</w:t>
      </w:r>
      <w:r>
        <w:rPr/>
        <w:t>项。截至</w:t>
      </w:r>
      <w:r>
        <w:rPr>
          <w:rFonts w:ascii="Times New Roman" w:hAnsi="Times New Roman" w:cs="Times New Roman" w:eastAsia="Times New Roman" w:hint="default"/>
        </w:rPr>
        <w:t>2017</w:t>
      </w:r>
      <w:r>
        <w:rPr/>
        <w:t>年末，公司及子公司合计拥有</w:t>
      </w:r>
      <w:r>
        <w:rPr>
          <w:rFonts w:ascii="Times New Roman" w:hAnsi="Times New Roman" w:cs="Times New Roman" w:eastAsia="Times New Roman" w:hint="default"/>
        </w:rPr>
        <w:t>1,328</w:t>
      </w:r>
    </w:p>
    <w:p>
      <w:pPr>
        <w:spacing w:after="0" w:line="240" w:lineRule="auto"/>
        <w:jc w:val="left"/>
        <w:rPr>
          <w:rFonts w:ascii="Times New Roman" w:hAnsi="Times New Roman" w:cs="Times New Roman" w:eastAsia="Times New Roman" w:hint="default"/>
        </w:rPr>
        <w:sectPr>
          <w:pgSz w:w="11910" w:h="16840"/>
          <w:pgMar w:header="851" w:footer="979" w:top="1380" w:bottom="1160" w:left="0" w:right="0"/>
        </w:sectPr>
      </w:pPr>
    </w:p>
    <w:p>
      <w:pPr>
        <w:pStyle w:val="BodyText"/>
        <w:spacing w:line="451" w:lineRule="auto" w:before="140"/>
        <w:ind w:left="1134" w:right="0"/>
        <w:jc w:val="left"/>
      </w:pPr>
      <w:r>
        <w:rPr>
          <w:spacing w:val="-5"/>
        </w:rPr>
        <w:t>项计算机软件著作权、授权专利</w:t>
      </w:r>
      <w:r>
        <w:rPr>
          <w:rFonts w:ascii="Times New Roman" w:hAnsi="Times New Roman" w:cs="Times New Roman" w:eastAsia="Times New Roman" w:hint="default"/>
          <w:spacing w:val="-5"/>
        </w:rPr>
        <w:t>497</w:t>
      </w:r>
      <w:r>
        <w:rPr>
          <w:spacing w:val="-5"/>
        </w:rPr>
        <w:t>项、</w:t>
      </w:r>
      <w:r>
        <w:rPr>
          <w:rFonts w:ascii="Times New Roman" w:hAnsi="Times New Roman" w:cs="Times New Roman" w:eastAsia="Times New Roman" w:hint="default"/>
          <w:spacing w:val="-5"/>
        </w:rPr>
        <w:t>544</w:t>
      </w:r>
      <w:r>
        <w:rPr>
          <w:spacing w:val="-5"/>
        </w:rPr>
        <w:t>项受理中专利。公司的软件著作权及专利规模，充分体现了公司的技术创新能力、</w:t>
      </w:r>
      <w:r>
        <w:rPr>
          <w:spacing w:val="-66"/>
        </w:rPr>
        <w:t> </w:t>
      </w:r>
      <w:r>
        <w:rPr>
          <w:spacing w:val="-66"/>
        </w:rPr>
      </w:r>
      <w:r>
        <w:rPr/>
        <w:t>研发实力、拓展能力、企业经营能力，成为企业长期持续健康发展的有力支撑。</w:t>
      </w:r>
    </w:p>
    <w:p>
      <w:pPr>
        <w:pStyle w:val="BodyText"/>
        <w:spacing w:line="451" w:lineRule="auto" w:before="74"/>
        <w:ind w:right="1131" w:firstLine="360"/>
        <w:jc w:val="both"/>
      </w:pPr>
      <w:r>
        <w:rPr>
          <w:spacing w:val="-2"/>
        </w:rPr>
        <w:t>公司以</w:t>
      </w:r>
      <w:r>
        <w:rPr>
          <w:rFonts w:ascii="Times New Roman" w:hAnsi="Times New Roman" w:cs="Times New Roman" w:eastAsia="Times New Roman" w:hint="default"/>
          <w:spacing w:val="-2"/>
        </w:rPr>
        <w:t>“</w:t>
      </w:r>
      <w:r>
        <w:rPr>
          <w:spacing w:val="-2"/>
        </w:rPr>
        <w:t>科技智慧未来</w:t>
      </w:r>
      <w:r>
        <w:rPr>
          <w:rFonts w:ascii="Times New Roman" w:hAnsi="Times New Roman" w:cs="Times New Roman" w:eastAsia="Times New Roman" w:hint="default"/>
          <w:spacing w:val="-2"/>
        </w:rPr>
        <w:t>”</w:t>
      </w:r>
      <w:r>
        <w:rPr>
          <w:spacing w:val="-2"/>
        </w:rPr>
        <w:t>为主题参展</w:t>
      </w:r>
      <w:r>
        <w:rPr>
          <w:rFonts w:ascii="Times New Roman" w:hAnsi="Times New Roman" w:cs="Times New Roman" w:eastAsia="Times New Roman" w:hint="default"/>
          <w:spacing w:val="-2"/>
        </w:rPr>
        <w:t>2017</w:t>
      </w:r>
      <w:r>
        <w:rPr>
          <w:spacing w:val="-2"/>
        </w:rPr>
        <w:t>年第二十一届中国国际软件博览会，展现了在全新市场环境下的新一代业务架构</w:t>
      </w:r>
      <w:r>
        <w:rPr/>
        <w:t> </w:t>
      </w:r>
      <w:r>
        <w:rPr>
          <w:spacing w:val="-2"/>
        </w:rPr>
        <w:t>和创新产品，其中核心产品</w:t>
      </w:r>
      <w:r>
        <w:rPr>
          <w:rFonts w:ascii="Times New Roman" w:hAnsi="Times New Roman" w:cs="Times New Roman" w:eastAsia="Times New Roman" w:hint="default"/>
          <w:spacing w:val="-2"/>
        </w:rPr>
        <w:t>Ultra-NMS</w:t>
      </w:r>
      <w:r>
        <w:rPr>
          <w:spacing w:val="-2"/>
        </w:rPr>
        <w:t>荣获博览会金提名奖。</w:t>
      </w:r>
      <w:r>
        <w:rPr>
          <w:rFonts w:ascii="Times New Roman" w:hAnsi="Times New Roman" w:cs="Times New Roman" w:eastAsia="Times New Roman" w:hint="default"/>
          <w:spacing w:val="-2"/>
        </w:rPr>
        <w:t>“</w:t>
      </w:r>
      <w:r>
        <w:rPr>
          <w:spacing w:val="-2"/>
        </w:rPr>
        <w:t>一种移动数据业务端到端质量分析方法及系统</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w:t>
      </w:r>
      <w:r>
        <w:rPr>
          <w:spacing w:val="-2"/>
        </w:rPr>
        <w:t>安全检查方</w:t>
      </w:r>
      <w:r>
        <w:rPr>
          <w:spacing w:val="-36"/>
        </w:rPr>
        <w:t> </w:t>
      </w:r>
      <w:r>
        <w:rPr>
          <w:spacing w:val="-2"/>
        </w:rPr>
        <w:t>法</w:t>
      </w:r>
      <w:r>
        <w:rPr>
          <w:rFonts w:ascii="Times New Roman" w:hAnsi="Times New Roman" w:cs="Times New Roman" w:eastAsia="Times New Roman" w:hint="default"/>
          <w:spacing w:val="-2"/>
        </w:rPr>
        <w:t>”</w:t>
      </w:r>
      <w:r>
        <w:rPr>
          <w:spacing w:val="-2"/>
        </w:rPr>
        <w:t>获得国家知识产权局第十八届中国专利</w:t>
      </w:r>
      <w:r>
        <w:rPr>
          <w:rFonts w:ascii="Times New Roman" w:hAnsi="Times New Roman" w:cs="Times New Roman" w:eastAsia="Times New Roman" w:hint="default"/>
          <w:spacing w:val="-2"/>
        </w:rPr>
        <w:t>“</w:t>
      </w:r>
      <w:r>
        <w:rPr>
          <w:spacing w:val="-2"/>
        </w:rPr>
        <w:t>优秀奖</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w:t>
      </w:r>
      <w:r>
        <w:rPr>
          <w:spacing w:val="-2"/>
        </w:rPr>
        <w:t>系统管理软件（</w:t>
      </w:r>
      <w:r>
        <w:rPr>
          <w:rFonts w:ascii="Times New Roman" w:hAnsi="Times New Roman" w:cs="Times New Roman" w:eastAsia="Times New Roman" w:hint="default"/>
          <w:spacing w:val="-2"/>
        </w:rPr>
        <w:t>Ultra-Monitor</w:t>
      </w:r>
      <w:r>
        <w:rPr>
          <w:spacing w:val="-2"/>
        </w:rPr>
        <w:t>）</w:t>
      </w:r>
      <w:r>
        <w:rPr>
          <w:rFonts w:ascii="Times New Roman" w:hAnsi="Times New Roman" w:cs="Times New Roman" w:eastAsia="Times New Roman" w:hint="default"/>
          <w:spacing w:val="-2"/>
        </w:rPr>
        <w:t>”</w:t>
      </w:r>
      <w:r>
        <w:rPr>
          <w:spacing w:val="-2"/>
        </w:rPr>
        <w:t>、</w:t>
      </w:r>
      <w:r>
        <w:rPr>
          <w:rFonts w:ascii="Times New Roman" w:hAnsi="Times New Roman" w:cs="Times New Roman" w:eastAsia="Times New Roman" w:hint="default"/>
          <w:spacing w:val="-2"/>
        </w:rPr>
        <w:t>“</w:t>
      </w:r>
      <w:r>
        <w:rPr>
          <w:spacing w:val="-2"/>
        </w:rPr>
        <w:t>网优支撑系统</w:t>
      </w:r>
      <w:r>
        <w:rPr>
          <w:rFonts w:ascii="Times New Roman" w:hAnsi="Times New Roman" w:cs="Times New Roman" w:eastAsia="Times New Roman" w:hint="default"/>
          <w:spacing w:val="-2"/>
        </w:rPr>
        <w:t>(Ultra-</w:t>
      </w:r>
      <w:r>
        <w:rPr>
          <w:rFonts w:ascii="Times New Roman" w:hAnsi="Times New Roman" w:cs="Times New Roman" w:eastAsia="Times New Roman" w:hint="default"/>
          <w:spacing w:val="-2"/>
        </w:rPr>
        <w:t>WNSS)”</w:t>
      </w:r>
      <w:r>
        <w:rPr>
          <w:spacing w:val="-2"/>
        </w:rPr>
        <w:t>、</w:t>
      </w:r>
      <w:r>
        <w:rPr>
          <w:rFonts w:ascii="Times New Roman" w:hAnsi="Times New Roman" w:cs="Times New Roman" w:eastAsia="Times New Roman" w:hint="default"/>
          <w:spacing w:val="-2"/>
        </w:rPr>
        <w:t>“</w:t>
      </w:r>
      <w:r>
        <w:rPr>
          <w:spacing w:val="-2"/>
        </w:rPr>
        <w:t>路</w:t>
      </w:r>
      <w:r>
        <w:rPr>
          <w:spacing w:val="-42"/>
        </w:rPr>
        <w:t> </w:t>
      </w:r>
      <w:r>
        <w:rPr/>
        <w:t>测数据管理分析系统（</w:t>
      </w:r>
      <w:r>
        <w:rPr>
          <w:rFonts w:ascii="Times New Roman" w:hAnsi="Times New Roman" w:cs="Times New Roman" w:eastAsia="Times New Roman" w:hint="default"/>
        </w:rPr>
        <w:t>Ultra-DTAS</w:t>
      </w:r>
      <w:r>
        <w:rPr/>
        <w:t>）</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智慧墙入侵探测系统（</w:t>
      </w:r>
      <w:r>
        <w:rPr>
          <w:rFonts w:ascii="Times New Roman" w:hAnsi="Times New Roman" w:cs="Times New Roman" w:eastAsia="Times New Roman" w:hint="default"/>
        </w:rPr>
        <w:t>SmartWall</w:t>
      </w:r>
      <w:r>
        <w:rPr/>
        <w:t>）</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rFonts w:ascii="Times New Roman" w:hAnsi="Times New Roman" w:cs="Times New Roman" w:eastAsia="Times New Roman" w:hint="default"/>
        </w:rPr>
        <w:t>DINFO-OEC</w:t>
      </w:r>
      <w:r>
        <w:rPr/>
        <w:t>非结构化大数据分析挖掘平台</w:t>
      </w:r>
      <w:r>
        <w:rPr>
          <w:w w:val="99"/>
        </w:rPr>
        <w:t> </w:t>
      </w:r>
      <w:r>
        <w:rPr>
          <w:rFonts w:ascii="Times New Roman" w:hAnsi="Times New Roman" w:cs="Times New Roman" w:eastAsia="Times New Roman" w:hint="default"/>
        </w:rPr>
        <w:t>V4.0”</w:t>
      </w:r>
      <w:r>
        <w:rPr/>
        <w:t>等多项产品获北京市科学技术委员会等</w:t>
      </w:r>
      <w:r>
        <w:rPr>
          <w:rFonts w:ascii="Times New Roman" w:hAnsi="Times New Roman" w:cs="Times New Roman" w:eastAsia="Times New Roman" w:hint="default"/>
        </w:rPr>
        <w:t>6</w:t>
      </w:r>
      <w:r>
        <w:rPr/>
        <w:t>家单位授予的</w:t>
      </w:r>
      <w:r>
        <w:rPr>
          <w:rFonts w:ascii="Times New Roman" w:hAnsi="Times New Roman" w:cs="Times New Roman" w:eastAsia="Times New Roman" w:hint="default"/>
        </w:rPr>
        <w:t>“2017</w:t>
      </w:r>
      <w:r>
        <w:rPr/>
        <w:t>年北京市新技术新产品</w:t>
      </w:r>
      <w:r>
        <w:rPr>
          <w:rFonts w:ascii="Times New Roman" w:hAnsi="Times New Roman" w:cs="Times New Roman" w:eastAsia="Times New Roman" w:hint="default"/>
        </w:rPr>
        <w:t>”</w:t>
      </w:r>
      <w:r>
        <w:rPr/>
        <w:t>称号。</w:t>
      </w:r>
    </w:p>
    <w:p>
      <w:pPr>
        <w:pStyle w:val="Heading4"/>
        <w:spacing w:line="240" w:lineRule="auto" w:before="43"/>
        <w:ind w:right="0"/>
        <w:jc w:val="left"/>
        <w:rPr>
          <w:b w:val="0"/>
          <w:bCs w:val="0"/>
        </w:rPr>
      </w:pPr>
      <w:r>
        <w:rPr>
          <w:rFonts w:ascii="Times New Roman" w:hAnsi="Times New Roman" w:cs="Times New Roman" w:eastAsia="Times New Roman" w:hint="default"/>
        </w:rPr>
        <w:t>2</w:t>
      </w:r>
      <w:r>
        <w:rPr/>
        <w:t>、信息技术创新能力</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right="1131" w:firstLine="360"/>
        <w:jc w:val="both"/>
      </w:pPr>
      <w:r>
        <w:rPr>
          <w:rFonts w:ascii="Times New Roman" w:hAnsi="Times New Roman" w:cs="Times New Roman" w:eastAsia="Times New Roman" w:hint="default"/>
        </w:rPr>
        <w:t>“</w:t>
      </w:r>
      <w:r>
        <w:rPr/>
        <w:t>坚持创新引领发展</w:t>
      </w:r>
      <w:r>
        <w:rPr>
          <w:rFonts w:ascii="Times New Roman" w:hAnsi="Times New Roman" w:cs="Times New Roman" w:eastAsia="Times New Roman" w:hint="default"/>
        </w:rPr>
        <w:t>”</w:t>
      </w:r>
      <w:r>
        <w:rPr/>
        <w:t>是 </w:t>
      </w:r>
      <w:r>
        <w:rPr>
          <w:rFonts w:ascii="Times New Roman" w:hAnsi="Times New Roman" w:cs="Times New Roman" w:eastAsia="Times New Roman" w:hint="default"/>
        </w:rPr>
        <w:t>2018</w:t>
      </w:r>
      <w:r>
        <w:rPr>
          <w:rFonts w:ascii="Times New Roman" w:hAnsi="Times New Roman" w:cs="Times New Roman" w:eastAsia="Times New Roman" w:hint="default"/>
          <w:spacing w:val="-19"/>
        </w:rPr>
        <w:t> </w:t>
      </w:r>
      <w:r>
        <w:rPr/>
        <w:t>年国务院总理李克强在《政府工作报告》主要工作回顾中的重要一项。公司同样秉持以创 </w:t>
      </w:r>
      <w:r>
        <w:rPr>
          <w:spacing w:val="-2"/>
        </w:rPr>
        <w:t>新驱动未来发展的理念，始终坚持科技创新与自主研发，持续为企业注入更多内涵与动力。在信息产业日新月异的时代，公</w:t>
      </w:r>
      <w:r>
        <w:rPr>
          <w:spacing w:val="-66"/>
        </w:rPr>
        <w:t> </w:t>
      </w:r>
      <w:r>
        <w:rPr>
          <w:spacing w:val="-66"/>
        </w:rPr>
      </w:r>
      <w:r>
        <w:rPr/>
        <w:t>司敢于不断探索，追寻最新的科技进步潮流，不断寻找新的业绩增长点积极转型，大力度投入基础研究和行业创新。</w:t>
      </w:r>
    </w:p>
    <w:p>
      <w:pPr>
        <w:pStyle w:val="BodyText"/>
        <w:spacing w:line="463" w:lineRule="auto" w:before="65"/>
        <w:ind w:right="1132" w:firstLine="361"/>
        <w:jc w:val="both"/>
      </w:pPr>
      <w:r>
        <w:rPr>
          <w:rFonts w:ascii="宋体" w:hAnsi="宋体" w:cs="宋体" w:eastAsia="宋体" w:hint="default"/>
          <w:b/>
          <w:bCs/>
          <w:spacing w:val="-2"/>
        </w:rPr>
        <w:t>在人工智能大数据领域</w:t>
      </w:r>
      <w:r>
        <w:rPr>
          <w:spacing w:val="-2"/>
        </w:rPr>
        <w:t>，公司在自然语言处理（</w:t>
      </w:r>
      <w:r>
        <w:rPr>
          <w:rFonts w:ascii="Times New Roman" w:hAnsi="Times New Roman" w:cs="Times New Roman" w:eastAsia="Times New Roman" w:hint="default"/>
          <w:spacing w:val="-2"/>
        </w:rPr>
        <w:t>NLP</w:t>
      </w:r>
      <w:r>
        <w:rPr>
          <w:spacing w:val="-2"/>
        </w:rPr>
        <w:t>）领域达到了业界领先水平。公司自主研发的智慧语义认知技术构</w:t>
      </w:r>
      <w:r>
        <w:rPr/>
        <w:t> </w:t>
      </w:r>
      <w:r>
        <w:rPr>
          <w:spacing w:val="-2"/>
        </w:rPr>
        <w:t>建了基于概念的多层次语义知识表示方法和语义分析技术，有效解决了自然语言中普遍存在的歧义性，是超越了传统关键字</w:t>
      </w:r>
      <w:r>
        <w:rPr>
          <w:spacing w:val="-64"/>
        </w:rPr>
        <w:t> </w:t>
      </w:r>
      <w:r>
        <w:rPr>
          <w:spacing w:val="-64"/>
        </w:rPr>
      </w:r>
      <w:r>
        <w:rPr>
          <w:spacing w:val="-2"/>
        </w:rPr>
        <w:t>的领先语义理解技术，能实现对文本的多个层次（词语、句子、段落、篇章）的分析，实现文本语义的量化计算，提供了强</w:t>
      </w:r>
      <w:r>
        <w:rPr>
          <w:spacing w:val="-67"/>
        </w:rPr>
        <w:t> </w:t>
      </w:r>
      <w:r>
        <w:rPr>
          <w:spacing w:val="-67"/>
        </w:rPr>
      </w:r>
      <w:r>
        <w:rPr/>
        <w:t>大的自然语言语义理解的相关分析算法。公司自主研发的核心专利</w:t>
      </w:r>
      <w:r>
        <w:rPr>
          <w:rFonts w:ascii="Times New Roman" w:hAnsi="Times New Roman" w:cs="Times New Roman" w:eastAsia="Times New Roman" w:hint="default"/>
        </w:rPr>
        <w:t>DINFO-OEC</w:t>
      </w:r>
      <w:r>
        <w:rPr/>
        <w:t>非结构化文本分析挖掘平台，与国际和国内</w:t>
      </w:r>
      <w:r>
        <w:rPr>
          <w:spacing w:val="-67"/>
        </w:rPr>
        <w:t> </w:t>
      </w:r>
      <w:r>
        <w:rPr>
          <w:spacing w:val="-67"/>
        </w:rPr>
      </w:r>
      <w:r>
        <w:rPr/>
        <w:t>类似产品等相比，具有更强的自然语言语义理解能力、面向业务的建模能力和多语种的自动支持能力。</w:t>
      </w:r>
    </w:p>
    <w:p>
      <w:pPr>
        <w:pStyle w:val="BodyText"/>
        <w:spacing w:line="460" w:lineRule="auto" w:before="65"/>
        <w:ind w:right="1131" w:firstLine="360"/>
        <w:jc w:val="both"/>
      </w:pPr>
      <w:r>
        <w:rPr>
          <w:spacing w:val="-2"/>
        </w:rPr>
        <w:t>公司成立的人工智能研究院坚持从事人工智能领域的基础研究，为公司在人工智能和大数据业务的拓展提供更强大持续</w:t>
      </w:r>
      <w:r>
        <w:rPr/>
        <w:t> </w:t>
      </w:r>
      <w:r>
        <w:rPr>
          <w:spacing w:val="-2"/>
        </w:rPr>
        <w:t>的技术支撑，夯实公司在人工智能领域的核心优势。报告期内，神州泰岳人工智能研究院正式邀请哈尔滨工业大学李生教授</w:t>
      </w:r>
      <w:r>
        <w:rPr>
          <w:spacing w:val="-65"/>
        </w:rPr>
        <w:t> </w:t>
      </w:r>
      <w:r>
        <w:rPr>
          <w:spacing w:val="-65"/>
        </w:rPr>
      </w:r>
      <w:r>
        <w:rPr/>
        <w:t>出任荣誉院长。李生教授是自然语言处理（</w:t>
      </w:r>
      <w:r>
        <w:rPr>
          <w:rFonts w:ascii="Times New Roman" w:hAnsi="Times New Roman" w:cs="Times New Roman" w:eastAsia="Times New Roman" w:hint="default"/>
        </w:rPr>
        <w:t>NLP</w:t>
      </w:r>
      <w:r>
        <w:rPr/>
        <w:t>）领域的专家、</w:t>
      </w:r>
      <w:r>
        <w:rPr>
          <w:rFonts w:ascii="Times New Roman" w:hAnsi="Times New Roman" w:cs="Times New Roman" w:eastAsia="Times New Roman" w:hint="default"/>
        </w:rPr>
        <w:t>ACL</w:t>
      </w:r>
      <w:r>
        <w:rPr>
          <w:rFonts w:ascii="Times New Roman" w:hAnsi="Times New Roman" w:cs="Times New Roman" w:eastAsia="Times New Roman" w:hint="default"/>
          <w:spacing w:val="18"/>
        </w:rPr>
        <w:t> </w:t>
      </w:r>
      <w:r>
        <w:rPr/>
        <w:t>终身成就奖得主、中国中文信息学会第七届理事会理</w:t>
      </w:r>
      <w:r>
        <w:rPr>
          <w:spacing w:val="-86"/>
        </w:rPr>
        <w:t> </w:t>
      </w:r>
      <w:r>
        <w:rPr>
          <w:spacing w:val="-86"/>
        </w:rPr>
      </w:r>
      <w:r>
        <w:rPr>
          <w:spacing w:val="-2"/>
        </w:rPr>
        <w:t>事长。公司与北京师范大学成立了人工智能联合实验室，著名语言学家许嘉璐先生出任了联合实验室学术委员会主任。</w:t>
      </w:r>
      <w:r>
        <w:rPr>
          <w:rFonts w:ascii="Times New Roman" w:hAnsi="Times New Roman" w:cs="Times New Roman" w:eastAsia="Times New Roman" w:hint="default"/>
          <w:spacing w:val="-2"/>
        </w:rPr>
        <w:t>2017</w:t>
      </w:r>
      <w:r>
        <w:rPr>
          <w:rFonts w:ascii="Times New Roman" w:hAnsi="Times New Roman" w:cs="Times New Roman" w:eastAsia="Times New Roman" w:hint="default"/>
          <w:spacing w:val="-16"/>
        </w:rPr>
        <w:t> </w:t>
      </w:r>
      <w:r>
        <w:rPr/>
        <w:t>年</w:t>
      </w:r>
      <w:r>
        <w:rPr>
          <w:rFonts w:ascii="Times New Roman" w:hAnsi="Times New Roman" w:cs="Times New Roman" w:eastAsia="Times New Roman" w:hint="default"/>
        </w:rPr>
        <w:t>6</w:t>
      </w:r>
      <w:r>
        <w:rPr/>
        <w:t>月，公司的语义分析技术获得了全球知名的</w:t>
      </w:r>
      <w:r>
        <w:rPr>
          <w:rFonts w:ascii="Times New Roman" w:hAnsi="Times New Roman" w:cs="Times New Roman" w:eastAsia="Times New Roman" w:hint="default"/>
        </w:rPr>
        <w:t>IT</w:t>
      </w:r>
      <w:r>
        <w:rPr/>
        <w:t>研究与顾问咨询公司</w:t>
      </w:r>
      <w:r>
        <w:rPr>
          <w:rFonts w:ascii="Times New Roman" w:hAnsi="Times New Roman" w:cs="Times New Roman" w:eastAsia="Times New Roman" w:hint="default"/>
        </w:rPr>
        <w:t>Gartner</w:t>
      </w:r>
      <w:r>
        <w:rPr/>
        <w:t>的认可，在其研究报告中与百度、微软、腾讯</w:t>
      </w:r>
      <w:r>
        <w:rPr>
          <w:spacing w:val="-88"/>
        </w:rPr>
        <w:t> </w:t>
      </w:r>
      <w:r>
        <w:rPr>
          <w:spacing w:val="-88"/>
        </w:rPr>
      </w:r>
      <w:r>
        <w:rPr>
          <w:w w:val="99"/>
        </w:rPr>
        <w:t>等多家知名企业一同荣誉上榜（具体见 </w:t>
      </w:r>
      <w:r>
        <w:rPr>
          <w:rFonts w:ascii="Times New Roman" w:hAnsi="Times New Roman" w:cs="Times New Roman" w:eastAsia="Times New Roman" w:hint="default"/>
          <w:w w:val="100"/>
        </w:rPr>
        <w:t>“Market </w:t>
      </w:r>
      <w:r>
        <w:rPr>
          <w:rFonts w:ascii="Times New Roman" w:hAnsi="Times New Roman" w:cs="Times New Roman" w:eastAsia="Times New Roman" w:hint="default"/>
          <w:spacing w:val="-1"/>
          <w:w w:val="100"/>
        </w:rPr>
        <w:t>Guide</w:t>
      </w:r>
      <w:r>
        <w:rPr>
          <w:rFonts w:ascii="Times New Roman" w:hAnsi="Times New Roman" w:cs="Times New Roman" w:eastAsia="Times New Roman" w:hint="default"/>
          <w:w w:val="100"/>
        </w:rPr>
        <w:t> </w:t>
      </w:r>
      <w:r>
        <w:rPr>
          <w:rFonts w:ascii="Times New Roman" w:hAnsi="Times New Roman" w:cs="Times New Roman" w:eastAsia="Times New Roman" w:hint="default"/>
          <w:spacing w:val="-1"/>
        </w:rPr>
        <w:t>for</w:t>
      </w:r>
      <w:r>
        <w:rPr>
          <w:rFonts w:ascii="Times New Roman" w:hAnsi="Times New Roman" w:cs="Times New Roman" w:eastAsia="Times New Roman" w:hint="default"/>
        </w:rPr>
        <w:t> </w:t>
      </w:r>
      <w:r>
        <w:rPr>
          <w:rFonts w:ascii="Times New Roman" w:hAnsi="Times New Roman" w:cs="Times New Roman" w:eastAsia="Times New Roman" w:hint="default"/>
          <w:spacing w:val="-1"/>
          <w:w w:val="100"/>
        </w:rPr>
        <w:t>Conversational</w:t>
      </w:r>
      <w:r>
        <w:rPr>
          <w:rFonts w:ascii="Times New Roman" w:hAnsi="Times New Roman" w:cs="Times New Roman" w:eastAsia="Times New Roman" w:hint="default"/>
          <w:w w:val="100"/>
        </w:rPr>
        <w:t> </w:t>
      </w:r>
      <w:r>
        <w:rPr>
          <w:rFonts w:ascii="Times New Roman" w:hAnsi="Times New Roman" w:cs="Times New Roman" w:eastAsia="Times New Roman" w:hint="default"/>
          <w:spacing w:val="-1"/>
          <w:w w:val="100"/>
        </w:rPr>
        <w:t>Artificial</w:t>
      </w:r>
      <w:r>
        <w:rPr>
          <w:rFonts w:ascii="Times New Roman" w:hAnsi="Times New Roman" w:cs="Times New Roman" w:eastAsia="Times New Roman" w:hint="default"/>
          <w:w w:val="100"/>
        </w:rPr>
        <w:t> </w:t>
      </w:r>
      <w:r>
        <w:rPr>
          <w:rFonts w:ascii="Times New Roman" w:hAnsi="Times New Roman" w:cs="Times New Roman" w:eastAsia="Times New Roman" w:hint="default"/>
          <w:spacing w:val="-1"/>
          <w:w w:val="100"/>
        </w:rPr>
        <w:t>Intelligence</w:t>
      </w:r>
      <w:r>
        <w:rPr>
          <w:rFonts w:ascii="Times New Roman" w:hAnsi="Times New Roman" w:cs="Times New Roman" w:eastAsia="Times New Roman" w:hint="default"/>
          <w:w w:val="100"/>
        </w:rPr>
        <w:t> </w:t>
      </w:r>
      <w:r>
        <w:rPr>
          <w:rFonts w:ascii="Times New Roman" w:hAnsi="Times New Roman" w:cs="Times New Roman" w:eastAsia="Times New Roman" w:hint="default"/>
          <w:w w:val="100"/>
        </w:rPr>
        <w:t>in</w:t>
      </w:r>
      <w:r>
        <w:rPr>
          <w:rFonts w:ascii="Times New Roman" w:hAnsi="Times New Roman" w:cs="Times New Roman" w:eastAsia="Times New Roman" w:hint="default"/>
          <w:spacing w:val="29"/>
          <w:w w:val="100"/>
        </w:rPr>
        <w:t> </w:t>
      </w:r>
      <w:r>
        <w:rPr>
          <w:rFonts w:ascii="Times New Roman" w:hAnsi="Times New Roman" w:cs="Times New Roman" w:eastAsia="Times New Roman" w:hint="default"/>
          <w:spacing w:val="-8"/>
          <w:w w:val="100"/>
        </w:rPr>
        <w:t>China”</w:t>
      </w:r>
      <w:r>
        <w:rPr>
          <w:spacing w:val="-8"/>
          <w:w w:val="100"/>
        </w:rPr>
        <w:t>研究报告）。</w:t>
      </w:r>
    </w:p>
    <w:p>
      <w:pPr>
        <w:pStyle w:val="BodyText"/>
        <w:spacing w:line="451" w:lineRule="auto" w:before="35"/>
        <w:ind w:right="1129" w:firstLine="360"/>
        <w:jc w:val="both"/>
      </w:pPr>
      <w:r>
        <w:rPr>
          <w:spacing w:val="-1"/>
        </w:rPr>
        <w:t>截止目前，公司在人工智能领域已获得多项发明专利，包括</w:t>
      </w:r>
      <w:r>
        <w:rPr>
          <w:rFonts w:ascii="Times New Roman" w:hAnsi="Times New Roman" w:cs="Times New Roman" w:eastAsia="Times New Roman" w:hint="default"/>
          <w:spacing w:val="-1"/>
        </w:rPr>
        <w:t>“DINFO</w:t>
      </w:r>
      <w:r>
        <w:rPr>
          <w:rFonts w:ascii="Times New Roman" w:hAnsi="Times New Roman" w:cs="Times New Roman" w:eastAsia="Times New Roman" w:hint="default"/>
          <w:spacing w:val="-1"/>
        </w:rPr>
        <w:t>-OEC</w:t>
      </w:r>
      <w:r>
        <w:rPr>
          <w:spacing w:val="-1"/>
        </w:rPr>
        <w:t>文本分析挖掘方法与设备</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确定信息热点的</w:t>
      </w:r>
      <w:r>
        <w:rPr/>
        <w:t> </w:t>
      </w:r>
      <w:r>
        <w:rPr>
          <w:spacing w:val="-1"/>
        </w:rPr>
        <w:t>方法及装置</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一种信息处理的方法及装置</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一种语义受控的答案生成方法、装置及系统</w:t>
      </w:r>
      <w:r>
        <w:rPr>
          <w:rFonts w:ascii="Times New Roman" w:hAnsi="Times New Roman" w:cs="Times New Roman" w:eastAsia="Times New Roman" w:hint="default"/>
          <w:spacing w:val="-1"/>
        </w:rPr>
        <w:t>”</w:t>
      </w:r>
      <w:r>
        <w:rPr>
          <w:spacing w:val="-1"/>
        </w:rPr>
        <w:t>、</w:t>
      </w:r>
      <w:r>
        <w:rPr>
          <w:rFonts w:ascii="Times New Roman" w:hAnsi="Times New Roman" w:cs="Times New Roman" w:eastAsia="Times New Roman" w:hint="default"/>
          <w:spacing w:val="-1"/>
        </w:rPr>
        <w:t>“</w:t>
      </w:r>
      <w:r>
        <w:rPr>
          <w:spacing w:val="-1"/>
        </w:rPr>
        <w:t>支持场景关联的智能问答方</w:t>
      </w:r>
      <w:r>
        <w:rPr>
          <w:spacing w:val="-56"/>
        </w:rPr>
        <w:t> </w:t>
      </w:r>
      <w:r>
        <w:rPr/>
        <w:t>法及装置</w:t>
      </w:r>
      <w:r>
        <w:rPr>
          <w:rFonts w:ascii="Times New Roman" w:hAnsi="Times New Roman" w:cs="Times New Roman" w:eastAsia="Times New Roman" w:hint="default"/>
        </w:rPr>
        <w:t>”</w:t>
      </w:r>
      <w:r>
        <w:rPr/>
        <w:t>等等。目前，</w:t>
      </w:r>
      <w:r>
        <w:rPr>
          <w:rFonts w:ascii="宋体" w:hAnsi="宋体" w:cs="宋体" w:eastAsia="宋体" w:hint="default"/>
          <w:b/>
          <w:bCs/>
        </w:rPr>
        <w:t>公司</w:t>
      </w:r>
      <w:r>
        <w:rPr>
          <w:rFonts w:ascii="Times New Roman" w:hAnsi="Times New Roman" w:cs="Times New Roman" w:eastAsia="Times New Roman" w:hint="default"/>
          <w:b/>
          <w:bCs/>
        </w:rPr>
        <w:t>AI</w:t>
      </w:r>
      <w:r>
        <w:rPr>
          <w:rFonts w:ascii="宋体" w:hAnsi="宋体" w:cs="宋体" w:eastAsia="宋体" w:hint="default"/>
          <w:b/>
          <w:bCs/>
        </w:rPr>
        <w:t>领域已申报专利</w:t>
      </w:r>
      <w:r>
        <w:rPr>
          <w:rFonts w:ascii="Times New Roman" w:hAnsi="Times New Roman" w:cs="Times New Roman" w:eastAsia="Times New Roman" w:hint="default"/>
          <w:b/>
          <w:bCs/>
        </w:rPr>
        <w:t>90</w:t>
      </w:r>
      <w:r>
        <w:rPr>
          <w:rFonts w:ascii="宋体" w:hAnsi="宋体" w:cs="宋体" w:eastAsia="宋体" w:hint="default"/>
          <w:b/>
          <w:bCs/>
        </w:rPr>
        <w:t>项</w:t>
      </w:r>
      <w:r>
        <w:rPr/>
        <w:t>。</w:t>
      </w:r>
    </w:p>
    <w:p>
      <w:pPr>
        <w:pStyle w:val="BodyText"/>
        <w:spacing w:line="451" w:lineRule="auto" w:before="43"/>
        <w:ind w:right="1127" w:firstLine="360"/>
        <w:jc w:val="both"/>
      </w:pPr>
      <w:r>
        <w:rPr/>
        <w:t>报告期内，公司成功荣获中国电子信息产业发展研究院评选的</w:t>
      </w:r>
      <w:r>
        <w:rPr>
          <w:rFonts w:ascii="Times New Roman" w:hAnsi="Times New Roman" w:cs="Times New Roman" w:eastAsia="Times New Roman" w:hint="default"/>
        </w:rPr>
        <w:t>“2017</w:t>
      </w:r>
      <w:r>
        <w:rPr/>
        <w:t>中国大数据企业</w:t>
      </w:r>
      <w:r>
        <w:rPr>
          <w:rFonts w:ascii="Times New Roman" w:hAnsi="Times New Roman" w:cs="Times New Roman" w:eastAsia="Times New Roman" w:hint="default"/>
        </w:rPr>
        <w:t>50</w:t>
      </w:r>
      <w:r>
        <w:rPr/>
        <w:t>强</w:t>
      </w:r>
      <w:r>
        <w:rPr>
          <w:rFonts w:ascii="Times New Roman" w:hAnsi="Times New Roman" w:cs="Times New Roman" w:eastAsia="Times New Roman" w:hint="default"/>
        </w:rPr>
        <w:t>”</w:t>
      </w:r>
      <w:r>
        <w:rPr/>
        <w:t>称号。公司</w:t>
      </w:r>
      <w:r>
        <w:rPr>
          <w:rFonts w:ascii="Times New Roman" w:hAnsi="Times New Roman" w:cs="Times New Roman" w:eastAsia="Times New Roman" w:hint="default"/>
        </w:rPr>
        <w:t>“</w:t>
      </w:r>
      <w:r>
        <w:rPr/>
        <w:t>无人值守智能客 服产品</w:t>
      </w:r>
      <w:r>
        <w:rPr>
          <w:rFonts w:ascii="Times New Roman" w:hAnsi="Times New Roman" w:cs="Times New Roman" w:eastAsia="Times New Roman" w:hint="default"/>
        </w:rPr>
        <w:t>”</w:t>
      </w:r>
      <w:r>
        <w:rPr/>
        <w:t>荣膺</w:t>
      </w:r>
      <w:r>
        <w:rPr>
          <w:rFonts w:ascii="Times New Roman" w:hAnsi="Times New Roman" w:cs="Times New Roman" w:eastAsia="Times New Roman" w:hint="default"/>
        </w:rPr>
        <w:t>2017</w:t>
      </w:r>
      <w:r>
        <w:rPr/>
        <w:t>年度</w:t>
      </w:r>
      <w:r>
        <w:rPr>
          <w:rFonts w:ascii="Times New Roman" w:hAnsi="Times New Roman" w:cs="Times New Roman" w:eastAsia="Times New Roman" w:hint="default"/>
        </w:rPr>
        <w:t>CTI</w:t>
      </w:r>
      <w:r>
        <w:rPr/>
        <w:t>论坛</w:t>
      </w:r>
      <w:r>
        <w:rPr>
          <w:rFonts w:ascii="Times New Roman" w:hAnsi="Times New Roman" w:cs="Times New Roman" w:eastAsia="Times New Roman" w:hint="default"/>
        </w:rPr>
        <w:t>“</w:t>
      </w:r>
      <w:r>
        <w:rPr/>
        <w:t>年度最佳产品奖</w:t>
      </w:r>
      <w:r>
        <w:rPr>
          <w:rFonts w:ascii="Times New Roman" w:hAnsi="Times New Roman" w:cs="Times New Roman" w:eastAsia="Times New Roman" w:hint="default"/>
        </w:rPr>
        <w:t>”</w:t>
      </w:r>
      <w:r>
        <w:rPr/>
        <w:t>。公司人工智能产品</w:t>
      </w:r>
      <w:r>
        <w:rPr>
          <w:rFonts w:ascii="Times New Roman" w:hAnsi="Times New Roman" w:cs="Times New Roman" w:eastAsia="Times New Roman" w:hint="default"/>
        </w:rPr>
        <w:t>“</w:t>
      </w:r>
      <w:r>
        <w:rPr/>
        <w:t>小富机器人</w:t>
      </w:r>
      <w:r>
        <w:rPr>
          <w:rFonts w:ascii="Times New Roman" w:hAnsi="Times New Roman" w:cs="Times New Roman" w:eastAsia="Times New Roman" w:hint="default"/>
        </w:rPr>
        <w:t>”</w:t>
      </w:r>
      <w:r>
        <w:rPr/>
        <w:t>荣获中国人工智能产业创新联盟主办的</w:t>
      </w:r>
      <w:r>
        <w:rPr>
          <w:spacing w:val="20"/>
        </w:rPr>
        <w:t> </w:t>
      </w:r>
      <w:r>
        <w:rPr>
          <w:rFonts w:ascii="Times New Roman" w:hAnsi="Times New Roman" w:cs="Times New Roman" w:eastAsia="Times New Roman" w:hint="default"/>
        </w:rPr>
        <w:t>“</w:t>
      </w:r>
      <w:r>
        <w:rPr/>
        <w:t>丁酉年中国人工智能产业创新联盟年会竞争力产品奖</w:t>
      </w:r>
      <w:r>
        <w:rPr>
          <w:rFonts w:ascii="Times New Roman" w:hAnsi="Times New Roman" w:cs="Times New Roman" w:eastAsia="Times New Roman" w:hint="default"/>
        </w:rPr>
        <w:t>”</w:t>
      </w:r>
      <w:r>
        <w:rPr/>
        <w:t>。</w:t>
      </w:r>
      <w:r>
        <w:rPr>
          <w:rFonts w:ascii="Times New Roman" w:hAnsi="Times New Roman" w:cs="Times New Roman" w:eastAsia="Times New Roman" w:hint="default"/>
        </w:rPr>
        <w:t>DINFO-OEC</w:t>
      </w:r>
      <w:r>
        <w:rPr/>
        <w:t>非结构化大数据分析挖掘平台</w:t>
      </w:r>
      <w:r>
        <w:rPr>
          <w:rFonts w:ascii="Times New Roman" w:hAnsi="Times New Roman" w:cs="Times New Roman" w:eastAsia="Times New Roman" w:hint="default"/>
        </w:rPr>
        <w:t>V4.0</w:t>
      </w:r>
      <w:r>
        <w:rPr/>
        <w:t>荣获由北京市科学</w:t>
      </w:r>
      <w:r>
        <w:rPr>
          <w:spacing w:val="-46"/>
        </w:rPr>
        <w:t> </w:t>
      </w:r>
      <w:r>
        <w:rPr>
          <w:spacing w:val="-46"/>
        </w:rPr>
      </w:r>
      <w:r>
        <w:rPr/>
        <w:t>技术委员会等六家单位颁发的</w:t>
      </w:r>
      <w:r>
        <w:rPr>
          <w:rFonts w:ascii="Times New Roman" w:hAnsi="Times New Roman" w:cs="Times New Roman" w:eastAsia="Times New Roman" w:hint="default"/>
        </w:rPr>
        <w:t>“2017</w:t>
      </w:r>
      <w:r>
        <w:rPr/>
        <w:t>年北京市新技术新产品奖</w:t>
      </w:r>
      <w:r>
        <w:rPr>
          <w:rFonts w:ascii="Times New Roman" w:hAnsi="Times New Roman" w:cs="Times New Roman" w:eastAsia="Times New Roman" w:hint="default"/>
        </w:rPr>
        <w:t>”</w:t>
      </w:r>
      <w:r>
        <w:rPr/>
        <w:t>。</w:t>
      </w:r>
    </w:p>
    <w:p>
      <w:pPr>
        <w:pStyle w:val="BodyText"/>
        <w:spacing w:line="240" w:lineRule="auto" w:before="43"/>
        <w:ind w:left="1495" w:right="0"/>
        <w:jc w:val="left"/>
      </w:pPr>
      <w:r>
        <w:rPr>
          <w:rFonts w:ascii="宋体" w:hAnsi="宋体" w:cs="宋体" w:eastAsia="宋体" w:hint="default"/>
          <w:b/>
          <w:bCs/>
        </w:rPr>
        <w:t>在工业物联网领域</w:t>
      </w:r>
      <w:r>
        <w:rPr/>
        <w:t>，公司拥有全球领先的物联网芯片、通信协议、核心算法、产品和解决方案。</w:t>
      </w:r>
    </w:p>
    <w:p>
      <w:pPr>
        <w:spacing w:after="0" w:line="240" w:lineRule="auto"/>
        <w:jc w:val="left"/>
        <w:sectPr>
          <w:pgSz w:w="11910" w:h="16840"/>
          <w:pgMar w:header="851" w:footer="979" w:top="1380" w:bottom="1160" w:left="0" w:right="0"/>
        </w:sectPr>
      </w:pPr>
    </w:p>
    <w:p>
      <w:pPr>
        <w:pStyle w:val="BodyText"/>
        <w:spacing w:line="451" w:lineRule="auto" w:before="140"/>
        <w:ind w:left="1134" w:right="0" w:firstLine="360"/>
        <w:jc w:val="left"/>
      </w:pPr>
      <w:r>
        <w:rPr/>
        <w:t>公司以</w:t>
      </w:r>
      <w:r>
        <w:rPr>
          <w:rFonts w:ascii="Times New Roman" w:hAnsi="Times New Roman" w:cs="Times New Roman" w:eastAsia="Times New Roman" w:hint="default"/>
        </w:rPr>
        <w:t>“</w:t>
      </w:r>
      <w:r>
        <w:rPr/>
        <w:t>智慧</w:t>
      </w:r>
      <w:r>
        <w:rPr>
          <w:rFonts w:ascii="Times New Roman" w:hAnsi="Times New Roman" w:cs="Times New Roman" w:eastAsia="Times New Roman" w:hint="default"/>
        </w:rPr>
        <w:t>+”</w:t>
      </w:r>
      <w:r>
        <w:rPr/>
        <w:t>系列物联网通信技术为核心，构建</w:t>
      </w:r>
      <w:r>
        <w:rPr>
          <w:rFonts w:ascii="Times New Roman" w:hAnsi="Times New Roman" w:cs="Times New Roman" w:eastAsia="Times New Roman" w:hint="default"/>
        </w:rPr>
        <w:t>“</w:t>
      </w:r>
      <w:r>
        <w:rPr/>
        <w:t>综合管廊安防通信一体化系统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“Nu</w:t>
      </w:r>
      <w:r>
        <w:rPr>
          <w:rFonts w:ascii="Times New Roman" w:hAnsi="Times New Roman" w:cs="Times New Roman" w:eastAsia="Times New Roman" w:hint="default"/>
        </w:rPr>
        <w:t>-WiFi</w:t>
      </w:r>
      <w:r>
        <w:rPr/>
        <w:t>核电专业无线通信系统</w:t>
      </w:r>
      <w:r>
        <w:rPr>
          <w:rFonts w:ascii="Times New Roman" w:hAnsi="Times New Roman" w:cs="Times New Roman" w:eastAsia="Times New Roman" w:hint="default"/>
        </w:rPr>
        <w:t>”</w:t>
      </w:r>
      <w:r>
        <w:rPr/>
        <w:t>、 </w:t>
      </w:r>
      <w:r>
        <w:rPr>
          <w:rFonts w:ascii="Times New Roman" w:hAnsi="Times New Roman" w:cs="Times New Roman" w:eastAsia="Times New Roman" w:hint="default"/>
        </w:rPr>
        <w:t>“</w:t>
      </w:r>
      <w:r>
        <w:rPr/>
        <w:t>智慧墙入侵探测系统</w:t>
      </w:r>
      <w:r>
        <w:rPr>
          <w:rFonts w:ascii="Times New Roman" w:hAnsi="Times New Roman" w:cs="Times New Roman" w:eastAsia="Times New Roman" w:hint="default"/>
        </w:rPr>
        <w:t>”</w:t>
      </w:r>
      <w:r>
        <w:rPr/>
        <w:t>三大整体解决方案，使得特殊领域的通信、精准定位、周界安防进一步智能化、智慧化，实现无缝覆 </w:t>
      </w:r>
      <w:r>
        <w:rPr>
          <w:spacing w:val="-3"/>
        </w:rPr>
        <w:t>盖、低功耗实时综合传感、远程控制、信息联动等各项行业前瞻性示范功能。</w:t>
      </w:r>
      <w:r>
        <w:rPr>
          <w:rFonts w:ascii="Times New Roman" w:hAnsi="Times New Roman" w:cs="Times New Roman" w:eastAsia="Times New Roman" w:hint="default"/>
          <w:spacing w:val="-3"/>
        </w:rPr>
        <w:t>“</w:t>
      </w:r>
      <w:r>
        <w:rPr>
          <w:spacing w:val="-3"/>
        </w:rPr>
        <w:t>智慧</w:t>
      </w:r>
      <w:r>
        <w:rPr>
          <w:rFonts w:ascii="Times New Roman" w:hAnsi="Times New Roman" w:cs="Times New Roman" w:eastAsia="Times New Roman" w:hint="default"/>
          <w:spacing w:val="-3"/>
        </w:rPr>
        <w:t>+”</w:t>
      </w:r>
      <w:r>
        <w:rPr>
          <w:spacing w:val="-3"/>
        </w:rPr>
        <w:t>系列产品已成功实施了神华集团煤矿、</w:t>
      </w:r>
      <w:r>
        <w:rPr>
          <w:spacing w:val="-86"/>
        </w:rPr>
        <w:t> </w:t>
      </w:r>
      <w:r>
        <w:rPr/>
        <w:t>中石油独山子石化、贵阳机场、乌鲁木齐机场、中国铁路总公司、宁德核电站、故宫等项目及相关试点项目。</w:t>
      </w:r>
    </w:p>
    <w:p>
      <w:pPr>
        <w:spacing w:line="463" w:lineRule="auto" w:before="74"/>
        <w:ind w:left="1133" w:right="1132" w:firstLine="361"/>
        <w:jc w:val="both"/>
        <w:rPr>
          <w:rFonts w:ascii="宋体" w:hAnsi="宋体" w:cs="宋体" w:eastAsia="宋体" w:hint="default"/>
          <w:sz w:val="18"/>
          <w:szCs w:val="18"/>
        </w:rPr>
      </w:pP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智慧线</w:t>
      </w:r>
      <w:r>
        <w:rPr>
          <w:rFonts w:ascii="Times New Roman" w:hAnsi="Times New Roman" w:cs="Times New Roman" w:eastAsia="Times New Roman" w:hint="default"/>
          <w:b/>
          <w:bCs/>
          <w:w w:val="95"/>
          <w:sz w:val="18"/>
          <w:szCs w:val="18"/>
        </w:rPr>
        <w:t>”</w:t>
      </w:r>
      <w:r>
        <w:rPr>
          <w:rFonts w:ascii="宋体" w:hAnsi="宋体" w:cs="宋体" w:eastAsia="宋体" w:hint="default"/>
          <w:b/>
          <w:bCs/>
          <w:w w:val="95"/>
          <w:sz w:val="18"/>
          <w:szCs w:val="18"/>
        </w:rPr>
        <w:t>研发至今，已进行了七年的技术和实践积累，现已申请专利</w:t>
      </w:r>
      <w:r>
        <w:rPr>
          <w:rFonts w:ascii="Times New Roman" w:hAnsi="Times New Roman" w:cs="Times New Roman" w:eastAsia="Times New Roman" w:hint="default"/>
          <w:b/>
          <w:bCs/>
          <w:w w:val="95"/>
          <w:sz w:val="18"/>
          <w:szCs w:val="18"/>
        </w:rPr>
        <w:t>130</w:t>
      </w:r>
      <w:r>
        <w:rPr>
          <w:rFonts w:ascii="宋体" w:hAnsi="宋体" w:cs="宋体" w:eastAsia="宋体" w:hint="default"/>
          <w:b/>
          <w:bCs/>
          <w:w w:val="95"/>
          <w:sz w:val="18"/>
          <w:szCs w:val="18"/>
        </w:rPr>
        <w:t>余项，其中</w:t>
      </w:r>
      <w:r>
        <w:rPr>
          <w:rFonts w:ascii="Times New Roman" w:hAnsi="Times New Roman" w:cs="Times New Roman" w:eastAsia="Times New Roman" w:hint="default"/>
          <w:b/>
          <w:bCs/>
          <w:w w:val="95"/>
          <w:sz w:val="18"/>
          <w:szCs w:val="18"/>
        </w:rPr>
        <w:t>PCT</w:t>
      </w:r>
      <w:r>
        <w:rPr>
          <w:rFonts w:ascii="宋体" w:hAnsi="宋体" w:cs="宋体" w:eastAsia="宋体" w:hint="default"/>
          <w:b/>
          <w:bCs/>
          <w:w w:val="95"/>
          <w:sz w:val="18"/>
          <w:szCs w:val="18"/>
        </w:rPr>
        <w:t>国际专利</w:t>
      </w:r>
      <w:r>
        <w:rPr>
          <w:rFonts w:ascii="Times New Roman" w:hAnsi="Times New Roman" w:cs="Times New Roman" w:eastAsia="Times New Roman" w:hint="default"/>
          <w:b/>
          <w:bCs/>
          <w:w w:val="95"/>
          <w:sz w:val="18"/>
          <w:szCs w:val="18"/>
        </w:rPr>
        <w:t>14</w:t>
      </w:r>
      <w:r>
        <w:rPr>
          <w:rFonts w:ascii="宋体" w:hAnsi="宋体" w:cs="宋体" w:eastAsia="宋体" w:hint="default"/>
          <w:b/>
          <w:bCs/>
          <w:w w:val="95"/>
          <w:sz w:val="18"/>
          <w:szCs w:val="18"/>
        </w:rPr>
        <w:t>项，国内发明专利</w:t>
      </w:r>
      <w:r>
        <w:rPr>
          <w:rFonts w:ascii="宋体" w:hAnsi="宋体" w:cs="宋体" w:eastAsia="宋体" w:hint="default"/>
          <w:b/>
          <w:bCs/>
          <w:spacing w:val="-16"/>
          <w:w w:val="95"/>
          <w:sz w:val="18"/>
          <w:szCs w:val="18"/>
        </w:rPr>
        <w:t> </w:t>
      </w:r>
      <w:r>
        <w:rPr>
          <w:rFonts w:ascii="宋体" w:hAnsi="宋体" w:cs="宋体" w:eastAsia="宋体" w:hint="default"/>
          <w:b/>
          <w:bCs/>
          <w:spacing w:val="-16"/>
          <w:w w:val="95"/>
          <w:sz w:val="18"/>
          <w:szCs w:val="18"/>
        </w:rPr>
      </w:r>
      <w:r>
        <w:rPr>
          <w:rFonts w:ascii="Times New Roman" w:hAnsi="Times New Roman" w:cs="Times New Roman" w:eastAsia="Times New Roman" w:hint="default"/>
          <w:b/>
          <w:bCs/>
          <w:sz w:val="18"/>
          <w:szCs w:val="18"/>
        </w:rPr>
        <w:t>77</w:t>
      </w:r>
      <w:r>
        <w:rPr>
          <w:rFonts w:ascii="宋体" w:hAnsi="宋体" w:cs="宋体" w:eastAsia="宋体" w:hint="default"/>
          <w:b/>
          <w:bCs/>
          <w:sz w:val="18"/>
          <w:szCs w:val="18"/>
        </w:rPr>
        <w:t>项，已获得专利</w:t>
      </w:r>
      <w:r>
        <w:rPr>
          <w:rFonts w:ascii="Times New Roman" w:hAnsi="Times New Roman" w:cs="Times New Roman" w:eastAsia="Times New Roman" w:hint="default"/>
          <w:b/>
          <w:bCs/>
          <w:sz w:val="18"/>
          <w:szCs w:val="18"/>
        </w:rPr>
        <w:t>48</w:t>
      </w:r>
      <w:r>
        <w:rPr>
          <w:rFonts w:ascii="宋体" w:hAnsi="宋体" w:cs="宋体" w:eastAsia="宋体" w:hint="default"/>
          <w:b/>
          <w:bCs/>
          <w:sz w:val="18"/>
          <w:szCs w:val="18"/>
        </w:rPr>
        <w:t>项。</w:t>
      </w:r>
      <w:r>
        <w:rPr>
          <w:rFonts w:ascii="宋体" w:hAnsi="宋体" w:cs="宋体" w:eastAsia="宋体" w:hint="default"/>
          <w:sz w:val="18"/>
          <w:szCs w:val="18"/>
        </w:rPr>
        <w:t>公司目前已通过</w:t>
      </w:r>
      <w:r>
        <w:rPr>
          <w:rFonts w:ascii="Times New Roman" w:hAnsi="Times New Roman" w:cs="Times New Roman" w:eastAsia="Times New Roman" w:hint="default"/>
          <w:sz w:val="18"/>
          <w:szCs w:val="18"/>
        </w:rPr>
        <w:t>ISO9001</w:t>
      </w:r>
      <w:r>
        <w:rPr>
          <w:rFonts w:ascii="宋体" w:hAnsi="宋体" w:cs="宋体" w:eastAsia="宋体" w:hint="default"/>
          <w:sz w:val="18"/>
          <w:szCs w:val="18"/>
        </w:rPr>
        <w:t>质量管理体系认证、武器装备质量管理体系认证（</w:t>
      </w:r>
      <w:r>
        <w:rPr>
          <w:rFonts w:ascii="Times New Roman" w:hAnsi="Times New Roman" w:cs="Times New Roman" w:eastAsia="Times New Roman" w:hint="default"/>
          <w:sz w:val="18"/>
          <w:szCs w:val="18"/>
        </w:rPr>
        <w:t>GJB9001</w:t>
      </w:r>
      <w:r>
        <w:rPr>
          <w:rFonts w:ascii="宋体" w:hAnsi="宋体" w:cs="宋体" w:eastAsia="宋体" w:hint="default"/>
          <w:sz w:val="18"/>
          <w:szCs w:val="18"/>
        </w:rPr>
        <w:t>）、国家矿用</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5"/>
          <w:sz w:val="18"/>
          <w:szCs w:val="18"/>
        </w:rPr>
        <w:t>产品安全标志认证以及公安部产品、中国核电产品等认证。公司主导提出了智慧矿山物联网相关系列标准，被国家安监总局、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中国电子学会接纳并部分正式发布，为我国未来矿山物联网产业的发展奠定关键基础。智慧线相关的无线通讯与精确定位技</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术被列入北京市二十大颠覆性技术储备库。</w:t>
      </w:r>
    </w:p>
    <w:p>
      <w:pPr>
        <w:pStyle w:val="BodyText"/>
        <w:spacing w:line="451" w:lineRule="auto" w:before="65"/>
        <w:ind w:right="1129" w:firstLine="360"/>
        <w:jc w:val="both"/>
      </w:pPr>
      <w:r>
        <w:rPr>
          <w:rFonts w:ascii="Times New Roman" w:hAnsi="Times New Roman" w:cs="Times New Roman" w:eastAsia="Times New Roman" w:hint="default"/>
          <w:spacing w:val="-1"/>
        </w:rPr>
        <w:t>2017</w:t>
      </w:r>
      <w:r>
        <w:rPr>
          <w:spacing w:val="-1"/>
        </w:rPr>
        <w:t>年底，智慧线核心专利</w:t>
      </w:r>
      <w:r>
        <w:rPr>
          <w:rFonts w:ascii="Times New Roman" w:hAnsi="Times New Roman" w:cs="Times New Roman" w:eastAsia="Times New Roman" w:hint="default"/>
          <w:spacing w:val="-1"/>
        </w:rPr>
        <w:t>“</w:t>
      </w:r>
      <w:r>
        <w:rPr>
          <w:spacing w:val="-1"/>
        </w:rPr>
        <w:t>一种线缆系统</w:t>
      </w:r>
      <w:r>
        <w:rPr>
          <w:rFonts w:ascii="Times New Roman" w:hAnsi="Times New Roman" w:cs="Times New Roman" w:eastAsia="Times New Roman" w:hint="default"/>
          <w:spacing w:val="-1"/>
        </w:rPr>
        <w:t>”</w:t>
      </w:r>
      <w:r>
        <w:rPr>
          <w:spacing w:val="-1"/>
        </w:rPr>
        <w:t>荣获第十九届国家知识产权局中国专利</w:t>
      </w:r>
      <w:r>
        <w:rPr>
          <w:rFonts w:ascii="Times New Roman" w:hAnsi="Times New Roman" w:cs="Times New Roman" w:eastAsia="Times New Roman" w:hint="default"/>
          <w:spacing w:val="-1"/>
        </w:rPr>
        <w:t>“</w:t>
      </w:r>
      <w:r>
        <w:rPr>
          <w:spacing w:val="-1"/>
        </w:rPr>
        <w:t>优秀奖</w:t>
      </w:r>
      <w:r>
        <w:rPr>
          <w:rFonts w:ascii="Times New Roman" w:hAnsi="Times New Roman" w:cs="Times New Roman" w:eastAsia="Times New Roman" w:hint="default"/>
          <w:spacing w:val="-1"/>
        </w:rPr>
        <w:t>”</w:t>
      </w:r>
      <w:r>
        <w:rPr>
          <w:spacing w:val="-1"/>
        </w:rPr>
        <w:t>，该奖项是我国专利领域的</w:t>
      </w:r>
      <w:r>
        <w:rPr/>
        <w:t> 最高奖项，是国家知识产权局和世界知识产权组织共同审核授予的中国专利界的唯一奖项。</w:t>
      </w:r>
      <w:r>
        <w:rPr>
          <w:rFonts w:ascii="Times New Roman" w:hAnsi="Times New Roman" w:cs="Times New Roman" w:eastAsia="Times New Roman" w:hint="default"/>
        </w:rPr>
        <w:t>2018</w:t>
      </w:r>
      <w:r>
        <w:rPr/>
        <w:t>年初，公司自主研发的</w:t>
      </w:r>
      <w:r>
        <w:rPr>
          <w:rFonts w:ascii="Times New Roman" w:hAnsi="Times New Roman" w:cs="Times New Roman" w:eastAsia="Times New Roman" w:hint="default"/>
        </w:rPr>
        <w:t>“</w:t>
      </w:r>
      <w:r>
        <w:rPr/>
        <w:t>一</w:t>
      </w:r>
      <w:r>
        <w:rPr>
          <w:spacing w:val="-74"/>
        </w:rPr>
        <w:t> </w:t>
      </w:r>
      <w:r>
        <w:rPr/>
        <w:t>种具备无线通信和反恐探测能力的特殊电缆的研制及应用</w:t>
      </w:r>
      <w:r>
        <w:rPr>
          <w:rFonts w:ascii="Times New Roman" w:hAnsi="Times New Roman" w:cs="Times New Roman" w:eastAsia="Times New Roman" w:hint="default"/>
        </w:rPr>
        <w:t>”</w:t>
      </w:r>
      <w:r>
        <w:rPr/>
        <w:t>项目荣获</w:t>
      </w:r>
      <w:r>
        <w:rPr>
          <w:rFonts w:ascii="Times New Roman" w:hAnsi="Times New Roman" w:cs="Times New Roman" w:eastAsia="Times New Roman" w:hint="default"/>
        </w:rPr>
        <w:t>2017</w:t>
      </w:r>
      <w:r>
        <w:rPr/>
        <w:t>年度北京市科学技术奖励三等奖。</w:t>
      </w:r>
    </w:p>
    <w:p>
      <w:pPr>
        <w:pStyle w:val="BodyText"/>
        <w:spacing w:line="451" w:lineRule="auto" w:before="43"/>
        <w:ind w:left="1493" w:right="0" w:firstLine="1"/>
        <w:jc w:val="left"/>
      </w:pPr>
      <w:r>
        <w:rPr>
          <w:rFonts w:ascii="Times New Roman" w:hAnsi="Times New Roman" w:cs="Times New Roman" w:eastAsia="Times New Roman" w:hint="default"/>
          <w:b/>
          <w:bCs/>
        </w:rPr>
        <w:t>3</w:t>
      </w:r>
      <w:r>
        <w:rPr>
          <w:rFonts w:ascii="宋体" w:hAnsi="宋体" w:cs="宋体" w:eastAsia="宋体" w:hint="default"/>
          <w:b/>
          <w:bCs/>
        </w:rPr>
        <w:t>、行业客户资源优势</w:t>
      </w:r>
      <w:r>
        <w:rPr>
          <w:rFonts w:ascii="宋体" w:hAnsi="宋体" w:cs="宋体" w:eastAsia="宋体" w:hint="default"/>
          <w:b/>
          <w:bCs/>
          <w:w w:val="99"/>
        </w:rPr>
        <w:t> </w:t>
      </w:r>
      <w:r>
        <w:rPr>
          <w:spacing w:val="-1"/>
        </w:rPr>
        <w:t>公司在</w:t>
      </w:r>
      <w:r>
        <w:rPr>
          <w:rFonts w:ascii="Times New Roman" w:hAnsi="Times New Roman" w:cs="Times New Roman" w:eastAsia="Times New Roman" w:hint="default"/>
          <w:spacing w:val="-1"/>
        </w:rPr>
        <w:t>ICT</w:t>
      </w:r>
      <w:r>
        <w:rPr>
          <w:spacing w:val="-1"/>
        </w:rPr>
        <w:t>运营管理领域近二十年的业务发展过程中积累了一批以电信行业为主，兼顾金融、政府、能源、交通等行业</w:t>
      </w:r>
    </w:p>
    <w:p>
      <w:pPr>
        <w:pStyle w:val="BodyText"/>
        <w:spacing w:line="477" w:lineRule="auto" w:before="43"/>
        <w:ind w:right="1131"/>
        <w:jc w:val="both"/>
      </w:pPr>
      <w:r>
        <w:rPr>
          <w:spacing w:val="-2"/>
        </w:rPr>
        <w:t>中的大中型企业以及政府机构的优质客户资源，主要包括：中国移动、中国联通、中国电信、中国铁塔、歌华有线、人民银</w:t>
      </w:r>
      <w:r>
        <w:rPr>
          <w:spacing w:val="-72"/>
        </w:rPr>
        <w:t> </w:t>
      </w:r>
      <w:r>
        <w:rPr>
          <w:spacing w:val="-72"/>
        </w:rPr>
      </w:r>
      <w:r>
        <w:rPr>
          <w:spacing w:val="-2"/>
        </w:rPr>
        <w:t>行、建设银行、工商银行、中国银行、光大银行、民生银行、中国人寿、新华人寿、上海证券交易所、中国证券登记结算公</w:t>
      </w:r>
      <w:r>
        <w:rPr>
          <w:spacing w:val="-69"/>
        </w:rPr>
        <w:t> </w:t>
      </w:r>
      <w:r>
        <w:rPr>
          <w:spacing w:val="-69"/>
        </w:rPr>
      </w:r>
      <w:r>
        <w:rPr>
          <w:spacing w:val="-2"/>
        </w:rPr>
        <w:t>司、中海油、中石化、国家电网、南方电网、中国华能、国务院办公厅、全国政协办公厅、教育部、国家地震局、国家知识</w:t>
      </w:r>
      <w:r>
        <w:rPr>
          <w:spacing w:val="-71"/>
        </w:rPr>
        <w:t> </w:t>
      </w:r>
      <w:r>
        <w:rPr>
          <w:spacing w:val="-71"/>
        </w:rPr>
      </w:r>
      <w:r>
        <w:rPr>
          <w:spacing w:val="-5"/>
        </w:rPr>
        <w:t>专利局、新华通讯社、中央人民广播电台、北京市人民政府等。公司的产品和服务在上述客户中得到了广泛应用与高度认同，</w:t>
      </w:r>
      <w:r>
        <w:rPr>
          <w:spacing w:val="-82"/>
        </w:rPr>
        <w:t> </w:t>
      </w:r>
      <w:r>
        <w:rPr>
          <w:spacing w:val="-82"/>
        </w:rPr>
      </w:r>
      <w:r>
        <w:rPr>
          <w:spacing w:val="-2"/>
        </w:rPr>
        <w:t>在业内留下了良好的口碑。优质的客户资源，为公司进一步拓展新的市场空间、保持稳定的增长奠定了坚实的基础，也为人</w:t>
      </w:r>
      <w:r>
        <w:rPr>
          <w:spacing w:val="-66"/>
        </w:rPr>
        <w:t> </w:t>
      </w:r>
      <w:r>
        <w:rPr>
          <w:spacing w:val="-66"/>
        </w:rPr>
      </w:r>
      <w:r>
        <w:rPr/>
        <w:t>工智能、物联网通讯技术等新业务板块市场的迅速推进和商务落地提供了有力的支撑。</w:t>
      </w:r>
    </w:p>
    <w:p>
      <w:pPr>
        <w:pStyle w:val="BodyText"/>
        <w:spacing w:line="463" w:lineRule="auto" w:before="54"/>
        <w:ind w:right="0" w:firstLine="361"/>
        <w:jc w:val="left"/>
      </w:pPr>
      <w:r>
        <w:rPr>
          <w:rFonts w:ascii="宋体" w:hAnsi="宋体" w:cs="宋体" w:eastAsia="宋体" w:hint="default"/>
          <w:b/>
          <w:bCs/>
          <w:spacing w:val="-2"/>
        </w:rPr>
        <w:t>在电信领域</w:t>
      </w:r>
      <w:r>
        <w:rPr>
          <w:spacing w:val="-2"/>
        </w:rPr>
        <w:t>，公司在</w:t>
      </w:r>
      <w:r>
        <w:rPr>
          <w:rFonts w:ascii="Times New Roman" w:hAnsi="Times New Roman" w:cs="Times New Roman" w:eastAsia="Times New Roman" w:hint="default"/>
          <w:spacing w:val="-2"/>
        </w:rPr>
        <w:t>ICT</w:t>
      </w:r>
      <w:r>
        <w:rPr>
          <w:spacing w:val="-2"/>
        </w:rPr>
        <w:t>和移动互联网的运营管理领域都积累了丰富的大型项目经验，尤其是在线关键业务</w:t>
      </w:r>
      <w:r>
        <w:rPr>
          <w:rFonts w:ascii="Times New Roman" w:hAnsi="Times New Roman" w:cs="Times New Roman" w:eastAsia="Times New Roman" w:hint="default"/>
          <w:spacing w:val="-2"/>
        </w:rPr>
        <w:t>IT</w:t>
      </w:r>
      <w:r>
        <w:rPr>
          <w:spacing w:val="-2"/>
        </w:rPr>
        <w:t>运营管理、</w:t>
      </w:r>
      <w:r>
        <w:rPr/>
        <w:t> </w:t>
      </w:r>
      <w:r>
        <w:rPr>
          <w:spacing w:val="-2"/>
        </w:rPr>
        <w:t>融合通信业务的经验和方法论等方面。作为电信运营商的重要合作伙伴，公司多次参与电信运营商技术规范的制定，通过对</w:t>
      </w:r>
      <w:r>
        <w:rPr>
          <w:spacing w:val="-66"/>
        </w:rPr>
        <w:t> </w:t>
      </w:r>
      <w:r>
        <w:rPr>
          <w:spacing w:val="-66"/>
        </w:rPr>
      </w:r>
      <w:r>
        <w:rPr/>
        <w:t>电信运营商运营需求的深入分析和梳理，积淀了丰富的实践经验并向其他行业推广，提供成熟优质的产品和服务。</w:t>
      </w:r>
    </w:p>
    <w:p>
      <w:pPr>
        <w:pStyle w:val="BodyText"/>
        <w:spacing w:line="477" w:lineRule="auto" w:before="65"/>
        <w:ind w:right="1130" w:firstLine="361"/>
        <w:jc w:val="both"/>
      </w:pPr>
      <w:r>
        <w:rPr>
          <w:rFonts w:ascii="宋体" w:hAnsi="宋体" w:cs="宋体" w:eastAsia="宋体" w:hint="default"/>
          <w:b/>
          <w:bCs/>
          <w:spacing w:val="-2"/>
        </w:rPr>
        <w:t>在银行领域</w:t>
      </w:r>
      <w:r>
        <w:rPr>
          <w:spacing w:val="-2"/>
        </w:rPr>
        <w:t>，公司提供了基于人工智能自然语言语义分析技术的诸多产品和服务，拥有行业领先地位。产品包括客服领</w:t>
      </w:r>
      <w:r>
        <w:rPr/>
        <w:t> </w:t>
      </w:r>
      <w:r>
        <w:rPr>
          <w:spacing w:val="-2"/>
        </w:rPr>
        <w:t>域的小富智能对话机器人、客服大数据分析挖掘系统、统一业务知识库系统、金融领域的第三方个人征信获取工具、信贷大</w:t>
      </w:r>
      <w:r>
        <w:rPr>
          <w:spacing w:val="-66"/>
        </w:rPr>
        <w:t> </w:t>
      </w:r>
      <w:r>
        <w:rPr>
          <w:spacing w:val="-66"/>
        </w:rPr>
      </w:r>
      <w:r>
        <w:rPr>
          <w:spacing w:val="-2"/>
        </w:rPr>
        <w:t>数据服务平台、信贷风险监测、互联网信息获取及分析、证券云投研报告解析平台等。截止目前，中国银行、工商银行、建</w:t>
      </w:r>
      <w:r>
        <w:rPr>
          <w:spacing w:val="-71"/>
        </w:rPr>
        <w:t> </w:t>
      </w:r>
      <w:r>
        <w:rPr>
          <w:spacing w:val="-71"/>
        </w:rPr>
      </w:r>
      <w:r>
        <w:rPr>
          <w:spacing w:val="-2"/>
        </w:rPr>
        <w:t>设银行、招商银行、广发银行、光大银行、民生银行、北京银行、长沙银行和华兴银行等众多银行都应用了神州泰岳的自然</w:t>
      </w:r>
      <w:r>
        <w:rPr>
          <w:spacing w:val="-67"/>
        </w:rPr>
        <w:t> </w:t>
      </w:r>
      <w:r>
        <w:rPr>
          <w:spacing w:val="-67"/>
        </w:rPr>
      </w:r>
      <w:r>
        <w:rPr/>
        <w:t>语言语义分析技术及产品服务。</w:t>
      </w:r>
    </w:p>
    <w:p>
      <w:pPr>
        <w:pStyle w:val="BodyText"/>
        <w:spacing w:line="477" w:lineRule="auto" w:before="54"/>
        <w:ind w:left="1134" w:right="1131" w:firstLine="361"/>
        <w:jc w:val="both"/>
      </w:pPr>
      <w:r>
        <w:rPr>
          <w:rFonts w:ascii="宋体" w:hAnsi="宋体" w:cs="宋体" w:eastAsia="宋体" w:hint="default"/>
          <w:b/>
          <w:bCs/>
          <w:spacing w:val="-2"/>
        </w:rPr>
        <w:t>在核电领域</w:t>
      </w:r>
      <w:r>
        <w:rPr>
          <w:spacing w:val="-2"/>
        </w:rPr>
        <w:t>，公司已顺利完成与中国广核集团有关核电通信与物联网的框架合作协议的签署。双方充分发挥中国广核集</w:t>
      </w:r>
      <w:r>
        <w:rPr/>
        <w:t> </w:t>
      </w:r>
      <w:r>
        <w:rPr>
          <w:spacing w:val="-2"/>
        </w:rPr>
        <w:t>团核电信息安全研发中心在核电行业丰富的业务经验和公司在物联网通信方面的技术优势，合作成立通信与物联网应用实验</w:t>
      </w:r>
    </w:p>
    <w:p>
      <w:pPr>
        <w:spacing w:after="0" w:line="477" w:lineRule="auto"/>
        <w:jc w:val="both"/>
        <w:sectPr>
          <w:pgSz w:w="11910" w:h="16840"/>
          <w:pgMar w:header="851" w:footer="979" w:top="1380" w:bottom="1160" w:left="0" w:right="0"/>
        </w:sectPr>
      </w:pPr>
    </w:p>
    <w:p>
      <w:pPr>
        <w:pStyle w:val="BodyText"/>
        <w:spacing w:line="477" w:lineRule="auto" w:before="140"/>
        <w:ind w:left="1134" w:right="0"/>
        <w:jc w:val="left"/>
      </w:pPr>
      <w:r>
        <w:rPr>
          <w:spacing w:val="-2"/>
        </w:rPr>
        <w:t>室，共同研发核电专用的通信与物联网相关解决方案、合作起草核电行业无线通信技术标准、开展核电无线通信及物联网相</w:t>
      </w:r>
      <w:r>
        <w:rPr>
          <w:spacing w:val="-66"/>
        </w:rPr>
        <w:t> </w:t>
      </w:r>
      <w:r>
        <w:rPr>
          <w:spacing w:val="-66"/>
        </w:rPr>
      </w:r>
      <w:r>
        <w:rPr/>
        <w:t>关智能化应用等方向的深度合作。</w:t>
      </w:r>
    </w:p>
    <w:p>
      <w:pPr>
        <w:pStyle w:val="BodyText"/>
        <w:spacing w:line="460" w:lineRule="auto" w:before="54"/>
        <w:ind w:left="1134" w:right="1130" w:firstLine="361"/>
        <w:jc w:val="both"/>
      </w:pPr>
      <w:r>
        <w:rPr>
          <w:rFonts w:ascii="宋体" w:hAnsi="宋体" w:cs="宋体" w:eastAsia="宋体" w:hint="default"/>
          <w:b/>
          <w:bCs/>
          <w:spacing w:val="-2"/>
        </w:rPr>
        <w:t>在公安领域</w:t>
      </w:r>
      <w:r>
        <w:rPr>
          <w:spacing w:val="-2"/>
        </w:rPr>
        <w:t>，公司</w:t>
      </w:r>
      <w:r>
        <w:rPr>
          <w:rFonts w:ascii="Times New Roman" w:hAnsi="Times New Roman" w:cs="Times New Roman" w:eastAsia="Times New Roman" w:hint="default"/>
          <w:spacing w:val="-2"/>
        </w:rPr>
        <w:t>2017</w:t>
      </w:r>
      <w:r>
        <w:rPr>
          <w:spacing w:val="-2"/>
        </w:rPr>
        <w:t>年伊始与北京市公安局刑侦总队签订开展人工智能语义分析应用研究的合作协议，开始积极推进</w:t>
      </w:r>
      <w:r>
        <w:rPr/>
        <w:t> </w:t>
      </w:r>
      <w:r>
        <w:rPr>
          <w:spacing w:val="-5"/>
        </w:rPr>
        <w:t>人工智能创新产品</w:t>
      </w:r>
      <w:r>
        <w:rPr>
          <w:rFonts w:ascii="Times New Roman" w:hAnsi="Times New Roman" w:cs="Times New Roman" w:eastAsia="Times New Roman" w:hint="default"/>
          <w:spacing w:val="-5"/>
        </w:rPr>
        <w:t>“</w:t>
      </w:r>
      <w:r>
        <w:rPr>
          <w:spacing w:val="-5"/>
        </w:rPr>
        <w:t>智脑公安案情系统</w:t>
      </w:r>
      <w:r>
        <w:rPr>
          <w:rFonts w:ascii="Times New Roman" w:hAnsi="Times New Roman" w:cs="Times New Roman" w:eastAsia="Times New Roman" w:hint="default"/>
          <w:spacing w:val="-5"/>
        </w:rPr>
        <w:t>”</w:t>
      </w:r>
      <w:r>
        <w:rPr>
          <w:spacing w:val="-5"/>
        </w:rPr>
        <w:t>等平台在公安体系的落地。截至目前，公司已陆续与广西、贵州、山西、重庆、北京、</w:t>
      </w:r>
      <w:r>
        <w:rPr>
          <w:spacing w:val="-53"/>
        </w:rPr>
        <w:t> </w:t>
      </w:r>
      <w:r>
        <w:rPr>
          <w:spacing w:val="-53"/>
        </w:rPr>
      </w:r>
      <w:r>
        <w:rPr/>
        <w:t>江西、深圳、河北等各省市开展了</w:t>
      </w:r>
      <w:r>
        <w:rPr>
          <w:rFonts w:ascii="Times New Roman" w:hAnsi="Times New Roman" w:cs="Times New Roman" w:eastAsia="Times New Roman" w:hint="default"/>
        </w:rPr>
        <w:t>AI</w:t>
      </w:r>
      <w:r>
        <w:rPr/>
        <w:t>战略合作。在刑侦情报研判实战中的成绩获得客户的高度认可。公司通过将人工智能</w:t>
      </w:r>
      <w:r>
        <w:rPr>
          <w:spacing w:val="-18"/>
        </w:rPr>
        <w:t> </w:t>
      </w:r>
      <w:r>
        <w:rPr>
          <w:spacing w:val="-18"/>
        </w:rPr>
      </w:r>
      <w:r>
        <w:rPr>
          <w:spacing w:val="-2"/>
        </w:rPr>
        <w:t>技术在公安领域进一步的深入运用，对各类犯罪数据背后所蕴涵的必然的因果关系进行深入挖掘，大大解决了海量犯罪数据</w:t>
      </w:r>
      <w:r>
        <w:rPr>
          <w:spacing w:val="-64"/>
        </w:rPr>
        <w:t> </w:t>
      </w:r>
      <w:r>
        <w:rPr>
          <w:spacing w:val="-64"/>
        </w:rPr>
      </w:r>
      <w:r>
        <w:rPr>
          <w:spacing w:val="-2"/>
        </w:rPr>
        <w:t>的有效挖掘的痛点，对案件线索获取、案件串并和嫌疑人排查等情报研报工作带来了显著的效率提升，有效地提升破案效率</w:t>
      </w:r>
      <w:r>
        <w:rPr>
          <w:spacing w:val="-66"/>
        </w:rPr>
        <w:t> </w:t>
      </w:r>
      <w:r>
        <w:rPr>
          <w:spacing w:val="-66"/>
        </w:rPr>
      </w:r>
      <w:r>
        <w:rPr/>
        <w:t>的作用，运用科技前沿技术为公安事业做出贡献。</w:t>
      </w:r>
    </w:p>
    <w:p>
      <w:pPr>
        <w:pStyle w:val="BodyText"/>
        <w:spacing w:line="451" w:lineRule="auto" w:before="67"/>
        <w:ind w:left="1494" w:right="1752" w:firstLine="1"/>
        <w:jc w:val="left"/>
      </w:pPr>
      <w:r>
        <w:rPr>
          <w:rFonts w:ascii="Times New Roman" w:hAnsi="Times New Roman" w:cs="Times New Roman" w:eastAsia="Times New Roman" w:hint="default"/>
          <w:b/>
          <w:bCs/>
        </w:rPr>
        <w:t>4</w:t>
      </w:r>
      <w:r>
        <w:rPr>
          <w:rFonts w:ascii="宋体" w:hAnsi="宋体" w:cs="宋体" w:eastAsia="宋体" w:hint="default"/>
          <w:b/>
          <w:bCs/>
        </w:rPr>
        <w:t>、品牌优势</w:t>
      </w:r>
      <w:r>
        <w:rPr>
          <w:rFonts w:ascii="宋体" w:hAnsi="宋体" w:cs="宋体" w:eastAsia="宋体" w:hint="default"/>
          <w:b/>
          <w:bCs/>
          <w:w w:val="99"/>
        </w:rPr>
        <w:t> </w:t>
      </w:r>
      <w:r>
        <w:rPr/>
        <w:t>公司高度重视市场品牌建设，致力于打造信息产业内知名品牌，上市以来，公司获得的部分荣誉与奖项如下：</w:t>
      </w:r>
    </w:p>
    <w:p>
      <w:pPr>
        <w:pStyle w:val="BodyText"/>
        <w:spacing w:line="451" w:lineRule="auto" w:before="74"/>
        <w:ind w:right="1129" w:firstLine="360"/>
        <w:jc w:val="both"/>
      </w:pPr>
      <w:r>
        <w:rPr>
          <w:rFonts w:ascii="Times New Roman" w:hAnsi="Times New Roman" w:cs="Times New Roman" w:eastAsia="Times New Roman" w:hint="default"/>
        </w:rPr>
        <w:t>2009 </w:t>
      </w:r>
      <w:r>
        <w:rPr/>
        <w:t>年</w:t>
      </w:r>
      <w:r>
        <w:rPr>
          <w:rFonts w:ascii="Times New Roman" w:hAnsi="Times New Roman" w:cs="Times New Roman" w:eastAsia="Times New Roman" w:hint="default"/>
        </w:rPr>
        <w:t>-2010 </w:t>
      </w:r>
      <w:r>
        <w:rPr/>
        <w:t>年，公司被中国软件行业协会评为</w:t>
      </w:r>
      <w:r>
        <w:rPr>
          <w:rFonts w:ascii="Times New Roman" w:hAnsi="Times New Roman" w:cs="Times New Roman" w:eastAsia="Times New Roman" w:hint="default"/>
        </w:rPr>
        <w:t>“2009 </w:t>
      </w:r>
      <w:r>
        <w:rPr/>
        <w:t>中国软件产业脊梁企业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2011</w:t>
      </w:r>
      <w:r>
        <w:rPr>
          <w:rFonts w:ascii="Times New Roman" w:hAnsi="Times New Roman" w:cs="Times New Roman" w:eastAsia="Times New Roman" w:hint="default"/>
          <w:spacing w:val="11"/>
        </w:rPr>
        <w:t> </w:t>
      </w:r>
      <w:r>
        <w:rPr/>
        <w:t>年，公司被国家发展改革委、科 技部、财政部、海关总署、国家税务总局公司评为</w:t>
      </w:r>
      <w:r>
        <w:rPr>
          <w:rFonts w:ascii="Times New Roman" w:hAnsi="Times New Roman" w:cs="Times New Roman" w:eastAsia="Times New Roman" w:hint="default"/>
        </w:rPr>
        <w:t>“</w:t>
      </w:r>
      <w:r>
        <w:rPr/>
        <w:t>国家企业技术中心</w:t>
      </w:r>
      <w:r>
        <w:rPr>
          <w:rFonts w:ascii="Times New Roman" w:hAnsi="Times New Roman" w:cs="Times New Roman" w:eastAsia="Times New Roman" w:hint="default"/>
        </w:rPr>
        <w:t>”</w:t>
      </w:r>
      <w:r>
        <w:rPr/>
        <w:t>；北京中关村国际孵化软件协会评选的</w:t>
      </w:r>
      <w:r>
        <w:rPr>
          <w:rFonts w:ascii="Times New Roman" w:hAnsi="Times New Roman" w:cs="Times New Roman" w:eastAsia="Times New Roman" w:hint="default"/>
        </w:rPr>
        <w:t>“2010</w:t>
      </w:r>
      <w:r>
        <w:rPr>
          <w:rFonts w:ascii="Times New Roman" w:hAnsi="Times New Roman" w:cs="Times New Roman" w:eastAsia="Times New Roman" w:hint="default"/>
          <w:spacing w:val="-8"/>
        </w:rPr>
        <w:t> </w:t>
      </w:r>
      <w:r>
        <w:rPr/>
        <w:t>年度中 关村国家自主创新示范区核心区软件行业创新示范百强企业</w:t>
      </w:r>
      <w:r>
        <w:rPr>
          <w:rFonts w:ascii="Times New Roman" w:hAnsi="Times New Roman" w:cs="Times New Roman" w:eastAsia="Times New Roman" w:hint="default"/>
        </w:rPr>
        <w:t>”</w:t>
      </w:r>
      <w:r>
        <w:rPr/>
        <w:t>。</w:t>
      </w:r>
    </w:p>
    <w:p>
      <w:pPr>
        <w:pStyle w:val="BodyText"/>
        <w:spacing w:line="451" w:lineRule="auto" w:before="43"/>
        <w:ind w:right="1130" w:firstLine="360"/>
        <w:jc w:val="both"/>
      </w:pPr>
      <w:r>
        <w:rPr>
          <w:rFonts w:ascii="Times New Roman" w:hAnsi="Times New Roman" w:cs="Times New Roman" w:eastAsia="Times New Roman" w:hint="default"/>
        </w:rPr>
        <w:t>2011</w:t>
      </w:r>
      <w:r>
        <w:rPr>
          <w:rFonts w:ascii="Times New Roman" w:hAnsi="Times New Roman" w:cs="Times New Roman" w:eastAsia="Times New Roman" w:hint="default"/>
          <w:spacing w:val="-25"/>
        </w:rPr>
        <w:t> </w:t>
      </w:r>
      <w:r>
        <w:rPr/>
        <w:t>年</w:t>
      </w:r>
      <w:r>
        <w:rPr>
          <w:rFonts w:ascii="Times New Roman" w:hAnsi="Times New Roman" w:cs="Times New Roman" w:eastAsia="Times New Roman" w:hint="default"/>
        </w:rPr>
        <w:t>-2012</w:t>
      </w:r>
      <w:r>
        <w:rPr>
          <w:rFonts w:ascii="Times New Roman" w:hAnsi="Times New Roman" w:cs="Times New Roman" w:eastAsia="Times New Roman" w:hint="default"/>
          <w:spacing w:val="-25"/>
        </w:rPr>
        <w:t> </w:t>
      </w:r>
      <w:r>
        <w:rPr/>
        <w:t>年，公司荣获了中国软件行业协会评选的</w:t>
      </w:r>
      <w:r>
        <w:rPr>
          <w:rFonts w:ascii="Times New Roman" w:hAnsi="Times New Roman" w:cs="Times New Roman" w:eastAsia="Times New Roman" w:hint="default"/>
        </w:rPr>
        <w:t>“2011</w:t>
      </w:r>
      <w:r>
        <w:rPr>
          <w:rFonts w:ascii="Times New Roman" w:hAnsi="Times New Roman" w:cs="Times New Roman" w:eastAsia="Times New Roman" w:hint="default"/>
          <w:spacing w:val="-25"/>
        </w:rPr>
        <w:t> </w:t>
      </w:r>
      <w:r>
        <w:rPr/>
        <w:t>中国软件和信息技术服务业最有价值品牌</w:t>
      </w:r>
      <w:r>
        <w:rPr>
          <w:rFonts w:ascii="Times New Roman" w:hAnsi="Times New Roman" w:cs="Times New Roman" w:eastAsia="Times New Roman" w:hint="default"/>
        </w:rPr>
        <w:t>”</w:t>
      </w:r>
      <w:r>
        <w:rPr/>
        <w:t>；赛迪网评选的 </w:t>
      </w:r>
      <w:r>
        <w:rPr>
          <w:rFonts w:ascii="Times New Roman" w:hAnsi="Times New Roman" w:cs="Times New Roman" w:eastAsia="Times New Roman" w:hint="default"/>
        </w:rPr>
        <w:t>“2</w:t>
      </w:r>
      <w:r>
        <w:rPr>
          <w:rFonts w:ascii="Times New Roman" w:hAnsi="Times New Roman" w:cs="Times New Roman" w:eastAsia="Times New Roman" w:hint="default"/>
        </w:rPr>
        <w:t>011 </w:t>
      </w:r>
      <w:r>
        <w:rPr/>
        <w:t>年创新</w:t>
      </w:r>
      <w:r>
        <w:rPr>
          <w:spacing w:val="-45"/>
        </w:rPr>
        <w:t> </w:t>
      </w:r>
      <w:r>
        <w:rPr>
          <w:rFonts w:ascii="Times New Roman" w:hAnsi="Times New Roman" w:cs="Times New Roman" w:eastAsia="Times New Roman" w:hint="default"/>
        </w:rPr>
        <w:t>IT </w:t>
      </w:r>
      <w:r>
        <w:rPr/>
        <w:t>领军企业奖</w:t>
      </w:r>
      <w:r>
        <w:rPr>
          <w:rFonts w:ascii="Times New Roman" w:hAnsi="Times New Roman" w:cs="Times New Roman" w:eastAsia="Times New Roman" w:hint="default"/>
        </w:rPr>
        <w:t>”</w:t>
      </w:r>
      <w:r>
        <w:rPr/>
        <w:t>；中国企业联合会评选的</w:t>
      </w:r>
      <w:r>
        <w:rPr>
          <w:rFonts w:ascii="Times New Roman" w:hAnsi="Times New Roman" w:cs="Times New Roman" w:eastAsia="Times New Roman" w:hint="default"/>
        </w:rPr>
        <w:t>“2010</w:t>
      </w:r>
      <w:r>
        <w:rPr>
          <w:rFonts w:ascii="Times New Roman" w:hAnsi="Times New Roman" w:cs="Times New Roman" w:eastAsia="Times New Roman" w:hint="default"/>
        </w:rPr>
        <w:t>-2011 </w:t>
      </w:r>
      <w:r>
        <w:rPr/>
        <w:t>年度全国企业文化优秀成果</w:t>
      </w:r>
      <w:r>
        <w:rPr>
          <w:rFonts w:ascii="Times New Roman" w:hAnsi="Times New Roman" w:cs="Times New Roman" w:eastAsia="Times New Roman" w:hint="default"/>
        </w:rPr>
        <w:t>”</w:t>
      </w:r>
      <w:r>
        <w:rPr/>
        <w:t>；通信产业报社评选的</w:t>
      </w:r>
      <w:r>
        <w:rPr>
          <w:rFonts w:ascii="Times New Roman" w:hAnsi="Times New Roman" w:cs="Times New Roman" w:eastAsia="Times New Roman" w:hint="default"/>
        </w:rPr>
        <w:t>“</w:t>
      </w:r>
      <w:r>
        <w:rPr/>
        <w:t>中国 通信设备技术供应商</w:t>
      </w:r>
      <w:r>
        <w:rPr>
          <w:spacing w:val="-50"/>
        </w:rPr>
        <w:t> </w:t>
      </w:r>
      <w:r>
        <w:rPr>
          <w:rFonts w:ascii="Times New Roman" w:hAnsi="Times New Roman" w:cs="Times New Roman" w:eastAsia="Times New Roman" w:hint="default"/>
        </w:rPr>
        <w:t>50</w:t>
      </w:r>
      <w:r>
        <w:rPr>
          <w:rFonts w:ascii="Times New Roman" w:hAnsi="Times New Roman" w:cs="Times New Roman" w:eastAsia="Times New Roman" w:hint="default"/>
          <w:spacing w:val="-5"/>
        </w:rPr>
        <w:t> </w:t>
      </w:r>
      <w:r>
        <w:rPr/>
        <w:t>强（</w:t>
      </w:r>
      <w:r>
        <w:rPr>
          <w:rFonts w:ascii="Times New Roman" w:hAnsi="Times New Roman" w:cs="Times New Roman" w:eastAsia="Times New Roman" w:hint="default"/>
        </w:rPr>
        <w:t>2010-2011</w:t>
      </w:r>
      <w:r>
        <w:rPr/>
        <w:t>）</w:t>
      </w:r>
      <w:r>
        <w:rPr>
          <w:rFonts w:ascii="Times New Roman" w:hAnsi="Times New Roman" w:cs="Times New Roman" w:eastAsia="Times New Roman" w:hint="default"/>
        </w:rPr>
        <w:t>”</w:t>
      </w:r>
      <w:r>
        <w:rPr/>
        <w:t>；工业和信息化部评选的</w:t>
      </w:r>
      <w:r>
        <w:rPr>
          <w:spacing w:val="-50"/>
        </w:rPr>
        <w:t> </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2012</w:t>
      </w:r>
      <w:r>
        <w:rPr>
          <w:rFonts w:ascii="Times New Roman" w:hAnsi="Times New Roman" w:cs="Times New Roman" w:eastAsia="Times New Roman" w:hint="default"/>
          <w:spacing w:val="-5"/>
        </w:rPr>
        <w:t> </w:t>
      </w:r>
      <w:r>
        <w:rPr/>
        <w:t>年</w:t>
      </w:r>
      <w:r>
        <w:rPr>
          <w:rFonts w:ascii="Times New Roman" w:hAnsi="Times New Roman" w:cs="Times New Roman" w:eastAsia="Times New Roman" w:hint="default"/>
        </w:rPr>
        <w:t>“</w:t>
      </w:r>
      <w:r>
        <w:rPr/>
        <w:t>中国软件业务收入前百家企业</w:t>
      </w:r>
      <w:r>
        <w:rPr>
          <w:rFonts w:ascii="Times New Roman" w:hAnsi="Times New Roman" w:cs="Times New Roman" w:eastAsia="Times New Roman" w:hint="default"/>
        </w:rPr>
        <w:t>”</w:t>
      </w:r>
      <w:r>
        <w:rPr/>
        <w:t>。</w:t>
      </w:r>
    </w:p>
    <w:p>
      <w:pPr>
        <w:pStyle w:val="BodyText"/>
        <w:spacing w:line="451" w:lineRule="auto" w:before="43"/>
        <w:ind w:right="1130" w:firstLine="360"/>
        <w:jc w:val="both"/>
      </w:pPr>
      <w:r>
        <w:rPr>
          <w:rFonts w:ascii="Times New Roman" w:hAnsi="Times New Roman" w:cs="Times New Roman" w:eastAsia="Times New Roman" w:hint="default"/>
        </w:rPr>
        <w:t>2013</w:t>
      </w:r>
      <w:r>
        <w:rPr>
          <w:rFonts w:ascii="Times New Roman" w:hAnsi="Times New Roman" w:cs="Times New Roman" w:eastAsia="Times New Roman" w:hint="default"/>
          <w:spacing w:val="-7"/>
        </w:rPr>
        <w:t> </w:t>
      </w:r>
      <w:r>
        <w:rPr/>
        <w:t>年</w:t>
      </w:r>
      <w:r>
        <w:rPr>
          <w:rFonts w:ascii="Times New Roman" w:hAnsi="Times New Roman" w:cs="Times New Roman" w:eastAsia="Times New Roman" w:hint="default"/>
        </w:rPr>
        <w:t>-2014</w:t>
      </w:r>
      <w:r>
        <w:rPr>
          <w:rFonts w:ascii="Times New Roman" w:hAnsi="Times New Roman" w:cs="Times New Roman" w:eastAsia="Times New Roman" w:hint="default"/>
          <w:spacing w:val="-8"/>
        </w:rPr>
        <w:t> </w:t>
      </w:r>
      <w:r>
        <w:rPr>
          <w:spacing w:val="-10"/>
        </w:rPr>
        <w:t>年，公司获得北京市国税、地税局颁发的</w:t>
      </w:r>
      <w:r>
        <w:rPr>
          <w:spacing w:val="-52"/>
        </w:rPr>
        <w:t> </w:t>
      </w:r>
      <w:r>
        <w:rPr>
          <w:rFonts w:ascii="Times New Roman" w:hAnsi="Times New Roman" w:cs="Times New Roman" w:eastAsia="Times New Roman" w:hint="default"/>
          <w:spacing w:val="-10"/>
        </w:rPr>
        <w:t>2013</w:t>
      </w:r>
      <w:r>
        <w:rPr>
          <w:spacing w:val="-10"/>
        </w:rPr>
        <w:t>、</w:t>
      </w:r>
      <w:r>
        <w:rPr>
          <w:rFonts w:ascii="Times New Roman" w:hAnsi="Times New Roman" w:cs="Times New Roman" w:eastAsia="Times New Roman" w:hint="default"/>
          <w:spacing w:val="-10"/>
        </w:rPr>
        <w:t>2014</w:t>
      </w:r>
      <w:r>
        <w:rPr>
          <w:rFonts w:ascii="Times New Roman" w:hAnsi="Times New Roman" w:cs="Times New Roman" w:eastAsia="Times New Roman" w:hint="default"/>
          <w:spacing w:val="-8"/>
        </w:rPr>
        <w:t> </w:t>
      </w:r>
      <w:r>
        <w:rPr>
          <w:spacing w:val="-1"/>
          <w:w w:val="100"/>
        </w:rPr>
        <w:t>年</w:t>
      </w:r>
      <w:r>
        <w:rPr>
          <w:rFonts w:ascii="Times New Roman" w:hAnsi="Times New Roman" w:cs="Times New Roman" w:eastAsia="Times New Roman" w:hint="default"/>
          <w:spacing w:val="-1"/>
          <w:w w:val="100"/>
        </w:rPr>
        <w:t>“</w:t>
      </w:r>
      <w:r>
        <w:rPr>
          <w:spacing w:val="-1"/>
          <w:w w:val="100"/>
        </w:rPr>
        <w:t>纳税信用</w:t>
      </w:r>
      <w:r>
        <w:rPr>
          <w:spacing w:val="-53"/>
          <w:w w:val="100"/>
        </w:rPr>
        <w:t> </w:t>
      </w:r>
      <w:r>
        <w:rPr>
          <w:rFonts w:ascii="Times New Roman" w:hAnsi="Times New Roman" w:cs="Times New Roman" w:eastAsia="Times New Roman" w:hint="default"/>
          <w:w w:val="99"/>
        </w:rPr>
        <w:t>A</w:t>
      </w:r>
      <w:r>
        <w:rPr>
          <w:rFonts w:ascii="Times New Roman" w:hAnsi="Times New Roman" w:cs="Times New Roman" w:eastAsia="Times New Roman" w:hint="default"/>
          <w:spacing w:val="-8"/>
          <w:w w:val="99"/>
        </w:rPr>
        <w:t> </w:t>
      </w:r>
      <w:r>
        <w:rPr>
          <w:spacing w:val="-5"/>
          <w:w w:val="100"/>
        </w:rPr>
        <w:t>级企业</w:t>
      </w:r>
      <w:r>
        <w:rPr>
          <w:rFonts w:ascii="Times New Roman" w:hAnsi="Times New Roman" w:cs="Times New Roman" w:eastAsia="Times New Roman" w:hint="default"/>
          <w:spacing w:val="-5"/>
          <w:w w:val="100"/>
        </w:rPr>
        <w:t>”</w:t>
      </w:r>
      <w:r>
        <w:rPr>
          <w:spacing w:val="-5"/>
          <w:w w:val="100"/>
        </w:rPr>
        <w:t>；中国软件行业协会评选的</w:t>
      </w:r>
      <w:r>
        <w:rPr>
          <w:rFonts w:ascii="Times New Roman" w:hAnsi="Times New Roman" w:cs="Times New Roman" w:eastAsia="Times New Roman" w:hint="default"/>
          <w:spacing w:val="-5"/>
          <w:w w:val="100"/>
        </w:rPr>
        <w:t>“2013</w:t>
      </w:r>
      <w:r>
        <w:rPr>
          <w:rFonts w:ascii="Times New Roman" w:hAnsi="Times New Roman" w:cs="Times New Roman" w:eastAsia="Times New Roman" w:hint="default"/>
        </w:rPr>
        <w:t> </w:t>
      </w:r>
      <w:r>
        <w:rPr>
          <w:spacing w:val="-2"/>
        </w:rPr>
        <w:t>中国十大创新软件企业</w:t>
      </w:r>
      <w:r>
        <w:rPr>
          <w:rFonts w:ascii="Times New Roman" w:hAnsi="Times New Roman" w:cs="Times New Roman" w:eastAsia="Times New Roman" w:hint="default"/>
          <w:spacing w:val="-2"/>
        </w:rPr>
        <w:t>”</w:t>
      </w:r>
      <w:r>
        <w:rPr>
          <w:spacing w:val="-2"/>
        </w:rPr>
        <w:t>；中国电子企业协会</w:t>
      </w:r>
      <w:r>
        <w:rPr>
          <w:rFonts w:ascii="Times New Roman" w:hAnsi="Times New Roman" w:cs="Times New Roman" w:eastAsia="Times New Roman" w:hint="default"/>
          <w:spacing w:val="-2"/>
        </w:rPr>
        <w:t>“2013</w:t>
      </w:r>
      <w:r>
        <w:rPr>
          <w:rFonts w:ascii="Times New Roman" w:hAnsi="Times New Roman" w:cs="Times New Roman" w:eastAsia="Times New Roman" w:hint="default"/>
          <w:spacing w:val="16"/>
        </w:rPr>
        <w:t> </w:t>
      </w:r>
      <w:r>
        <w:rPr>
          <w:spacing w:val="-2"/>
        </w:rPr>
        <w:t>全国电子信息行业领军企业</w:t>
      </w:r>
      <w:r>
        <w:rPr>
          <w:rFonts w:ascii="Times New Roman" w:hAnsi="Times New Roman" w:cs="Times New Roman" w:eastAsia="Times New Roman" w:hint="default"/>
          <w:spacing w:val="-2"/>
        </w:rPr>
        <w:t>”</w:t>
      </w:r>
      <w:r>
        <w:rPr>
          <w:spacing w:val="-2"/>
        </w:rPr>
        <w:t>；中国通信学会评选的</w:t>
      </w:r>
      <w:r>
        <w:rPr>
          <w:rFonts w:ascii="Times New Roman" w:hAnsi="Times New Roman" w:cs="Times New Roman" w:eastAsia="Times New Roman" w:hint="default"/>
          <w:spacing w:val="-2"/>
        </w:rPr>
        <w:t>“</w:t>
      </w:r>
      <w:r>
        <w:rPr>
          <w:spacing w:val="-2"/>
        </w:rPr>
        <w:t>中国通信学会科学技</w:t>
      </w:r>
      <w:r>
        <w:rPr>
          <w:spacing w:val="-84"/>
        </w:rPr>
        <w:t> </w:t>
      </w:r>
      <w:r>
        <w:rPr>
          <w:spacing w:val="-84"/>
        </w:rPr>
      </w:r>
      <w:r>
        <w:rPr/>
        <w:t>术一等奖</w:t>
      </w:r>
      <w:r>
        <w:rPr>
          <w:rFonts w:ascii="Times New Roman" w:hAnsi="Times New Roman" w:cs="Times New Roman" w:eastAsia="Times New Roman" w:hint="default"/>
        </w:rPr>
        <w:t>”</w:t>
      </w:r>
      <w:r>
        <w:rPr/>
        <w:t>；北京软件和信息服务业协会评选的</w:t>
      </w:r>
      <w:r>
        <w:rPr>
          <w:rFonts w:ascii="Times New Roman" w:hAnsi="Times New Roman" w:cs="Times New Roman" w:eastAsia="Times New Roman" w:hint="default"/>
        </w:rPr>
        <w:t>“2014</w:t>
      </w:r>
      <w:r>
        <w:rPr>
          <w:rFonts w:ascii="Times New Roman" w:hAnsi="Times New Roman" w:cs="Times New Roman" w:eastAsia="Times New Roman" w:hint="default"/>
          <w:spacing w:val="-1"/>
        </w:rPr>
        <w:t> </w:t>
      </w:r>
      <w:r>
        <w:rPr/>
        <w:t>年度北京市诚信创建企业</w:t>
      </w:r>
      <w:r>
        <w:rPr>
          <w:rFonts w:ascii="Times New Roman" w:hAnsi="Times New Roman" w:cs="Times New Roman" w:eastAsia="Times New Roman" w:hint="default"/>
        </w:rPr>
        <w:t>”</w:t>
      </w:r>
      <w:r>
        <w:rPr/>
        <w:t>。</w:t>
      </w:r>
    </w:p>
    <w:p>
      <w:pPr>
        <w:pStyle w:val="BodyText"/>
        <w:spacing w:line="451" w:lineRule="auto" w:before="43"/>
        <w:ind w:left="1134" w:right="1130" w:firstLine="360"/>
        <w:jc w:val="both"/>
      </w:pP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t>年，公司获得工信部运行监测协调局颁发的</w:t>
      </w:r>
      <w:r>
        <w:rPr>
          <w:rFonts w:ascii="Times New Roman" w:hAnsi="Times New Roman" w:cs="Times New Roman" w:eastAsia="Times New Roman" w:hint="default"/>
        </w:rPr>
        <w:t>“2015</w:t>
      </w:r>
      <w:r>
        <w:rPr>
          <w:rFonts w:ascii="Times New Roman" w:hAnsi="Times New Roman" w:cs="Times New Roman" w:eastAsia="Times New Roman" w:hint="default"/>
          <w:spacing w:val="-12"/>
        </w:rPr>
        <w:t> </w:t>
      </w:r>
      <w:r>
        <w:rPr>
          <w:spacing w:val="-5"/>
        </w:rPr>
        <w:t>年（第</w:t>
      </w:r>
      <w:r>
        <w:rPr>
          <w:spacing w:val="-57"/>
        </w:rPr>
        <w:t> </w:t>
      </w:r>
      <w:r>
        <w:rPr>
          <w:rFonts w:ascii="Times New Roman" w:hAnsi="Times New Roman" w:cs="Times New Roman" w:eastAsia="Times New Roman" w:hint="default"/>
        </w:rPr>
        <w:t>14</w:t>
      </w:r>
      <w:r>
        <w:rPr>
          <w:rFonts w:ascii="Times New Roman" w:hAnsi="Times New Roman" w:cs="Times New Roman" w:eastAsia="Times New Roman" w:hint="default"/>
          <w:spacing w:val="-12"/>
        </w:rPr>
        <w:t> </w:t>
      </w:r>
      <w:r>
        <w:rPr/>
        <w:t>届）中国软件业务收入前百家企业</w:t>
      </w:r>
      <w:r>
        <w:rPr>
          <w:rFonts w:ascii="Times New Roman" w:hAnsi="Times New Roman" w:cs="Times New Roman" w:eastAsia="Times New Roman" w:hint="default"/>
        </w:rPr>
        <w:t>”</w:t>
      </w:r>
      <w:r>
        <w:rPr/>
        <w:t>；赛迪顾问评选的 </w:t>
      </w:r>
      <w:r>
        <w:rPr>
          <w:rFonts w:ascii="Times New Roman" w:hAnsi="Times New Roman" w:cs="Times New Roman" w:eastAsia="Times New Roman" w:hint="default"/>
        </w:rPr>
        <w:t>“2014</w:t>
      </w:r>
      <w:r>
        <w:rPr>
          <w:rFonts w:ascii="Times New Roman" w:hAnsi="Times New Roman" w:cs="Times New Roman" w:eastAsia="Times New Roman" w:hint="default"/>
        </w:rPr>
        <w:t>-2015</w:t>
      </w:r>
      <w:r>
        <w:rPr>
          <w:rFonts w:ascii="Times New Roman" w:hAnsi="Times New Roman" w:cs="Times New Roman" w:eastAsia="Times New Roman" w:hint="default"/>
          <w:spacing w:val="-4"/>
        </w:rPr>
        <w:t> </w:t>
      </w:r>
      <w:r>
        <w:rPr/>
        <w:t>年中国</w:t>
      </w:r>
      <w:r>
        <w:rPr>
          <w:spacing w:val="-49"/>
        </w:rPr>
        <w:t> </w:t>
      </w:r>
      <w:r>
        <w:rPr>
          <w:rFonts w:ascii="Times New Roman" w:hAnsi="Times New Roman" w:cs="Times New Roman" w:eastAsia="Times New Roman" w:hint="default"/>
        </w:rPr>
        <w:t>IT</w:t>
      </w:r>
      <w:r>
        <w:rPr>
          <w:rFonts w:ascii="Times New Roman" w:hAnsi="Times New Roman" w:cs="Times New Roman" w:eastAsia="Times New Roman" w:hint="default"/>
          <w:spacing w:val="-4"/>
        </w:rPr>
        <w:t> </w:t>
      </w:r>
      <w:r>
        <w:rPr/>
        <w:t>自主创新突出贡献企业</w:t>
      </w:r>
      <w:r>
        <w:rPr>
          <w:rFonts w:ascii="Times New Roman" w:hAnsi="Times New Roman" w:cs="Times New Roman" w:eastAsia="Times New Roman" w:hint="default"/>
        </w:rPr>
        <w:t>”</w:t>
      </w:r>
      <w:r>
        <w:rPr/>
        <w:t>；壳木软件获得北京中关村高新技术企业协会评选的</w:t>
      </w:r>
      <w:r>
        <w:rPr>
          <w:rFonts w:ascii="Times New Roman" w:hAnsi="Times New Roman" w:cs="Times New Roman" w:eastAsia="Times New Roman" w:hint="default"/>
        </w:rPr>
        <w:t>“2015</w:t>
      </w:r>
      <w:r>
        <w:rPr>
          <w:rFonts w:ascii="Times New Roman" w:hAnsi="Times New Roman" w:cs="Times New Roman" w:eastAsia="Times New Roman" w:hint="default"/>
          <w:spacing w:val="-4"/>
        </w:rPr>
        <w:t> </w:t>
      </w:r>
      <w:r>
        <w:rPr/>
        <w:t>中关村高成长企业 </w:t>
      </w:r>
      <w:r>
        <w:rPr>
          <w:rFonts w:ascii="Times New Roman" w:hAnsi="Times New Roman" w:cs="Times New Roman" w:eastAsia="Times New Roman" w:hint="default"/>
          <w:spacing w:val="-3"/>
          <w:w w:val="100"/>
        </w:rPr>
        <w:t>TOP100”</w:t>
      </w:r>
      <w:r>
        <w:rPr>
          <w:spacing w:val="-3"/>
          <w:w w:val="100"/>
        </w:rPr>
        <w:t>；新媒传信获得中国电子信息产业发展研究院评选的</w:t>
      </w:r>
      <w:r>
        <w:rPr>
          <w:rFonts w:ascii="Times New Roman" w:hAnsi="Times New Roman" w:cs="Times New Roman" w:eastAsia="Times New Roman" w:hint="default"/>
          <w:spacing w:val="-3"/>
          <w:w w:val="100"/>
        </w:rPr>
        <w:t>“2015</w:t>
      </w:r>
      <w:r>
        <w:rPr>
          <w:rFonts w:ascii="Times New Roman" w:hAnsi="Times New Roman" w:cs="Times New Roman" w:eastAsia="Times New Roman" w:hint="default"/>
          <w:spacing w:val="21"/>
          <w:w w:val="100"/>
        </w:rPr>
        <w:t> </w:t>
      </w:r>
      <w:r>
        <w:rPr>
          <w:w w:val="100"/>
        </w:rPr>
        <w:t>年度中国金软件互联网通信领域最具影响力企业</w:t>
      </w:r>
      <w:r>
        <w:rPr>
          <w:rFonts w:ascii="Times New Roman" w:hAnsi="Times New Roman" w:cs="Times New Roman" w:eastAsia="Times New Roman" w:hint="default"/>
          <w:w w:val="100"/>
        </w:rPr>
        <w:t>”</w:t>
      </w:r>
      <w:r>
        <w:rPr>
          <w:w w:val="100"/>
        </w:rPr>
        <w:t>等重要</w:t>
      </w:r>
      <w:r>
        <w:rPr>
          <w:spacing w:val="-86"/>
          <w:w w:val="100"/>
        </w:rPr>
        <w:t> </w:t>
      </w:r>
      <w:r>
        <w:rPr/>
        <w:t>奖项。</w:t>
      </w:r>
    </w:p>
    <w:p>
      <w:pPr>
        <w:pStyle w:val="BodyText"/>
        <w:spacing w:line="451" w:lineRule="auto" w:before="74"/>
        <w:ind w:right="1132" w:firstLine="360"/>
        <w:jc w:val="both"/>
      </w:pP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年，公司获得北京软件和信息服务业协会颁发的</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年北京软协</w:t>
      </w:r>
      <w:r>
        <w:rPr>
          <w:spacing w:val="-47"/>
        </w:rPr>
        <w:t> </w:t>
      </w:r>
      <w:r>
        <w:rPr>
          <w:rFonts w:ascii="Times New Roman" w:hAnsi="Times New Roman" w:cs="Times New Roman" w:eastAsia="Times New Roman" w:hint="default"/>
        </w:rPr>
        <w:t>30</w:t>
      </w:r>
      <w:r>
        <w:rPr>
          <w:rFonts w:ascii="Times New Roman" w:hAnsi="Times New Roman" w:cs="Times New Roman" w:eastAsia="Times New Roman" w:hint="default"/>
          <w:spacing w:val="-3"/>
        </w:rPr>
        <w:t> </w:t>
      </w:r>
      <w:r>
        <w:rPr/>
        <w:t>周年突出贡献企业</w:t>
      </w:r>
      <w:r>
        <w:rPr>
          <w:rFonts w:ascii="Times New Roman" w:hAnsi="Times New Roman" w:cs="Times New Roman" w:eastAsia="Times New Roman" w:hint="default"/>
        </w:rPr>
        <w:t>”</w:t>
      </w:r>
      <w:r>
        <w:rPr/>
        <w:t>以及</w:t>
      </w:r>
      <w:r>
        <w:rPr>
          <w:rFonts w:ascii="Times New Roman" w:hAnsi="Times New Roman" w:cs="Times New Roman" w:eastAsia="Times New Roman" w:hint="default"/>
        </w:rPr>
        <w:t>“2016</w:t>
      </w:r>
      <w:r>
        <w:rPr>
          <w:rFonts w:ascii="Times New Roman" w:hAnsi="Times New Roman" w:cs="Times New Roman" w:eastAsia="Times New Roman" w:hint="default"/>
          <w:spacing w:val="-3"/>
        </w:rPr>
        <w:t> </w:t>
      </w:r>
      <w:r>
        <w:rPr/>
        <w:t>年北京市诚信 系统集成企业</w:t>
      </w:r>
      <w:r>
        <w:rPr>
          <w:rFonts w:ascii="Times New Roman" w:hAnsi="Times New Roman" w:cs="Times New Roman" w:eastAsia="Times New Roman" w:hint="default"/>
        </w:rPr>
        <w:t>”</w:t>
      </w:r>
      <w:r>
        <w:rPr/>
        <w:t>；中国电子信息行业联合会、中国软件行业协会共同颁发的</w:t>
      </w:r>
      <w:r>
        <w:rPr>
          <w:rFonts w:ascii="Times New Roman" w:hAnsi="Times New Roman" w:cs="Times New Roman" w:eastAsia="Times New Roman" w:hint="default"/>
        </w:rPr>
        <w:t>“2016</w:t>
      </w:r>
      <w:r>
        <w:rPr>
          <w:rFonts w:ascii="Times New Roman" w:hAnsi="Times New Roman" w:cs="Times New Roman" w:eastAsia="Times New Roman" w:hint="default"/>
          <w:spacing w:val="21"/>
        </w:rPr>
        <w:t> </w:t>
      </w:r>
      <w:r>
        <w:rPr/>
        <w:t>中国软件和信息技术服务综合竞争力百强</w:t>
      </w:r>
      <w:r>
        <w:rPr>
          <w:spacing w:val="-88"/>
        </w:rPr>
        <w:t> </w:t>
      </w:r>
      <w:r>
        <w:rPr>
          <w:spacing w:val="-88"/>
        </w:rPr>
      </w:r>
      <w:r>
        <w:rPr>
          <w:spacing w:val="-3"/>
          <w:w w:val="100"/>
        </w:rPr>
        <w:t>企业</w:t>
      </w:r>
      <w:r>
        <w:rPr>
          <w:rFonts w:ascii="Times New Roman" w:hAnsi="Times New Roman" w:cs="Times New Roman" w:eastAsia="Times New Roman" w:hint="default"/>
          <w:spacing w:val="-3"/>
          <w:w w:val="100"/>
        </w:rPr>
        <w:t>”</w:t>
      </w:r>
      <w:r>
        <w:rPr>
          <w:spacing w:val="-3"/>
          <w:w w:val="100"/>
        </w:rPr>
        <w:t>；中国电子信息产业发展研究院、《软件和集成电路》杂志社共同颁发的</w:t>
      </w:r>
      <w:r>
        <w:rPr>
          <w:rFonts w:ascii="Times New Roman" w:hAnsi="Times New Roman" w:cs="Times New Roman" w:eastAsia="Times New Roman" w:hint="default"/>
          <w:spacing w:val="-3"/>
          <w:w w:val="100"/>
        </w:rPr>
        <w:t>“2016</w:t>
      </w:r>
      <w:r>
        <w:rPr>
          <w:rFonts w:ascii="Times New Roman" w:hAnsi="Times New Roman" w:cs="Times New Roman" w:eastAsia="Times New Roman" w:hint="default"/>
          <w:spacing w:val="8"/>
          <w:w w:val="100"/>
        </w:rPr>
        <w:t> </w:t>
      </w:r>
      <w:r>
        <w:rPr/>
        <w:t>年度中国大数据非结构化大数据创新企</w:t>
      </w:r>
      <w:r>
        <w:rPr>
          <w:spacing w:val="-88"/>
        </w:rPr>
        <w:t> </w:t>
      </w:r>
      <w:r>
        <w:rPr>
          <w:spacing w:val="-88"/>
        </w:rPr>
      </w:r>
      <w:r>
        <w:rPr/>
        <w:t>业</w:t>
      </w:r>
      <w:r>
        <w:rPr>
          <w:rFonts w:ascii="Times New Roman" w:hAnsi="Times New Roman" w:cs="Times New Roman" w:eastAsia="Times New Roman" w:hint="default"/>
        </w:rPr>
        <w:t>”</w:t>
      </w:r>
      <w:r>
        <w:rPr/>
        <w:t>。</w:t>
      </w:r>
    </w:p>
    <w:p>
      <w:pPr>
        <w:pStyle w:val="BodyText"/>
        <w:spacing w:line="451" w:lineRule="auto" w:before="44"/>
        <w:ind w:right="1033" w:firstLine="360"/>
        <w:jc w:val="left"/>
      </w:pPr>
      <w:r>
        <w:rPr>
          <w:rFonts w:ascii="Times New Roman" w:hAnsi="Times New Roman" w:cs="Times New Roman" w:eastAsia="Times New Roman" w:hint="default"/>
        </w:rPr>
        <w:t>2017 </w:t>
      </w:r>
      <w:r>
        <w:rPr/>
        <w:t>年，公司获得由工业和信息化部指导，中国信息通信研究院、中国通信标准化协会共同颁发的</w:t>
      </w:r>
      <w:r>
        <w:rPr>
          <w:rFonts w:ascii="Times New Roman" w:hAnsi="Times New Roman" w:cs="Times New Roman" w:eastAsia="Times New Roman" w:hint="default"/>
        </w:rPr>
        <w:t>“2017</w:t>
      </w:r>
      <w:r>
        <w:rPr>
          <w:rFonts w:ascii="Times New Roman" w:hAnsi="Times New Roman" w:cs="Times New Roman" w:eastAsia="Times New Roman" w:hint="default"/>
          <w:spacing w:val="-36"/>
        </w:rPr>
        <w:t> </w:t>
      </w:r>
      <w:r>
        <w:rPr/>
        <w:t>年度电信大数 据司马 </w:t>
      </w:r>
      <w:r>
        <w:rPr>
          <w:rFonts w:ascii="Times New Roman" w:hAnsi="Times New Roman" w:cs="Times New Roman" w:eastAsia="Times New Roman" w:hint="default"/>
        </w:rPr>
        <w:t>(SMART) </w:t>
      </w:r>
      <w:r>
        <w:rPr>
          <w:spacing w:val="-6"/>
        </w:rPr>
        <w:t>奖</w:t>
      </w:r>
      <w:r>
        <w:rPr>
          <w:rFonts w:ascii="Times New Roman" w:hAnsi="Times New Roman" w:cs="Times New Roman" w:eastAsia="Times New Roman" w:hint="default"/>
          <w:spacing w:val="-6"/>
        </w:rPr>
        <w:t>”</w:t>
      </w:r>
      <w:r>
        <w:rPr>
          <w:spacing w:val="-6"/>
        </w:rPr>
        <w:t>；中关村管委会、北京市教委等主办评选的</w:t>
      </w:r>
      <w:r>
        <w:rPr>
          <w:rFonts w:ascii="Times New Roman" w:hAnsi="Times New Roman" w:cs="Times New Roman" w:eastAsia="Times New Roman" w:hint="default"/>
          <w:spacing w:val="-6"/>
        </w:rPr>
        <w:t>“2017 </w:t>
      </w:r>
      <w:r>
        <w:rPr/>
        <w:t>中关村前沿科技创新大赛人工智能领域</w:t>
      </w:r>
      <w:r>
        <w:rPr>
          <w:spacing w:val="-31"/>
        </w:rPr>
        <w:t> </w:t>
      </w:r>
      <w:r>
        <w:rPr>
          <w:rFonts w:ascii="Times New Roman" w:hAnsi="Times New Roman" w:cs="Times New Roman" w:eastAsia="Times New Roman" w:hint="default"/>
        </w:rPr>
        <w:t>TOP10”</w:t>
      </w:r>
      <w:r>
        <w:rPr/>
        <w:t>奖项； 中国电子信息行业联合会颁发的</w:t>
      </w:r>
      <w:r>
        <w:rPr>
          <w:rFonts w:ascii="Times New Roman" w:hAnsi="Times New Roman" w:cs="Times New Roman" w:eastAsia="Times New Roman" w:hint="default"/>
        </w:rPr>
        <w:t>“</w:t>
      </w:r>
      <w:r>
        <w:rPr/>
        <w:t>信息系统集成及服务资质重点联系企业</w:t>
      </w:r>
      <w:r>
        <w:rPr>
          <w:rFonts w:ascii="Times New Roman" w:hAnsi="Times New Roman" w:cs="Times New Roman" w:eastAsia="Times New Roman" w:hint="default"/>
        </w:rPr>
        <w:t>”</w:t>
      </w:r>
      <w:r>
        <w:rPr/>
        <w:t>称号；中国电子信息行业联合会授予的</w:t>
      </w:r>
      <w:r>
        <w:rPr>
          <w:rFonts w:ascii="Times New Roman" w:hAnsi="Times New Roman" w:cs="Times New Roman" w:eastAsia="Times New Roman" w:hint="default"/>
        </w:rPr>
        <w:t>“</w:t>
      </w:r>
      <w:r>
        <w:rPr/>
        <w:t>中国电子</w:t>
      </w:r>
    </w:p>
    <w:p>
      <w:pPr>
        <w:spacing w:after="0" w:line="451" w:lineRule="auto"/>
        <w:jc w:val="left"/>
        <w:sectPr>
          <w:pgSz w:w="11910" w:h="16840"/>
          <w:pgMar w:header="851" w:footer="979" w:top="1380" w:bottom="1160" w:left="0" w:right="0"/>
        </w:sectPr>
      </w:pPr>
    </w:p>
    <w:p>
      <w:pPr>
        <w:pStyle w:val="BodyText"/>
        <w:spacing w:line="451" w:lineRule="auto" w:before="140"/>
        <w:ind w:right="1130"/>
        <w:jc w:val="both"/>
      </w:pPr>
      <w:r>
        <w:rPr/>
        <w:t>信息行业创新能力五十强企业</w:t>
      </w:r>
      <w:r>
        <w:rPr>
          <w:rFonts w:ascii="Times New Roman" w:hAnsi="Times New Roman" w:cs="Times New Roman" w:eastAsia="Times New Roman" w:hint="default"/>
        </w:rPr>
        <w:t>”</w:t>
      </w:r>
      <w:r>
        <w:rPr/>
        <w:t>、</w:t>
      </w:r>
      <w:r>
        <w:rPr>
          <w:rFonts w:ascii="Times New Roman" w:hAnsi="Times New Roman" w:cs="Times New Roman" w:eastAsia="Times New Roman" w:hint="default"/>
        </w:rPr>
        <w:t>“2017</w:t>
      </w:r>
      <w:r>
        <w:rPr>
          <w:rFonts w:ascii="Times New Roman" w:hAnsi="Times New Roman" w:cs="Times New Roman" w:eastAsia="Times New Roman" w:hint="default"/>
          <w:spacing w:val="-8"/>
        </w:rPr>
        <w:t> </w:t>
      </w:r>
      <w:r>
        <w:rPr/>
        <w:t>中国软件和信息技术服务综合竞争力百强企业</w:t>
      </w:r>
      <w:r>
        <w:rPr>
          <w:rFonts w:ascii="Times New Roman" w:hAnsi="Times New Roman" w:cs="Times New Roman" w:eastAsia="Times New Roman" w:hint="default"/>
        </w:rPr>
        <w:t>”</w:t>
      </w:r>
      <w:r>
        <w:rPr/>
        <w:t>称号；中国上市公司百强高峰论坛评 </w:t>
      </w:r>
      <w:r>
        <w:rPr>
          <w:spacing w:val="-2"/>
        </w:rPr>
        <w:t>选的</w:t>
      </w:r>
      <w:r>
        <w:rPr>
          <w:rFonts w:ascii="Times New Roman" w:hAnsi="Times New Roman" w:cs="Times New Roman" w:eastAsia="Times New Roman" w:hint="default"/>
          <w:spacing w:val="-2"/>
        </w:rPr>
        <w:t>“</w:t>
      </w:r>
      <w:r>
        <w:rPr>
          <w:spacing w:val="-2"/>
        </w:rPr>
        <w:t>中国百强企业奖</w:t>
      </w:r>
      <w:r>
        <w:rPr>
          <w:rFonts w:ascii="Times New Roman" w:hAnsi="Times New Roman" w:cs="Times New Roman" w:eastAsia="Times New Roman" w:hint="default"/>
          <w:spacing w:val="-2"/>
        </w:rPr>
        <w:t>”</w:t>
      </w:r>
      <w:r>
        <w:rPr>
          <w:spacing w:val="-2"/>
        </w:rPr>
        <w:t>；北京软件和信息服务业协会授予的</w:t>
      </w:r>
      <w:r>
        <w:rPr>
          <w:rFonts w:ascii="Times New Roman" w:hAnsi="Times New Roman" w:cs="Times New Roman" w:eastAsia="Times New Roman" w:hint="default"/>
          <w:spacing w:val="-2"/>
        </w:rPr>
        <w:t>“2017</w:t>
      </w:r>
      <w:r>
        <w:rPr>
          <w:rFonts w:ascii="Times New Roman" w:hAnsi="Times New Roman" w:cs="Times New Roman" w:eastAsia="Times New Roman" w:hint="default"/>
          <w:spacing w:val="16"/>
        </w:rPr>
        <w:t> </w:t>
      </w:r>
      <w:r>
        <w:rPr>
          <w:spacing w:val="-2"/>
        </w:rPr>
        <w:t>北京软件和信息服务业综合实力百强企业</w:t>
      </w:r>
      <w:r>
        <w:rPr>
          <w:rFonts w:ascii="Times New Roman" w:hAnsi="Times New Roman" w:cs="Times New Roman" w:eastAsia="Times New Roman" w:hint="default"/>
          <w:spacing w:val="-2"/>
        </w:rPr>
        <w:t>”</w:t>
      </w:r>
      <w:r>
        <w:rPr>
          <w:spacing w:val="-2"/>
        </w:rPr>
        <w:t>；中国生产力促</w:t>
      </w:r>
      <w:r>
        <w:rPr>
          <w:spacing w:val="-84"/>
        </w:rPr>
        <w:t> </w:t>
      </w:r>
      <w:r>
        <w:rPr>
          <w:spacing w:val="-84"/>
        </w:rPr>
      </w:r>
      <w:r>
        <w:rPr/>
        <w:t>进中心协会授予的</w:t>
      </w:r>
      <w:r>
        <w:rPr>
          <w:rFonts w:ascii="Times New Roman" w:hAnsi="Times New Roman" w:cs="Times New Roman" w:eastAsia="Times New Roman" w:hint="default"/>
        </w:rPr>
        <w:t>“2016 </w:t>
      </w:r>
      <w:r>
        <w:rPr/>
        <w:t>年度生产力促进奖</w:t>
      </w:r>
      <w:r>
        <w:rPr>
          <w:rFonts w:ascii="Times New Roman" w:hAnsi="Times New Roman" w:cs="Times New Roman" w:eastAsia="Times New Roman" w:hint="default"/>
        </w:rPr>
        <w:t>”</w:t>
      </w:r>
      <w:r>
        <w:rPr/>
        <w:t>；中国通信企业协会授予的</w:t>
      </w:r>
      <w:r>
        <w:rPr>
          <w:rFonts w:ascii="Times New Roman" w:hAnsi="Times New Roman" w:cs="Times New Roman" w:eastAsia="Times New Roman" w:hint="default"/>
        </w:rPr>
        <w:t>“2016</w:t>
      </w:r>
      <w:r>
        <w:rPr>
          <w:rFonts w:ascii="Times New Roman" w:hAnsi="Times New Roman" w:cs="Times New Roman" w:eastAsia="Times New Roman" w:hint="default"/>
        </w:rPr>
        <w:t>-2017</w:t>
      </w:r>
      <w:r>
        <w:rPr>
          <w:rFonts w:ascii="Times New Roman" w:hAnsi="Times New Roman" w:cs="Times New Roman" w:eastAsia="Times New Roman" w:hint="default"/>
          <w:spacing w:val="-14"/>
        </w:rPr>
        <w:t> </w:t>
      </w:r>
      <w:r>
        <w:rPr/>
        <w:t>年度通信网络维护服务支撑先进单位</w:t>
      </w:r>
      <w:r>
        <w:rPr>
          <w:rFonts w:ascii="Times New Roman" w:hAnsi="Times New Roman" w:cs="Times New Roman" w:eastAsia="Times New Roman" w:hint="default"/>
        </w:rPr>
        <w:t>”</w:t>
      </w:r>
      <w:r>
        <w:rPr/>
        <w:t>等 多项殊荣。神州泰岳董事长王宁先生在中国</w:t>
      </w:r>
      <w:r>
        <w:rPr>
          <w:spacing w:val="-54"/>
        </w:rPr>
        <w:t> </w:t>
      </w:r>
      <w:r>
        <w:rPr>
          <w:rFonts w:ascii="Times New Roman" w:hAnsi="Times New Roman" w:cs="Times New Roman" w:eastAsia="Times New Roman" w:hint="default"/>
        </w:rPr>
        <w:t>IT</w:t>
      </w:r>
      <w:r>
        <w:rPr>
          <w:rFonts w:ascii="Times New Roman" w:hAnsi="Times New Roman" w:cs="Times New Roman" w:eastAsia="Times New Roman" w:hint="default"/>
          <w:spacing w:val="-9"/>
        </w:rPr>
        <w:t> </w:t>
      </w:r>
      <w:r>
        <w:rPr/>
        <w:t>生态系统顶级盛会</w:t>
      </w:r>
      <w:r>
        <w:rPr>
          <w:rFonts w:ascii="Times New Roman" w:hAnsi="Times New Roman" w:cs="Times New Roman" w:eastAsia="Times New Roman" w:hint="default"/>
        </w:rPr>
        <w:t>“2017</w:t>
      </w:r>
      <w:r>
        <w:rPr>
          <w:rFonts w:ascii="Times New Roman" w:hAnsi="Times New Roman" w:cs="Times New Roman" w:eastAsia="Times New Roman" w:hint="default"/>
          <w:spacing w:val="-9"/>
        </w:rPr>
        <w:t> </w:t>
      </w:r>
      <w:r>
        <w:rPr/>
        <w:t>商业伙伴英雄会</w:t>
      </w:r>
      <w:r>
        <w:rPr>
          <w:rFonts w:ascii="Times New Roman" w:hAnsi="Times New Roman" w:cs="Times New Roman" w:eastAsia="Times New Roman" w:hint="default"/>
        </w:rPr>
        <w:t>”</w:t>
      </w:r>
      <w:r>
        <w:rPr/>
        <w:t>上荣获</w:t>
      </w:r>
      <w:r>
        <w:rPr>
          <w:rFonts w:ascii="Times New Roman" w:hAnsi="Times New Roman" w:cs="Times New Roman" w:eastAsia="Times New Roman" w:hint="default"/>
        </w:rPr>
        <w:t>“2017</w:t>
      </w:r>
      <w:r>
        <w:rPr>
          <w:rFonts w:ascii="Times New Roman" w:hAnsi="Times New Roman" w:cs="Times New Roman" w:eastAsia="Times New Roman" w:hint="default"/>
          <w:spacing w:val="-9"/>
        </w:rPr>
        <w:t> </w:t>
      </w:r>
      <w:r>
        <w:rPr/>
        <w:t>中国方案商领袖人物</w:t>
      </w:r>
      <w:r>
        <w:rPr>
          <w:rFonts w:ascii="Times New Roman" w:hAnsi="Times New Roman" w:cs="Times New Roman" w:eastAsia="Times New Roman" w:hint="default"/>
        </w:rPr>
        <w:t>”</w:t>
      </w:r>
      <w:r>
        <w:rPr>
          <w:rFonts w:ascii="Times New Roman" w:hAnsi="Times New Roman" w:cs="Times New Roman" w:eastAsia="Times New Roman" w:hint="default"/>
          <w:w w:val="100"/>
        </w:rPr>
        <w:t> </w:t>
      </w:r>
      <w:r>
        <w:rPr>
          <w:spacing w:val="-3"/>
        </w:rPr>
        <w:t>奖；神州泰岳董事副总裁杨凯程先生荣获北京中关村高新技术企业协会主办评选的</w:t>
      </w:r>
      <w:r>
        <w:rPr>
          <w:rFonts w:ascii="Times New Roman" w:hAnsi="Times New Roman" w:cs="Times New Roman" w:eastAsia="Times New Roman" w:hint="default"/>
          <w:spacing w:val="-3"/>
        </w:rPr>
        <w:t>“2016</w:t>
      </w:r>
      <w:r>
        <w:rPr>
          <w:rFonts w:ascii="Times New Roman" w:hAnsi="Times New Roman" w:cs="Times New Roman" w:eastAsia="Times New Roman" w:hint="default"/>
        </w:rPr>
        <w:t> </w:t>
      </w:r>
      <w:r>
        <w:rPr>
          <w:spacing w:val="-1"/>
          <w:w w:val="100"/>
        </w:rPr>
        <w:t>年度中关村创业之星与创投之星</w:t>
      </w:r>
      <w:r>
        <w:rPr>
          <w:rFonts w:ascii="Times New Roman" w:hAnsi="Times New Roman" w:cs="Times New Roman" w:eastAsia="Times New Roman" w:hint="default"/>
          <w:spacing w:val="-1"/>
          <w:w w:val="100"/>
        </w:rPr>
        <w:t>”</w:t>
      </w:r>
      <w:r>
        <w:rPr>
          <w:spacing w:val="-1"/>
          <w:w w:val="100"/>
        </w:rPr>
        <w:t>，</w:t>
      </w:r>
      <w:r>
        <w:rPr>
          <w:spacing w:val="-61"/>
          <w:w w:val="100"/>
        </w:rPr>
        <w:t> </w:t>
      </w:r>
      <w:r>
        <w:rPr/>
        <w:t>并当选为中国大数据产业生态联盟牵头的</w:t>
      </w:r>
      <w:r>
        <w:rPr>
          <w:rFonts w:ascii="Times New Roman" w:hAnsi="Times New Roman" w:cs="Times New Roman" w:eastAsia="Times New Roman" w:hint="default"/>
        </w:rPr>
        <w:t>“</w:t>
      </w:r>
      <w:r>
        <w:rPr/>
        <w:t>中国人工智能和大数据百人会</w:t>
      </w:r>
      <w:r>
        <w:rPr>
          <w:rFonts w:ascii="Times New Roman" w:hAnsi="Times New Roman" w:cs="Times New Roman" w:eastAsia="Times New Roman" w:hint="default"/>
        </w:rPr>
        <w:t>”</w:t>
      </w:r>
      <w:r>
        <w:rPr/>
        <w:t>首批专家委员。</w:t>
      </w:r>
    </w:p>
    <w:p>
      <w:pPr>
        <w:spacing w:after="0" w:line="451" w:lineRule="auto"/>
        <w:jc w:val="both"/>
        <w:sectPr>
          <w:pgSz w:w="11910" w:h="16840"/>
          <w:pgMar w:header="851" w:footer="979" w:top="1380" w:bottom="1160" w:left="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8"/>
          <w:szCs w:val="18"/>
        </w:rPr>
      </w:pPr>
    </w:p>
    <w:p>
      <w:pPr>
        <w:pStyle w:val="Heading1"/>
        <w:spacing w:line="240" w:lineRule="auto"/>
        <w:ind w:left="3946" w:right="0"/>
        <w:jc w:val="left"/>
        <w:rPr>
          <w:b w:val="0"/>
          <w:bCs w:val="0"/>
        </w:rPr>
      </w:pPr>
      <w:bookmarkStart w:name="第四节 经营情况讨论与分析" w:id="22"/>
      <w:bookmarkEnd w:id="22"/>
      <w:r>
        <w:rPr>
          <w:b w:val="0"/>
          <w:bCs w:val="0"/>
        </w:rPr>
      </w:r>
      <w:bookmarkStart w:name="_bookmark3" w:id="23"/>
      <w:bookmarkEnd w:id="23"/>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left="1133" w:right="0"/>
        <w:jc w:val="left"/>
        <w:rPr>
          <w:b w:val="0"/>
          <w:bCs w:val="0"/>
        </w:rPr>
      </w:pPr>
      <w:bookmarkStart w:name="一、概述" w:id="24"/>
      <w:bookmarkEnd w:id="24"/>
      <w:r>
        <w:rPr>
          <w:b w:val="0"/>
          <w:bCs w:val="0"/>
        </w:rPr>
      </w:r>
      <w:r>
        <w:rPr/>
        <w:t>一、概述</w:t>
      </w:r>
      <w:r>
        <w:rPr>
          <w:b w:val="0"/>
          <w:bCs w:val="0"/>
        </w:rPr>
      </w:r>
    </w:p>
    <w:p>
      <w:pPr>
        <w:spacing w:line="240" w:lineRule="auto" w:before="7"/>
        <w:rPr>
          <w:rFonts w:ascii="宋体" w:hAnsi="宋体" w:cs="宋体" w:eastAsia="宋体" w:hint="default"/>
          <w:b/>
          <w:bCs/>
          <w:sz w:val="32"/>
          <w:szCs w:val="32"/>
        </w:rPr>
      </w:pPr>
    </w:p>
    <w:p>
      <w:pPr>
        <w:pStyle w:val="BodyText"/>
        <w:spacing w:line="463" w:lineRule="auto"/>
        <w:ind w:right="1129" w:firstLine="360"/>
        <w:jc w:val="both"/>
      </w:pPr>
      <w:r>
        <w:rPr>
          <w:rFonts w:ascii="Times New Roman" w:hAnsi="Times New Roman" w:cs="Times New Roman" w:eastAsia="Times New Roman" w:hint="default"/>
        </w:rPr>
        <w:t>2017 </w:t>
      </w:r>
      <w:r>
        <w:rPr/>
        <w:t>年度，是公司战略转型的关键一年，在努力推进传统业务（</w:t>
      </w:r>
      <w:r>
        <w:rPr>
          <w:rFonts w:ascii="Times New Roman" w:hAnsi="Times New Roman" w:cs="Times New Roman" w:eastAsia="Times New Roman" w:hint="default"/>
        </w:rPr>
        <w:t>ICT</w:t>
      </w:r>
      <w:r>
        <w:rPr>
          <w:rFonts w:ascii="Times New Roman" w:hAnsi="Times New Roman" w:cs="Times New Roman" w:eastAsia="Times New Roman" w:hint="default"/>
          <w:spacing w:val="-34"/>
        </w:rPr>
        <w:t> </w:t>
      </w:r>
      <w:r>
        <w:rPr>
          <w:spacing w:val="-3"/>
        </w:rPr>
        <w:t>运营管理、手机游戏）的同时，着力于人工智能、</w:t>
      </w:r>
      <w:r>
        <w:rPr/>
        <w:t> </w:t>
      </w:r>
      <w:r>
        <w:rPr>
          <w:spacing w:val="-2"/>
        </w:rPr>
        <w:t>物联网的全面转型，持续加大投入力度，在技术研发与储备、市场拓展、行业应用、品牌建设、团队建设等方面打下了良好</w:t>
      </w:r>
      <w:r>
        <w:rPr>
          <w:spacing w:val="-67"/>
        </w:rPr>
        <w:t> </w:t>
      </w:r>
      <w:r>
        <w:rPr>
          <w:spacing w:val="-67"/>
        </w:rPr>
      </w:r>
      <w:r>
        <w:rPr/>
        <w:t>基础，为公司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年度及以后的业绩增长增添了强大驱动力。</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20"/>
          <w:szCs w:val="20"/>
        </w:rPr>
      </w:pPr>
    </w:p>
    <w:p>
      <w:pPr>
        <w:pStyle w:val="BodyText"/>
        <w:spacing w:line="240" w:lineRule="auto"/>
        <w:ind w:left="1494" w:right="0"/>
        <w:jc w:val="left"/>
      </w:pPr>
      <w:r>
        <w:rPr/>
        <w:t>报告期内，公司实现营业总收入</w:t>
      </w:r>
      <w:r>
        <w:rPr>
          <w:spacing w:val="-58"/>
        </w:rPr>
        <w:t> </w:t>
      </w:r>
      <w:r>
        <w:rPr>
          <w:rFonts w:ascii="Times New Roman" w:hAnsi="Times New Roman" w:cs="Times New Roman" w:eastAsia="Times New Roman" w:hint="default"/>
        </w:rPr>
        <w:t>202,649.87</w:t>
      </w:r>
      <w:r>
        <w:rPr>
          <w:rFonts w:ascii="Times New Roman" w:hAnsi="Times New Roman" w:cs="Times New Roman" w:eastAsia="Times New Roman" w:hint="default"/>
          <w:spacing w:val="-12"/>
        </w:rPr>
        <w:t> </w:t>
      </w:r>
      <w:r>
        <w:rPr/>
        <w:t>万元，较上年同期下降</w:t>
      </w:r>
      <w:r>
        <w:rPr>
          <w:spacing w:val="-58"/>
        </w:rPr>
        <w:t> </w:t>
      </w:r>
      <w:r>
        <w:rPr>
          <w:rFonts w:ascii="Times New Roman" w:hAnsi="Times New Roman" w:cs="Times New Roman" w:eastAsia="Times New Roman" w:hint="default"/>
        </w:rPr>
        <w:t>30.99%</w:t>
      </w:r>
      <w:r>
        <w:rPr/>
        <w:t>；营业利润</w:t>
      </w:r>
      <w:r>
        <w:rPr>
          <w:spacing w:val="-58"/>
        </w:rPr>
        <w:t> </w:t>
      </w:r>
      <w:r>
        <w:rPr>
          <w:rFonts w:ascii="Times New Roman" w:hAnsi="Times New Roman" w:cs="Times New Roman" w:eastAsia="Times New Roman" w:hint="default"/>
        </w:rPr>
        <w:t>10,648.19</w:t>
      </w:r>
      <w:r>
        <w:rPr>
          <w:rFonts w:ascii="Times New Roman" w:hAnsi="Times New Roman" w:cs="Times New Roman" w:eastAsia="Times New Roman" w:hint="default"/>
          <w:spacing w:val="-12"/>
        </w:rPr>
        <w:t> </w:t>
      </w:r>
      <w:r>
        <w:rPr/>
        <w:t>万元，较上年同期下降</w:t>
      </w:r>
    </w:p>
    <w:p>
      <w:pPr>
        <w:spacing w:line="240" w:lineRule="auto" w:before="9"/>
        <w:rPr>
          <w:rFonts w:ascii="宋体" w:hAnsi="宋体" w:cs="宋体" w:eastAsia="宋体" w:hint="default"/>
          <w:sz w:val="16"/>
          <w:szCs w:val="16"/>
        </w:rPr>
      </w:pPr>
    </w:p>
    <w:p>
      <w:pPr>
        <w:pStyle w:val="BodyText"/>
        <w:spacing w:line="240" w:lineRule="auto"/>
        <w:ind w:left="1134" w:right="0"/>
        <w:jc w:val="left"/>
      </w:pPr>
      <w:r>
        <w:rPr>
          <w:rFonts w:ascii="Times New Roman" w:hAnsi="Times New Roman" w:cs="Times New Roman" w:eastAsia="Times New Roman" w:hint="default"/>
        </w:rPr>
        <w:t>77.52%</w:t>
      </w:r>
      <w:r>
        <w:rPr/>
        <w:t>；实现归属于上市公司股东的净利润</w:t>
      </w:r>
      <w:r>
        <w:rPr>
          <w:spacing w:val="-50"/>
        </w:rPr>
        <w:t> </w:t>
      </w:r>
      <w:r>
        <w:rPr>
          <w:rFonts w:ascii="Times New Roman" w:hAnsi="Times New Roman" w:cs="Times New Roman" w:eastAsia="Times New Roman" w:hint="default"/>
        </w:rPr>
        <w:t>11,955.01</w:t>
      </w:r>
      <w:r>
        <w:rPr>
          <w:rFonts w:ascii="Times New Roman" w:hAnsi="Times New Roman" w:cs="Times New Roman" w:eastAsia="Times New Roman" w:hint="default"/>
          <w:spacing w:val="-4"/>
        </w:rPr>
        <w:t> </w:t>
      </w:r>
      <w:r>
        <w:rPr/>
        <w:t>万元，较上年同期下降</w:t>
      </w:r>
      <w:r>
        <w:rPr>
          <w:spacing w:val="-50"/>
        </w:rPr>
        <w:t> </w:t>
      </w:r>
      <w:r>
        <w:rPr>
          <w:rFonts w:ascii="Times New Roman" w:hAnsi="Times New Roman" w:cs="Times New Roman" w:eastAsia="Times New Roman" w:hint="default"/>
        </w:rPr>
        <w:t>76.44%</w:t>
      </w:r>
      <w:r>
        <w:rPr/>
        <w:t>。业绩下滑的具体原因如下：</w:t>
      </w:r>
    </w:p>
    <w:p>
      <w:pPr>
        <w:spacing w:line="240" w:lineRule="auto" w:before="9"/>
        <w:rPr>
          <w:rFonts w:ascii="宋体" w:hAnsi="宋体" w:cs="宋体" w:eastAsia="宋体" w:hint="default"/>
          <w:sz w:val="16"/>
          <w:szCs w:val="16"/>
        </w:rPr>
      </w:pPr>
    </w:p>
    <w:p>
      <w:pPr>
        <w:pStyle w:val="BodyText"/>
        <w:spacing w:line="463" w:lineRule="auto"/>
        <w:ind w:left="1134" w:right="1131" w:firstLine="360"/>
        <w:jc w:val="both"/>
      </w:pPr>
      <w:r>
        <w:rPr/>
        <w:t>（</w:t>
      </w:r>
      <w:r>
        <w:rPr>
          <w:rFonts w:ascii="Times New Roman" w:hAnsi="Times New Roman" w:cs="Times New Roman" w:eastAsia="Times New Roman" w:hint="default"/>
        </w:rPr>
        <w:t>1</w:t>
      </w:r>
      <w:r>
        <w:rPr/>
        <w:t>）新业务的技术探索、产品储备与市场投入大幅增加运营成本，新行业客户的拓展与项目正式签约落地、后续收入 </w:t>
      </w:r>
      <w:r>
        <w:rPr>
          <w:spacing w:val="-2"/>
        </w:rPr>
        <w:t>确认均存在一定的时间间隔，必然对当期业绩产生一定影响。公司对人工智能、物联网通信技术两大创新板块大幅增加研发</w:t>
      </w:r>
      <w:r>
        <w:rPr>
          <w:spacing w:val="-66"/>
        </w:rPr>
        <w:t> </w:t>
      </w:r>
      <w:r>
        <w:rPr>
          <w:spacing w:val="-66"/>
        </w:rPr>
      </w:r>
      <w:r>
        <w:rPr/>
        <w:t>及市场人员规模，其中人工智能板块人员数量从年初</w:t>
      </w:r>
      <w:r>
        <w:rPr>
          <w:spacing w:val="-47"/>
        </w:rPr>
        <w:t> </w:t>
      </w:r>
      <w:r>
        <w:rPr>
          <w:rFonts w:ascii="Times New Roman" w:hAnsi="Times New Roman" w:cs="Times New Roman" w:eastAsia="Times New Roman" w:hint="default"/>
        </w:rPr>
        <w:t>150</w:t>
      </w:r>
      <w:r>
        <w:rPr>
          <w:rFonts w:ascii="Times New Roman" w:hAnsi="Times New Roman" w:cs="Times New Roman" w:eastAsia="Times New Roman" w:hint="default"/>
          <w:spacing w:val="-3"/>
        </w:rPr>
        <w:t> </w:t>
      </w:r>
      <w:r>
        <w:rPr/>
        <w:t>人增至年末的</w:t>
      </w:r>
      <w:r>
        <w:rPr>
          <w:spacing w:val="-48"/>
        </w:rPr>
        <w:t> </w:t>
      </w:r>
      <w:r>
        <w:rPr>
          <w:rFonts w:ascii="Times New Roman" w:hAnsi="Times New Roman" w:cs="Times New Roman" w:eastAsia="Times New Roman" w:hint="default"/>
        </w:rPr>
        <w:t>598</w:t>
      </w:r>
      <w:r>
        <w:rPr>
          <w:rFonts w:ascii="Times New Roman" w:hAnsi="Times New Roman" w:cs="Times New Roman" w:eastAsia="Times New Roman" w:hint="default"/>
          <w:spacing w:val="-3"/>
        </w:rPr>
        <w:t> </w:t>
      </w:r>
      <w:r>
        <w:rPr/>
        <w:t>人，增幅为</w:t>
      </w:r>
      <w:r>
        <w:rPr>
          <w:spacing w:val="-48"/>
        </w:rPr>
        <w:t> </w:t>
      </w:r>
      <w:r>
        <w:rPr>
          <w:rFonts w:ascii="Times New Roman" w:hAnsi="Times New Roman" w:cs="Times New Roman" w:eastAsia="Times New Roman" w:hint="default"/>
        </w:rPr>
        <w:t>299%</w:t>
      </w:r>
      <w:r>
        <w:rPr/>
        <w:t>；物联网通信板块人员数量从</w:t>
      </w:r>
    </w:p>
    <w:p>
      <w:pPr>
        <w:pStyle w:val="BodyText"/>
        <w:spacing w:line="240" w:lineRule="auto" w:before="33"/>
        <w:ind w:left="1134" w:right="0"/>
        <w:jc w:val="left"/>
      </w:pPr>
      <w:r>
        <w:rPr/>
        <w:t>年初</w:t>
      </w:r>
      <w:r>
        <w:rPr>
          <w:spacing w:val="-46"/>
        </w:rPr>
        <w:t> </w:t>
      </w:r>
      <w:r>
        <w:rPr>
          <w:rFonts w:ascii="Times New Roman" w:hAnsi="Times New Roman" w:cs="Times New Roman" w:eastAsia="Times New Roman" w:hint="default"/>
        </w:rPr>
        <w:t>146</w:t>
      </w:r>
      <w:r>
        <w:rPr>
          <w:rFonts w:ascii="Times New Roman" w:hAnsi="Times New Roman" w:cs="Times New Roman" w:eastAsia="Times New Roman" w:hint="default"/>
          <w:spacing w:val="-1"/>
        </w:rPr>
        <w:t> </w:t>
      </w:r>
      <w:r>
        <w:rPr/>
        <w:t>人增至年末的</w:t>
      </w:r>
      <w:r>
        <w:rPr>
          <w:spacing w:val="-46"/>
        </w:rPr>
        <w:t> </w:t>
      </w:r>
      <w:r>
        <w:rPr>
          <w:rFonts w:ascii="Times New Roman" w:hAnsi="Times New Roman" w:cs="Times New Roman" w:eastAsia="Times New Roman" w:hint="default"/>
        </w:rPr>
        <w:t>277 </w:t>
      </w:r>
      <w:r>
        <w:rPr/>
        <w:t>人，增幅为</w:t>
      </w:r>
      <w:r>
        <w:rPr>
          <w:spacing w:val="-46"/>
        </w:rPr>
        <w:t> </w:t>
      </w:r>
      <w:r>
        <w:rPr>
          <w:rFonts w:ascii="Times New Roman" w:hAnsi="Times New Roman" w:cs="Times New Roman" w:eastAsia="Times New Roman" w:hint="default"/>
        </w:rPr>
        <w:t>90%</w:t>
      </w:r>
      <w:r>
        <w:rPr/>
        <w:t>；</w:t>
      </w:r>
    </w:p>
    <w:p>
      <w:pPr>
        <w:spacing w:line="240" w:lineRule="auto" w:before="10"/>
        <w:rPr>
          <w:rFonts w:ascii="宋体" w:hAnsi="宋体" w:cs="宋体" w:eastAsia="宋体" w:hint="default"/>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2</w:t>
      </w:r>
      <w:r>
        <w:rPr/>
        <w:t>）公司</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年度非经常性损益为</w:t>
      </w:r>
      <w:r>
        <w:rPr>
          <w:spacing w:val="-46"/>
        </w:rPr>
        <w:t> </w:t>
      </w:r>
      <w:r>
        <w:rPr>
          <w:rFonts w:ascii="Times New Roman" w:hAnsi="Times New Roman" w:cs="Times New Roman" w:eastAsia="Times New Roman" w:hint="default"/>
        </w:rPr>
        <w:t>6,500</w:t>
      </w:r>
      <w:r>
        <w:rPr>
          <w:rFonts w:ascii="Times New Roman" w:hAnsi="Times New Roman" w:cs="Times New Roman" w:eastAsia="Times New Roman" w:hint="default"/>
          <w:spacing w:val="-1"/>
        </w:rPr>
        <w:t> </w:t>
      </w:r>
      <w:r>
        <w:rPr/>
        <w:t>万元左右，较</w:t>
      </w:r>
      <w:r>
        <w:rPr>
          <w:spacing w:val="-46"/>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年度减少</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亿元以上；</w:t>
      </w:r>
    </w:p>
    <w:p>
      <w:pPr>
        <w:spacing w:line="240" w:lineRule="auto" w:before="9"/>
        <w:rPr>
          <w:rFonts w:ascii="宋体" w:hAnsi="宋体" w:cs="宋体" w:eastAsia="宋体" w:hint="default"/>
          <w:sz w:val="16"/>
          <w:szCs w:val="16"/>
        </w:rPr>
      </w:pPr>
    </w:p>
    <w:p>
      <w:pPr>
        <w:pStyle w:val="BodyText"/>
        <w:spacing w:line="463" w:lineRule="auto"/>
        <w:ind w:right="1130" w:firstLine="360"/>
        <w:jc w:val="both"/>
      </w:pPr>
      <w:r>
        <w:rPr>
          <w:spacing w:val="-6"/>
        </w:rPr>
        <w:t>（</w:t>
      </w:r>
      <w:r>
        <w:rPr>
          <w:rFonts w:ascii="Times New Roman" w:hAnsi="Times New Roman" w:cs="Times New Roman" w:eastAsia="Times New Roman" w:hint="default"/>
          <w:spacing w:val="-6"/>
        </w:rPr>
        <w:t>3</w:t>
      </w:r>
      <w:r>
        <w:rPr>
          <w:spacing w:val="-6"/>
        </w:rPr>
        <w:t>）公司</w:t>
      </w:r>
      <w:r>
        <w:rPr>
          <w:spacing w:val="-55"/>
        </w:rPr>
        <w:t> </w:t>
      </w:r>
      <w:r>
        <w:rPr>
          <w:rFonts w:ascii="Times New Roman" w:hAnsi="Times New Roman" w:cs="Times New Roman" w:eastAsia="Times New Roman" w:hint="default"/>
        </w:rPr>
        <w:t>ICT</w:t>
      </w:r>
      <w:r>
        <w:rPr>
          <w:rFonts w:ascii="Times New Roman" w:hAnsi="Times New Roman" w:cs="Times New Roman" w:eastAsia="Times New Roman" w:hint="default"/>
          <w:spacing w:val="-10"/>
        </w:rPr>
        <w:t> </w:t>
      </w:r>
      <w:r>
        <w:rPr/>
        <w:t>运营管理业务因为大客户业务管理体系的调整等因素，大大影响了项目的推进进程，</w:t>
      </w: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t>年度</w:t>
      </w:r>
      <w:r>
        <w:rPr>
          <w:spacing w:val="-55"/>
        </w:rPr>
        <w:t> </w:t>
      </w:r>
      <w:r>
        <w:rPr>
          <w:rFonts w:ascii="Times New Roman" w:hAnsi="Times New Roman" w:cs="Times New Roman" w:eastAsia="Times New Roman" w:hint="default"/>
        </w:rPr>
        <w:t>ICT</w:t>
      </w:r>
      <w:r>
        <w:rPr>
          <w:rFonts w:ascii="Times New Roman" w:hAnsi="Times New Roman" w:cs="Times New Roman" w:eastAsia="Times New Roman" w:hint="default"/>
          <w:spacing w:val="-10"/>
        </w:rPr>
        <w:t> </w:t>
      </w:r>
      <w:r>
        <w:rPr/>
        <w:t>运营 </w:t>
      </w:r>
      <w:r>
        <w:rPr>
          <w:spacing w:val="-2"/>
        </w:rPr>
        <w:t>管理（尤其是移动互联网运营支撑方面）业务的经营业绩受此因素影响下滑严重。目前，主要大客户管理体系基本到位，公</w:t>
      </w:r>
      <w:r>
        <w:rPr>
          <w:spacing w:val="-66"/>
        </w:rPr>
        <w:t> </w:t>
      </w:r>
      <w:r>
        <w:rPr>
          <w:spacing w:val="-66"/>
        </w:rPr>
      </w:r>
      <w:r>
        <w:rPr/>
        <w:t>司亦有针对性的调整优化</w:t>
      </w:r>
      <w:r>
        <w:rPr>
          <w:spacing w:val="-46"/>
        </w:rPr>
        <w:t> </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产品与市场结构，</w:t>
      </w:r>
      <w:r>
        <w:rPr>
          <w:rFonts w:ascii="Times New Roman" w:hAnsi="Times New Roman" w:cs="Times New Roman" w:eastAsia="Times New Roman" w:hint="default"/>
        </w:rPr>
        <w:t>ICT</w:t>
      </w:r>
      <w:r>
        <w:rPr>
          <w:rFonts w:ascii="Times New Roman" w:hAnsi="Times New Roman" w:cs="Times New Roman" w:eastAsia="Times New Roman" w:hint="default"/>
          <w:spacing w:val="-1"/>
        </w:rPr>
        <w:t> </w:t>
      </w:r>
      <w:r>
        <w:rPr/>
        <w:t>业务下滑状况会在在</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年度得到根本的修复与改善；</w:t>
      </w:r>
    </w:p>
    <w:p>
      <w:pPr>
        <w:pStyle w:val="BodyText"/>
        <w:spacing w:line="451" w:lineRule="auto" w:before="33"/>
        <w:ind w:left="1134" w:right="1132" w:firstLine="360"/>
        <w:jc w:val="both"/>
      </w:pPr>
      <w:r>
        <w:rPr>
          <w:spacing w:val="-4"/>
        </w:rPr>
        <w:t>（</w:t>
      </w:r>
      <w:r>
        <w:rPr>
          <w:rFonts w:ascii="Times New Roman" w:hAnsi="Times New Roman" w:cs="Times New Roman" w:eastAsia="Times New Roman" w:hint="default"/>
          <w:spacing w:val="-4"/>
        </w:rPr>
        <w:t>4</w:t>
      </w:r>
      <w:r>
        <w:rPr>
          <w:spacing w:val="-4"/>
        </w:rPr>
        <w:t>）公司债务融资金额大幅增加，受公司银行借款、发行债券应付利息增加以及汇率变动带来的汇兑损失等原因影响，</w:t>
      </w:r>
      <w:r>
        <w:rPr/>
        <w:t> 财务费用同比增加</w:t>
      </w:r>
      <w:r>
        <w:rPr>
          <w:spacing w:val="-46"/>
        </w:rPr>
        <w:t> </w:t>
      </w:r>
      <w:r>
        <w:rPr>
          <w:rFonts w:ascii="Times New Roman" w:hAnsi="Times New Roman" w:cs="Times New Roman" w:eastAsia="Times New Roman" w:hint="default"/>
        </w:rPr>
        <w:t>6,000</w:t>
      </w:r>
      <w:r>
        <w:rPr>
          <w:rFonts w:ascii="Times New Roman" w:hAnsi="Times New Roman" w:cs="Times New Roman" w:eastAsia="Times New Roman" w:hint="default"/>
          <w:spacing w:val="-1"/>
        </w:rPr>
        <w:t> </w:t>
      </w:r>
      <w:r>
        <w:rPr/>
        <w:t>万元以上；</w:t>
      </w:r>
    </w:p>
    <w:p>
      <w:pPr>
        <w:pStyle w:val="BodyText"/>
        <w:spacing w:line="451" w:lineRule="auto" w:before="43"/>
        <w:ind w:right="1025" w:firstLine="360"/>
        <w:jc w:val="left"/>
      </w:pPr>
      <w:r>
        <w:rPr/>
        <w:t>（</w:t>
      </w:r>
      <w:r>
        <w:rPr>
          <w:rFonts w:ascii="Times New Roman" w:hAnsi="Times New Roman" w:cs="Times New Roman" w:eastAsia="Times New Roman" w:hint="default"/>
        </w:rPr>
        <w:t>5</w:t>
      </w:r>
      <w:r>
        <w:rPr/>
        <w:t>）公司系统集成业务和销售政策之前普遍采取赊销方式，虽然公司</w:t>
      </w:r>
      <w:r>
        <w:rPr>
          <w:spacing w:val="-4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年已开始大规模缩减系统集成类业务规模， 并加紧催收相应的应收账款，但是应收款项余额较大，坏账计提金额较大。</w:t>
      </w:r>
      <w:r>
        <w:rPr>
          <w:rFonts w:ascii="Times New Roman" w:hAnsi="Times New Roman" w:cs="Times New Roman" w:eastAsia="Times New Roman" w:hint="default"/>
        </w:rPr>
        <w:t>2017 </w:t>
      </w:r>
      <w:r>
        <w:rPr/>
        <w:t>年度公司因这一部分业务而计提的应收账</w:t>
      </w:r>
      <w:r>
        <w:rPr>
          <w:spacing w:val="-82"/>
        </w:rPr>
        <w:t> </w:t>
      </w:r>
      <w:r>
        <w:rPr>
          <w:spacing w:val="-82"/>
        </w:rPr>
      </w:r>
      <w:r>
        <w:rPr/>
        <w:t>款坏账准备，对净利润的影响金额在</w:t>
      </w:r>
      <w:r>
        <w:rPr>
          <w:spacing w:val="-33"/>
        </w:rPr>
        <w:t> </w:t>
      </w:r>
      <w:r>
        <w:rPr>
          <w:rFonts w:ascii="Times New Roman" w:hAnsi="Times New Roman" w:cs="Times New Roman" w:eastAsia="Times New Roman" w:hint="default"/>
        </w:rPr>
        <w:t>4,000</w:t>
      </w:r>
      <w:r>
        <w:rPr>
          <w:rFonts w:ascii="Times New Roman" w:hAnsi="Times New Roman" w:cs="Times New Roman" w:eastAsia="Times New Roman" w:hint="default"/>
          <w:spacing w:val="12"/>
        </w:rPr>
        <w:t> </w:t>
      </w:r>
      <w:r>
        <w:rPr/>
        <w:t>万元以上。公司自</w:t>
      </w:r>
      <w:r>
        <w:rPr>
          <w:spacing w:val="-33"/>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1"/>
        </w:rPr>
        <w:t> </w:t>
      </w:r>
      <w:r>
        <w:rPr/>
        <w:t>年起对系统集成业务进行大力调整，严格把控系统集成 发展规模、签约方式、客户回款力度，以降低此类业务的风险。</w:t>
      </w:r>
    </w:p>
    <w:p>
      <w:pPr>
        <w:pStyle w:val="BodyText"/>
        <w:spacing w:line="451" w:lineRule="auto" w:before="74"/>
        <w:ind w:right="1130" w:firstLine="360"/>
        <w:jc w:val="both"/>
      </w:pPr>
      <w:r>
        <w:rPr/>
        <w:t>战略的升级与调整是公司持续发展的重要源泉，</w:t>
      </w:r>
      <w:r>
        <w:rPr>
          <w:rFonts w:ascii="Times New Roman" w:hAnsi="Times New Roman" w:cs="Times New Roman" w:eastAsia="Times New Roman" w:hint="default"/>
        </w:rPr>
        <w:t>2017</w:t>
      </w:r>
      <w:r>
        <w:rPr>
          <w:rFonts w:ascii="Times New Roman" w:hAnsi="Times New Roman" w:cs="Times New Roman" w:eastAsia="Times New Roman" w:hint="default"/>
          <w:spacing w:val="8"/>
        </w:rPr>
        <w:t> </w:t>
      </w:r>
      <w:r>
        <w:rPr/>
        <w:t>年度净利润下滑主要原因在于战略转型阶段的大规模投入，只是 暂时性的、阶段的。基于大规模战略性投入所形成的良好基础，预计人工智能、物联网业务在</w:t>
      </w:r>
      <w:r>
        <w:rPr>
          <w:spacing w:val="-40"/>
        </w:rPr>
        <w:t> </w:t>
      </w:r>
      <w:r>
        <w:rPr>
          <w:rFonts w:ascii="Times New Roman" w:hAnsi="Times New Roman" w:cs="Times New Roman" w:eastAsia="Times New Roman" w:hint="default"/>
        </w:rPr>
        <w:t>2018</w:t>
      </w:r>
      <w:r>
        <w:rPr>
          <w:rFonts w:ascii="Times New Roman" w:hAnsi="Times New Roman" w:cs="Times New Roman" w:eastAsia="Times New Roman" w:hint="default"/>
          <w:spacing w:val="4"/>
        </w:rPr>
        <w:t> </w:t>
      </w:r>
      <w:r>
        <w:rPr/>
        <w:t>年度将有良好的业绩贡 献，并形成公司新的业绩支柱。具体业务板块经营情况如下：</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3"/>
          <w:szCs w:val="23"/>
        </w:rPr>
      </w:pPr>
    </w:p>
    <w:p>
      <w:pPr>
        <w:pStyle w:val="Heading4"/>
        <w:spacing w:line="240" w:lineRule="auto"/>
        <w:ind w:right="0"/>
        <w:jc w:val="left"/>
        <w:rPr>
          <w:b w:val="0"/>
          <w:bCs w:val="0"/>
        </w:rPr>
      </w:pPr>
      <w:r>
        <w:rPr>
          <w:rFonts w:ascii="Times New Roman" w:hAnsi="Times New Roman" w:cs="Times New Roman" w:eastAsia="Times New Roman" w:hint="default"/>
        </w:rPr>
        <w:t>1</w:t>
      </w:r>
      <w:r>
        <w:rPr/>
        <w:t>、人工智能大数据领域</w:t>
      </w:r>
      <w:r>
        <w:rPr>
          <w:b w:val="0"/>
          <w:bCs w:val="0"/>
        </w:rPr>
      </w:r>
    </w:p>
    <w:p>
      <w:pPr>
        <w:spacing w:after="0" w:line="240" w:lineRule="auto"/>
        <w:jc w:val="left"/>
        <w:sectPr>
          <w:pgSz w:w="11910" w:h="16840"/>
          <w:pgMar w:header="851" w:footer="979" w:top="1380" w:bottom="1160" w:left="0" w:right="0"/>
        </w:sectPr>
      </w:pPr>
    </w:p>
    <w:p>
      <w:pPr>
        <w:pStyle w:val="BodyText"/>
        <w:spacing w:line="451" w:lineRule="auto" w:before="140"/>
        <w:ind w:right="1134" w:firstLine="360"/>
        <w:jc w:val="both"/>
      </w:pPr>
      <w:r>
        <w:rPr/>
        <w:t>公司人工智能大数据板块</w:t>
      </w:r>
      <w:r>
        <w:rPr>
          <w:rFonts w:ascii="宋体" w:hAnsi="宋体" w:cs="宋体" w:eastAsia="宋体" w:hint="default"/>
          <w:b/>
          <w:bCs/>
        </w:rPr>
        <w:t>以自然语言处理（</w:t>
      </w:r>
      <w:r>
        <w:rPr>
          <w:rFonts w:ascii="Times New Roman" w:hAnsi="Times New Roman" w:cs="Times New Roman" w:eastAsia="Times New Roman" w:hint="default"/>
          <w:b/>
          <w:bCs/>
        </w:rPr>
        <w:t>NLP</w:t>
      </w:r>
      <w:r>
        <w:rPr>
          <w:rFonts w:ascii="宋体" w:hAnsi="宋体" w:cs="宋体" w:eastAsia="宋体" w:hint="default"/>
          <w:b/>
          <w:bCs/>
        </w:rPr>
        <w:t>）为核心</w:t>
      </w:r>
      <w:r>
        <w:rPr/>
        <w:t>，专注于行业创新场景化的落地，将独到的自然语言语义分 析技术、深度学习、大数据技术、互联网信息采集技术等进行融合，解决不同垂直行业业务系统的人工智能化。</w:t>
      </w:r>
    </w:p>
    <w:p>
      <w:pPr>
        <w:pStyle w:val="BodyText"/>
        <w:spacing w:line="451" w:lineRule="auto" w:before="74"/>
        <w:ind w:left="1134" w:right="1128" w:firstLine="361"/>
        <w:jc w:val="both"/>
      </w:pPr>
      <w:r>
        <w:rPr>
          <w:rFonts w:ascii="宋体" w:hAnsi="宋体" w:cs="宋体" w:eastAsia="宋体" w:hint="default"/>
          <w:b/>
          <w:bCs/>
          <w:w w:val="95"/>
        </w:rPr>
        <w:t>（</w:t>
      </w:r>
      <w:r>
        <w:rPr>
          <w:rFonts w:ascii="Times New Roman" w:hAnsi="Times New Roman" w:cs="Times New Roman" w:eastAsia="Times New Roman" w:hint="default"/>
          <w:b/>
          <w:bCs/>
          <w:w w:val="95"/>
        </w:rPr>
        <w:t>1</w:t>
      </w:r>
      <w:r>
        <w:rPr>
          <w:rFonts w:ascii="宋体" w:hAnsi="宋体" w:cs="宋体" w:eastAsia="宋体" w:hint="default"/>
          <w:b/>
          <w:bCs/>
          <w:w w:val="95"/>
        </w:rPr>
        <w:t>）报告期内，公司进一步完善人工智能自然语言语义分析完整的产品框架体系</w:t>
      </w:r>
      <w:r>
        <w:rPr>
          <w:w w:val="95"/>
        </w:rPr>
        <w:t>，使得公司的自然语言语义分析产品</w:t>
      </w:r>
      <w:r>
        <w:rPr>
          <w:spacing w:val="-4"/>
          <w:w w:val="95"/>
        </w:rPr>
        <w:t> </w:t>
      </w:r>
      <w:r>
        <w:rPr>
          <w:spacing w:val="-4"/>
          <w:w w:val="95"/>
        </w:rPr>
      </w:r>
      <w:r>
        <w:rPr>
          <w:w w:val="99"/>
        </w:rPr>
        <w:t>线更加趋于完善，具有了自然语言语义分析基础核心算法层（</w:t>
      </w:r>
      <w:r>
        <w:rPr>
          <w:rFonts w:ascii="Times New Roman" w:hAnsi="Times New Roman" w:cs="Times New Roman" w:eastAsia="Times New Roman" w:hint="default"/>
          <w:w w:val="99"/>
        </w:rPr>
        <w:t>NLP</w:t>
      </w:r>
      <w:r>
        <w:rPr>
          <w:rFonts w:ascii="Times New Roman" w:hAnsi="Times New Roman" w:cs="Times New Roman" w:eastAsia="Times New Roman" w:hint="default"/>
          <w:spacing w:val="22"/>
          <w:w w:val="99"/>
        </w:rPr>
        <w:t> </w:t>
      </w:r>
      <w:r>
        <w:rPr>
          <w:rFonts w:ascii="Times New Roman" w:hAnsi="Times New Roman" w:cs="Times New Roman" w:eastAsia="Times New Roman" w:hint="default"/>
          <w:spacing w:val="-6"/>
          <w:w w:val="99"/>
        </w:rPr>
        <w:t>API</w:t>
      </w:r>
      <w:r>
        <w:rPr>
          <w:spacing w:val="-6"/>
          <w:w w:val="99"/>
        </w:rPr>
        <w:t>）、非结构化文本分析挖掘平台（</w:t>
      </w:r>
      <w:r>
        <w:rPr>
          <w:rFonts w:ascii="Times New Roman" w:hAnsi="Times New Roman" w:cs="Times New Roman" w:eastAsia="Times New Roman" w:hint="default"/>
          <w:spacing w:val="-6"/>
          <w:w w:val="99"/>
        </w:rPr>
        <w:t>DINFO-OEC</w:t>
      </w:r>
      <w:r>
        <w:rPr>
          <w:spacing w:val="-6"/>
          <w:w w:val="99"/>
        </w:rPr>
        <w:t>）、面</w:t>
      </w:r>
      <w:r>
        <w:rPr>
          <w:spacing w:val="-86"/>
          <w:w w:val="99"/>
        </w:rPr>
        <w:t> </w:t>
      </w:r>
      <w:r>
        <w:rPr>
          <w:spacing w:val="-86"/>
          <w:w w:val="99"/>
        </w:rPr>
      </w:r>
      <w:r>
        <w:rPr>
          <w:spacing w:val="-2"/>
        </w:rPr>
        <w:t>向智能交互的小富智能对话机器人和</w:t>
      </w:r>
      <w:r>
        <w:rPr>
          <w:rFonts w:ascii="Times New Roman" w:hAnsi="Times New Roman" w:cs="Times New Roman" w:eastAsia="Times New Roman" w:hint="default"/>
          <w:spacing w:val="-2"/>
        </w:rPr>
        <w:t>“</w:t>
      </w:r>
      <w:r>
        <w:rPr>
          <w:spacing w:val="-2"/>
        </w:rPr>
        <w:t>智享云</w:t>
      </w:r>
      <w:r>
        <w:rPr>
          <w:rFonts w:ascii="Times New Roman" w:hAnsi="Times New Roman" w:cs="Times New Roman" w:eastAsia="Times New Roman" w:hint="default"/>
          <w:spacing w:val="-2"/>
        </w:rPr>
        <w:t>”</w:t>
      </w:r>
      <w:r>
        <w:rPr>
          <w:spacing w:val="-2"/>
        </w:rPr>
        <w:t>业务创新信息综合服务云平台，公司已经成为目前为数不多的能够输出自然语</w:t>
      </w:r>
      <w:r>
        <w:rPr>
          <w:spacing w:val="-44"/>
        </w:rPr>
        <w:t> </w:t>
      </w:r>
      <w:r>
        <w:rPr>
          <w:spacing w:val="-44"/>
        </w:rPr>
      </w:r>
      <w:r>
        <w:rPr/>
        <w:t>言语义分析技术、产品和服务的公司。</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line="4593" w:lineRule="exact"/>
        <w:ind w:left="1798" w:right="0" w:firstLine="0"/>
        <w:rPr>
          <w:rFonts w:ascii="宋体" w:hAnsi="宋体" w:cs="宋体" w:eastAsia="宋体" w:hint="default"/>
          <w:sz w:val="20"/>
          <w:szCs w:val="20"/>
        </w:rPr>
      </w:pPr>
      <w:r>
        <w:rPr>
          <w:rFonts w:ascii="宋体" w:hAnsi="宋体" w:cs="宋体" w:eastAsia="宋体" w:hint="default"/>
          <w:position w:val="-91"/>
          <w:sz w:val="20"/>
          <w:szCs w:val="20"/>
        </w:rPr>
        <w:drawing>
          <wp:inline distT="0" distB="0" distL="0" distR="0">
            <wp:extent cx="5227199" cy="2916936"/>
            <wp:effectExtent l="0" t="0" r="0" b="0"/>
            <wp:docPr id="21" name="image34.jpeg" descr=""/>
            <wp:cNvGraphicFramePr>
              <a:graphicFrameLocks noChangeAspect="1"/>
            </wp:cNvGraphicFramePr>
            <a:graphic>
              <a:graphicData uri="http://schemas.openxmlformats.org/drawingml/2006/picture">
                <pic:pic>
                  <pic:nvPicPr>
                    <pic:cNvPr id="22" name="image34.jpeg"/>
                    <pic:cNvPicPr/>
                  </pic:nvPicPr>
                  <pic:blipFill>
                    <a:blip r:embed="rId41" cstate="print"/>
                    <a:stretch>
                      <a:fillRect/>
                    </a:stretch>
                  </pic:blipFill>
                  <pic:spPr>
                    <a:xfrm>
                      <a:off x="0" y="0"/>
                      <a:ext cx="5227199" cy="2916936"/>
                    </a:xfrm>
                    <a:prstGeom prst="rect">
                      <a:avLst/>
                    </a:prstGeom>
                  </pic:spPr>
                </pic:pic>
              </a:graphicData>
            </a:graphic>
          </wp:inline>
        </w:drawing>
      </w:r>
      <w:r>
        <w:rPr>
          <w:rFonts w:ascii="宋体" w:hAnsi="宋体" w:cs="宋体" w:eastAsia="宋体" w:hint="default"/>
          <w:position w:val="-91"/>
          <w:sz w:val="20"/>
          <w:szCs w:val="20"/>
        </w:rPr>
      </w:r>
    </w:p>
    <w:p>
      <w:pPr>
        <w:pStyle w:val="Heading4"/>
        <w:spacing w:line="240" w:lineRule="auto" w:before="161"/>
        <w:ind w:left="0" w:right="0"/>
        <w:jc w:val="center"/>
        <w:rPr>
          <w:b w:val="0"/>
          <w:bCs w:val="0"/>
        </w:rPr>
      </w:pPr>
      <w:r>
        <w:rPr/>
        <w:t>（</w:t>
      </w:r>
      <w:r>
        <w:rPr>
          <w:rFonts w:ascii="Times New Roman" w:hAnsi="Times New Roman" w:cs="Times New Roman" w:eastAsia="Times New Roman" w:hint="default"/>
        </w:rPr>
        <w:t>DINFO-OEC</w:t>
      </w:r>
      <w:r>
        <w:rPr/>
        <w:t>结构图）</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6"/>
          <w:szCs w:val="16"/>
        </w:rPr>
      </w:pPr>
    </w:p>
    <w:p>
      <w:pPr>
        <w:pStyle w:val="Heading4"/>
        <w:spacing w:line="451" w:lineRule="auto"/>
        <w:ind w:left="1134" w:right="1132" w:firstLine="361"/>
        <w:jc w:val="both"/>
        <w:rPr>
          <w:b w:val="0"/>
          <w:bCs w:val="0"/>
        </w:rPr>
      </w:pPr>
      <w:r>
        <w:rPr/>
        <w:t>（</w:t>
      </w:r>
      <w:r>
        <w:rPr>
          <w:rFonts w:ascii="Times New Roman" w:hAnsi="Times New Roman" w:cs="Times New Roman" w:eastAsia="Times New Roman" w:hint="default"/>
        </w:rPr>
        <w:t>2</w:t>
      </w:r>
      <w:r>
        <w:rPr/>
        <w:t>）报告期内，公司依托公司自主知识产权的自然语言语义分析的</w:t>
      </w:r>
      <w:r>
        <w:rPr>
          <w:rFonts w:ascii="Times New Roman" w:hAnsi="Times New Roman" w:cs="Times New Roman" w:eastAsia="Times New Roman" w:hint="default"/>
        </w:rPr>
        <w:t>DINFO-OEC</w:t>
      </w:r>
      <w:r>
        <w:rPr/>
        <w:t>平台、互联网信息采集的蜂鸟系统和</w:t>
      </w:r>
      <w:r>
        <w:rPr>
          <w:spacing w:val="1"/>
          <w:w w:val="99"/>
        </w:rPr>
        <w:t> </w:t>
      </w:r>
      <w:r>
        <w:rPr/>
        <w:t>大数据流水线系统发布了</w:t>
      </w:r>
      <w:r>
        <w:rPr>
          <w:rFonts w:ascii="Times New Roman" w:hAnsi="Times New Roman" w:cs="Times New Roman" w:eastAsia="Times New Roman" w:hint="default"/>
        </w:rPr>
        <w:t>“</w:t>
      </w:r>
      <w:r>
        <w:rPr/>
        <w:t>智享云</w:t>
      </w:r>
      <w:r>
        <w:rPr>
          <w:rFonts w:ascii="Times New Roman" w:hAnsi="Times New Roman" w:cs="Times New Roman" w:eastAsia="Times New Roman" w:hint="default"/>
        </w:rPr>
        <w:t>”</w:t>
      </w:r>
      <w:r>
        <w:rPr/>
        <w:t>业务创新共享服务云平台。</w:t>
      </w:r>
      <w:r>
        <w:rPr>
          <w:b w:val="0"/>
          <w:bCs w:val="0"/>
        </w:rPr>
      </w:r>
    </w:p>
    <w:p>
      <w:pPr>
        <w:pStyle w:val="BodyText"/>
        <w:spacing w:line="477" w:lineRule="auto" w:before="43"/>
        <w:ind w:right="1131" w:firstLine="360"/>
        <w:jc w:val="both"/>
      </w:pPr>
      <w:r>
        <w:rPr>
          <w:spacing w:val="-2"/>
        </w:rPr>
        <w:t>智享云平台秉持共享互赢的生态理念，为行业用户与合作伙伴提供更贴近业务场景的原子服务，使得每个用户都可以通</w:t>
      </w:r>
      <w:r>
        <w:rPr/>
        <w:t> </w:t>
      </w:r>
      <w:r>
        <w:rPr>
          <w:spacing w:val="-2"/>
        </w:rPr>
        <w:t>过平台找到或者组合出符合自身需要的专属产品和服务，智享云平台在报告期内一经推出就在公安等行业得到了应用并获得</w:t>
      </w:r>
      <w:r>
        <w:rPr>
          <w:spacing w:val="-64"/>
        </w:rPr>
        <w:t> </w:t>
      </w:r>
      <w:r>
        <w:rPr>
          <w:spacing w:val="-64"/>
        </w:rPr>
      </w:r>
      <w:r>
        <w:rPr/>
        <w:t>了千万级订单。</w:t>
      </w:r>
    </w:p>
    <w:p>
      <w:pPr>
        <w:spacing w:after="0" w:line="477" w:lineRule="auto"/>
        <w:jc w:val="both"/>
        <w:sectPr>
          <w:pgSz w:w="11910" w:h="16840"/>
          <w:pgMar w:header="851" w:footer="979" w:top="1380" w:bottom="1160" w:left="0" w:right="0"/>
        </w:sectPr>
      </w:pPr>
    </w:p>
    <w:p>
      <w:pPr>
        <w:spacing w:line="240" w:lineRule="auto" w:before="11"/>
        <w:rPr>
          <w:rFonts w:ascii="宋体" w:hAnsi="宋体" w:cs="宋体" w:eastAsia="宋体" w:hint="default"/>
          <w:sz w:val="10"/>
          <w:szCs w:val="10"/>
        </w:rPr>
      </w:pPr>
    </w:p>
    <w:p>
      <w:pPr>
        <w:spacing w:line="4492" w:lineRule="exact"/>
        <w:ind w:left="2056"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5074257" cy="2852928"/>
            <wp:effectExtent l="0" t="0" r="0" b="0"/>
            <wp:docPr id="23" name="image35.jpeg" descr=""/>
            <wp:cNvGraphicFramePr>
              <a:graphicFrameLocks noChangeAspect="1"/>
            </wp:cNvGraphicFramePr>
            <a:graphic>
              <a:graphicData uri="http://schemas.openxmlformats.org/drawingml/2006/picture">
                <pic:pic>
                  <pic:nvPicPr>
                    <pic:cNvPr id="24" name="image35.jpeg"/>
                    <pic:cNvPicPr/>
                  </pic:nvPicPr>
                  <pic:blipFill>
                    <a:blip r:embed="rId42" cstate="print"/>
                    <a:stretch>
                      <a:fillRect/>
                    </a:stretch>
                  </pic:blipFill>
                  <pic:spPr>
                    <a:xfrm>
                      <a:off x="0" y="0"/>
                      <a:ext cx="5074257" cy="2852928"/>
                    </a:xfrm>
                    <a:prstGeom prst="rect">
                      <a:avLst/>
                    </a:prstGeom>
                  </pic:spPr>
                </pic:pic>
              </a:graphicData>
            </a:graphic>
          </wp:inline>
        </w:drawing>
      </w:r>
      <w:r>
        <w:rPr>
          <w:rFonts w:ascii="宋体" w:hAnsi="宋体" w:cs="宋体" w:eastAsia="宋体" w:hint="default"/>
          <w:position w:val="-89"/>
          <w:sz w:val="20"/>
          <w:szCs w:val="20"/>
        </w:rPr>
      </w:r>
    </w:p>
    <w:p>
      <w:pPr>
        <w:spacing w:line="240" w:lineRule="auto" w:before="12"/>
        <w:rPr>
          <w:rFonts w:ascii="宋体" w:hAnsi="宋体" w:cs="宋体" w:eastAsia="宋体" w:hint="default"/>
          <w:sz w:val="10"/>
          <w:szCs w:val="10"/>
        </w:rPr>
      </w:pPr>
    </w:p>
    <w:p>
      <w:pPr>
        <w:pStyle w:val="Heading4"/>
        <w:spacing w:line="240" w:lineRule="auto" w:before="44"/>
        <w:ind w:left="201" w:right="0"/>
        <w:jc w:val="center"/>
        <w:rPr>
          <w:b w:val="0"/>
          <w:bCs w:val="0"/>
        </w:rPr>
      </w:pPr>
      <w:r>
        <w:rPr/>
        <w:t>（智享云平台架构图）</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pStyle w:val="BodyText"/>
        <w:spacing w:line="465" w:lineRule="auto"/>
        <w:ind w:right="1129" w:firstLine="360"/>
        <w:jc w:val="both"/>
      </w:pPr>
      <w:r>
        <w:rPr>
          <w:spacing w:val="-6"/>
          <w:w w:val="99"/>
        </w:rPr>
        <w:t>（</w:t>
      </w:r>
      <w:r>
        <w:rPr>
          <w:rFonts w:ascii="Times New Roman" w:hAnsi="Times New Roman" w:cs="Times New Roman" w:eastAsia="Times New Roman" w:hint="default"/>
          <w:spacing w:val="-6"/>
          <w:w w:val="99"/>
        </w:rPr>
        <w:t>3</w:t>
      </w:r>
      <w:r>
        <w:rPr>
          <w:spacing w:val="-6"/>
          <w:w w:val="99"/>
        </w:rPr>
        <w:t>）报告期内，公司在</w:t>
      </w:r>
      <w:r>
        <w:rPr>
          <w:rFonts w:ascii="宋体" w:hAnsi="宋体" w:cs="宋体" w:eastAsia="宋体" w:hint="default"/>
          <w:b/>
          <w:bCs/>
          <w:spacing w:val="-6"/>
          <w:w w:val="99"/>
        </w:rPr>
        <w:t>公安领域</w:t>
      </w:r>
      <w:r>
        <w:rPr>
          <w:spacing w:val="-6"/>
          <w:w w:val="99"/>
        </w:rPr>
        <w:t>取得突破性进展，为公安机关定制了</w:t>
      </w:r>
      <w:r>
        <w:rPr>
          <w:rFonts w:ascii="Times New Roman" w:hAnsi="Times New Roman" w:cs="Times New Roman" w:eastAsia="Times New Roman" w:hint="default"/>
          <w:spacing w:val="-6"/>
          <w:w w:val="99"/>
        </w:rPr>
        <w:t>“</w:t>
      </w:r>
      <w:r>
        <w:rPr>
          <w:spacing w:val="-6"/>
          <w:w w:val="99"/>
        </w:rPr>
        <w:t>智脑刑侦案事件智能分析系统</w:t>
      </w:r>
      <w:r>
        <w:rPr>
          <w:rFonts w:ascii="Times New Roman" w:hAnsi="Times New Roman" w:cs="Times New Roman" w:eastAsia="Times New Roman" w:hint="default"/>
          <w:spacing w:val="-6"/>
          <w:w w:val="99"/>
        </w:rPr>
        <w:t>”</w:t>
      </w:r>
      <w:r>
        <w:rPr>
          <w:spacing w:val="-6"/>
          <w:w w:val="99"/>
        </w:rPr>
        <w:t>、</w:t>
      </w:r>
      <w:r>
        <w:rPr>
          <w:rFonts w:ascii="Times New Roman" w:hAnsi="Times New Roman" w:cs="Times New Roman" w:eastAsia="Times New Roman" w:hint="default"/>
          <w:spacing w:val="-6"/>
          <w:w w:val="99"/>
        </w:rPr>
        <w:t>“</w:t>
      </w:r>
      <w:r>
        <w:rPr>
          <w:spacing w:val="-6"/>
          <w:w w:val="99"/>
        </w:rPr>
        <w:t>合成作战平台</w:t>
      </w:r>
      <w:r>
        <w:rPr>
          <w:rFonts w:ascii="Times New Roman" w:hAnsi="Times New Roman" w:cs="Times New Roman" w:eastAsia="Times New Roman" w:hint="default"/>
          <w:spacing w:val="-6"/>
          <w:w w:val="99"/>
        </w:rPr>
        <w:t>”</w:t>
      </w:r>
      <w:r>
        <w:rPr>
          <w:spacing w:val="-6"/>
          <w:w w:val="99"/>
        </w:rPr>
        <w:t>、</w:t>
      </w:r>
      <w:r>
        <w:rPr/>
        <w:t> </w:t>
      </w:r>
      <w:r>
        <w:rPr>
          <w:rFonts w:ascii="Times New Roman" w:hAnsi="Times New Roman" w:cs="Times New Roman" w:eastAsia="Times New Roman" w:hint="default"/>
          <w:spacing w:val="-1"/>
        </w:rPr>
        <w:t>“</w:t>
      </w:r>
      <w:r>
        <w:rPr>
          <w:spacing w:val="-1"/>
        </w:rPr>
        <w:t>实有人口服务管理平台</w:t>
      </w:r>
      <w:r>
        <w:rPr>
          <w:rFonts w:ascii="Times New Roman" w:hAnsi="Times New Roman" w:cs="Times New Roman" w:eastAsia="Times New Roman" w:hint="default"/>
          <w:spacing w:val="-1"/>
        </w:rPr>
        <w:t>”</w:t>
      </w:r>
      <w:r>
        <w:rPr>
          <w:spacing w:val="-1"/>
        </w:rPr>
        <w:t>和</w:t>
      </w:r>
      <w:r>
        <w:rPr>
          <w:rFonts w:ascii="Times New Roman" w:hAnsi="Times New Roman" w:cs="Times New Roman" w:eastAsia="Times New Roman" w:hint="default"/>
          <w:spacing w:val="-1"/>
        </w:rPr>
        <w:t>“</w:t>
      </w:r>
      <w:r>
        <w:rPr>
          <w:spacing w:val="-1"/>
        </w:rPr>
        <w:t>大数据资源服务共享平台</w:t>
      </w:r>
      <w:r>
        <w:rPr>
          <w:rFonts w:ascii="Times New Roman" w:hAnsi="Times New Roman" w:cs="Times New Roman" w:eastAsia="Times New Roman" w:hint="default"/>
          <w:spacing w:val="-1"/>
        </w:rPr>
        <w:t>”</w:t>
      </w:r>
      <w:r>
        <w:rPr>
          <w:spacing w:val="-1"/>
        </w:rPr>
        <w:t>等可靠、稳定的大数据和人工智能创新产品及服务。各</w:t>
      </w:r>
      <w:r>
        <w:rPr>
          <w:rFonts w:ascii="Times New Roman" w:hAnsi="Times New Roman" w:cs="Times New Roman" w:eastAsia="Times New Roman" w:hint="default"/>
          <w:spacing w:val="-1"/>
        </w:rPr>
        <w:t>AI</w:t>
      </w:r>
      <w:r>
        <w:rPr>
          <w:spacing w:val="-1"/>
        </w:rPr>
        <w:t>平台运用泰</w:t>
      </w:r>
      <w:r>
        <w:rPr>
          <w:spacing w:val="-87"/>
        </w:rPr>
        <w:t> </w:t>
      </w:r>
      <w:r>
        <w:rPr>
          <w:spacing w:val="-2"/>
        </w:rPr>
        <w:t>岳独创的智慧语义认知技术，为侦查部门提供跨专业、跨警种、跨部门的数据共享应用及作战信息流转，将非结构化数据转</w:t>
      </w:r>
      <w:r>
        <w:rPr>
          <w:spacing w:val="-66"/>
        </w:rPr>
        <w:t> </w:t>
      </w:r>
      <w:r>
        <w:rPr>
          <w:spacing w:val="-66"/>
        </w:rPr>
      </w:r>
      <w:r>
        <w:rPr>
          <w:spacing w:val="-2"/>
        </w:rPr>
        <w:t>为结构化数据，并自动识别案件特征、交叉碰撞、自动分析获取串并案件线索，提供案件侦破、案件串并研判辅助，有效的</w:t>
      </w:r>
      <w:r>
        <w:rPr>
          <w:spacing w:val="-68"/>
        </w:rPr>
        <w:t> </w:t>
      </w:r>
      <w:r>
        <w:rPr>
          <w:spacing w:val="-68"/>
        </w:rPr>
      </w:r>
      <w:r>
        <w:rPr>
          <w:spacing w:val="-2"/>
        </w:rPr>
        <w:t>提升基层刑侦部门实战能力和水平。目前，公司与北京、贵州、广西、河北、山西、河南、山东、江西等多省市公安系统建</w:t>
      </w:r>
      <w:r>
        <w:rPr>
          <w:spacing w:val="-68"/>
        </w:rPr>
        <w:t> </w:t>
      </w:r>
      <w:r>
        <w:rPr>
          <w:spacing w:val="-68"/>
        </w:rPr>
      </w:r>
      <w:r>
        <w:rPr/>
        <w:t>立了合作，为警方破获案件提供强大的技术支撑。</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spacing w:line="4072" w:lineRule="exact"/>
        <w:ind w:left="1474" w:right="0" w:firstLine="0"/>
        <w:rPr>
          <w:rFonts w:ascii="宋体" w:hAnsi="宋体" w:cs="宋体" w:eastAsia="宋体" w:hint="default"/>
          <w:sz w:val="20"/>
          <w:szCs w:val="20"/>
        </w:rPr>
      </w:pPr>
      <w:r>
        <w:rPr>
          <w:rFonts w:ascii="宋体" w:hAnsi="宋体" w:cs="宋体" w:eastAsia="宋体" w:hint="default"/>
          <w:position w:val="-80"/>
          <w:sz w:val="20"/>
          <w:szCs w:val="20"/>
        </w:rPr>
        <w:drawing>
          <wp:inline distT="0" distB="0" distL="0" distR="0">
            <wp:extent cx="5785494" cy="2586037"/>
            <wp:effectExtent l="0" t="0" r="0" b="0"/>
            <wp:docPr id="25" name="image36.jpeg" descr=""/>
            <wp:cNvGraphicFramePr>
              <a:graphicFrameLocks noChangeAspect="1"/>
            </wp:cNvGraphicFramePr>
            <a:graphic>
              <a:graphicData uri="http://schemas.openxmlformats.org/drawingml/2006/picture">
                <pic:pic>
                  <pic:nvPicPr>
                    <pic:cNvPr id="26" name="image36.jpeg"/>
                    <pic:cNvPicPr/>
                  </pic:nvPicPr>
                  <pic:blipFill>
                    <a:blip r:embed="rId43" cstate="print"/>
                    <a:stretch>
                      <a:fillRect/>
                    </a:stretch>
                  </pic:blipFill>
                  <pic:spPr>
                    <a:xfrm>
                      <a:off x="0" y="0"/>
                      <a:ext cx="5785494" cy="2586037"/>
                    </a:xfrm>
                    <a:prstGeom prst="rect">
                      <a:avLst/>
                    </a:prstGeom>
                  </pic:spPr>
                </pic:pic>
              </a:graphicData>
            </a:graphic>
          </wp:inline>
        </w:drawing>
      </w:r>
      <w:r>
        <w:rPr>
          <w:rFonts w:ascii="宋体" w:hAnsi="宋体" w:cs="宋体" w:eastAsia="宋体" w:hint="default"/>
          <w:position w:val="-80"/>
          <w:sz w:val="20"/>
          <w:szCs w:val="20"/>
        </w:rPr>
      </w:r>
    </w:p>
    <w:p>
      <w:pPr>
        <w:spacing w:line="240" w:lineRule="auto" w:before="8"/>
        <w:rPr>
          <w:rFonts w:ascii="宋体" w:hAnsi="宋体" w:cs="宋体" w:eastAsia="宋体" w:hint="default"/>
          <w:sz w:val="19"/>
          <w:szCs w:val="19"/>
        </w:rPr>
      </w:pPr>
    </w:p>
    <w:p>
      <w:pPr>
        <w:pStyle w:val="Heading4"/>
        <w:spacing w:line="240" w:lineRule="auto"/>
        <w:ind w:left="0" w:right="0"/>
        <w:jc w:val="center"/>
        <w:rPr>
          <w:b w:val="0"/>
          <w:bCs w:val="0"/>
        </w:rPr>
      </w:pPr>
      <w:r>
        <w:rPr/>
        <w:t>（太原、广西公安局战略合作签约仪式）</w:t>
      </w:r>
      <w:r>
        <w:rPr>
          <w:b w:val="0"/>
          <w:bCs w:val="0"/>
        </w:rPr>
      </w:r>
    </w:p>
    <w:p>
      <w:pPr>
        <w:spacing w:after="0" w:line="240" w:lineRule="auto"/>
        <w:jc w:val="center"/>
        <w:sectPr>
          <w:pgSz w:w="11910" w:h="16840"/>
          <w:pgMar w:header="851" w:footer="979" w:top="1380" w:bottom="1160" w:left="0" w:right="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BodyText"/>
        <w:spacing w:line="470" w:lineRule="auto" w:before="44"/>
        <w:ind w:right="1132" w:firstLine="360"/>
        <w:jc w:val="both"/>
      </w:pPr>
      <w:r>
        <w:rPr/>
        <w:t>（</w:t>
      </w:r>
      <w:r>
        <w:rPr>
          <w:rFonts w:ascii="Times New Roman" w:hAnsi="Times New Roman" w:cs="Times New Roman" w:eastAsia="Times New Roman" w:hint="default"/>
        </w:rPr>
        <w:t>4</w:t>
      </w:r>
      <w:r>
        <w:rPr/>
        <w:t>）在</w:t>
      </w:r>
      <w:r>
        <w:rPr>
          <w:rFonts w:ascii="宋体" w:hAnsi="宋体" w:cs="宋体" w:eastAsia="宋体" w:hint="default"/>
          <w:b/>
          <w:bCs/>
        </w:rPr>
        <w:t>银行领域</w:t>
      </w:r>
      <w:r>
        <w:rPr/>
        <w:t>，公司继续保持行业领先地位。截止目前，公司已为四大国有银行中的</w:t>
      </w:r>
      <w:r>
        <w:rPr>
          <w:rFonts w:ascii="Times New Roman" w:hAnsi="Times New Roman" w:cs="Times New Roman" w:eastAsia="Times New Roman" w:hint="default"/>
        </w:rPr>
        <w:t>“</w:t>
      </w:r>
      <w:r>
        <w:rPr/>
        <w:t>中、工、建</w:t>
      </w:r>
      <w:r>
        <w:rPr>
          <w:rFonts w:ascii="Times New Roman" w:hAnsi="Times New Roman" w:cs="Times New Roman" w:eastAsia="Times New Roman" w:hint="default"/>
        </w:rPr>
        <w:t>”</w:t>
      </w:r>
      <w:r>
        <w:rPr/>
        <w:t>三大行提供了语 </w:t>
      </w:r>
      <w:r>
        <w:rPr>
          <w:spacing w:val="-2"/>
        </w:rPr>
        <w:t>义分析平台。报告期内，招商银行、广发银行、光大银行、民生银行、北京银行、长沙银行和华兴银行等众多银行也新增或</w:t>
      </w:r>
      <w:r>
        <w:rPr>
          <w:spacing w:val="-71"/>
        </w:rPr>
        <w:t> </w:t>
      </w:r>
      <w:r>
        <w:rPr>
          <w:spacing w:val="-71"/>
        </w:rPr>
      </w:r>
      <w:r>
        <w:rPr>
          <w:spacing w:val="-2"/>
        </w:rPr>
        <w:t>延续应用了神州泰岳的自然语言语义分析技术及产品服务。公司提供的产品服务包括客服对话机器人、客服大数据分析挖掘</w:t>
      </w:r>
      <w:r>
        <w:rPr>
          <w:spacing w:val="-64"/>
        </w:rPr>
        <w:t> </w:t>
      </w:r>
      <w:r>
        <w:rPr>
          <w:spacing w:val="-64"/>
        </w:rPr>
      </w:r>
      <w:r>
        <w:rPr>
          <w:spacing w:val="-2"/>
        </w:rPr>
        <w:t>系统、统一业务知识库系统、金融领域的第三方个人征信获取工具、信贷大数据服务平台、信贷风险监测、互联网信息获取</w:t>
      </w:r>
      <w:r>
        <w:rPr>
          <w:spacing w:val="-66"/>
        </w:rPr>
        <w:t> </w:t>
      </w:r>
      <w:r>
        <w:rPr>
          <w:spacing w:val="-66"/>
        </w:rPr>
      </w:r>
      <w:r>
        <w:rPr/>
        <w:t>及分析、证券云投研报告解析平台等。</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spacing w:line="4483" w:lineRule="exact"/>
        <w:ind w:left="2074"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5057920" cy="2847213"/>
            <wp:effectExtent l="0" t="0" r="0" b="0"/>
            <wp:docPr id="27" name="image37.jpeg" descr=""/>
            <wp:cNvGraphicFramePr>
              <a:graphicFrameLocks noChangeAspect="1"/>
            </wp:cNvGraphicFramePr>
            <a:graphic>
              <a:graphicData uri="http://schemas.openxmlformats.org/drawingml/2006/picture">
                <pic:pic>
                  <pic:nvPicPr>
                    <pic:cNvPr id="28" name="image37.jpeg"/>
                    <pic:cNvPicPr/>
                  </pic:nvPicPr>
                  <pic:blipFill>
                    <a:blip r:embed="rId44" cstate="print"/>
                    <a:stretch>
                      <a:fillRect/>
                    </a:stretch>
                  </pic:blipFill>
                  <pic:spPr>
                    <a:xfrm>
                      <a:off x="0" y="0"/>
                      <a:ext cx="5057920" cy="2847213"/>
                    </a:xfrm>
                    <a:prstGeom prst="rect">
                      <a:avLst/>
                    </a:prstGeom>
                  </pic:spPr>
                </pic:pic>
              </a:graphicData>
            </a:graphic>
          </wp:inline>
        </w:drawing>
      </w:r>
      <w:r>
        <w:rPr>
          <w:rFonts w:ascii="宋体" w:hAnsi="宋体" w:cs="宋体" w:eastAsia="宋体" w:hint="default"/>
          <w:position w:val="-89"/>
          <w:sz w:val="20"/>
          <w:szCs w:val="20"/>
        </w:rPr>
      </w:r>
    </w:p>
    <w:p>
      <w:pPr>
        <w:spacing w:line="240" w:lineRule="auto" w:before="3"/>
        <w:rPr>
          <w:rFonts w:ascii="宋体" w:hAnsi="宋体" w:cs="宋体" w:eastAsia="宋体" w:hint="default"/>
          <w:sz w:val="14"/>
          <w:szCs w:val="14"/>
        </w:rPr>
      </w:pPr>
    </w:p>
    <w:p>
      <w:pPr>
        <w:pStyle w:val="Heading4"/>
        <w:spacing w:line="240" w:lineRule="auto"/>
        <w:ind w:left="4090" w:right="4091"/>
        <w:jc w:val="center"/>
        <w:rPr>
          <w:b w:val="0"/>
          <w:bCs w:val="0"/>
        </w:rPr>
      </w:pPr>
      <w:r>
        <w:rPr/>
        <w:t>（银行政务服务金融支付入口）</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pStyle w:val="BodyText"/>
        <w:spacing w:line="240" w:lineRule="auto"/>
        <w:ind w:left="1493" w:right="0"/>
        <w:jc w:val="left"/>
      </w:pPr>
      <w:r>
        <w:rPr/>
        <w:t>（</w:t>
      </w:r>
      <w:r>
        <w:rPr>
          <w:rFonts w:ascii="Times New Roman" w:hAnsi="Times New Roman" w:cs="Times New Roman" w:eastAsia="Times New Roman" w:hint="default"/>
        </w:rPr>
        <w:t>5</w:t>
      </w:r>
      <w:r>
        <w:rPr/>
        <w:t>）报告期内人工智能的技术研发进展显著：</w:t>
      </w:r>
    </w:p>
    <w:p>
      <w:pPr>
        <w:spacing w:line="240" w:lineRule="auto" w:before="9"/>
        <w:rPr>
          <w:rFonts w:ascii="宋体" w:hAnsi="宋体" w:cs="宋体" w:eastAsia="宋体" w:hint="default"/>
          <w:sz w:val="16"/>
          <w:szCs w:val="16"/>
        </w:rPr>
      </w:pPr>
    </w:p>
    <w:p>
      <w:pPr>
        <w:spacing w:line="451" w:lineRule="auto" w:before="0"/>
        <w:ind w:left="1493"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A</w:t>
      </w:r>
      <w:r>
        <w:rPr>
          <w:rFonts w:ascii="宋体" w:hAnsi="宋体" w:cs="宋体" w:eastAsia="宋体" w:hint="default"/>
          <w:sz w:val="18"/>
          <w:szCs w:val="18"/>
        </w:rPr>
        <w:t>、新增申请</w:t>
      </w:r>
      <w:r>
        <w:rPr>
          <w:rFonts w:ascii="Times New Roman" w:hAnsi="Times New Roman" w:cs="Times New Roman" w:eastAsia="Times New Roman" w:hint="default"/>
          <w:sz w:val="18"/>
          <w:szCs w:val="18"/>
        </w:rPr>
        <w:t>64</w:t>
      </w:r>
      <w:r>
        <w:rPr>
          <w:rFonts w:ascii="宋体" w:hAnsi="宋体" w:cs="宋体" w:eastAsia="宋体" w:hint="default"/>
          <w:sz w:val="18"/>
          <w:szCs w:val="18"/>
        </w:rPr>
        <w:t>项发明专利和</w:t>
      </w:r>
      <w:r>
        <w:rPr>
          <w:rFonts w:ascii="Times New Roman" w:hAnsi="Times New Roman" w:cs="Times New Roman" w:eastAsia="Times New Roman" w:hint="default"/>
          <w:sz w:val="18"/>
          <w:szCs w:val="18"/>
        </w:rPr>
        <w:t>6</w:t>
      </w:r>
      <w:r>
        <w:rPr>
          <w:rFonts w:ascii="宋体" w:hAnsi="宋体" w:cs="宋体" w:eastAsia="宋体" w:hint="default"/>
          <w:sz w:val="18"/>
          <w:szCs w:val="18"/>
        </w:rPr>
        <w:t>项软件著作权。 </w:t>
      </w:r>
      <w:r>
        <w:rPr>
          <w:rFonts w:ascii="Times New Roman" w:hAnsi="Times New Roman" w:cs="Times New Roman" w:eastAsia="Times New Roman" w:hint="default"/>
          <w:spacing w:val="-1"/>
          <w:sz w:val="18"/>
          <w:szCs w:val="18"/>
        </w:rPr>
        <w:t>B</w:t>
      </w:r>
      <w:r>
        <w:rPr>
          <w:rFonts w:ascii="宋体" w:hAnsi="宋体" w:cs="宋体" w:eastAsia="宋体" w:hint="default"/>
          <w:spacing w:val="-1"/>
          <w:sz w:val="18"/>
          <w:szCs w:val="18"/>
        </w:rPr>
        <w:t>、</w:t>
      </w:r>
      <w:r>
        <w:rPr>
          <w:rFonts w:ascii="宋体" w:hAnsi="宋体" w:cs="宋体" w:eastAsia="宋体" w:hint="default"/>
          <w:b/>
          <w:bCs/>
          <w:spacing w:val="-1"/>
          <w:sz w:val="18"/>
          <w:szCs w:val="18"/>
        </w:rPr>
        <w:t>自然语言处理领域的泰斗级专家李生教授</w:t>
      </w:r>
      <w:r>
        <w:rPr>
          <w:rFonts w:ascii="宋体" w:hAnsi="宋体" w:cs="宋体" w:eastAsia="宋体" w:hint="default"/>
          <w:spacing w:val="-1"/>
          <w:sz w:val="18"/>
          <w:szCs w:val="18"/>
        </w:rPr>
        <w:t>（哈尔滨工业大学教授党委书记、自然语言处理的国际顶级学术组织</w:t>
      </w:r>
      <w:r>
        <w:rPr>
          <w:rFonts w:ascii="Times New Roman" w:hAnsi="Times New Roman" w:cs="Times New Roman" w:eastAsia="Times New Roman" w:hint="default"/>
          <w:spacing w:val="-1"/>
          <w:sz w:val="18"/>
          <w:szCs w:val="18"/>
        </w:rPr>
        <w:t>ACL</w:t>
      </w:r>
    </w:p>
    <w:p>
      <w:pPr>
        <w:spacing w:before="43"/>
        <w:ind w:left="1133" w:right="0" w:firstLine="0"/>
        <w:jc w:val="left"/>
        <w:rPr>
          <w:rFonts w:ascii="宋体" w:hAnsi="宋体" w:cs="宋体" w:eastAsia="宋体" w:hint="default"/>
          <w:sz w:val="18"/>
          <w:szCs w:val="18"/>
        </w:rPr>
      </w:pPr>
      <w:r>
        <w:rPr>
          <w:rFonts w:ascii="宋体" w:hAnsi="宋体" w:cs="宋体" w:eastAsia="宋体" w:hint="default"/>
          <w:sz w:val="18"/>
          <w:szCs w:val="18"/>
        </w:rPr>
        <w:t>终生成就奖获得者）</w:t>
      </w:r>
      <w:r>
        <w:rPr>
          <w:rFonts w:ascii="宋体" w:hAnsi="宋体" w:cs="宋体" w:eastAsia="宋体" w:hint="default"/>
          <w:b/>
          <w:bCs/>
          <w:sz w:val="18"/>
          <w:szCs w:val="18"/>
        </w:rPr>
        <w:t>出任了神州泰岳人工智能研究院的名誉院长</w:t>
      </w:r>
      <w:r>
        <w:rPr>
          <w:rFonts w:ascii="宋体" w:hAnsi="宋体" w:cs="宋体" w:eastAsia="宋体" w:hint="default"/>
          <w:sz w:val="18"/>
          <w:szCs w:val="18"/>
        </w:rPr>
        <w:t>。</w:t>
      </w:r>
    </w:p>
    <w:p>
      <w:pPr>
        <w:spacing w:line="240" w:lineRule="auto" w:before="10"/>
        <w:rPr>
          <w:rFonts w:ascii="宋体" w:hAnsi="宋体" w:cs="宋体" w:eastAsia="宋体" w:hint="default"/>
          <w:sz w:val="17"/>
          <w:szCs w:val="17"/>
        </w:rPr>
      </w:pPr>
    </w:p>
    <w:p>
      <w:pPr>
        <w:spacing w:before="0"/>
        <w:ind w:left="149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C</w:t>
      </w:r>
      <w:r>
        <w:rPr>
          <w:rFonts w:ascii="宋体" w:hAnsi="宋体" w:cs="宋体" w:eastAsia="宋体" w:hint="default"/>
          <w:sz w:val="18"/>
          <w:szCs w:val="18"/>
        </w:rPr>
        <w:t>、公司与北京师范大学成立了人工智能联合实验室，</w:t>
      </w:r>
      <w:r>
        <w:rPr>
          <w:rFonts w:ascii="宋体" w:hAnsi="宋体" w:cs="宋体" w:eastAsia="宋体" w:hint="default"/>
          <w:b/>
          <w:bCs/>
          <w:sz w:val="18"/>
          <w:szCs w:val="18"/>
        </w:rPr>
        <w:t>著名语言学家许嘉璐先生出任了联合实验室学术委员会主任</w:t>
      </w:r>
      <w:r>
        <w:rPr>
          <w:rFonts w:ascii="宋体" w:hAnsi="宋体" w:cs="宋体" w:eastAsia="宋体" w:hint="default"/>
          <w:sz w:val="18"/>
          <w:szCs w:val="18"/>
        </w:rPr>
        <w:t>。</w:t>
      </w:r>
    </w:p>
    <w:p>
      <w:pPr>
        <w:spacing w:line="240" w:lineRule="auto" w:before="9"/>
        <w:rPr>
          <w:rFonts w:ascii="宋体" w:hAnsi="宋体" w:cs="宋体" w:eastAsia="宋体" w:hint="default"/>
          <w:sz w:val="16"/>
          <w:szCs w:val="16"/>
        </w:rPr>
      </w:pPr>
    </w:p>
    <w:p>
      <w:pPr>
        <w:pStyle w:val="BodyText"/>
        <w:spacing w:line="451" w:lineRule="auto"/>
        <w:ind w:right="1033" w:firstLine="360"/>
        <w:jc w:val="left"/>
        <w:rPr>
          <w:rFonts w:ascii="Times New Roman" w:hAnsi="Times New Roman" w:cs="Times New Roman" w:eastAsia="Times New Roman" w:hint="default"/>
        </w:rPr>
      </w:pPr>
      <w:r>
        <w:rPr>
          <w:rFonts w:ascii="Times New Roman" w:hAnsi="Times New Roman" w:cs="Times New Roman" w:eastAsia="Times New Roman" w:hint="default"/>
        </w:rPr>
        <w:t>D</w:t>
      </w:r>
      <w:r>
        <w:rPr>
          <w:rFonts w:ascii="Times New Roman" w:hAnsi="Times New Roman" w:cs="Times New Roman" w:eastAsia="Times New Roman" w:hint="default"/>
          <w:spacing w:val="-19"/>
        </w:rPr>
        <w:t> </w:t>
      </w:r>
      <w:r>
        <w:rPr>
          <w:spacing w:val="13"/>
        </w:rPr>
        <w:t>、在</w:t>
      </w:r>
      <w:r>
        <w:rPr>
          <w:spacing w:val="-64"/>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9"/>
        </w:rPr>
        <w:t> </w:t>
      </w:r>
      <w:r>
        <w:rPr/>
        <w:t>年</w:t>
      </w:r>
      <w:r>
        <w:rPr>
          <w:spacing w:val="-63"/>
        </w:rPr>
        <w:t> </w:t>
      </w:r>
      <w:r>
        <w:rPr>
          <w:rFonts w:ascii="Times New Roman" w:hAnsi="Times New Roman" w:cs="Times New Roman" w:eastAsia="Times New Roman" w:hint="default"/>
        </w:rPr>
        <w:t>6</w:t>
      </w:r>
      <w:r>
        <w:rPr>
          <w:rFonts w:ascii="Times New Roman" w:hAnsi="Times New Roman" w:cs="Times New Roman" w:eastAsia="Times New Roman" w:hint="default"/>
          <w:spacing w:val="-19"/>
        </w:rPr>
        <w:t> </w:t>
      </w:r>
      <w:r>
        <w:rPr/>
        <w:t>月</w:t>
      </w:r>
      <w:r>
        <w:rPr>
          <w:spacing w:val="-64"/>
        </w:rPr>
        <w:t> </w:t>
      </w:r>
      <w:r>
        <w:rPr/>
        <w:t>全</w:t>
      </w:r>
      <w:r>
        <w:rPr>
          <w:spacing w:val="-63"/>
        </w:rPr>
        <w:t> </w:t>
      </w:r>
      <w:r>
        <w:rPr/>
        <w:t>球</w:t>
      </w:r>
      <w:r>
        <w:rPr>
          <w:spacing w:val="-64"/>
        </w:rPr>
        <w:t> </w:t>
      </w:r>
      <w:r>
        <w:rPr/>
        <w:t>范</w:t>
      </w:r>
      <w:r>
        <w:rPr>
          <w:spacing w:val="-63"/>
        </w:rPr>
        <w:t> </w:t>
      </w:r>
      <w:r>
        <w:rPr/>
        <w:t>围</w:t>
      </w:r>
      <w:r>
        <w:rPr>
          <w:spacing w:val="-63"/>
        </w:rPr>
        <w:t> </w:t>
      </w:r>
      <w:r>
        <w:rPr/>
        <w:t>内</w:t>
      </w:r>
      <w:r>
        <w:rPr>
          <w:spacing w:val="-64"/>
        </w:rPr>
        <w:t> </w:t>
      </w:r>
      <w:r>
        <w:rPr/>
        <w:t>公</w:t>
      </w:r>
      <w:r>
        <w:rPr>
          <w:spacing w:val="-64"/>
        </w:rPr>
        <w:t> </w:t>
      </w:r>
      <w:r>
        <w:rPr/>
        <w:t>认</w:t>
      </w:r>
      <w:r>
        <w:rPr>
          <w:spacing w:val="-63"/>
        </w:rPr>
        <w:t> </w:t>
      </w:r>
      <w:r>
        <w:rPr/>
        <w:t>的</w:t>
      </w:r>
      <w:r>
        <w:rPr>
          <w:spacing w:val="-64"/>
        </w:rPr>
        <w:t> </w:t>
      </w:r>
      <w:r>
        <w:rPr/>
        <w:t>最</w:t>
      </w:r>
      <w:r>
        <w:rPr>
          <w:spacing w:val="-63"/>
        </w:rPr>
        <w:t> </w:t>
      </w:r>
      <w:r>
        <w:rPr/>
        <w:t>具</w:t>
      </w:r>
      <w:r>
        <w:rPr>
          <w:spacing w:val="-64"/>
        </w:rPr>
        <w:t> </w:t>
      </w:r>
      <w:r>
        <w:rPr/>
        <w:t>权</w:t>
      </w:r>
      <w:r>
        <w:rPr>
          <w:spacing w:val="-64"/>
        </w:rPr>
        <w:t> </w:t>
      </w:r>
      <w:r>
        <w:rPr/>
        <w:t>威</w:t>
      </w:r>
      <w:r>
        <w:rPr>
          <w:spacing w:val="-63"/>
        </w:rPr>
        <w:t> </w:t>
      </w:r>
      <w:r>
        <w:rPr/>
        <w:t>的</w:t>
      </w:r>
      <w:r>
        <w:rPr>
          <w:spacing w:val="-61"/>
        </w:rPr>
        <w:t> </w:t>
      </w:r>
      <w:r>
        <w:rPr>
          <w:rFonts w:ascii="Times New Roman" w:hAnsi="Times New Roman" w:cs="Times New Roman" w:eastAsia="Times New Roman" w:hint="default"/>
        </w:rPr>
        <w:t>IT</w:t>
      </w:r>
      <w:r>
        <w:rPr>
          <w:rFonts w:ascii="Times New Roman" w:hAnsi="Times New Roman" w:cs="Times New Roman" w:eastAsia="Times New Roman" w:hint="default"/>
          <w:spacing w:val="-17"/>
        </w:rPr>
        <w:t> </w:t>
      </w:r>
      <w:r>
        <w:rPr/>
        <w:t>研</w:t>
      </w:r>
      <w:r>
        <w:rPr>
          <w:spacing w:val="-64"/>
        </w:rPr>
        <w:t> </w:t>
      </w:r>
      <w:r>
        <w:rPr/>
        <w:t>究</w:t>
      </w:r>
      <w:r>
        <w:rPr>
          <w:spacing w:val="-64"/>
        </w:rPr>
        <w:t> </w:t>
      </w:r>
      <w:r>
        <w:rPr/>
        <w:t>与</w:t>
      </w:r>
      <w:r>
        <w:rPr>
          <w:spacing w:val="-63"/>
        </w:rPr>
        <w:t> </w:t>
      </w:r>
      <w:r>
        <w:rPr/>
        <w:t>顾</w:t>
      </w:r>
      <w:r>
        <w:rPr>
          <w:spacing w:val="-64"/>
        </w:rPr>
        <w:t> </w:t>
      </w:r>
      <w:r>
        <w:rPr/>
        <w:t>问</w:t>
      </w:r>
      <w:r>
        <w:rPr>
          <w:spacing w:val="-63"/>
        </w:rPr>
        <w:t> </w:t>
      </w:r>
      <w:r>
        <w:rPr/>
        <w:t>咨</w:t>
      </w:r>
      <w:r>
        <w:rPr>
          <w:spacing w:val="-64"/>
        </w:rPr>
        <w:t> </w:t>
      </w:r>
      <w:r>
        <w:rPr/>
        <w:t>询</w:t>
      </w:r>
      <w:r>
        <w:rPr>
          <w:spacing w:val="-64"/>
        </w:rPr>
        <w:t> </w:t>
      </w:r>
      <w:r>
        <w:rPr/>
        <w:t>公</w:t>
      </w:r>
      <w:r>
        <w:rPr>
          <w:spacing w:val="-63"/>
        </w:rPr>
        <w:t> </w:t>
      </w:r>
      <w:r>
        <w:rPr/>
        <w:t>司</w:t>
      </w:r>
      <w:r>
        <w:rPr>
          <w:spacing w:val="-63"/>
        </w:rPr>
        <w:t> </w:t>
      </w:r>
      <w:r>
        <w:rPr>
          <w:rFonts w:ascii="Times New Roman" w:hAnsi="Times New Roman" w:cs="Times New Roman" w:eastAsia="Times New Roman" w:hint="default"/>
        </w:rPr>
        <w:t>——</w:t>
      </w:r>
      <w:r>
        <w:rPr>
          <w:rFonts w:ascii="Times New Roman" w:hAnsi="Times New Roman" w:cs="Times New Roman" w:eastAsia="Times New Roman" w:hint="default"/>
        </w:rPr>
        <w:t>Gartner</w:t>
      </w:r>
      <w:r>
        <w:rPr>
          <w:rFonts w:ascii="Times New Roman" w:hAnsi="Times New Roman" w:cs="Times New Roman" w:eastAsia="Times New Roman" w:hint="default"/>
          <w:spacing w:val="-18"/>
        </w:rPr>
        <w:t> </w:t>
      </w:r>
      <w:r>
        <w:rPr>
          <w:spacing w:val="17"/>
        </w:rPr>
        <w:t>公布的</w:t>
      </w:r>
      <w:r>
        <w:rPr>
          <w:spacing w:val="-63"/>
        </w:rPr>
        <w:t> </w:t>
      </w:r>
      <w:r>
        <w:rPr>
          <w:rFonts w:ascii="Times New Roman" w:hAnsi="Times New Roman" w:cs="Times New Roman" w:eastAsia="Times New Roman" w:hint="default"/>
        </w:rPr>
        <w:t>“Market</w:t>
      </w:r>
      <w:r>
        <w:rPr>
          <w:rFonts w:ascii="Times New Roman" w:hAnsi="Times New Roman" w:cs="Times New Roman" w:eastAsia="Times New Roman" w:hint="default"/>
          <w:spacing w:val="27"/>
        </w:rPr>
        <w:t> </w:t>
      </w:r>
      <w:r>
        <w:rPr>
          <w:rFonts w:ascii="Times New Roman" w:hAnsi="Times New Roman" w:cs="Times New Roman" w:eastAsia="Times New Roman" w:hint="default"/>
        </w:rPr>
        <w:t>Guide</w:t>
      </w:r>
      <w:r>
        <w:rPr>
          <w:rFonts w:ascii="Times New Roman" w:hAnsi="Times New Roman" w:cs="Times New Roman" w:eastAsia="Times New Roman" w:hint="default"/>
          <w:spacing w:val="26"/>
        </w:rPr>
        <w:t> </w:t>
      </w:r>
      <w:r>
        <w:rPr>
          <w:rFonts w:ascii="Times New Roman" w:hAnsi="Times New Roman" w:cs="Times New Roman" w:eastAsia="Times New Roman" w:hint="default"/>
        </w:rPr>
        <w:t>for</w:t>
      </w:r>
      <w:r>
        <w:rPr>
          <w:rFonts w:ascii="Times New Roman" w:hAnsi="Times New Roman" w:cs="Times New Roman" w:eastAsia="Times New Roman" w:hint="default"/>
        </w:rPr>
        <w:t> </w:t>
      </w:r>
      <w:r>
        <w:rPr>
          <w:rFonts w:ascii="Times New Roman" w:hAnsi="Times New Roman" w:cs="Times New Roman" w:eastAsia="Times New Roman" w:hint="default"/>
          <w:spacing w:val="-1"/>
        </w:rPr>
        <w:t>Conversational</w:t>
      </w:r>
      <w:r>
        <w:rPr>
          <w:rFonts w:ascii="Times New Roman" w:hAnsi="Times New Roman" w:cs="Times New Roman" w:eastAsia="Times New Roman" w:hint="default"/>
        </w:rPr>
        <w:t> </w:t>
      </w:r>
      <w:r>
        <w:rPr>
          <w:rFonts w:ascii="Times New Roman" w:hAnsi="Times New Roman" w:cs="Times New Roman" w:eastAsia="Times New Roman" w:hint="default"/>
          <w:spacing w:val="-1"/>
          <w:w w:val="100"/>
        </w:rPr>
        <w:t>Artificial</w:t>
      </w:r>
      <w:r>
        <w:rPr>
          <w:rFonts w:ascii="Times New Roman" w:hAnsi="Times New Roman" w:cs="Times New Roman" w:eastAsia="Times New Roman" w:hint="default"/>
          <w:w w:val="100"/>
        </w:rPr>
        <w:t> </w:t>
      </w:r>
      <w:r>
        <w:rPr>
          <w:rFonts w:ascii="Times New Roman" w:hAnsi="Times New Roman" w:cs="Times New Roman" w:eastAsia="Times New Roman" w:hint="default"/>
          <w:spacing w:val="-1"/>
          <w:w w:val="100"/>
        </w:rPr>
        <w:t>Intelligence</w:t>
      </w:r>
      <w:r>
        <w:rPr>
          <w:rFonts w:ascii="Times New Roman" w:hAnsi="Times New Roman" w:cs="Times New Roman" w:eastAsia="Times New Roman" w:hint="default"/>
          <w:w w:val="100"/>
        </w:rPr>
        <w:t> </w:t>
      </w:r>
      <w:r>
        <w:rPr>
          <w:rFonts w:ascii="Times New Roman" w:hAnsi="Times New Roman" w:cs="Times New Roman" w:eastAsia="Times New Roman" w:hint="default"/>
          <w:w w:val="100"/>
        </w:rPr>
        <w:t>in</w:t>
      </w:r>
      <w:r>
        <w:rPr>
          <w:rFonts w:ascii="Times New Roman" w:hAnsi="Times New Roman" w:cs="Times New Roman" w:eastAsia="Times New Roman" w:hint="default"/>
          <w:spacing w:val="16"/>
          <w:w w:val="100"/>
        </w:rPr>
        <w:t> </w:t>
      </w:r>
      <w:r>
        <w:rPr>
          <w:rFonts w:ascii="Times New Roman" w:hAnsi="Times New Roman" w:cs="Times New Roman" w:eastAsia="Times New Roman" w:hint="default"/>
          <w:spacing w:val="-2"/>
          <w:w w:val="100"/>
        </w:rPr>
        <w:t>China”</w:t>
      </w:r>
      <w:r>
        <w:rPr>
          <w:spacing w:val="-2"/>
          <w:w w:val="100"/>
        </w:rPr>
        <w:t>报告中，神州泰岳作为国内人工智能自然语言语义分析技术的代表厂商被列入。</w:t>
      </w:r>
      <w:r>
        <w:rPr/>
        <w:t> </w:t>
      </w:r>
      <w:r>
        <w:rPr>
          <w:rFonts w:ascii="Times New Roman" w:hAnsi="Times New Roman" w:cs="Times New Roman" w:eastAsia="Times New Roman" w:hint="default"/>
        </w:rPr>
        <w:t>Gartner</w:t>
      </w:r>
      <w:r>
        <w:rPr/>
        <w:t>指明</w:t>
      </w:r>
      <w:r>
        <w:rPr>
          <w:rFonts w:ascii="Times New Roman" w:hAnsi="Times New Roman" w:cs="Times New Roman" w:eastAsia="Times New Roman" w:hint="default"/>
        </w:rPr>
        <w:t>“</w:t>
      </w:r>
      <w:r>
        <w:rPr/>
        <w:t>在复杂的中文语言环境下，神州泰岳的语义分析技术比深度学习更加有效、迅速的进行</w:t>
      </w:r>
      <w:r>
        <w:rPr>
          <w:rFonts w:ascii="Times New Roman" w:hAnsi="Times New Roman" w:cs="Times New Roman" w:eastAsia="Times New Roman" w:hint="default"/>
        </w:rPr>
        <w:t>NLP</w:t>
      </w:r>
      <w:r>
        <w:rPr/>
        <w:t>建模。</w:t>
      </w:r>
      <w:r>
        <w:rPr>
          <w:rFonts w:ascii="Times New Roman" w:hAnsi="Times New Roman" w:cs="Times New Roman" w:eastAsia="Times New Roman" w:hint="default"/>
        </w:rPr>
        <w:t>”</w:t>
      </w:r>
    </w:p>
    <w:p>
      <w:pPr>
        <w:spacing w:after="0" w:line="451" w:lineRule="auto"/>
        <w:jc w:val="left"/>
        <w:rPr>
          <w:rFonts w:ascii="Times New Roman" w:hAnsi="Times New Roman" w:cs="Times New Roman" w:eastAsia="Times New Roman" w:hint="default"/>
        </w:rPr>
        <w:sectPr>
          <w:pgSz w:w="11910" w:h="16840"/>
          <w:pgMar w:header="851" w:footer="979" w:top="1380" w:bottom="1160" w:left="0" w:right="0"/>
        </w:sectPr>
      </w:pPr>
    </w:p>
    <w:p>
      <w:pPr>
        <w:spacing w:line="240" w:lineRule="auto" w:before="6"/>
        <w:rPr>
          <w:rFonts w:ascii="Times New Roman" w:hAnsi="Times New Roman" w:cs="Times New Roman" w:eastAsia="Times New Roman" w:hint="default"/>
          <w:sz w:val="17"/>
          <w:szCs w:val="17"/>
        </w:rPr>
      </w:pPr>
    </w:p>
    <w:p>
      <w:pPr>
        <w:spacing w:line="4391" w:lineRule="exact"/>
        <w:ind w:left="239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7"/>
          <w:sz w:val="20"/>
          <w:szCs w:val="20"/>
        </w:rPr>
        <w:drawing>
          <wp:inline distT="0" distB="0" distL="0" distR="0">
            <wp:extent cx="4664178" cy="2788824"/>
            <wp:effectExtent l="0" t="0" r="0" b="0"/>
            <wp:docPr id="29" name="image38.jpeg" descr=""/>
            <wp:cNvGraphicFramePr>
              <a:graphicFrameLocks noChangeAspect="1"/>
            </wp:cNvGraphicFramePr>
            <a:graphic>
              <a:graphicData uri="http://schemas.openxmlformats.org/drawingml/2006/picture">
                <pic:pic>
                  <pic:nvPicPr>
                    <pic:cNvPr id="30" name="image38.jpeg"/>
                    <pic:cNvPicPr/>
                  </pic:nvPicPr>
                  <pic:blipFill>
                    <a:blip r:embed="rId45" cstate="print"/>
                    <a:stretch>
                      <a:fillRect/>
                    </a:stretch>
                  </pic:blipFill>
                  <pic:spPr>
                    <a:xfrm>
                      <a:off x="0" y="0"/>
                      <a:ext cx="4664178" cy="2788824"/>
                    </a:xfrm>
                    <a:prstGeom prst="rect">
                      <a:avLst/>
                    </a:prstGeom>
                  </pic:spPr>
                </pic:pic>
              </a:graphicData>
            </a:graphic>
          </wp:inline>
        </w:drawing>
      </w:r>
      <w:r>
        <w:rPr>
          <w:rFonts w:ascii="Times New Roman" w:hAnsi="Times New Roman" w:cs="Times New Roman" w:eastAsia="Times New Roman" w:hint="default"/>
          <w:position w:val="-87"/>
          <w:sz w:val="20"/>
          <w:szCs w:val="20"/>
        </w:rPr>
      </w:r>
    </w:p>
    <w:p>
      <w:pPr>
        <w:spacing w:line="240" w:lineRule="auto" w:before="11"/>
        <w:rPr>
          <w:rFonts w:ascii="Times New Roman" w:hAnsi="Times New Roman" w:cs="Times New Roman" w:eastAsia="Times New Roman" w:hint="default"/>
          <w:sz w:val="15"/>
          <w:szCs w:val="15"/>
        </w:rPr>
      </w:pPr>
    </w:p>
    <w:p>
      <w:pPr>
        <w:pStyle w:val="Heading4"/>
        <w:spacing w:line="240" w:lineRule="auto" w:before="44"/>
        <w:ind w:left="200" w:right="0"/>
        <w:jc w:val="center"/>
        <w:rPr>
          <w:b w:val="0"/>
          <w:bCs w:val="0"/>
        </w:rPr>
      </w:pPr>
      <w:r>
        <w:rPr/>
        <w:t>（与学术领域著名专家合作）</w:t>
      </w:r>
      <w:r>
        <w:rPr>
          <w:b w:val="0"/>
          <w:bCs w:val="0"/>
        </w:rPr>
      </w:r>
    </w:p>
    <w:p>
      <w:pPr>
        <w:spacing w:line="240" w:lineRule="auto" w:before="5"/>
        <w:rPr>
          <w:rFonts w:ascii="宋体" w:hAnsi="宋体" w:cs="宋体" w:eastAsia="宋体" w:hint="default"/>
          <w:b/>
          <w:bCs/>
          <w:sz w:val="14"/>
          <w:szCs w:val="14"/>
        </w:rPr>
      </w:pPr>
    </w:p>
    <w:p>
      <w:pPr>
        <w:pStyle w:val="Heading4"/>
        <w:spacing w:line="451" w:lineRule="auto" w:before="44"/>
        <w:ind w:right="1129"/>
        <w:jc w:val="left"/>
        <w:rPr>
          <w:b w:val="0"/>
          <w:bCs w:val="0"/>
        </w:rPr>
      </w:pPr>
      <w:r>
        <w:rPr>
          <w:rFonts w:ascii="Times New Roman" w:hAnsi="Times New Roman" w:cs="Times New Roman" w:eastAsia="Times New Roman" w:hint="default"/>
        </w:rPr>
        <w:t>2</w:t>
      </w:r>
      <w:r>
        <w:rPr/>
        <w:t>、工业物联网领域</w:t>
      </w:r>
      <w:r>
        <w:rPr>
          <w:spacing w:val="1"/>
          <w:w w:val="99"/>
        </w:rPr>
        <w:t> </w:t>
      </w:r>
      <w:r>
        <w:rPr>
          <w:spacing w:val="-4"/>
        </w:rPr>
        <w:t>公司自</w:t>
      </w:r>
      <w:r>
        <w:rPr>
          <w:rFonts w:ascii="Times New Roman" w:hAnsi="Times New Roman" w:cs="Times New Roman" w:eastAsia="Times New Roman" w:hint="default"/>
          <w:spacing w:val="-4"/>
        </w:rPr>
        <w:t>2011</w:t>
      </w:r>
      <w:r>
        <w:rPr>
          <w:spacing w:val="-4"/>
        </w:rPr>
        <w:t>年伊始至今，一直专注于物联网通讯技术的探索与研究</w:t>
      </w:r>
      <w:r>
        <w:rPr>
          <w:rFonts w:ascii="宋体" w:hAnsi="宋体" w:cs="宋体" w:eastAsia="宋体" w:hint="default"/>
          <w:b w:val="0"/>
          <w:bCs w:val="0"/>
          <w:spacing w:val="-4"/>
        </w:rPr>
        <w:t>，形成了</w:t>
      </w:r>
      <w:r>
        <w:rPr>
          <w:rFonts w:ascii="Times New Roman" w:hAnsi="Times New Roman" w:cs="Times New Roman" w:eastAsia="Times New Roman" w:hint="default"/>
          <w:spacing w:val="-4"/>
        </w:rPr>
        <w:t>“</w:t>
      </w:r>
      <w:r>
        <w:rPr>
          <w:spacing w:val="-4"/>
        </w:rPr>
        <w:t>满足工业环境特殊要求的无线通信、定位、</w:t>
      </w:r>
      <w:r>
        <w:rPr>
          <w:b w:val="0"/>
          <w:bCs w:val="0"/>
          <w:spacing w:val="-4"/>
        </w:rPr>
      </w:r>
    </w:p>
    <w:p>
      <w:pPr>
        <w:pStyle w:val="BodyText"/>
        <w:spacing w:line="451" w:lineRule="auto" w:before="43"/>
        <w:ind w:left="1134" w:right="1111"/>
        <w:jc w:val="left"/>
      </w:pPr>
      <w:r>
        <w:rPr>
          <w:rFonts w:ascii="宋体" w:hAnsi="宋体" w:cs="宋体" w:eastAsia="宋体" w:hint="default"/>
          <w:b/>
          <w:bCs/>
        </w:rPr>
        <w:t>安防、传输、感知</w:t>
      </w:r>
      <w:r>
        <w:rPr>
          <w:rFonts w:ascii="Times New Roman" w:hAnsi="Times New Roman" w:cs="Times New Roman" w:eastAsia="Times New Roman" w:hint="default"/>
          <w:b/>
          <w:bCs/>
        </w:rPr>
        <w:t>”</w:t>
      </w:r>
      <w:r>
        <w:rPr>
          <w:rFonts w:ascii="宋体" w:hAnsi="宋体" w:cs="宋体" w:eastAsia="宋体" w:hint="default"/>
          <w:b/>
          <w:bCs/>
        </w:rPr>
        <w:t>的专利技术体系</w:t>
      </w:r>
      <w:r>
        <w:rPr/>
        <w:t>，融入公司领先的网络监控、信息安全、人工智能、大数据等技术，聚焦核电核岛、城 市综合管廊、机场、高铁、石油炼化等重点行业的特殊工业场景，打造基于</w:t>
      </w:r>
      <w:r>
        <w:rPr>
          <w:rFonts w:ascii="Times New Roman" w:hAnsi="Times New Roman" w:cs="Times New Roman" w:eastAsia="Times New Roman" w:hint="default"/>
        </w:rPr>
        <w:t>“</w:t>
      </w:r>
      <w:r>
        <w:rPr/>
        <w:t>智慧</w:t>
      </w:r>
      <w:r>
        <w:rPr>
          <w:rFonts w:ascii="Times New Roman" w:hAnsi="Times New Roman" w:cs="Times New Roman" w:eastAsia="Times New Roman" w:hint="default"/>
        </w:rPr>
        <w:t>+”</w:t>
      </w:r>
      <w:r>
        <w:rPr/>
        <w:t>系列技术的物联网通信及安防系统。</w:t>
      </w:r>
    </w:p>
    <w:p>
      <w:pPr>
        <w:pStyle w:val="BodyText"/>
        <w:spacing w:line="458" w:lineRule="auto" w:before="44"/>
        <w:ind w:right="1130" w:firstLine="360"/>
        <w:jc w:val="both"/>
      </w:pPr>
      <w:r>
        <w:rPr/>
        <w:t>（</w:t>
      </w:r>
      <w:r>
        <w:rPr>
          <w:rFonts w:ascii="Times New Roman" w:hAnsi="Times New Roman" w:cs="Times New Roman" w:eastAsia="Times New Roman" w:hint="default"/>
        </w:rPr>
        <w:t>1</w:t>
      </w:r>
      <w:r>
        <w:rPr/>
        <w:t>）公司智慧线系列现已申请专利</w:t>
      </w:r>
      <w:r>
        <w:rPr>
          <w:rFonts w:ascii="Times New Roman" w:hAnsi="Times New Roman" w:cs="Times New Roman" w:eastAsia="Times New Roman" w:hint="default"/>
        </w:rPr>
        <w:t>130</w:t>
      </w:r>
      <w:r>
        <w:rPr/>
        <w:t>余项。</w:t>
      </w:r>
      <w:r>
        <w:rPr>
          <w:rFonts w:ascii="Times New Roman" w:hAnsi="Times New Roman" w:cs="Times New Roman" w:eastAsia="Times New Roman" w:hint="default"/>
        </w:rPr>
        <w:t>2017</w:t>
      </w:r>
      <w:r>
        <w:rPr/>
        <w:t>年公司连续获得国家知识产权局第十八届、第十九届中国专利奖</w:t>
      </w:r>
      <w:r>
        <w:rPr>
          <w:rFonts w:ascii="Times New Roman" w:hAnsi="Times New Roman" w:cs="Times New Roman" w:eastAsia="Times New Roman" w:hint="default"/>
        </w:rPr>
        <w:t>“</w:t>
      </w:r>
      <w:r>
        <w:rPr/>
        <w:t>优 秀奖</w:t>
      </w:r>
      <w:r>
        <w:rPr>
          <w:rFonts w:ascii="Times New Roman" w:hAnsi="Times New Roman" w:cs="Times New Roman" w:eastAsia="Times New Roman" w:hint="default"/>
        </w:rPr>
        <w:t>”</w:t>
      </w:r>
      <w:r>
        <w:rPr/>
        <w:t>荣誉称号，获得该奖项的专利为</w:t>
      </w:r>
      <w:r>
        <w:rPr>
          <w:rFonts w:ascii="Times New Roman" w:hAnsi="Times New Roman" w:cs="Times New Roman" w:eastAsia="Times New Roman" w:hint="default"/>
        </w:rPr>
        <w:t>“</w:t>
      </w:r>
      <w:r>
        <w:rPr/>
        <w:t>一种移动数据业务端到端质量分析方法及系统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安全检查方法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一种线缆系统</w:t>
      </w:r>
      <w:r>
        <w:rPr>
          <w:rFonts w:ascii="Times New Roman" w:hAnsi="Times New Roman" w:cs="Times New Roman" w:eastAsia="Times New Roman" w:hint="default"/>
        </w:rPr>
        <w:t>”</w:t>
      </w:r>
      <w:r>
        <w:rPr>
          <w:rFonts w:ascii="Times New Roman" w:hAnsi="Times New Roman" w:cs="Times New Roman" w:eastAsia="Times New Roman" w:hint="default"/>
          <w:spacing w:val="23"/>
        </w:rPr>
        <w:t> </w:t>
      </w:r>
      <w:r>
        <w:rPr>
          <w:spacing w:val="-2"/>
        </w:rPr>
        <w:t>等三项发明专利（中国专利奖是我国专利领域的最高奖项，是国家知识产权局和世界知识产权组织共同审核授予的中国专利</w:t>
      </w:r>
      <w:r>
        <w:rPr>
          <w:spacing w:val="-64"/>
        </w:rPr>
        <w:t> </w:t>
      </w:r>
      <w:r>
        <w:rPr>
          <w:spacing w:val="-64"/>
        </w:rPr>
      </w:r>
      <w:r>
        <w:rPr>
          <w:spacing w:val="-2"/>
          <w:w w:val="100"/>
        </w:rPr>
        <w:t>界的唯一奖项）。</w:t>
      </w:r>
      <w:r>
        <w:rPr>
          <w:rFonts w:ascii="Times New Roman" w:hAnsi="Times New Roman" w:cs="Times New Roman" w:eastAsia="Times New Roman" w:hint="default"/>
          <w:spacing w:val="-2"/>
          <w:w w:val="100"/>
        </w:rPr>
        <w:t>2018</w:t>
      </w:r>
      <w:r>
        <w:rPr>
          <w:spacing w:val="-2"/>
          <w:w w:val="100"/>
        </w:rPr>
        <w:t>年初，公司自主研发的</w:t>
      </w:r>
      <w:r>
        <w:rPr>
          <w:rFonts w:ascii="Times New Roman" w:hAnsi="Times New Roman" w:cs="Times New Roman" w:eastAsia="Times New Roman" w:hint="default"/>
          <w:spacing w:val="-2"/>
          <w:w w:val="100"/>
        </w:rPr>
        <w:t>“</w:t>
      </w:r>
      <w:r>
        <w:rPr>
          <w:spacing w:val="-2"/>
          <w:w w:val="100"/>
        </w:rPr>
        <w:t>一种具备无线通信和反恐探测能力的特殊电缆的研制及应用</w:t>
      </w:r>
      <w:r>
        <w:rPr>
          <w:rFonts w:ascii="Times New Roman" w:hAnsi="Times New Roman" w:cs="Times New Roman" w:eastAsia="Times New Roman" w:hint="default"/>
          <w:spacing w:val="-2"/>
          <w:w w:val="100"/>
        </w:rPr>
        <w:t>”</w:t>
      </w:r>
      <w:r>
        <w:rPr>
          <w:spacing w:val="-2"/>
          <w:w w:val="100"/>
        </w:rPr>
        <w:t>项目荣获</w:t>
      </w:r>
      <w:r>
        <w:rPr>
          <w:rFonts w:ascii="Times New Roman" w:hAnsi="Times New Roman" w:cs="Times New Roman" w:eastAsia="Times New Roman" w:hint="default"/>
          <w:spacing w:val="-2"/>
          <w:w w:val="100"/>
        </w:rPr>
        <w:t>2017</w:t>
      </w:r>
      <w:r>
        <w:rPr>
          <w:spacing w:val="-2"/>
          <w:w w:val="100"/>
        </w:rPr>
        <w:t>年</w:t>
      </w:r>
      <w:r>
        <w:rPr>
          <w:spacing w:val="-38"/>
          <w:w w:val="100"/>
        </w:rPr>
        <w:t> </w:t>
      </w:r>
      <w:r>
        <w:rPr/>
        <w:t>度北京市科学技术奖励三等奖。</w:t>
      </w:r>
    </w:p>
    <w:p>
      <w:pPr>
        <w:spacing w:line="3956" w:lineRule="exact"/>
        <w:ind w:left="3353" w:right="0" w:firstLine="0"/>
        <w:rPr>
          <w:rFonts w:ascii="宋体" w:hAnsi="宋体" w:cs="宋体" w:eastAsia="宋体" w:hint="default"/>
          <w:sz w:val="20"/>
          <w:szCs w:val="20"/>
        </w:rPr>
      </w:pPr>
      <w:r>
        <w:rPr>
          <w:rFonts w:ascii="宋体" w:hAnsi="宋体" w:cs="宋体" w:eastAsia="宋体" w:hint="default"/>
          <w:position w:val="-78"/>
          <w:sz w:val="20"/>
          <w:szCs w:val="20"/>
        </w:rPr>
        <w:drawing>
          <wp:inline distT="0" distB="0" distL="0" distR="0">
            <wp:extent cx="3416585" cy="2512314"/>
            <wp:effectExtent l="0" t="0" r="0" b="0"/>
            <wp:docPr id="31" name="image39.jpeg" descr=""/>
            <wp:cNvGraphicFramePr>
              <a:graphicFrameLocks noChangeAspect="1"/>
            </wp:cNvGraphicFramePr>
            <a:graphic>
              <a:graphicData uri="http://schemas.openxmlformats.org/drawingml/2006/picture">
                <pic:pic>
                  <pic:nvPicPr>
                    <pic:cNvPr id="32" name="image39.jpeg"/>
                    <pic:cNvPicPr/>
                  </pic:nvPicPr>
                  <pic:blipFill>
                    <a:blip r:embed="rId46" cstate="print"/>
                    <a:stretch>
                      <a:fillRect/>
                    </a:stretch>
                  </pic:blipFill>
                  <pic:spPr>
                    <a:xfrm>
                      <a:off x="0" y="0"/>
                      <a:ext cx="3416585" cy="2512314"/>
                    </a:xfrm>
                    <a:prstGeom prst="rect">
                      <a:avLst/>
                    </a:prstGeom>
                  </pic:spPr>
                </pic:pic>
              </a:graphicData>
            </a:graphic>
          </wp:inline>
        </w:drawing>
      </w:r>
      <w:r>
        <w:rPr>
          <w:rFonts w:ascii="宋体" w:hAnsi="宋体" w:cs="宋体" w:eastAsia="宋体" w:hint="default"/>
          <w:position w:val="-78"/>
          <w:sz w:val="20"/>
          <w:szCs w:val="20"/>
        </w:rPr>
      </w:r>
    </w:p>
    <w:p>
      <w:pPr>
        <w:spacing w:line="240" w:lineRule="auto" w:before="12"/>
        <w:rPr>
          <w:rFonts w:ascii="宋体" w:hAnsi="宋体" w:cs="宋体" w:eastAsia="宋体" w:hint="default"/>
          <w:sz w:val="12"/>
          <w:szCs w:val="12"/>
        </w:rPr>
      </w:pPr>
    </w:p>
    <w:p>
      <w:pPr>
        <w:pStyle w:val="Heading4"/>
        <w:spacing w:line="240" w:lineRule="auto"/>
        <w:ind w:left="4090" w:right="4091"/>
        <w:jc w:val="center"/>
        <w:rPr>
          <w:b w:val="0"/>
          <w:bCs w:val="0"/>
        </w:rPr>
      </w:pPr>
      <w:r>
        <w:rPr/>
        <w:t>（物联网专利荣获北京市科学技术奖）</w:t>
      </w:r>
      <w:r>
        <w:rPr>
          <w:b w:val="0"/>
          <w:bCs w:val="0"/>
        </w:rPr>
      </w:r>
    </w:p>
    <w:p>
      <w:pPr>
        <w:spacing w:after="0" w:line="240" w:lineRule="auto"/>
        <w:jc w:val="center"/>
        <w:sectPr>
          <w:pgSz w:w="11910" w:h="16840"/>
          <w:pgMar w:header="851" w:footer="979" w:top="1380" w:bottom="1160" w:left="0" w:right="0"/>
        </w:sectPr>
      </w:pPr>
    </w:p>
    <w:p>
      <w:pPr>
        <w:pStyle w:val="BodyText"/>
        <w:spacing w:line="451" w:lineRule="auto" w:before="140"/>
        <w:ind w:right="1131" w:firstLine="360"/>
        <w:jc w:val="both"/>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2017</w:t>
      </w:r>
      <w:r>
        <w:rPr/>
        <w:t>年，公司积极推进</w:t>
      </w:r>
      <w:r>
        <w:rPr>
          <w:rFonts w:ascii="Times New Roman" w:hAnsi="Times New Roman" w:cs="Times New Roman" w:eastAsia="Times New Roman" w:hint="default"/>
        </w:rPr>
        <w:t>“Nu</w:t>
      </w:r>
      <w:r>
        <w:rPr>
          <w:rFonts w:ascii="Times New Roman" w:hAnsi="Times New Roman" w:cs="Times New Roman" w:eastAsia="Times New Roman" w:hint="default"/>
        </w:rPr>
        <w:t>-WiFi</w:t>
      </w:r>
      <w:r>
        <w:rPr/>
        <w:t>核电专业无线通信系统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综合管廊安防通信一体化系统</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智慧墙入侵探测系 统</w:t>
      </w:r>
      <w:r>
        <w:rPr>
          <w:rFonts w:ascii="Times New Roman" w:hAnsi="Times New Roman" w:cs="Times New Roman" w:eastAsia="Times New Roman" w:hint="default"/>
        </w:rPr>
        <w:t>”</w:t>
      </w:r>
      <w:r>
        <w:rPr/>
        <w:t>三大整体解决方案在核电、地下管廊、石油石化、民航、矿山等特种工业领域的应用。</w:t>
      </w:r>
    </w:p>
    <w:p>
      <w:pPr>
        <w:spacing w:line="2424" w:lineRule="exact"/>
        <w:ind w:left="1833" w:right="0" w:firstLine="0"/>
        <w:rPr>
          <w:rFonts w:ascii="宋体" w:hAnsi="宋体" w:cs="宋体" w:eastAsia="宋体" w:hint="default"/>
          <w:sz w:val="20"/>
          <w:szCs w:val="20"/>
        </w:rPr>
      </w:pPr>
      <w:r>
        <w:rPr>
          <w:rFonts w:ascii="宋体" w:hAnsi="宋体" w:cs="宋体" w:eastAsia="宋体" w:hint="default"/>
          <w:position w:val="-47"/>
          <w:sz w:val="20"/>
          <w:szCs w:val="20"/>
        </w:rPr>
        <w:drawing>
          <wp:inline distT="0" distB="0" distL="0" distR="0">
            <wp:extent cx="5393607" cy="1539240"/>
            <wp:effectExtent l="0" t="0" r="0" b="0"/>
            <wp:docPr id="33" name="image40.jpeg" descr=""/>
            <wp:cNvGraphicFramePr>
              <a:graphicFrameLocks noChangeAspect="1"/>
            </wp:cNvGraphicFramePr>
            <a:graphic>
              <a:graphicData uri="http://schemas.openxmlformats.org/drawingml/2006/picture">
                <pic:pic>
                  <pic:nvPicPr>
                    <pic:cNvPr id="34" name="image40.jpeg"/>
                    <pic:cNvPicPr/>
                  </pic:nvPicPr>
                  <pic:blipFill>
                    <a:blip r:embed="rId47" cstate="print"/>
                    <a:stretch>
                      <a:fillRect/>
                    </a:stretch>
                  </pic:blipFill>
                  <pic:spPr>
                    <a:xfrm>
                      <a:off x="0" y="0"/>
                      <a:ext cx="5393607" cy="1539240"/>
                    </a:xfrm>
                    <a:prstGeom prst="rect">
                      <a:avLst/>
                    </a:prstGeom>
                  </pic:spPr>
                </pic:pic>
              </a:graphicData>
            </a:graphic>
          </wp:inline>
        </w:drawing>
      </w:r>
      <w:r>
        <w:rPr>
          <w:rFonts w:ascii="宋体" w:hAnsi="宋体" w:cs="宋体" w:eastAsia="宋体" w:hint="default"/>
          <w:position w:val="-47"/>
          <w:sz w:val="20"/>
          <w:szCs w:val="20"/>
        </w:rPr>
      </w:r>
    </w:p>
    <w:p>
      <w:pPr>
        <w:pStyle w:val="Heading4"/>
        <w:spacing w:line="240" w:lineRule="auto" w:before="117"/>
        <w:ind w:left="199" w:right="0"/>
        <w:jc w:val="center"/>
        <w:rPr>
          <w:b w:val="0"/>
          <w:bCs w:val="0"/>
        </w:rPr>
      </w:pPr>
      <w:r>
        <w:rPr/>
        <w:t>（管廊、核岛、周界安防场景图）</w:t>
      </w:r>
      <w:r>
        <w:rPr>
          <w:b w:val="0"/>
          <w:bCs w:val="0"/>
        </w:rPr>
      </w:r>
    </w:p>
    <w:p>
      <w:pPr>
        <w:spacing w:line="240" w:lineRule="auto" w:before="10"/>
        <w:rPr>
          <w:rFonts w:ascii="宋体" w:hAnsi="宋体" w:cs="宋体" w:eastAsia="宋体" w:hint="default"/>
          <w:b/>
          <w:bCs/>
          <w:sz w:val="17"/>
          <w:szCs w:val="17"/>
        </w:rPr>
      </w:pPr>
    </w:p>
    <w:p>
      <w:pPr>
        <w:pStyle w:val="BodyText"/>
        <w:spacing w:line="463" w:lineRule="auto"/>
        <w:ind w:right="1131" w:firstLine="360"/>
        <w:jc w:val="both"/>
      </w:pPr>
      <w:r>
        <w:rPr>
          <w:rFonts w:ascii="Times New Roman" w:hAnsi="Times New Roman" w:cs="Times New Roman" w:eastAsia="Times New Roman" w:hint="default"/>
        </w:rPr>
        <w:t>A</w:t>
      </w:r>
      <w:r>
        <w:rPr/>
        <w:t>、在</w:t>
      </w:r>
      <w:r>
        <w:rPr>
          <w:rFonts w:ascii="宋体" w:hAnsi="宋体" w:cs="宋体" w:eastAsia="宋体" w:hint="default"/>
          <w:b/>
          <w:bCs/>
        </w:rPr>
        <w:t>工业互联网</w:t>
      </w:r>
      <w:r>
        <w:rPr/>
        <w:t>领域，公司报告期内推出的</w:t>
      </w:r>
      <w:r>
        <w:rPr>
          <w:rFonts w:ascii="Times New Roman" w:hAnsi="Times New Roman" w:cs="Times New Roman" w:eastAsia="Times New Roman" w:hint="default"/>
        </w:rPr>
        <w:t>“Nu</w:t>
      </w:r>
      <w:r>
        <w:rPr>
          <w:rFonts w:ascii="Times New Roman" w:hAnsi="Times New Roman" w:cs="Times New Roman" w:eastAsia="Times New Roman" w:hint="default"/>
        </w:rPr>
        <w:t>-WiFi</w:t>
      </w:r>
      <w:r>
        <w:rPr/>
        <w:t>核电专业无线通信系统</w:t>
      </w:r>
      <w:r>
        <w:rPr>
          <w:rFonts w:ascii="Times New Roman" w:hAnsi="Times New Roman" w:cs="Times New Roman" w:eastAsia="Times New Roman" w:hint="default"/>
        </w:rPr>
        <w:t>”</w:t>
      </w:r>
      <w:r>
        <w:rPr/>
        <w:t>，将自主通信协议的物联网与标准</w:t>
      </w:r>
      <w:r>
        <w:rPr>
          <w:rFonts w:ascii="Times New Roman" w:hAnsi="Times New Roman" w:cs="Times New Roman" w:eastAsia="Times New Roman" w:hint="default"/>
        </w:rPr>
        <w:t>WiFi </w:t>
      </w:r>
      <w:r>
        <w:rPr>
          <w:spacing w:val="-5"/>
          <w:w w:val="99"/>
        </w:rPr>
        <w:t>协议进行深度融合，完美实现了物联网的超低功率，海量终端接入特性与</w:t>
      </w:r>
      <w:r>
        <w:rPr>
          <w:rFonts w:ascii="Times New Roman" w:hAnsi="Times New Roman" w:cs="Times New Roman" w:eastAsia="Times New Roman" w:hint="default"/>
          <w:spacing w:val="-5"/>
          <w:w w:val="99"/>
        </w:rPr>
        <w:t>WiFi</w:t>
      </w:r>
      <w:r>
        <w:rPr>
          <w:spacing w:val="-5"/>
          <w:w w:val="99"/>
        </w:rPr>
        <w:t>网络的高带宽特性的结合，实现了电磁敏感区，</w:t>
      </w:r>
      <w:r>
        <w:rPr>
          <w:spacing w:val="-79"/>
          <w:w w:val="99"/>
        </w:rPr>
        <w:t> </w:t>
      </w:r>
      <w:r>
        <w:rPr>
          <w:spacing w:val="-79"/>
          <w:w w:val="99"/>
        </w:rPr>
      </w:r>
      <w:r>
        <w:rPr>
          <w:spacing w:val="-2"/>
        </w:rPr>
        <w:t>超低功率无线接入模式与常规区域自动漫游切换，并具备精准的功率控制能力和分级可控的安全接入机制，成为国内外首个</w:t>
      </w:r>
      <w:r>
        <w:rPr>
          <w:spacing w:val="-64"/>
        </w:rPr>
        <w:t> </w:t>
      </w:r>
      <w:r>
        <w:rPr>
          <w:spacing w:val="-64"/>
        </w:rPr>
      </w:r>
      <w:r>
        <w:rPr>
          <w:spacing w:val="-2"/>
        </w:rPr>
        <w:t>完全满足核电站高电磁安全和高信息安全要求的无线通信系统，未来公司将进一步加强传感器、智能远程协调处置方面的技</w:t>
      </w:r>
      <w:r>
        <w:rPr>
          <w:spacing w:val="-64"/>
        </w:rPr>
        <w:t> </w:t>
      </w:r>
      <w:r>
        <w:rPr>
          <w:spacing w:val="-64"/>
        </w:rPr>
      </w:r>
      <w:r>
        <w:rPr/>
        <w:t>术研发投入。</w:t>
      </w:r>
    </w:p>
    <w:p>
      <w:pPr>
        <w:spacing w:line="458" w:lineRule="auto" w:before="65"/>
        <w:ind w:left="1133" w:right="1129" w:firstLine="360"/>
        <w:jc w:val="both"/>
        <w:rPr>
          <w:rFonts w:ascii="宋体" w:hAnsi="宋体" w:cs="宋体" w:eastAsia="宋体" w:hint="default"/>
          <w:sz w:val="18"/>
          <w:szCs w:val="18"/>
        </w:rPr>
      </w:pPr>
      <w:r>
        <w:rPr>
          <w:rFonts w:ascii="Times New Roman" w:hAnsi="Times New Roman" w:cs="Times New Roman" w:eastAsia="Times New Roman" w:hint="default"/>
          <w:spacing w:val="-1"/>
          <w:sz w:val="18"/>
          <w:szCs w:val="18"/>
        </w:rPr>
        <w:t>B</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年公司在</w:t>
      </w:r>
      <w:r>
        <w:rPr>
          <w:rFonts w:ascii="宋体" w:hAnsi="宋体" w:cs="宋体" w:eastAsia="宋体" w:hint="default"/>
          <w:b/>
          <w:bCs/>
          <w:spacing w:val="-1"/>
          <w:sz w:val="18"/>
          <w:szCs w:val="18"/>
        </w:rPr>
        <w:t>城市综合管廊</w:t>
      </w:r>
      <w:r>
        <w:rPr>
          <w:rFonts w:ascii="宋体" w:hAnsi="宋体" w:cs="宋体" w:eastAsia="宋体" w:hint="default"/>
          <w:spacing w:val="-1"/>
          <w:sz w:val="18"/>
          <w:szCs w:val="18"/>
        </w:rPr>
        <w:t>领域发展较快。国务院近几年高度重视推进城市地下综合管廊建设，</w:t>
      </w:r>
      <w:r>
        <w:rPr>
          <w:rFonts w:ascii="Times New Roman" w:hAnsi="Times New Roman" w:cs="Times New Roman" w:eastAsia="Times New Roman" w:hint="default"/>
          <w:spacing w:val="-1"/>
          <w:sz w:val="18"/>
          <w:szCs w:val="18"/>
        </w:rPr>
        <w:t>2013</w:t>
      </w:r>
      <w:r>
        <w:rPr>
          <w:rFonts w:ascii="宋体" w:hAnsi="宋体" w:cs="宋体" w:eastAsia="宋体" w:hint="default"/>
          <w:spacing w:val="-1"/>
          <w:sz w:val="18"/>
          <w:szCs w:val="18"/>
        </w:rPr>
        <w:t>年以来先后印</w:t>
      </w:r>
      <w:r>
        <w:rPr>
          <w:rFonts w:ascii="宋体" w:hAnsi="宋体" w:cs="宋体" w:eastAsia="宋体" w:hint="default"/>
          <w:sz w:val="18"/>
          <w:szCs w:val="18"/>
        </w:rPr>
        <w:t> </w:t>
      </w:r>
      <w:r>
        <w:rPr>
          <w:rFonts w:ascii="宋体" w:hAnsi="宋体" w:cs="宋体" w:eastAsia="宋体" w:hint="default"/>
          <w:spacing w:val="-2"/>
          <w:sz w:val="18"/>
          <w:szCs w:val="18"/>
        </w:rPr>
        <w:t>发了《国务院关于加强城市基础设施建设的意见》、《国务院办公厅关于加强城市地下管线建设管理的指导意见》，部署开</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展城市地下综合管廊建设试点工作。</w:t>
      </w:r>
      <w:r>
        <w:rPr>
          <w:rFonts w:ascii="宋体" w:hAnsi="宋体" w:cs="宋体" w:eastAsia="宋体" w:hint="default"/>
          <w:b/>
          <w:bCs/>
          <w:sz w:val="18"/>
          <w:szCs w:val="18"/>
        </w:rPr>
        <w:t>公司下属子公司奇点新源国际技术开发（北京）有限公司是《北京市智慧管廊智能化</w:t>
      </w:r>
      <w:r>
        <w:rPr>
          <w:rFonts w:ascii="宋体" w:hAnsi="宋体" w:cs="宋体" w:eastAsia="宋体" w:hint="default"/>
          <w:b/>
          <w:bCs/>
          <w:spacing w:val="-29"/>
          <w:sz w:val="18"/>
          <w:szCs w:val="18"/>
        </w:rPr>
        <w:t> </w:t>
      </w:r>
      <w:r>
        <w:rPr>
          <w:rFonts w:ascii="宋体" w:hAnsi="宋体" w:cs="宋体" w:eastAsia="宋体" w:hint="default"/>
          <w:b/>
          <w:bCs/>
          <w:spacing w:val="-29"/>
          <w:sz w:val="18"/>
          <w:szCs w:val="18"/>
        </w:rPr>
      </w:r>
      <w:r>
        <w:rPr>
          <w:rFonts w:ascii="宋体" w:hAnsi="宋体" w:cs="宋体" w:eastAsia="宋体" w:hint="default"/>
          <w:b/>
          <w:bCs/>
          <w:sz w:val="18"/>
          <w:szCs w:val="18"/>
        </w:rPr>
        <w:t>工程技术规范》的参编单位，其自主研发设计的</w:t>
      </w:r>
      <w:r>
        <w:rPr>
          <w:rFonts w:ascii="Times New Roman" w:hAnsi="Times New Roman" w:cs="Times New Roman" w:eastAsia="Times New Roman" w:hint="default"/>
          <w:b/>
          <w:bCs/>
          <w:sz w:val="18"/>
          <w:szCs w:val="18"/>
        </w:rPr>
        <w:t>“</w:t>
      </w:r>
      <w:r>
        <w:rPr>
          <w:rFonts w:ascii="宋体" w:hAnsi="宋体" w:cs="宋体" w:eastAsia="宋体" w:hint="default"/>
          <w:b/>
          <w:bCs/>
          <w:sz w:val="18"/>
          <w:szCs w:val="18"/>
        </w:rPr>
        <w:t>基于智慧线的城市综合管廊通信安防一体化系统</w:t>
      </w:r>
      <w:r>
        <w:rPr>
          <w:rFonts w:ascii="Times New Roman" w:hAnsi="Times New Roman" w:cs="Times New Roman" w:eastAsia="Times New Roman" w:hint="default"/>
          <w:b/>
          <w:bCs/>
          <w:sz w:val="18"/>
          <w:szCs w:val="18"/>
        </w:rPr>
        <w:t>”</w:t>
      </w:r>
      <w:r>
        <w:rPr>
          <w:rFonts w:ascii="宋体" w:hAnsi="宋体" w:cs="宋体" w:eastAsia="宋体" w:hint="default"/>
          <w:sz w:val="18"/>
          <w:szCs w:val="18"/>
        </w:rPr>
        <w:t>，通过在电缆里密集内</w:t>
      </w:r>
      <w:r>
        <w:rPr>
          <w:rFonts w:ascii="宋体" w:hAnsi="宋体" w:cs="宋体" w:eastAsia="宋体" w:hint="default"/>
          <w:spacing w:val="-29"/>
          <w:sz w:val="18"/>
          <w:szCs w:val="18"/>
        </w:rPr>
        <w:t> </w:t>
      </w:r>
      <w:r>
        <w:rPr>
          <w:rFonts w:ascii="宋体" w:hAnsi="宋体" w:cs="宋体" w:eastAsia="宋体" w:hint="default"/>
          <w:sz w:val="18"/>
          <w:szCs w:val="18"/>
        </w:rPr>
        <w:t>置无线通信芯片，并在线缆铺设后将这些内置的无线通信芯片同管廊的空间位置对应起来，形成覆盖整个管廊的</w:t>
      </w:r>
      <w:r>
        <w:rPr>
          <w:rFonts w:ascii="Times New Roman" w:hAnsi="Times New Roman" w:cs="Times New Roman" w:eastAsia="Times New Roman" w:hint="default"/>
          <w:sz w:val="18"/>
          <w:szCs w:val="18"/>
        </w:rPr>
        <w:t>“</w:t>
      </w:r>
      <w:r>
        <w:rPr>
          <w:rFonts w:ascii="宋体" w:hAnsi="宋体" w:cs="宋体" w:eastAsia="宋体" w:hint="default"/>
          <w:sz w:val="18"/>
          <w:szCs w:val="18"/>
        </w:rPr>
        <w:t>物联网无</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线通信平台</w:t>
      </w:r>
      <w:r>
        <w:rPr>
          <w:rFonts w:ascii="Times New Roman" w:hAnsi="Times New Roman" w:cs="Times New Roman" w:eastAsia="Times New Roman" w:hint="default"/>
          <w:sz w:val="18"/>
          <w:szCs w:val="18"/>
        </w:rPr>
        <w:t>”</w:t>
      </w:r>
      <w:r>
        <w:rPr>
          <w:rFonts w:ascii="宋体" w:hAnsi="宋体" w:cs="宋体" w:eastAsia="宋体" w:hint="default"/>
          <w:sz w:val="18"/>
          <w:szCs w:val="18"/>
        </w:rPr>
        <w:t>，进而可以同时实现</w:t>
      </w:r>
      <w:r>
        <w:rPr>
          <w:rFonts w:ascii="Times New Roman" w:hAnsi="Times New Roman" w:cs="Times New Roman" w:eastAsia="Times New Roman" w:hint="default"/>
          <w:sz w:val="18"/>
          <w:szCs w:val="18"/>
        </w:rPr>
        <w:t>“</w:t>
      </w:r>
      <w:r>
        <w:rPr>
          <w:rFonts w:ascii="宋体" w:hAnsi="宋体" w:cs="宋体" w:eastAsia="宋体" w:hint="default"/>
          <w:sz w:val="18"/>
          <w:szCs w:val="18"/>
        </w:rPr>
        <w:t>安防系统</w:t>
      </w:r>
      <w:r>
        <w:rPr>
          <w:rFonts w:ascii="Times New Roman" w:hAnsi="Times New Roman" w:cs="Times New Roman" w:eastAsia="Times New Roman" w:hint="default"/>
          <w:sz w:val="18"/>
          <w:szCs w:val="18"/>
        </w:rPr>
        <w:t>”</w:t>
      </w:r>
      <w:r>
        <w:rPr>
          <w:rFonts w:ascii="宋体" w:hAnsi="宋体" w:cs="宋体" w:eastAsia="宋体" w:hint="default"/>
          <w:sz w:val="18"/>
          <w:szCs w:val="18"/>
        </w:rPr>
        <w:t>中的管廊全空间入侵探测定位及视频联动、出入口控制系统、在线式电子巡查</w:t>
      </w:r>
      <w:r>
        <w:rPr>
          <w:rFonts w:ascii="宋体" w:hAnsi="宋体" w:cs="宋体" w:eastAsia="宋体" w:hint="default"/>
          <w:spacing w:val="-58"/>
          <w:sz w:val="18"/>
          <w:szCs w:val="18"/>
        </w:rPr>
        <w:t> </w:t>
      </w:r>
      <w:r>
        <w:rPr>
          <w:rFonts w:ascii="宋体" w:hAnsi="宋体" w:cs="宋体" w:eastAsia="宋体" w:hint="default"/>
          <w:spacing w:val="-58"/>
          <w:sz w:val="18"/>
          <w:szCs w:val="18"/>
        </w:rPr>
      </w:r>
      <w:r>
        <w:rPr>
          <w:rFonts w:ascii="宋体" w:hAnsi="宋体" w:cs="宋体" w:eastAsia="宋体" w:hint="default"/>
          <w:sz w:val="18"/>
          <w:szCs w:val="18"/>
        </w:rPr>
        <w:t>系统、人员精确定位系统和</w:t>
      </w:r>
      <w:r>
        <w:rPr>
          <w:rFonts w:ascii="Times New Roman" w:hAnsi="Times New Roman" w:cs="Times New Roman" w:eastAsia="Times New Roman" w:hint="default"/>
          <w:sz w:val="18"/>
          <w:szCs w:val="18"/>
        </w:rPr>
        <w:t>“</w:t>
      </w:r>
      <w:r>
        <w:rPr>
          <w:rFonts w:ascii="宋体" w:hAnsi="宋体" w:cs="宋体" w:eastAsia="宋体" w:hint="default"/>
          <w:sz w:val="18"/>
          <w:szCs w:val="18"/>
        </w:rPr>
        <w:t>通信系统</w:t>
      </w:r>
      <w:r>
        <w:rPr>
          <w:rFonts w:ascii="Times New Roman" w:hAnsi="Times New Roman" w:cs="Times New Roman" w:eastAsia="Times New Roman" w:hint="default"/>
          <w:sz w:val="18"/>
          <w:szCs w:val="18"/>
        </w:rPr>
        <w:t>”</w:t>
      </w:r>
      <w:r>
        <w:rPr>
          <w:rFonts w:ascii="宋体" w:hAnsi="宋体" w:cs="宋体" w:eastAsia="宋体" w:hint="default"/>
          <w:sz w:val="18"/>
          <w:szCs w:val="18"/>
        </w:rPr>
        <w:t>中的无线通信系统五个系统的功能，同时提供</w:t>
      </w:r>
      <w:r>
        <w:rPr>
          <w:rFonts w:ascii="Times New Roman" w:hAnsi="Times New Roman" w:cs="Times New Roman" w:eastAsia="Times New Roman" w:hint="default"/>
          <w:sz w:val="18"/>
          <w:szCs w:val="18"/>
        </w:rPr>
        <w:t>2M+300M</w:t>
      </w:r>
      <w:r>
        <w:rPr>
          <w:rFonts w:ascii="宋体" w:hAnsi="宋体" w:cs="宋体" w:eastAsia="宋体" w:hint="default"/>
          <w:sz w:val="18"/>
          <w:szCs w:val="18"/>
        </w:rPr>
        <w:t>无线数据传输平台，其性能</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pacing w:val="-4"/>
          <w:sz w:val="18"/>
          <w:szCs w:val="18"/>
        </w:rPr>
        <w:t>满足并远远优于《城镇综合管廊监控与报警系统工程技术规范》。</w:t>
      </w:r>
    </w:p>
    <w:p>
      <w:pPr>
        <w:spacing w:line="3433" w:lineRule="exact"/>
        <w:ind w:left="2393" w:right="0" w:firstLine="0"/>
        <w:rPr>
          <w:rFonts w:ascii="宋体" w:hAnsi="宋体" w:cs="宋体" w:eastAsia="宋体" w:hint="default"/>
          <w:sz w:val="20"/>
          <w:szCs w:val="20"/>
        </w:rPr>
      </w:pPr>
      <w:r>
        <w:rPr>
          <w:rFonts w:ascii="宋体" w:hAnsi="宋体" w:cs="宋体" w:eastAsia="宋体" w:hint="default"/>
          <w:position w:val="-68"/>
          <w:sz w:val="20"/>
          <w:szCs w:val="20"/>
        </w:rPr>
        <w:drawing>
          <wp:inline distT="0" distB="0" distL="0" distR="0">
            <wp:extent cx="4708945" cy="2180272"/>
            <wp:effectExtent l="0" t="0" r="0" b="0"/>
            <wp:docPr id="35" name="image41.png" descr=""/>
            <wp:cNvGraphicFramePr>
              <a:graphicFrameLocks noChangeAspect="1"/>
            </wp:cNvGraphicFramePr>
            <a:graphic>
              <a:graphicData uri="http://schemas.openxmlformats.org/drawingml/2006/picture">
                <pic:pic>
                  <pic:nvPicPr>
                    <pic:cNvPr id="36" name="image41.png"/>
                    <pic:cNvPicPr/>
                  </pic:nvPicPr>
                  <pic:blipFill>
                    <a:blip r:embed="rId48" cstate="print"/>
                    <a:stretch>
                      <a:fillRect/>
                    </a:stretch>
                  </pic:blipFill>
                  <pic:spPr>
                    <a:xfrm>
                      <a:off x="0" y="0"/>
                      <a:ext cx="4708945" cy="2180272"/>
                    </a:xfrm>
                    <a:prstGeom prst="rect">
                      <a:avLst/>
                    </a:prstGeom>
                  </pic:spPr>
                </pic:pic>
              </a:graphicData>
            </a:graphic>
          </wp:inline>
        </w:drawing>
      </w:r>
      <w:r>
        <w:rPr>
          <w:rFonts w:ascii="宋体" w:hAnsi="宋体" w:cs="宋体" w:eastAsia="宋体" w:hint="default"/>
          <w:position w:val="-68"/>
          <w:sz w:val="20"/>
          <w:szCs w:val="20"/>
        </w:rPr>
      </w:r>
    </w:p>
    <w:p>
      <w:pPr>
        <w:pStyle w:val="Heading4"/>
        <w:spacing w:line="240" w:lineRule="auto" w:before="85"/>
        <w:ind w:left="200" w:right="0"/>
        <w:jc w:val="center"/>
        <w:rPr>
          <w:b w:val="0"/>
          <w:bCs w:val="0"/>
        </w:rPr>
      </w:pPr>
      <w:r>
        <w:rPr/>
        <w:t>（综合管廊解决方案展示图）</w:t>
      </w:r>
      <w:r>
        <w:rPr>
          <w:b w:val="0"/>
          <w:bCs w:val="0"/>
        </w:rPr>
      </w:r>
    </w:p>
    <w:p>
      <w:pPr>
        <w:spacing w:after="0" w:line="240" w:lineRule="auto"/>
        <w:jc w:val="center"/>
        <w:sectPr>
          <w:pgSz w:w="11910" w:h="16840"/>
          <w:pgMar w:header="851" w:footer="979" w:top="1380" w:bottom="1160" w:left="0" w:right="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3"/>
          <w:szCs w:val="23"/>
        </w:rPr>
      </w:pPr>
    </w:p>
    <w:p>
      <w:pPr>
        <w:pStyle w:val="BodyText"/>
        <w:spacing w:line="472" w:lineRule="auto" w:before="44"/>
        <w:ind w:left="1134" w:right="1131" w:firstLine="360"/>
        <w:jc w:val="both"/>
      </w:pPr>
      <w:r>
        <w:rPr>
          <w:rFonts w:ascii="Times New Roman" w:hAnsi="Times New Roman" w:cs="Times New Roman" w:eastAsia="Times New Roman" w:hint="default"/>
          <w:w w:val="95"/>
        </w:rPr>
        <w:t>C</w:t>
      </w:r>
      <w:r>
        <w:rPr>
          <w:w w:val="95"/>
        </w:rPr>
        <w:t>、在</w:t>
      </w:r>
      <w:r>
        <w:rPr>
          <w:rFonts w:ascii="宋体" w:hAnsi="宋体" w:cs="宋体" w:eastAsia="宋体" w:hint="default"/>
          <w:b/>
          <w:bCs/>
          <w:w w:val="95"/>
        </w:rPr>
        <w:t>周界安防</w:t>
      </w:r>
      <w:r>
        <w:rPr>
          <w:w w:val="95"/>
        </w:rPr>
        <w:t>领域，公司自主研发的</w:t>
      </w:r>
      <w:r>
        <w:rPr>
          <w:rFonts w:ascii="Times New Roman" w:hAnsi="Times New Roman" w:cs="Times New Roman" w:eastAsia="Times New Roman" w:hint="default"/>
          <w:w w:val="95"/>
        </w:rPr>
        <w:t>“</w:t>
      </w:r>
      <w:r>
        <w:rPr>
          <w:w w:val="95"/>
        </w:rPr>
        <w:t>智慧墙入侵探测系统</w:t>
      </w:r>
      <w:r>
        <w:rPr>
          <w:rFonts w:ascii="Times New Roman" w:hAnsi="Times New Roman" w:cs="Times New Roman" w:eastAsia="Times New Roman" w:hint="default"/>
          <w:w w:val="95"/>
        </w:rPr>
        <w:t>”</w:t>
      </w:r>
      <w:r>
        <w:rPr>
          <w:w w:val="95"/>
        </w:rPr>
        <w:t>，是公司自主研发的基于智慧线以及阵列式感应场技术的</w:t>
      </w:r>
      <w:r>
        <w:rPr>
          <w:spacing w:val="9"/>
          <w:w w:val="95"/>
        </w:rPr>
        <w:t> </w:t>
      </w:r>
      <w:r>
        <w:rPr>
          <w:spacing w:val="9"/>
          <w:w w:val="95"/>
        </w:rPr>
      </w:r>
      <w:r>
        <w:rPr>
          <w:spacing w:val="-2"/>
        </w:rPr>
        <w:t>新一代物联网周界报警产品，该系统具备入侵报警、入侵目标定位、同一防区多点入侵可识别、敌我识别、系统自检等产品</w:t>
      </w:r>
      <w:r>
        <w:rPr>
          <w:spacing w:val="-66"/>
        </w:rPr>
        <w:t> </w:t>
      </w:r>
      <w:r>
        <w:rPr>
          <w:spacing w:val="-66"/>
        </w:rPr>
      </w:r>
      <w:r>
        <w:rPr>
          <w:spacing w:val="-2"/>
        </w:rPr>
        <w:t>功能，具有报警准确，定位精度高，虚警率低，安装维护简单等特点，适用于大型化工厂、机场、核工业、监狱、军队等对</w:t>
      </w:r>
      <w:r>
        <w:rPr>
          <w:spacing w:val="-69"/>
        </w:rPr>
        <w:t> </w:t>
      </w:r>
      <w:r>
        <w:rPr>
          <w:spacing w:val="-69"/>
        </w:rPr>
      </w:r>
      <w:r>
        <w:rPr>
          <w:spacing w:val="-2"/>
        </w:rPr>
        <w:t>于安保要求较高的场所。在运行过程中，智慧墙入侵探测系统可实现入侵报警系统和视频监控、灯光、广播、警灯等系统联</w:t>
      </w:r>
      <w:r>
        <w:rPr>
          <w:spacing w:val="-66"/>
        </w:rPr>
        <w:t> </w:t>
      </w:r>
      <w:r>
        <w:rPr>
          <w:spacing w:val="-66"/>
        </w:rPr>
      </w:r>
      <w:r>
        <w:rPr>
          <w:spacing w:val="-2"/>
        </w:rPr>
        <w:t>动，对入侵行为进行精准定位，提高报警准确率与威慑能力，有效降低了维护人员的工作量。拥有业界领先的核心技术，在</w:t>
      </w:r>
      <w:r>
        <w:rPr>
          <w:spacing w:val="-65"/>
        </w:rPr>
        <w:t> </w:t>
      </w:r>
      <w:r>
        <w:rPr>
          <w:spacing w:val="-65"/>
        </w:rPr>
      </w:r>
      <w:r>
        <w:rPr>
          <w:spacing w:val="-2"/>
        </w:rPr>
        <w:t>军工、核电、机场、石油炼化以及边防站、故宫、油储库、监狱等重要领域均实现市场落地。报告期内，公司成功为中石油</w:t>
      </w:r>
      <w:r>
        <w:rPr>
          <w:spacing w:val="-67"/>
        </w:rPr>
        <w:t> </w:t>
      </w:r>
      <w:r>
        <w:rPr>
          <w:spacing w:val="-67"/>
        </w:rPr>
      </w:r>
      <w:r>
        <w:rPr/>
        <w:t>独山子石化分公司、中核集团田湾核电站、故宫、贵阳机场、乌鲁木齐机场等重点单位提供了智能安防解决方案。</w:t>
      </w:r>
    </w:p>
    <w:p>
      <w:pPr>
        <w:pStyle w:val="BodyText"/>
        <w:spacing w:line="463" w:lineRule="auto" w:before="58"/>
        <w:ind w:right="1130" w:firstLine="360"/>
        <w:jc w:val="both"/>
      </w:pPr>
      <w:r>
        <w:rPr/>
        <w:t>（</w:t>
      </w:r>
      <w:r>
        <w:rPr>
          <w:rFonts w:ascii="Times New Roman" w:hAnsi="Times New Roman" w:cs="Times New Roman" w:eastAsia="Times New Roman" w:hint="default"/>
        </w:rPr>
        <w:t>3</w:t>
      </w:r>
      <w:r>
        <w:rPr/>
        <w:t>）截至目前，公司在物联网产业链生态圈建设方面取得了良好的进展，公司与浙江大华技术股份有限公司下属子公 </w:t>
      </w:r>
      <w:r>
        <w:rPr>
          <w:spacing w:val="-2"/>
        </w:rPr>
        <w:t>司合作实现解决方案深度融合，互相开放了数据接口，各自向对方营销平台导入相关产品线，共享市场信息资源，以提升国</w:t>
      </w:r>
      <w:r>
        <w:rPr>
          <w:spacing w:val="-66"/>
        </w:rPr>
        <w:t> </w:t>
      </w:r>
      <w:r>
        <w:rPr>
          <w:spacing w:val="-66"/>
        </w:rPr>
      </w:r>
      <w:r>
        <w:rPr/>
        <w:t>内周界安防市场的智能化水平，并联合研发核级无线摄像头，共同推广市场，打破进口垄断格局。</w:t>
      </w:r>
    </w:p>
    <w:p>
      <w:pPr>
        <w:pStyle w:val="BodyText"/>
        <w:spacing w:line="465" w:lineRule="auto" w:before="65"/>
        <w:ind w:right="1130" w:firstLine="360"/>
        <w:jc w:val="both"/>
      </w:pPr>
      <w:r>
        <w:rPr/>
        <w:t>公司与汉威科技集团股份有限公司于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月签订了《战略合作框架协议》，共同建立</w:t>
      </w:r>
      <w:r>
        <w:rPr>
          <w:rFonts w:ascii="Times New Roman" w:hAnsi="Times New Roman" w:cs="Times New Roman" w:eastAsia="Times New Roman" w:hint="default"/>
        </w:rPr>
        <w:t>“</w:t>
      </w:r>
      <w:r>
        <w:rPr/>
        <w:t>工业互联网联合实验室</w:t>
      </w:r>
      <w:r>
        <w:rPr>
          <w:rFonts w:ascii="Times New Roman" w:hAnsi="Times New Roman" w:cs="Times New Roman" w:eastAsia="Times New Roman" w:hint="default"/>
        </w:rPr>
        <w:t>”</w:t>
      </w:r>
      <w:r>
        <w:rPr/>
        <w:t>，进 </w:t>
      </w:r>
      <w:r>
        <w:rPr>
          <w:spacing w:val="-2"/>
        </w:rPr>
        <w:t>一步加强传感器、智能远程协调处置方面的技术研发投入。双方以地下综合管廊为合作切入点，将神州泰岳智慧线定位通讯</w:t>
      </w:r>
      <w:r>
        <w:rPr>
          <w:spacing w:val="-66"/>
        </w:rPr>
        <w:t> </w:t>
      </w:r>
      <w:r>
        <w:rPr>
          <w:spacing w:val="-66"/>
        </w:rPr>
      </w:r>
      <w:r>
        <w:rPr>
          <w:spacing w:val="-2"/>
        </w:rPr>
        <w:t>技术与汉威科技领先的传感检测技术相结合，通过内置集感知、采集、传输、汇聚于一体的领先物联网平台，实现物理基础</w:t>
      </w:r>
      <w:r>
        <w:rPr>
          <w:spacing w:val="-66"/>
        </w:rPr>
        <w:t> </w:t>
      </w:r>
      <w:r>
        <w:rPr>
          <w:spacing w:val="-66"/>
        </w:rPr>
      </w:r>
      <w:r>
        <w:rPr>
          <w:spacing w:val="-2"/>
        </w:rPr>
        <w:t>设施和信息基础设施融合，为客户提供更准确可靠的感知可控的智能化服务。在</w:t>
      </w:r>
      <w:r>
        <w:rPr>
          <w:rFonts w:ascii="Times New Roman" w:hAnsi="Times New Roman" w:cs="Times New Roman" w:eastAsia="Times New Roman" w:hint="default"/>
          <w:spacing w:val="-2"/>
        </w:rPr>
        <w:t>“</w:t>
      </w:r>
      <w:r>
        <w:rPr>
          <w:spacing w:val="-2"/>
        </w:rPr>
        <w:t>工业互联网</w:t>
      </w:r>
      <w:r>
        <w:rPr>
          <w:rFonts w:ascii="Times New Roman" w:hAnsi="Times New Roman" w:cs="Times New Roman" w:eastAsia="Times New Roman" w:hint="default"/>
          <w:spacing w:val="-2"/>
        </w:rPr>
        <w:t>”</w:t>
      </w:r>
      <w:r>
        <w:rPr>
          <w:spacing w:val="-2"/>
        </w:rPr>
        <w:t>发展战略的背景下，充分抓住</w:t>
      </w:r>
      <w:r>
        <w:rPr>
          <w:spacing w:val="-44"/>
        </w:rPr>
        <w:t> </w:t>
      </w:r>
      <w:r>
        <w:rPr>
          <w:spacing w:val="-44"/>
        </w:rPr>
      </w:r>
      <w:r>
        <w:rPr>
          <w:spacing w:val="-2"/>
        </w:rPr>
        <w:t>新兴市场机遇，依托各自的行业资源、产品、技术等进行优势互补，紧密捆绑，互为推广，扩大合作领域和市场，进一步提</w:t>
      </w:r>
      <w:r>
        <w:rPr>
          <w:spacing w:val="-72"/>
        </w:rPr>
        <w:t> </w:t>
      </w:r>
      <w:r>
        <w:rPr>
          <w:spacing w:val="-72"/>
        </w:rPr>
      </w:r>
      <w:r>
        <w:rPr/>
        <w:t>升合作高度和影响力。</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spacing w:line="3807" w:lineRule="exact"/>
        <w:ind w:left="3217"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3656755" cy="2417445"/>
            <wp:effectExtent l="0" t="0" r="0" b="0"/>
            <wp:docPr id="37" name="image42.jpeg" descr=""/>
            <wp:cNvGraphicFramePr>
              <a:graphicFrameLocks noChangeAspect="1"/>
            </wp:cNvGraphicFramePr>
            <a:graphic>
              <a:graphicData uri="http://schemas.openxmlformats.org/drawingml/2006/picture">
                <pic:pic>
                  <pic:nvPicPr>
                    <pic:cNvPr id="38" name="image42.jpeg"/>
                    <pic:cNvPicPr/>
                  </pic:nvPicPr>
                  <pic:blipFill>
                    <a:blip r:embed="rId49" cstate="print"/>
                    <a:stretch>
                      <a:fillRect/>
                    </a:stretch>
                  </pic:blipFill>
                  <pic:spPr>
                    <a:xfrm>
                      <a:off x="0" y="0"/>
                      <a:ext cx="3656755" cy="2417445"/>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3"/>
        <w:rPr>
          <w:rFonts w:ascii="宋体" w:hAnsi="宋体" w:cs="宋体" w:eastAsia="宋体" w:hint="default"/>
          <w:sz w:val="14"/>
          <w:szCs w:val="14"/>
        </w:rPr>
      </w:pPr>
    </w:p>
    <w:p>
      <w:pPr>
        <w:pStyle w:val="Heading4"/>
        <w:spacing w:line="240" w:lineRule="auto"/>
        <w:ind w:left="4090" w:right="4091"/>
        <w:jc w:val="center"/>
        <w:rPr>
          <w:b w:val="0"/>
          <w:bCs w:val="0"/>
        </w:rPr>
      </w:pPr>
      <w:r>
        <w:rPr/>
        <w:t>（与汉威科技合作产品展示图）</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pStyle w:val="BodyText"/>
        <w:spacing w:line="240" w:lineRule="auto"/>
        <w:ind w:left="1493" w:right="0"/>
        <w:jc w:val="left"/>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月公司与中国广核集团签署了有关核电通信与物联网的框架合作协议。双方充分发挥中国广核集团核电信</w:t>
      </w:r>
    </w:p>
    <w:p>
      <w:pPr>
        <w:spacing w:after="0" w:line="240" w:lineRule="auto"/>
        <w:jc w:val="left"/>
        <w:sectPr>
          <w:pgSz w:w="11910" w:h="16840"/>
          <w:pgMar w:header="851" w:footer="979" w:top="1380" w:bottom="1160" w:left="0" w:right="0"/>
        </w:sectPr>
      </w:pPr>
    </w:p>
    <w:p>
      <w:pPr>
        <w:pStyle w:val="BodyText"/>
        <w:spacing w:line="477" w:lineRule="auto" w:before="140"/>
        <w:ind w:left="1134" w:right="1131"/>
        <w:jc w:val="both"/>
      </w:pPr>
      <w:r>
        <w:rPr>
          <w:spacing w:val="-2"/>
        </w:rPr>
        <w:t>息安全研发中心在核电行业丰富的业务经验和公司在物联网通信方面的技术优势，合作成立通信与物联网应用实验室，共同</w:t>
      </w:r>
      <w:r>
        <w:rPr>
          <w:spacing w:val="-64"/>
        </w:rPr>
        <w:t> </w:t>
      </w:r>
      <w:r>
        <w:rPr>
          <w:spacing w:val="-64"/>
        </w:rPr>
      </w:r>
      <w:r>
        <w:rPr>
          <w:spacing w:val="-2"/>
        </w:rPr>
        <w:t>研发核电专用的通信与物联网相关解决方案，研究针对核电通信与物联网相关技术、合作起草核电行业无线通信技术标准并</w:t>
      </w:r>
      <w:r>
        <w:rPr>
          <w:spacing w:val="-64"/>
        </w:rPr>
        <w:t> </w:t>
      </w:r>
      <w:r>
        <w:rPr>
          <w:spacing w:val="-64"/>
        </w:rPr>
      </w:r>
      <w:r>
        <w:rPr>
          <w:spacing w:val="-2"/>
        </w:rPr>
        <w:t>申报与落地、开展核电无线通信及物联网相关智能化应用等方向的深度合作。实验室孵化的成果将成为中广核合格自主推广</w:t>
      </w:r>
      <w:r>
        <w:rPr>
          <w:spacing w:val="-64"/>
        </w:rPr>
        <w:t> </w:t>
      </w:r>
      <w:r>
        <w:rPr>
          <w:spacing w:val="-64"/>
        </w:rPr>
      </w:r>
      <w:r>
        <w:rPr/>
        <w:t>产品，优先在中广核内部进行转化落地，支撑核电机组的智能化建设。</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pStyle w:val="BodyText"/>
        <w:spacing w:line="451" w:lineRule="auto"/>
        <w:ind w:left="1494" w:right="1122" w:firstLine="1"/>
        <w:jc w:val="left"/>
      </w:pPr>
      <w:r>
        <w:rPr>
          <w:rFonts w:ascii="Times New Roman" w:hAnsi="Times New Roman" w:cs="Times New Roman" w:eastAsia="Times New Roman" w:hint="default"/>
          <w:b/>
          <w:bCs/>
        </w:rPr>
        <w:t>3</w:t>
      </w:r>
      <w:r>
        <w:rPr>
          <w:rFonts w:ascii="宋体" w:hAnsi="宋体" w:cs="宋体" w:eastAsia="宋体" w:hint="default"/>
          <w:b/>
          <w:bCs/>
        </w:rPr>
        <w:t>、</w:t>
      </w:r>
      <w:r>
        <w:rPr>
          <w:rFonts w:ascii="Times New Roman" w:hAnsi="Times New Roman" w:cs="Times New Roman" w:eastAsia="Times New Roman" w:hint="default"/>
          <w:b/>
          <w:bCs/>
        </w:rPr>
        <w:t>ICT</w:t>
      </w:r>
      <w:r>
        <w:rPr>
          <w:rFonts w:ascii="宋体" w:hAnsi="宋体" w:cs="宋体" w:eastAsia="宋体" w:hint="default"/>
          <w:b/>
          <w:bCs/>
        </w:rPr>
        <w:t>运营管理领域</w:t>
      </w:r>
      <w:r>
        <w:rPr>
          <w:rFonts w:ascii="宋体" w:hAnsi="宋体" w:cs="宋体" w:eastAsia="宋体" w:hint="default"/>
          <w:b/>
          <w:bCs/>
          <w:w w:val="99"/>
        </w:rPr>
        <w:t> </w:t>
      </w:r>
      <w:r>
        <w:rPr/>
        <w:t>公司</w:t>
      </w:r>
      <w:r>
        <w:rPr>
          <w:rFonts w:ascii="Times New Roman" w:hAnsi="Times New Roman" w:cs="Times New Roman" w:eastAsia="Times New Roman" w:hint="default"/>
        </w:rPr>
        <w:t>ICT</w:t>
      </w:r>
      <w:r>
        <w:rPr/>
        <w:t>运营管理业务包括运维管理</w:t>
      </w:r>
      <w:r>
        <w:rPr>
          <w:rFonts w:ascii="Times New Roman" w:hAnsi="Times New Roman" w:cs="Times New Roman" w:eastAsia="Times New Roman" w:hint="default"/>
        </w:rPr>
        <w:t>(CT</w:t>
      </w:r>
      <w:r>
        <w:rPr/>
        <w:t>运维管理、</w:t>
      </w:r>
      <w:r>
        <w:rPr>
          <w:rFonts w:ascii="Times New Roman" w:hAnsi="Times New Roman" w:cs="Times New Roman" w:eastAsia="Times New Roman" w:hint="default"/>
        </w:rPr>
        <w:t>IT</w:t>
      </w:r>
      <w:r>
        <w:rPr/>
        <w:t>运维管理、无线网优、拨打测试等</w:t>
      </w:r>
      <w:r>
        <w:rPr>
          <w:rFonts w:ascii="Times New Roman" w:hAnsi="Times New Roman" w:cs="Times New Roman" w:eastAsia="Times New Roman" w:hint="default"/>
        </w:rPr>
        <w:t>)</w:t>
      </w:r>
      <w:r>
        <w:rPr/>
        <w:t>、信息安全管理、移动互联网</w:t>
      </w:r>
    </w:p>
    <w:p>
      <w:pPr>
        <w:pStyle w:val="BodyText"/>
        <w:spacing w:line="451" w:lineRule="auto" w:before="43"/>
        <w:ind w:right="1041"/>
        <w:jc w:val="both"/>
      </w:pPr>
      <w:r>
        <w:rPr/>
        <w:t>运营等主要业务线。客户资源主要集中在三大电信运营商总部、各省公司和专业子公司，以及</w:t>
      </w:r>
      <w:r>
        <w:rPr>
          <w:rFonts w:ascii="Times New Roman" w:hAnsi="Times New Roman" w:cs="Times New Roman" w:eastAsia="Times New Roman" w:hint="default"/>
        </w:rPr>
        <w:t>IT</w:t>
      </w:r>
      <w:r>
        <w:rPr/>
        <w:t>技术密集型的大中型企业、</w:t>
      </w:r>
      <w:r>
        <w:rPr>
          <w:spacing w:val="-74"/>
        </w:rPr>
        <w:t> </w:t>
      </w:r>
      <w:r>
        <w:rPr>
          <w:spacing w:val="-74"/>
        </w:rPr>
      </w:r>
      <w:r>
        <w:rPr/>
        <w:t>政府机构。</w:t>
      </w:r>
    </w:p>
    <w:p>
      <w:pPr>
        <w:pStyle w:val="BodyText"/>
        <w:spacing w:line="451" w:lineRule="auto" w:before="74"/>
        <w:ind w:right="0" w:firstLine="360"/>
        <w:jc w:val="left"/>
      </w:pPr>
      <w:r>
        <w:rPr/>
        <w:t>报告期内，公司紧跟</w:t>
      </w:r>
      <w:r>
        <w:rPr>
          <w:rFonts w:ascii="Times New Roman" w:hAnsi="Times New Roman" w:cs="Times New Roman" w:eastAsia="Times New Roman" w:hint="default"/>
        </w:rPr>
        <w:t>ICT</w:t>
      </w:r>
      <w:r>
        <w:rPr/>
        <w:t>技术发展趋势，深挖客户运营管理需求，研发了集混合云管理、大数据应用架构及数据管理、 开发运维一体化</w:t>
      </w:r>
      <w:r>
        <w:rPr>
          <w:rFonts w:ascii="Times New Roman" w:hAnsi="Times New Roman" w:cs="Times New Roman" w:eastAsia="Times New Roman" w:hint="default"/>
        </w:rPr>
        <w:t>(DevOps)</w:t>
      </w:r>
      <w:r>
        <w:rPr/>
        <w:t>管理在内的新一代</w:t>
      </w:r>
      <w:r>
        <w:rPr>
          <w:rFonts w:ascii="Times New Roman" w:hAnsi="Times New Roman" w:cs="Times New Roman" w:eastAsia="Times New Roman" w:hint="default"/>
        </w:rPr>
        <w:t>ICT</w:t>
      </w:r>
      <w:r>
        <w:rPr/>
        <w:t>综合运营管理平台，并及时跟进、深入研究</w:t>
      </w:r>
      <w:r>
        <w:rPr>
          <w:rFonts w:ascii="Times New Roman" w:hAnsi="Times New Roman" w:cs="Times New Roman" w:eastAsia="Times New Roman" w:hint="default"/>
        </w:rPr>
        <w:t>SDN</w:t>
      </w:r>
      <w:r>
        <w:rPr/>
        <w:t>、</w:t>
      </w:r>
      <w:r>
        <w:rPr>
          <w:rFonts w:ascii="Times New Roman" w:hAnsi="Times New Roman" w:cs="Times New Roman" w:eastAsia="Times New Roman" w:hint="default"/>
        </w:rPr>
        <w:t>NFV</w:t>
      </w:r>
      <w:r>
        <w:rPr/>
        <w:t>环境下的运营管理需 求，确保在未来新型</w:t>
      </w:r>
      <w:r>
        <w:rPr>
          <w:rFonts w:ascii="Times New Roman" w:hAnsi="Times New Roman" w:cs="Times New Roman" w:eastAsia="Times New Roman" w:hint="default"/>
        </w:rPr>
        <w:t>ICT</w:t>
      </w:r>
      <w:r>
        <w:rPr/>
        <w:t>基础设施、应用架构和运维模式下保持专业、领先的地位。</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spacing w:line="3877" w:lineRule="exact"/>
        <w:ind w:left="1798"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5225124" cy="2462212"/>
            <wp:effectExtent l="0" t="0" r="0" b="0"/>
            <wp:docPr id="39" name="image43.jpeg" descr=""/>
            <wp:cNvGraphicFramePr>
              <a:graphicFrameLocks noChangeAspect="1"/>
            </wp:cNvGraphicFramePr>
            <a:graphic>
              <a:graphicData uri="http://schemas.openxmlformats.org/drawingml/2006/picture">
                <pic:pic>
                  <pic:nvPicPr>
                    <pic:cNvPr id="40" name="image43.jpeg"/>
                    <pic:cNvPicPr/>
                  </pic:nvPicPr>
                  <pic:blipFill>
                    <a:blip r:embed="rId50" cstate="print"/>
                    <a:stretch>
                      <a:fillRect/>
                    </a:stretch>
                  </pic:blipFill>
                  <pic:spPr>
                    <a:xfrm>
                      <a:off x="0" y="0"/>
                      <a:ext cx="5225124" cy="2462212"/>
                    </a:xfrm>
                    <a:prstGeom prst="rect">
                      <a:avLst/>
                    </a:prstGeom>
                  </pic:spPr>
                </pic:pic>
              </a:graphicData>
            </a:graphic>
          </wp:inline>
        </w:drawing>
      </w:r>
      <w:r>
        <w:rPr>
          <w:rFonts w:ascii="宋体" w:hAnsi="宋体" w:cs="宋体" w:eastAsia="宋体" w:hint="default"/>
          <w:position w:val="-77"/>
          <w:sz w:val="20"/>
          <w:szCs w:val="20"/>
        </w:rPr>
      </w:r>
    </w:p>
    <w:p>
      <w:pPr>
        <w:spacing w:line="240" w:lineRule="auto" w:before="1"/>
        <w:rPr>
          <w:rFonts w:ascii="宋体" w:hAnsi="宋体" w:cs="宋体" w:eastAsia="宋体" w:hint="default"/>
          <w:sz w:val="15"/>
          <w:szCs w:val="15"/>
        </w:rPr>
      </w:pPr>
    </w:p>
    <w:p>
      <w:pPr>
        <w:pStyle w:val="Heading4"/>
        <w:spacing w:line="240" w:lineRule="auto"/>
        <w:ind w:left="0" w:right="0"/>
        <w:jc w:val="center"/>
        <w:rPr>
          <w:b w:val="0"/>
          <w:bCs w:val="0"/>
        </w:rPr>
      </w:pPr>
      <w:r>
        <w:rPr/>
        <w:t>（基于</w:t>
      </w:r>
      <w:r>
        <w:rPr>
          <w:rFonts w:ascii="Times New Roman" w:hAnsi="Times New Roman" w:cs="Times New Roman" w:eastAsia="Times New Roman" w:hint="default"/>
        </w:rPr>
        <w:t>DEVOPS</w:t>
      </w:r>
      <w:r>
        <w:rPr/>
        <w:t>的下一代</w:t>
      </w:r>
      <w:r>
        <w:rPr>
          <w:rFonts w:ascii="Times New Roman" w:hAnsi="Times New Roman" w:cs="Times New Roman" w:eastAsia="Times New Roman" w:hint="default"/>
        </w:rPr>
        <w:t>IT</w:t>
      </w:r>
      <w:r>
        <w:rPr/>
        <w:t>管理架构）</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16"/>
          <w:szCs w:val="16"/>
        </w:rPr>
      </w:pPr>
    </w:p>
    <w:p>
      <w:pPr>
        <w:pStyle w:val="BodyText"/>
        <w:spacing w:line="468" w:lineRule="auto"/>
        <w:ind w:right="1033" w:firstLine="360"/>
        <w:jc w:val="left"/>
      </w:pPr>
      <w:r>
        <w:rPr>
          <w:spacing w:val="-4"/>
        </w:rPr>
        <w:t>（</w:t>
      </w:r>
      <w:r>
        <w:rPr>
          <w:rFonts w:ascii="Times New Roman" w:hAnsi="Times New Roman" w:cs="Times New Roman" w:eastAsia="Times New Roman" w:hint="default"/>
          <w:spacing w:val="-4"/>
        </w:rPr>
        <w:t>1</w:t>
      </w:r>
      <w:r>
        <w:rPr>
          <w:spacing w:val="-4"/>
        </w:rPr>
        <w:t>）</w:t>
      </w:r>
      <w:r>
        <w:rPr>
          <w:rFonts w:ascii="Times New Roman" w:hAnsi="Times New Roman" w:cs="Times New Roman" w:eastAsia="Times New Roman" w:hint="default"/>
          <w:b/>
          <w:bCs/>
          <w:spacing w:val="-4"/>
        </w:rPr>
        <w:t>IT</w:t>
      </w:r>
      <w:r>
        <w:rPr>
          <w:rFonts w:ascii="宋体" w:hAnsi="宋体" w:cs="宋体" w:eastAsia="宋体" w:hint="default"/>
          <w:b/>
          <w:bCs/>
          <w:spacing w:val="-4"/>
        </w:rPr>
        <w:t>运维管理</w:t>
      </w:r>
      <w:r>
        <w:rPr>
          <w:spacing w:val="-4"/>
        </w:rPr>
        <w:t>是公司经营时间最长、客户规模最大、项目粘性最强、技术积累最多、市场占有最高的主营业务之一。</w:t>
      </w:r>
      <w:r>
        <w:rPr/>
        <w:t> 公司长期承建知识管理、需求管理、智能网管等运营商总部主导、覆盖的全国的重点系统。功能和理念上不断融入智能化、</w:t>
      </w:r>
      <w:r>
        <w:rPr>
          <w:spacing w:val="-85"/>
        </w:rPr>
        <w:t> </w:t>
      </w:r>
      <w:r>
        <w:rPr>
          <w:spacing w:val="-85"/>
        </w:rPr>
      </w:r>
      <w:r>
        <w:rPr>
          <w:spacing w:val="-2"/>
        </w:rPr>
        <w:t>数字化、综合化、社交化和社区元素，服务方式从基于功能需求的建设模式全面转向基于使用成效的运营模式，在客户运维</w:t>
      </w:r>
      <w:r>
        <w:rPr>
          <w:spacing w:val="-66"/>
        </w:rPr>
        <w:t> </w:t>
      </w:r>
      <w:r>
        <w:rPr>
          <w:spacing w:val="-66"/>
        </w:rPr>
      </w:r>
      <w:r>
        <w:rPr/>
        <w:t>运营理念演进过程中，体现出更大价值和更强生命力，为</w:t>
      </w:r>
      <w:r>
        <w:rPr>
          <w:rFonts w:ascii="Times New Roman" w:hAnsi="Times New Roman" w:cs="Times New Roman" w:eastAsia="Times New Roman" w:hint="default"/>
        </w:rPr>
        <w:t>ICT</w:t>
      </w:r>
      <w:r>
        <w:rPr/>
        <w:t>运营管理赢得了更为广阔和持续的发展空间。</w:t>
      </w:r>
    </w:p>
    <w:p>
      <w:pPr>
        <w:pStyle w:val="BodyText"/>
        <w:spacing w:line="451" w:lineRule="auto" w:before="29"/>
        <w:ind w:right="0" w:firstLine="360"/>
        <w:jc w:val="left"/>
      </w:pPr>
      <w:r>
        <w:rPr>
          <w:spacing w:val="-2"/>
        </w:rPr>
        <w:t>报告期内，公司成功实施重庆移动</w:t>
      </w:r>
      <w:r>
        <w:rPr>
          <w:rFonts w:ascii="Times New Roman" w:hAnsi="Times New Roman" w:cs="Times New Roman" w:eastAsia="Times New Roman" w:hint="default"/>
          <w:spacing w:val="-2"/>
        </w:rPr>
        <w:t>2017</w:t>
      </w:r>
      <w:r>
        <w:rPr>
          <w:spacing w:val="-2"/>
        </w:rPr>
        <w:t>年电子运维等系统、北京移动</w:t>
      </w:r>
      <w:r>
        <w:rPr>
          <w:rFonts w:ascii="Times New Roman" w:hAnsi="Times New Roman" w:cs="Times New Roman" w:eastAsia="Times New Roman" w:hint="default"/>
          <w:spacing w:val="-2"/>
        </w:rPr>
        <w:t>2017</w:t>
      </w:r>
      <w:r>
        <w:rPr>
          <w:spacing w:val="-2"/>
        </w:rPr>
        <w:t>年电子运维系统扩容项目、北京移动</w:t>
      </w:r>
      <w:r>
        <w:rPr>
          <w:rFonts w:ascii="Times New Roman" w:hAnsi="Times New Roman" w:cs="Times New Roman" w:eastAsia="Times New Roman" w:hint="default"/>
          <w:spacing w:val="-2"/>
        </w:rPr>
        <w:t>2017</w:t>
      </w:r>
      <w:r>
        <w:rPr>
          <w:spacing w:val="-2"/>
        </w:rPr>
        <w:t>年网</w:t>
      </w:r>
      <w:r>
        <w:rPr/>
        <w:t> </w:t>
      </w:r>
      <w:r>
        <w:rPr>
          <w:spacing w:val="-2"/>
        </w:rPr>
        <w:t>络激活平台六期扩容项目、中国联通省分增值业务综合网管更新改造工程、北京移动业务支撑网运营管理系统、中国电信业</w:t>
      </w:r>
    </w:p>
    <w:p>
      <w:pPr>
        <w:spacing w:after="0" w:line="451" w:lineRule="auto"/>
        <w:jc w:val="left"/>
        <w:sectPr>
          <w:pgSz w:w="11910" w:h="16840"/>
          <w:pgMar w:header="851" w:footer="979" w:top="1380" w:bottom="1160" w:left="0" w:right="0"/>
        </w:sectPr>
      </w:pPr>
    </w:p>
    <w:p>
      <w:pPr>
        <w:pStyle w:val="BodyText"/>
        <w:spacing w:line="458" w:lineRule="auto" w:before="140"/>
        <w:ind w:right="1131"/>
        <w:jc w:val="both"/>
      </w:pPr>
      <w:r>
        <w:rPr>
          <w:spacing w:val="-2"/>
        </w:rPr>
        <w:t>务平台综合网管系统升级扩容工程、河北网络优化系统项目、中国移动云南公司</w:t>
      </w:r>
      <w:r>
        <w:rPr>
          <w:rFonts w:ascii="Times New Roman" w:hAnsi="Times New Roman" w:cs="Times New Roman" w:eastAsia="Times New Roman" w:hint="default"/>
          <w:spacing w:val="-2"/>
        </w:rPr>
        <w:t>2017</w:t>
      </w:r>
      <w:r>
        <w:rPr>
          <w:spacing w:val="-2"/>
        </w:rPr>
        <w:t>年数据网管扩容项目、中国移动无线网</w:t>
      </w:r>
      <w:r>
        <w:rPr>
          <w:spacing w:val="-62"/>
        </w:rPr>
        <w:t> </w:t>
      </w:r>
      <w:r>
        <w:rPr>
          <w:spacing w:val="-62"/>
        </w:rPr>
      </w:r>
      <w:r>
        <w:rPr>
          <w:spacing w:val="-2"/>
        </w:rPr>
        <w:t>络规划平台、中国联通总部内网安全更新改造工程、浙江电信业务平台综合网管系统扩容工程项目、新疆电信业务平台综合</w:t>
      </w:r>
      <w:r>
        <w:rPr>
          <w:spacing w:val="-66"/>
        </w:rPr>
        <w:t> </w:t>
      </w:r>
      <w:r>
        <w:rPr>
          <w:spacing w:val="-66"/>
        </w:rPr>
      </w:r>
      <w:r>
        <w:rPr>
          <w:spacing w:val="-2"/>
        </w:rPr>
        <w:t>网管系统扩容工程、天津移动</w:t>
      </w:r>
      <w:r>
        <w:rPr>
          <w:rFonts w:ascii="Times New Roman" w:hAnsi="Times New Roman" w:cs="Times New Roman" w:eastAsia="Times New Roman" w:hint="default"/>
          <w:spacing w:val="-2"/>
        </w:rPr>
        <w:t>2017</w:t>
      </w:r>
      <w:r>
        <w:rPr>
          <w:spacing w:val="-2"/>
        </w:rPr>
        <w:t>年一期工程</w:t>
      </w:r>
      <w:r>
        <w:rPr>
          <w:rFonts w:ascii="Times New Roman" w:hAnsi="Times New Roman" w:cs="Times New Roman" w:eastAsia="Times New Roman" w:hint="default"/>
          <w:spacing w:val="-2"/>
        </w:rPr>
        <w:t>BOMC</w:t>
      </w:r>
      <w:r>
        <w:rPr>
          <w:spacing w:val="-2"/>
        </w:rPr>
        <w:t>系统改造提升项目、云南移动网络配置管理系统采购项目框架合同、中</w:t>
      </w:r>
      <w:r>
        <w:rPr>
          <w:spacing w:val="-48"/>
        </w:rPr>
        <w:t> </w:t>
      </w:r>
      <w:r>
        <w:rPr>
          <w:spacing w:val="-48"/>
        </w:rPr>
      </w:r>
      <w:r>
        <w:rPr/>
        <w:t>国联通总部信息化服务支撑平台应用软件升级改造工程、中国电信吉林公司</w:t>
      </w:r>
      <w:r>
        <w:rPr>
          <w:rFonts w:ascii="Times New Roman" w:hAnsi="Times New Roman" w:cs="Times New Roman" w:eastAsia="Times New Roman" w:hint="default"/>
        </w:rPr>
        <w:t>2017</w:t>
      </w:r>
      <w:r>
        <w:rPr/>
        <w:t>年业务平台综合网管升级改造、陕西移动</w:t>
      </w:r>
      <w:r>
        <w:rPr>
          <w:spacing w:val="-1"/>
        </w:rPr>
        <w:t> </w:t>
      </w:r>
      <w:r>
        <w:rPr>
          <w:spacing w:val="-1"/>
        </w:rPr>
      </w:r>
      <w:r>
        <w:rPr>
          <w:rFonts w:ascii="Times New Roman" w:hAnsi="Times New Roman" w:cs="Times New Roman" w:eastAsia="Times New Roman" w:hint="default"/>
        </w:rPr>
        <w:t>2017</w:t>
      </w:r>
      <w:r>
        <w:rPr/>
        <w:t>年统一采集数据专业采购等等诸多重点运维项目。</w:t>
      </w:r>
    </w:p>
    <w:p>
      <w:pPr>
        <w:pStyle w:val="BodyText"/>
        <w:spacing w:line="458" w:lineRule="auto" w:before="37"/>
        <w:ind w:right="1131" w:firstLine="360"/>
        <w:jc w:val="both"/>
      </w:pPr>
      <w:r>
        <w:rPr/>
        <w:t>（</w:t>
      </w:r>
      <w:r>
        <w:rPr>
          <w:rFonts w:ascii="Times New Roman" w:hAnsi="Times New Roman" w:cs="Times New Roman" w:eastAsia="Times New Roman" w:hint="default"/>
        </w:rPr>
        <w:t>2</w:t>
      </w:r>
      <w:r>
        <w:rPr/>
        <w:t>）公司在</w:t>
      </w:r>
      <w:r>
        <w:rPr>
          <w:rFonts w:ascii="宋体" w:hAnsi="宋体" w:cs="宋体" w:eastAsia="宋体" w:hint="default"/>
          <w:b/>
          <w:bCs/>
        </w:rPr>
        <w:t>信息安全管理</w:t>
      </w:r>
      <w:r>
        <w:rPr/>
        <w:t>领域拥有十五年以上的产品研发和项目实施经验，拥有一支精于企业安全管理的专家团队， </w:t>
      </w:r>
      <w:r>
        <w:rPr>
          <w:spacing w:val="-2"/>
        </w:rPr>
        <w:t>是国内领先的企业安全架构设计思想的提出者和践行者。</w:t>
      </w:r>
      <w:r>
        <w:rPr>
          <w:rFonts w:ascii="Times New Roman" w:hAnsi="Times New Roman" w:cs="Times New Roman" w:eastAsia="Times New Roman" w:hint="default"/>
          <w:spacing w:val="-2"/>
        </w:rPr>
        <w:t>2017</w:t>
      </w:r>
      <w:r>
        <w:rPr>
          <w:spacing w:val="-2"/>
        </w:rPr>
        <w:t>年，公司持续在云安全、移动安全、大数据安全等领域积极开</w:t>
      </w:r>
      <w:r>
        <w:rPr>
          <w:spacing w:val="-61"/>
        </w:rPr>
        <w:t> </w:t>
      </w:r>
      <w:r>
        <w:rPr>
          <w:spacing w:val="-61"/>
        </w:rPr>
      </w:r>
      <w:r>
        <w:rPr>
          <w:spacing w:val="-2"/>
        </w:rPr>
        <w:t>展业务创新和交付模式创新。公司在企业信息安全态势感知领域，强调精准的基础数据管理、高效的数据处理分析能力和智</w:t>
      </w:r>
      <w:r>
        <w:rPr>
          <w:spacing w:val="-66"/>
        </w:rPr>
        <w:t> </w:t>
      </w:r>
      <w:r>
        <w:rPr>
          <w:spacing w:val="-66"/>
        </w:rPr>
      </w:r>
      <w:r>
        <w:rPr/>
        <w:t>能化的安全处置能力，并获得了一批新客户。</w:t>
      </w:r>
    </w:p>
    <w:p>
      <w:pPr>
        <w:pStyle w:val="BodyText"/>
        <w:spacing w:line="458" w:lineRule="auto" w:before="68"/>
        <w:ind w:right="1128" w:firstLine="360"/>
        <w:jc w:val="both"/>
      </w:pPr>
      <w:r>
        <w:rPr/>
        <w:t>报告期内，公司在运营商领域用户身份管控市场优势进一步扩大，新中标及实施中国移动苏州研发中心</w:t>
      </w:r>
      <w:r>
        <w:rPr>
          <w:rFonts w:ascii="Times New Roman" w:hAnsi="Times New Roman" w:cs="Times New Roman" w:eastAsia="Times New Roman" w:hint="default"/>
        </w:rPr>
        <w:t>4A</w:t>
      </w:r>
      <w:r>
        <w:rPr/>
        <w:t>项目、中国</w:t>
      </w:r>
      <w:r>
        <w:rPr>
          <w:spacing w:val="1"/>
        </w:rPr>
        <w:t> </w:t>
      </w:r>
      <w:r>
        <w:rPr>
          <w:spacing w:val="-1"/>
        </w:rPr>
        <w:t>移动中移全通</w:t>
      </w:r>
      <w:r>
        <w:rPr>
          <w:rFonts w:ascii="Times New Roman" w:hAnsi="Times New Roman" w:cs="Times New Roman" w:eastAsia="Times New Roman" w:hint="default"/>
          <w:spacing w:val="-1"/>
        </w:rPr>
        <w:t>4A</w:t>
      </w:r>
      <w:r>
        <w:rPr>
          <w:spacing w:val="-1"/>
        </w:rPr>
        <w:t>平台、中国移动咪咕公司统一</w:t>
      </w:r>
      <w:r>
        <w:rPr>
          <w:rFonts w:ascii="Times New Roman" w:hAnsi="Times New Roman" w:cs="Times New Roman" w:eastAsia="Times New Roman" w:hint="default"/>
          <w:spacing w:val="-1"/>
        </w:rPr>
        <w:t>4A</w:t>
      </w:r>
      <w:r>
        <w:rPr>
          <w:spacing w:val="-1"/>
        </w:rPr>
        <w:t>系统、中国移动国际有限公司</w:t>
      </w:r>
      <w:r>
        <w:rPr>
          <w:rFonts w:ascii="Times New Roman" w:hAnsi="Times New Roman" w:cs="Times New Roman" w:eastAsia="Times New Roman" w:hint="default"/>
          <w:spacing w:val="-1"/>
        </w:rPr>
        <w:t>4A</w:t>
      </w:r>
      <w:r>
        <w:rPr>
          <w:spacing w:val="-1"/>
        </w:rPr>
        <w:t>安全平台等专业公司的身份管控平台。同</w:t>
      </w:r>
      <w:r>
        <w:rPr>
          <w:spacing w:val="-61"/>
        </w:rPr>
        <w:t> </w:t>
      </w:r>
      <w:r>
        <w:rPr>
          <w:spacing w:val="-61"/>
        </w:rPr>
      </w:r>
      <w:r>
        <w:rPr>
          <w:spacing w:val="-5"/>
        </w:rPr>
        <w:t>时，在云安全、移动安全、大数据安全方向上成功中标及实施江苏省农村信用社、山东省城市商业银行合作联盟及山东移动、</w:t>
      </w:r>
      <w:r>
        <w:rPr>
          <w:spacing w:val="-81"/>
        </w:rPr>
        <w:t> </w:t>
      </w:r>
      <w:r>
        <w:rPr>
          <w:spacing w:val="-81"/>
        </w:rPr>
      </w:r>
      <w:r>
        <w:rPr>
          <w:spacing w:val="-2"/>
        </w:rPr>
        <w:t>甘肃移动、宁夏移动等</w:t>
      </w:r>
      <w:r>
        <w:rPr>
          <w:rFonts w:ascii="Times New Roman" w:hAnsi="Times New Roman" w:cs="Times New Roman" w:eastAsia="Times New Roman" w:hint="default"/>
          <w:spacing w:val="-2"/>
        </w:rPr>
        <w:t>10</w:t>
      </w:r>
      <w:r>
        <w:rPr>
          <w:spacing w:val="-2"/>
        </w:rPr>
        <w:t>省运营商网络安全态势感知项目，以及云南移动、海南移动、内蒙移动、山西移动等</w:t>
      </w:r>
      <w:r>
        <w:rPr>
          <w:rFonts w:ascii="Times New Roman" w:hAnsi="Times New Roman" w:cs="Times New Roman" w:eastAsia="Times New Roman" w:hint="default"/>
          <w:spacing w:val="-2"/>
        </w:rPr>
        <w:t>10</w:t>
      </w:r>
      <w:r>
        <w:rPr>
          <w:spacing w:val="-2"/>
        </w:rPr>
        <w:t>省自动化网</w:t>
      </w:r>
      <w:r>
        <w:rPr>
          <w:spacing w:val="-62"/>
        </w:rPr>
        <w:t> </w:t>
      </w:r>
      <w:r>
        <w:rPr/>
        <w:t>络安全检测项目。</w:t>
      </w:r>
    </w:p>
    <w:p>
      <w:pPr>
        <w:pStyle w:val="BodyText"/>
        <w:spacing w:line="451" w:lineRule="auto" w:before="68"/>
        <w:ind w:right="1130" w:firstLine="360"/>
        <w:jc w:val="both"/>
      </w:pPr>
      <w:r>
        <w:rPr/>
        <w:t>（</w:t>
      </w:r>
      <w:r>
        <w:rPr>
          <w:rFonts w:ascii="Times New Roman" w:hAnsi="Times New Roman" w:cs="Times New Roman" w:eastAsia="Times New Roman" w:hint="default"/>
        </w:rPr>
        <w:t>3</w:t>
      </w:r>
      <w:r>
        <w:rPr/>
        <w:t>）</w:t>
      </w:r>
      <w:r>
        <w:rPr>
          <w:rFonts w:ascii="宋体" w:hAnsi="宋体" w:cs="宋体" w:eastAsia="宋体" w:hint="default"/>
          <w:b/>
          <w:bCs/>
        </w:rPr>
        <w:t>在移动互联网运营领域</w:t>
      </w:r>
      <w:r>
        <w:rPr/>
        <w:t>，公司继续推进中国移动融合通信业务进展，积极配合中国移动的融合通信战略，为中国 移动提供个人融合通信与飞信融合北方节点和</w:t>
      </w:r>
      <w:r>
        <w:rPr>
          <w:rFonts w:ascii="Times New Roman" w:hAnsi="Times New Roman" w:cs="Times New Roman" w:eastAsia="Times New Roman" w:hint="default"/>
        </w:rPr>
        <w:t>PC</w:t>
      </w:r>
      <w:r>
        <w:rPr/>
        <w:t>客户端定制软件项目技术服务。同时，公司密切跟踪需求、积极跟进中国</w:t>
      </w:r>
      <w:r>
        <w:rPr>
          <w:spacing w:val="-44"/>
        </w:rPr>
        <w:t> </w:t>
      </w:r>
      <w:r>
        <w:rPr>
          <w:spacing w:val="-44"/>
        </w:rPr>
      </w:r>
      <w:r>
        <w:rPr/>
        <w:t>移动各类融合通信相关业务。</w:t>
      </w:r>
    </w:p>
    <w:p>
      <w:pPr>
        <w:pStyle w:val="BodyText"/>
        <w:spacing w:line="456" w:lineRule="auto" w:before="74"/>
        <w:ind w:right="1130" w:firstLine="360"/>
        <w:jc w:val="both"/>
      </w:pPr>
      <w:r>
        <w:rPr/>
        <w:t>报告期内，公司中标中移互联网有限公司《</w:t>
      </w:r>
      <w:r>
        <w:rPr>
          <w:rFonts w:ascii="Times New Roman" w:hAnsi="Times New Roman" w:cs="Times New Roman" w:eastAsia="Times New Roman" w:hint="default"/>
        </w:rPr>
        <w:t>2017-2018</w:t>
      </w:r>
      <w:r>
        <w:rPr/>
        <w:t>年和飞信客户端技术实施与支撑项目标段一（</w:t>
      </w:r>
      <w:r>
        <w:rPr>
          <w:rFonts w:ascii="Times New Roman" w:hAnsi="Times New Roman" w:cs="Times New Roman" w:eastAsia="Times New Roman" w:hint="default"/>
        </w:rPr>
        <w:t>PC</w:t>
      </w:r>
      <w:r>
        <w:rPr/>
        <w:t>及多形态终端覆 盖及配套优化）》，负责为中国移动提供</w:t>
      </w:r>
      <w:r>
        <w:rPr>
          <w:rFonts w:ascii="Times New Roman" w:hAnsi="Times New Roman" w:cs="Times New Roman" w:eastAsia="Times New Roman" w:hint="default"/>
        </w:rPr>
        <w:t>2017-2018</w:t>
      </w:r>
      <w:r>
        <w:rPr/>
        <w:t>年和飞信客户端技术实施与支撑，根据工作属性及项目技术要求不同，</w:t>
      </w:r>
      <w:r>
        <w:rPr>
          <w:spacing w:val="-56"/>
        </w:rPr>
        <w:t> </w:t>
      </w:r>
      <w:r>
        <w:rPr>
          <w:spacing w:val="-56"/>
        </w:rPr>
      </w:r>
      <w:r>
        <w:rPr/>
        <w:t>从技术实现层面划分实现无线端、有线端、核心协议栈等融合通信相关功能，预计合同总金额</w:t>
      </w:r>
      <w:r>
        <w:rPr>
          <w:rFonts w:ascii="Times New Roman" w:hAnsi="Times New Roman" w:cs="Times New Roman" w:eastAsia="Times New Roman" w:hint="default"/>
        </w:rPr>
        <w:t>3,048.64</w:t>
      </w:r>
      <w:r>
        <w:rPr/>
        <w:t>万元（含税）；公司</w:t>
      </w:r>
      <w:r>
        <w:rPr>
          <w:spacing w:val="-84"/>
        </w:rPr>
        <w:t> </w:t>
      </w:r>
      <w:r>
        <w:rPr/>
        <w:t>中选中国移动通信集团公司政企客户分公司《和商务直播终端研发及量产项目包一（</w:t>
      </w:r>
      <w:r>
        <w:rPr>
          <w:rFonts w:ascii="Times New Roman" w:hAnsi="Times New Roman" w:cs="Times New Roman" w:eastAsia="Times New Roman" w:hint="default"/>
        </w:rPr>
        <w:t>4G</w:t>
      </w:r>
      <w:r>
        <w:rPr/>
        <w:t>直播盒子研发及量产服务）》，提</w:t>
      </w:r>
      <w:r>
        <w:rPr>
          <w:spacing w:val="-43"/>
        </w:rPr>
        <w:t> </w:t>
      </w:r>
      <w:r>
        <w:rPr>
          <w:spacing w:val="-43"/>
        </w:rPr>
      </w:r>
      <w:r>
        <w:rPr/>
        <w:t>供</w:t>
      </w:r>
      <w:r>
        <w:rPr>
          <w:rFonts w:ascii="Times New Roman" w:hAnsi="Times New Roman" w:cs="Times New Roman" w:eastAsia="Times New Roman" w:hint="default"/>
        </w:rPr>
        <w:t>4G</w:t>
      </w:r>
      <w:r>
        <w:rPr/>
        <w:t>直播盒子研发及量产服务、定制化</w:t>
      </w:r>
      <w:r>
        <w:rPr>
          <w:rFonts w:ascii="Times New Roman" w:hAnsi="Times New Roman" w:cs="Times New Roman" w:eastAsia="Times New Roman" w:hint="default"/>
        </w:rPr>
        <w:t>APP</w:t>
      </w:r>
      <w:r>
        <w:rPr/>
        <w:t>和平台对接服务，预计合同总金额</w:t>
      </w:r>
      <w:r>
        <w:rPr>
          <w:rFonts w:ascii="Times New Roman" w:hAnsi="Times New Roman" w:cs="Times New Roman" w:eastAsia="Times New Roman" w:hint="default"/>
        </w:rPr>
        <w:t>6,559.16</w:t>
      </w:r>
      <w:r>
        <w:rPr/>
        <w:t>万元（含税）。公司还多次中标中国 </w:t>
      </w:r>
      <w:r>
        <w:rPr>
          <w:spacing w:val="-2"/>
        </w:rPr>
        <w:t>移动全资子公司的咪咕文化开发项目，进一步巩固公司与中国移动在互联网领域的合作伙伴关系。与此同时，基于融合通信</w:t>
      </w:r>
      <w:r>
        <w:rPr>
          <w:spacing w:val="-66"/>
        </w:rPr>
        <w:t> </w:t>
      </w:r>
      <w:r>
        <w:rPr>
          <w:spacing w:val="-66"/>
        </w:rPr>
      </w:r>
      <w:r>
        <w:rPr/>
        <w:t>的长期实践案例，公司在工商银行、招商银行、兴业银行、农行等金融机构的定制融合通信项目的进展顺利。</w:t>
      </w:r>
    </w:p>
    <w:p>
      <w:pPr>
        <w:pStyle w:val="Heading4"/>
        <w:spacing w:line="240" w:lineRule="auto" w:before="70"/>
        <w:ind w:right="0"/>
        <w:jc w:val="left"/>
        <w:rPr>
          <w:b w:val="0"/>
          <w:bCs w:val="0"/>
        </w:rPr>
      </w:pPr>
      <w:r>
        <w:rPr>
          <w:rFonts w:ascii="Times New Roman" w:hAnsi="Times New Roman" w:cs="Times New Roman" w:eastAsia="Times New Roman" w:hint="default"/>
        </w:rPr>
        <w:t>4</w:t>
      </w:r>
      <w:r>
        <w:rPr/>
        <w:t>、手机游戏业务领域</w:t>
      </w:r>
      <w:r>
        <w:rPr>
          <w:b w:val="0"/>
          <w:bCs w:val="0"/>
        </w:rPr>
      </w:r>
    </w:p>
    <w:p>
      <w:pPr>
        <w:spacing w:line="240" w:lineRule="auto" w:before="9"/>
        <w:rPr>
          <w:rFonts w:ascii="宋体" w:hAnsi="宋体" w:cs="宋体" w:eastAsia="宋体" w:hint="default"/>
          <w:b/>
          <w:bCs/>
          <w:sz w:val="16"/>
          <w:szCs w:val="16"/>
        </w:rPr>
      </w:pPr>
    </w:p>
    <w:p>
      <w:pPr>
        <w:pStyle w:val="BodyText"/>
        <w:spacing w:line="458" w:lineRule="auto"/>
        <w:ind w:right="1130" w:firstLine="360"/>
        <w:jc w:val="both"/>
      </w:pPr>
      <w:r>
        <w:rPr>
          <w:rFonts w:ascii="Times New Roman" w:hAnsi="Times New Roman" w:cs="Times New Roman" w:eastAsia="Times New Roman" w:hint="default"/>
          <w:spacing w:val="-2"/>
        </w:rPr>
        <w:t>2017</w:t>
      </w:r>
      <w:r>
        <w:rPr>
          <w:spacing w:val="-2"/>
        </w:rPr>
        <w:t>年，公司通过对游戏行业激烈的竞争格局以及公司的优劣势分析确定了</w:t>
      </w:r>
      <w:r>
        <w:rPr>
          <w:rFonts w:ascii="Times New Roman" w:hAnsi="Times New Roman" w:cs="Times New Roman" w:eastAsia="Times New Roman" w:hint="default"/>
          <w:spacing w:val="-2"/>
        </w:rPr>
        <w:t>“</w:t>
      </w:r>
      <w:r>
        <w:rPr>
          <w:spacing w:val="-2"/>
        </w:rPr>
        <w:t>利基</w:t>
      </w:r>
      <w:r>
        <w:rPr>
          <w:rFonts w:ascii="Times New Roman" w:hAnsi="Times New Roman" w:cs="Times New Roman" w:eastAsia="Times New Roman" w:hint="default"/>
          <w:spacing w:val="-2"/>
        </w:rPr>
        <w:t>”</w:t>
      </w:r>
      <w:r>
        <w:rPr>
          <w:spacing w:val="-2"/>
        </w:rPr>
        <w:t>策略，即立足于海外市场、聚焦重度</w:t>
      </w:r>
      <w:r>
        <w:rPr/>
        <w:t> 类、长生命周期的精品游手机游戏业务，实现全年营业收入</w:t>
      </w:r>
      <w:r>
        <w:rPr>
          <w:rFonts w:ascii="Times New Roman" w:hAnsi="Times New Roman" w:cs="Times New Roman" w:eastAsia="Times New Roman" w:hint="default"/>
        </w:rPr>
        <w:t>59,888.11</w:t>
      </w:r>
      <w:r>
        <w:rPr/>
        <w:t>万元。报告期内，公司全力加强《</w:t>
      </w:r>
      <w:r>
        <w:rPr>
          <w:rFonts w:ascii="Times New Roman" w:hAnsi="Times New Roman" w:cs="Times New Roman" w:eastAsia="Times New Roman" w:hint="default"/>
        </w:rPr>
        <w:t>War</w:t>
      </w:r>
      <w:r>
        <w:rPr>
          <w:rFonts w:ascii="Times New Roman" w:hAnsi="Times New Roman" w:cs="Times New Roman" w:eastAsia="Times New Roman" w:hint="default"/>
          <w:spacing w:val="-28"/>
        </w:rPr>
        <w:t> </w:t>
      </w:r>
      <w:r>
        <w:rPr>
          <w:rFonts w:ascii="Times New Roman" w:hAnsi="Times New Roman" w:cs="Times New Roman" w:eastAsia="Times New Roman" w:hint="default"/>
        </w:rPr>
        <w:t>and</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3"/>
        </w:rPr>
        <w:t>Order</w:t>
      </w:r>
      <w:r>
        <w:rPr>
          <w:spacing w:val="-3"/>
        </w:rPr>
        <w:t>》（国</w:t>
      </w:r>
      <w:r>
        <w:rPr/>
        <w:t> </w:t>
      </w:r>
      <w:r>
        <w:rPr>
          <w:spacing w:val="-5"/>
          <w:w w:val="100"/>
        </w:rPr>
        <w:t>内名称：《战火与秩序》）的迭代优化与精细化运营，挖掘《小小帝国》、《人在天朝》等游戏的</w:t>
      </w:r>
      <w:r>
        <w:rPr>
          <w:rFonts w:ascii="Times New Roman" w:hAnsi="Times New Roman" w:cs="Times New Roman" w:eastAsia="Times New Roman" w:hint="default"/>
          <w:spacing w:val="-5"/>
          <w:w w:val="100"/>
        </w:rPr>
        <w:t>“</w:t>
      </w:r>
      <w:r>
        <w:rPr>
          <w:spacing w:val="-5"/>
          <w:w w:val="100"/>
        </w:rPr>
        <w:t>长尾</w:t>
      </w:r>
      <w:r>
        <w:rPr>
          <w:rFonts w:ascii="Times New Roman" w:hAnsi="Times New Roman" w:cs="Times New Roman" w:eastAsia="Times New Roman" w:hint="default"/>
          <w:spacing w:val="-5"/>
          <w:w w:val="100"/>
        </w:rPr>
        <w:t>”</w:t>
      </w:r>
      <w:r>
        <w:rPr>
          <w:spacing w:val="-5"/>
          <w:w w:val="100"/>
        </w:rPr>
        <w:t>价值，积累长生命周</w:t>
      </w:r>
      <w:r>
        <w:rPr>
          <w:spacing w:val="-57"/>
          <w:w w:val="100"/>
        </w:rPr>
        <w:t> </w:t>
      </w:r>
      <w:r>
        <w:rPr>
          <w:spacing w:val="-57"/>
          <w:w w:val="100"/>
        </w:rPr>
      </w:r>
      <w:r>
        <w:rPr>
          <w:spacing w:val="-2"/>
        </w:rPr>
        <w:t>期的运营实践经验。同时，着力进行新款游戏的开发与打磨，积极做好游戏产品储备，为公司游戏业务的可持续发展打下良</w:t>
      </w:r>
      <w:r>
        <w:rPr>
          <w:spacing w:val="-66"/>
        </w:rPr>
        <w:t> </w:t>
      </w:r>
      <w:r>
        <w:rPr>
          <w:spacing w:val="-66"/>
        </w:rPr>
      </w:r>
      <w:r>
        <w:rPr/>
        <w:t>好基础。</w:t>
      </w:r>
    </w:p>
    <w:p>
      <w:pPr>
        <w:spacing w:after="0" w:line="458" w:lineRule="auto"/>
        <w:jc w:val="both"/>
        <w:sectPr>
          <w:pgSz w:w="11910" w:h="16840"/>
          <w:pgMar w:header="851" w:footer="979" w:top="1380" w:bottom="1160" w:left="0" w:right="0"/>
        </w:sectPr>
      </w:pPr>
    </w:p>
    <w:p>
      <w:pPr>
        <w:pStyle w:val="BodyText"/>
        <w:spacing w:line="458" w:lineRule="auto" w:before="140"/>
        <w:ind w:right="1033" w:firstLine="360"/>
        <w:jc w:val="left"/>
      </w:pPr>
      <w:r>
        <w:rPr/>
        <w:t>《战火与秩序》是一款纯</w:t>
      </w:r>
      <w:r>
        <w:rPr>
          <w:rFonts w:ascii="Times New Roman" w:hAnsi="Times New Roman" w:cs="Times New Roman" w:eastAsia="Times New Roman" w:hint="default"/>
        </w:rPr>
        <w:t>3D</w:t>
      </w:r>
      <w:r>
        <w:rPr/>
        <w:t>的重度策略型手机游戏，</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4</w:t>
      </w:r>
      <w:r>
        <w:rPr/>
        <w:t>月份开始在海外上线，运营整体流水情况表现出色。报告 期内，全球流水月均</w:t>
      </w:r>
      <w:r>
        <w:rPr>
          <w:rFonts w:ascii="Times New Roman" w:hAnsi="Times New Roman" w:cs="Times New Roman" w:eastAsia="Times New Roman" w:hint="default"/>
        </w:rPr>
        <w:t>1,000</w:t>
      </w:r>
      <w:r>
        <w:rPr/>
        <w:t>万美元以上。在经历了</w:t>
      </w:r>
      <w:r>
        <w:rPr>
          <w:rFonts w:ascii="Times New Roman" w:hAnsi="Times New Roman" w:cs="Times New Roman" w:eastAsia="Times New Roman" w:hint="default"/>
        </w:rPr>
        <w:t>2015</w:t>
      </w:r>
      <w:r>
        <w:rPr/>
        <w:t>年的爆发，</w:t>
      </w:r>
      <w:r>
        <w:rPr>
          <w:rFonts w:ascii="Times New Roman" w:hAnsi="Times New Roman" w:cs="Times New Roman" w:eastAsia="Times New Roman" w:hint="default"/>
        </w:rPr>
        <w:t>2016</w:t>
      </w:r>
      <w:r>
        <w:rPr/>
        <w:t>年的沉淀之后，国内</w:t>
      </w:r>
      <w:r>
        <w:rPr>
          <w:rFonts w:ascii="Times New Roman" w:hAnsi="Times New Roman" w:cs="Times New Roman" w:eastAsia="Times New Roman" w:hint="default"/>
        </w:rPr>
        <w:t>SLG</w:t>
      </w:r>
      <w:r>
        <w:rPr/>
        <w:t>手游市场的竞争激烈程度已</w:t>
      </w:r>
      <w:r>
        <w:rPr>
          <w:spacing w:val="-26"/>
        </w:rPr>
        <w:t> </w:t>
      </w:r>
      <w:r>
        <w:rPr>
          <w:spacing w:val="-26"/>
        </w:rPr>
      </w:r>
      <w:r>
        <w:rPr>
          <w:spacing w:val="-2"/>
        </w:rPr>
        <w:t>超红海。不少手游团队争相效仿此类游戏，其中包括国内外知名的《</w:t>
      </w:r>
      <w:r>
        <w:rPr>
          <w:rFonts w:ascii="Times New Roman" w:hAnsi="Times New Roman" w:cs="Times New Roman" w:eastAsia="Times New Roman" w:hint="default"/>
          <w:spacing w:val="-2"/>
        </w:rPr>
        <w:t>COK</w:t>
      </w:r>
      <w:r>
        <w:rPr>
          <w:spacing w:val="-2"/>
        </w:rPr>
        <w:t>列王的纷争》就是</w:t>
      </w:r>
      <w:r>
        <w:rPr>
          <w:rFonts w:ascii="Times New Roman" w:hAnsi="Times New Roman" w:cs="Times New Roman" w:eastAsia="Times New Roman" w:hint="default"/>
          <w:spacing w:val="-2"/>
        </w:rPr>
        <w:t>SLG</w:t>
      </w:r>
      <w:r>
        <w:rPr>
          <w:spacing w:val="-2"/>
        </w:rPr>
        <w:t>策略类游戏。在同质化相对</w:t>
      </w:r>
      <w:r>
        <w:rPr>
          <w:spacing w:val="-64"/>
        </w:rPr>
        <w:t> </w:t>
      </w:r>
      <w:r>
        <w:rPr>
          <w:spacing w:val="-64"/>
        </w:rPr>
      </w:r>
      <w:r>
        <w:rPr>
          <w:spacing w:val="-2"/>
          <w:w w:val="99"/>
        </w:rPr>
        <w:t>严重的品类中，《战火与秩序》表现优秀，其核心竞争力在于这款产品的设计层面突出玩家集体团战。</w:t>
      </w:r>
      <w:r>
        <w:rPr>
          <w:rFonts w:ascii="Times New Roman" w:hAnsi="Times New Roman" w:cs="Times New Roman" w:eastAsia="Times New Roman" w:hint="default"/>
          <w:spacing w:val="-2"/>
          <w:w w:val="99"/>
        </w:rPr>
        <w:t>SLG</w:t>
      </w:r>
      <w:r>
        <w:rPr>
          <w:spacing w:val="-2"/>
          <w:w w:val="99"/>
        </w:rPr>
        <w:t>游戏在前中期普</w:t>
      </w:r>
      <w:r>
        <w:rPr>
          <w:spacing w:val="-47"/>
          <w:w w:val="99"/>
        </w:rPr>
        <w:t> </w:t>
      </w:r>
      <w:r>
        <w:rPr>
          <w:spacing w:val="-47"/>
          <w:w w:val="99"/>
        </w:rPr>
      </w:r>
      <w:r>
        <w:rPr/>
        <w:t>遍缺乏让玩家形成凝聚力的方式，而《战火与秩序》选择将联盟作为突破口，引导玩家主动去做一些任务，从而渡过难关。</w:t>
      </w:r>
      <w:r>
        <w:rPr>
          <w:spacing w:val="-85"/>
        </w:rPr>
        <w:t> </w:t>
      </w:r>
      <w:r>
        <w:rPr>
          <w:spacing w:val="-85"/>
        </w:rPr>
      </w:r>
      <w:r>
        <w:rPr>
          <w:spacing w:val="-2"/>
        </w:rPr>
        <w:t>具体到玩法层面上，《战火与秩序》添加了联盟领地、援兵玩法等差异化元素。上线至今，《战火与秩序》已获得多次谷歌</w:t>
      </w:r>
      <w:r>
        <w:rPr>
          <w:spacing w:val="-64"/>
        </w:rPr>
        <w:t> </w:t>
      </w:r>
      <w:r>
        <w:rPr>
          <w:spacing w:val="-64"/>
        </w:rPr>
      </w:r>
      <w:r>
        <w:rPr/>
        <w:t>全球精选游戏首页推荐，以及多次</w:t>
      </w:r>
      <w:r>
        <w:rPr>
          <w:rFonts w:ascii="Times New Roman" w:hAnsi="Times New Roman" w:cs="Times New Roman" w:eastAsia="Times New Roman" w:hint="default"/>
        </w:rPr>
        <w:t>APPLE</w:t>
      </w:r>
      <w:r>
        <w:rPr>
          <w:rFonts w:ascii="Times New Roman" w:hAnsi="Times New Roman" w:cs="Times New Roman" w:eastAsia="Times New Roman" w:hint="default"/>
          <w:spacing w:val="13"/>
        </w:rPr>
        <w:t> </w:t>
      </w:r>
      <w:r>
        <w:rPr>
          <w:rFonts w:ascii="Times New Roman" w:hAnsi="Times New Roman" w:cs="Times New Roman" w:eastAsia="Times New Roman" w:hint="default"/>
        </w:rPr>
        <w:t>STORE</w:t>
      </w:r>
      <w:r>
        <w:rPr/>
        <w:t>推荐。</w:t>
      </w:r>
      <w:r>
        <w:rPr>
          <w:rFonts w:ascii="Times New Roman" w:hAnsi="Times New Roman" w:cs="Times New Roman" w:eastAsia="Times New Roman" w:hint="default"/>
        </w:rPr>
        <w:t>2017</w:t>
      </w:r>
      <w:r>
        <w:rPr/>
        <w:t>年，荣获由七麦数据联合创新工场、清科集团、品途集团主办</w:t>
      </w:r>
      <w:r>
        <w:rPr>
          <w:w w:val="99"/>
        </w:rPr>
        <w:t> </w:t>
      </w:r>
      <w:r>
        <w:rPr/>
        <w:t>的</w:t>
      </w:r>
      <w:r>
        <w:rPr>
          <w:rFonts w:ascii="Times New Roman" w:hAnsi="Times New Roman" w:cs="Times New Roman" w:eastAsia="Times New Roman" w:hint="default"/>
        </w:rPr>
        <w:t>“NextWorld</w:t>
      </w:r>
      <w:r>
        <w:rPr>
          <w:rFonts w:ascii="Times New Roman" w:hAnsi="Times New Roman" w:cs="Times New Roman" w:eastAsia="Times New Roman" w:hint="default"/>
          <w:spacing w:val="-3"/>
        </w:rPr>
        <w:t> </w:t>
      </w:r>
      <w:r>
        <w:rPr>
          <w:rFonts w:ascii="Times New Roman" w:hAnsi="Times New Roman" w:cs="Times New Roman" w:eastAsia="Times New Roman" w:hint="default"/>
        </w:rPr>
        <w:t>2017</w:t>
      </w:r>
      <w:r>
        <w:rPr/>
        <w:t>年度最具风采</w:t>
      </w:r>
      <w:r>
        <w:rPr>
          <w:rFonts w:ascii="Times New Roman" w:hAnsi="Times New Roman" w:cs="Times New Roman" w:eastAsia="Times New Roman" w:hint="default"/>
        </w:rPr>
        <w:t>-</w:t>
      </w:r>
      <w:r>
        <w:rPr/>
        <w:t>创享游戏</w:t>
      </w:r>
      <w:r>
        <w:rPr>
          <w:rFonts w:ascii="Times New Roman" w:hAnsi="Times New Roman" w:cs="Times New Roman" w:eastAsia="Times New Roman" w:hint="default"/>
        </w:rPr>
        <w:t>”</w:t>
      </w:r>
      <w:r>
        <w:rPr/>
        <w:t>大奖。</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8"/>
          <w:szCs w:val="18"/>
        </w:rPr>
      </w:pPr>
    </w:p>
    <w:p>
      <w:pPr>
        <w:spacing w:line="4204" w:lineRule="exact"/>
        <w:ind w:left="2910"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3999044" cy="2670048"/>
            <wp:effectExtent l="0" t="0" r="0" b="0"/>
            <wp:docPr id="41" name="image44.jpeg" descr=""/>
            <wp:cNvGraphicFramePr>
              <a:graphicFrameLocks noChangeAspect="1"/>
            </wp:cNvGraphicFramePr>
            <a:graphic>
              <a:graphicData uri="http://schemas.openxmlformats.org/drawingml/2006/picture">
                <pic:pic>
                  <pic:nvPicPr>
                    <pic:cNvPr id="42" name="image44.jpeg"/>
                    <pic:cNvPicPr/>
                  </pic:nvPicPr>
                  <pic:blipFill>
                    <a:blip r:embed="rId51" cstate="print"/>
                    <a:stretch>
                      <a:fillRect/>
                    </a:stretch>
                  </pic:blipFill>
                  <pic:spPr>
                    <a:xfrm>
                      <a:off x="0" y="0"/>
                      <a:ext cx="3999044" cy="2670048"/>
                    </a:xfrm>
                    <a:prstGeom prst="rect">
                      <a:avLst/>
                    </a:prstGeom>
                  </pic:spPr>
                </pic:pic>
              </a:graphicData>
            </a:graphic>
          </wp:inline>
        </w:drawing>
      </w:r>
      <w:r>
        <w:rPr>
          <w:rFonts w:ascii="宋体" w:hAnsi="宋体" w:cs="宋体" w:eastAsia="宋体" w:hint="default"/>
          <w:position w:val="-83"/>
          <w:sz w:val="20"/>
          <w:szCs w:val="20"/>
        </w:rPr>
      </w:r>
    </w:p>
    <w:p>
      <w:pPr>
        <w:spacing w:line="240" w:lineRule="auto" w:before="13"/>
        <w:rPr>
          <w:rFonts w:ascii="宋体" w:hAnsi="宋体" w:cs="宋体" w:eastAsia="宋体" w:hint="default"/>
          <w:sz w:val="12"/>
          <w:szCs w:val="12"/>
        </w:rPr>
      </w:pPr>
    </w:p>
    <w:p>
      <w:pPr>
        <w:pStyle w:val="Heading4"/>
        <w:spacing w:line="240" w:lineRule="auto"/>
        <w:ind w:left="0" w:right="0"/>
        <w:jc w:val="center"/>
        <w:rPr>
          <w:b w:val="0"/>
          <w:bCs w:val="0"/>
        </w:rPr>
      </w:pPr>
      <w:r>
        <w:rPr/>
        <w:t>（《战火与秩序》游戏画面）</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3"/>
        <w:rPr>
          <w:rFonts w:ascii="宋体" w:hAnsi="宋体" w:cs="宋体" w:eastAsia="宋体" w:hint="default"/>
          <w:b/>
          <w:bCs/>
          <w:sz w:val="21"/>
          <w:szCs w:val="21"/>
        </w:rPr>
      </w:pPr>
    </w:p>
    <w:p>
      <w:pPr>
        <w:pStyle w:val="Heading2"/>
        <w:spacing w:line="240" w:lineRule="auto"/>
        <w:ind w:left="1133" w:right="0"/>
        <w:jc w:val="left"/>
        <w:rPr>
          <w:b w:val="0"/>
          <w:bCs w:val="0"/>
        </w:rPr>
      </w:pPr>
      <w:bookmarkStart w:name="二、主营业务分析" w:id="25"/>
      <w:bookmarkEnd w:id="25"/>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spacing w:line="547" w:lineRule="auto" w:before="0"/>
        <w:ind w:left="1133" w:right="6473" w:firstLine="0"/>
        <w:jc w:val="left"/>
        <w:rPr>
          <w:rFonts w:ascii="宋体" w:hAnsi="宋体" w:cs="宋体" w:eastAsia="宋体" w:hint="default"/>
          <w:sz w:val="21"/>
          <w:szCs w:val="21"/>
        </w:rPr>
      </w:pPr>
      <w:bookmarkStart w:name="1、概述" w:id="26"/>
      <w:bookmarkEnd w:id="26"/>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27"/>
      <w:bookmarkEnd w:id="27"/>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3"/>
        <w:spacing w:line="240" w:lineRule="auto" w:before="25"/>
        <w:ind w:left="1133" w:right="0"/>
        <w:jc w:val="left"/>
        <w:rPr>
          <w:b w:val="0"/>
          <w:bCs w:val="0"/>
        </w:rPr>
      </w:pPr>
      <w:bookmarkStart w:name="（1）营业收入构成" w:id="28"/>
      <w:bookmarkEnd w:id="28"/>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9"/>
        <w:rPr>
          <w:rFonts w:ascii="宋体" w:hAnsi="宋体" w:cs="宋体" w:eastAsia="宋体" w:hint="default"/>
          <w:b/>
          <w:bCs/>
          <w:sz w:val="32"/>
          <w:szCs w:val="32"/>
        </w:rPr>
      </w:pPr>
    </w:p>
    <w:p>
      <w:pPr>
        <w:pStyle w:val="BodyText"/>
        <w:spacing w:line="489" w:lineRule="auto"/>
        <w:ind w:right="1574"/>
        <w:jc w:val="left"/>
        <w:rPr>
          <w:rFonts w:ascii="宋体" w:hAnsi="宋体" w:cs="宋体" w:eastAsia="宋体" w:hint="default"/>
        </w:rPr>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w:t>
      </w:r>
      <w:r>
        <w:rPr>
          <w:rFonts w:ascii="宋体" w:hAnsi="宋体" w:cs="宋体" w:eastAsia="宋体" w:hint="default"/>
          <w:b/>
          <w:bCs/>
        </w:rPr>
        <w:t>是</w:t>
      </w:r>
      <w:r>
        <w:rPr>
          <w:rFonts w:ascii="宋体" w:hAnsi="宋体" w:cs="宋体" w:eastAsia="宋体" w:hint="default"/>
        </w:rPr>
      </w:r>
    </w:p>
    <w:p>
      <w:pPr>
        <w:spacing w:after="0" w:line="489" w:lineRule="auto"/>
        <w:jc w:val="left"/>
        <w:rPr>
          <w:rFonts w:ascii="宋体" w:hAnsi="宋体" w:cs="宋体" w:eastAsia="宋体" w:hint="default"/>
        </w:rPr>
        <w:sectPr>
          <w:pgSz w:w="11910" w:h="16840"/>
          <w:pgMar w:header="851" w:footer="979" w:top="1380" w:bottom="1160" w:left="0" w:right="0"/>
        </w:sectPr>
      </w:pPr>
    </w:p>
    <w:p>
      <w:pPr>
        <w:pStyle w:val="Heading4"/>
        <w:spacing w:line="240" w:lineRule="auto" w:before="141"/>
        <w:ind w:left="1134" w:right="0"/>
        <w:jc w:val="left"/>
        <w:rPr>
          <w:b w:val="0"/>
          <w:bCs w:val="0"/>
        </w:rPr>
      </w:pPr>
      <w:r>
        <w:rPr/>
        <w:t>主要游戏基本情况</w:t>
      </w:r>
      <w:r>
        <w:rPr>
          <w:b w:val="0"/>
          <w:bCs w:val="0"/>
        </w:rPr>
      </w:r>
    </w:p>
    <w:p>
      <w:pPr>
        <w:spacing w:line="240" w:lineRule="auto" w:before="6"/>
        <w:rPr>
          <w:rFonts w:ascii="宋体" w:hAnsi="宋体" w:cs="宋体" w:eastAsia="宋体" w:hint="default"/>
          <w:b/>
          <w:bCs/>
          <w:sz w:val="11"/>
          <w:szCs w:val="11"/>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01" w:type="dxa"/>
        <w:tblLayout w:type="fixed"/>
        <w:tblCellMar>
          <w:top w:w="0" w:type="dxa"/>
          <w:left w:w="0" w:type="dxa"/>
          <w:bottom w:w="0" w:type="dxa"/>
          <w:right w:w="0" w:type="dxa"/>
        </w:tblCellMar>
        <w:tblLook w:val="01E0"/>
      </w:tblPr>
      <w:tblGrid>
        <w:gridCol w:w="1066"/>
        <w:gridCol w:w="1070"/>
        <w:gridCol w:w="1069"/>
        <w:gridCol w:w="1071"/>
        <w:gridCol w:w="1181"/>
        <w:gridCol w:w="1070"/>
        <w:gridCol w:w="1181"/>
        <w:gridCol w:w="994"/>
        <w:gridCol w:w="992"/>
      </w:tblGrid>
      <w:tr>
        <w:trPr>
          <w:trHeight w:val="1338"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1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游戏类型</w:t>
            </w:r>
          </w:p>
        </w:tc>
        <w:tc>
          <w:tcPr>
            <w:tcW w:w="1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运营模式</w:t>
            </w:r>
          </w:p>
        </w:tc>
        <w:tc>
          <w:tcPr>
            <w:tcW w:w="1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收费方式</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9" w:right="79"/>
              <w:jc w:val="center"/>
              <w:rPr>
                <w:rFonts w:ascii="宋体" w:hAnsi="宋体" w:cs="宋体" w:eastAsia="宋体" w:hint="default"/>
                <w:sz w:val="18"/>
                <w:szCs w:val="18"/>
              </w:rPr>
            </w:pPr>
            <w:r>
              <w:rPr>
                <w:rFonts w:ascii="宋体" w:hAnsi="宋体" w:cs="宋体" w:eastAsia="宋体" w:hint="default"/>
                <w:sz w:val="18"/>
                <w:szCs w:val="18"/>
              </w:rPr>
              <w:t>收入占游戏 业务收入的 比例</w:t>
            </w:r>
          </w:p>
        </w:tc>
        <w:tc>
          <w:tcPr>
            <w:tcW w:w="11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45"/>
              <w:jc w:val="right"/>
              <w:rPr>
                <w:rFonts w:ascii="宋体" w:hAnsi="宋体" w:cs="宋体" w:eastAsia="宋体" w:hint="default"/>
                <w:sz w:val="18"/>
                <w:szCs w:val="18"/>
              </w:rPr>
            </w:pPr>
            <w:r>
              <w:rPr>
                <w:rFonts w:ascii="宋体" w:hAnsi="宋体" w:cs="宋体" w:eastAsia="宋体" w:hint="default"/>
                <w:sz w:val="18"/>
                <w:szCs w:val="18"/>
              </w:rPr>
              <w:t>推广营销费用</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0" w:right="41"/>
              <w:jc w:val="both"/>
              <w:rPr>
                <w:rFonts w:ascii="宋体" w:hAnsi="宋体" w:cs="宋体" w:eastAsia="宋体" w:hint="default"/>
                <w:sz w:val="18"/>
                <w:szCs w:val="18"/>
              </w:rPr>
            </w:pPr>
            <w:r>
              <w:rPr>
                <w:rFonts w:ascii="宋体" w:hAnsi="宋体" w:cs="宋体" w:eastAsia="宋体" w:hint="default"/>
                <w:sz w:val="18"/>
                <w:szCs w:val="18"/>
              </w:rPr>
              <w:t>推广营销费 用占游戏推 广营销费用 总额的比例</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0" w:right="41"/>
              <w:jc w:val="center"/>
              <w:rPr>
                <w:rFonts w:ascii="宋体" w:hAnsi="宋体" w:cs="宋体" w:eastAsia="宋体" w:hint="default"/>
                <w:sz w:val="18"/>
                <w:szCs w:val="18"/>
              </w:rPr>
            </w:pPr>
            <w:r>
              <w:rPr>
                <w:rFonts w:ascii="宋体" w:hAnsi="宋体" w:cs="宋体" w:eastAsia="宋体" w:hint="default"/>
                <w:sz w:val="18"/>
                <w:szCs w:val="18"/>
              </w:rPr>
              <w:t>推广营销费 用占主要游 戏收入总额 的比例</w:t>
            </w:r>
          </w:p>
        </w:tc>
      </w:tr>
      <w:tr>
        <w:trPr>
          <w:trHeight w:val="1026" w:hRule="exact"/>
        </w:trPr>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91"/>
              <w:ind w:left="108" w:right="107" w:hanging="3"/>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War</w:t>
            </w:r>
            <w:r>
              <w:rPr>
                <w:rFonts w:ascii="Times New Roman" w:hAnsi="Times New Roman" w:cs="Times New Roman" w:eastAsia="Times New Roman" w:hint="default"/>
                <w:sz w:val="18"/>
                <w:szCs w:val="18"/>
              </w:rPr>
              <w:t> and</w:t>
            </w:r>
            <w:r>
              <w:rPr>
                <w:rFonts w:ascii="Times New Roman" w:hAnsi="Times New Roman" w:cs="Times New Roman" w:eastAsia="Times New Roman" w:hint="default"/>
                <w:sz w:val="18"/>
                <w:szCs w:val="18"/>
              </w:rPr>
              <w:t> Order(</w:t>
            </w:r>
            <w:r>
              <w:rPr>
                <w:rFonts w:ascii="宋体" w:hAnsi="宋体" w:cs="宋体" w:eastAsia="宋体" w:hint="default"/>
                <w:sz w:val="18"/>
                <w:szCs w:val="18"/>
              </w:rPr>
              <w:t>战火 与秩序</w:t>
            </w:r>
            <w:r>
              <w:rPr>
                <w:rFonts w:ascii="Times New Roman" w:hAnsi="Times New Roman" w:cs="Times New Roman" w:eastAsia="Times New Roman" w:hint="default"/>
                <w:sz w:val="18"/>
                <w:szCs w:val="18"/>
              </w:rPr>
              <w:t>)</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策略</w:t>
            </w: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自运营</w:t>
            </w:r>
          </w:p>
        </w:tc>
        <w:tc>
          <w:tcPr>
            <w:tcW w:w="1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道具收费</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560,533,100.33</w:t>
            </w:r>
          </w:p>
        </w:tc>
        <w:tc>
          <w:tcPr>
            <w:tcW w:w="10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51" w:right="0"/>
              <w:jc w:val="left"/>
              <w:rPr>
                <w:rFonts w:ascii="Times New Roman" w:hAnsi="Times New Roman" w:cs="Times New Roman" w:eastAsia="Times New Roman" w:hint="default"/>
                <w:sz w:val="18"/>
                <w:szCs w:val="18"/>
              </w:rPr>
            </w:pPr>
            <w:r>
              <w:rPr>
                <w:rFonts w:ascii="Times New Roman"/>
                <w:sz w:val="18"/>
              </w:rPr>
              <w:t>93.60%</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337,308,323.02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96.14%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60.18%</w:t>
            </w: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主要游戏分季度运营数据</w:t>
      </w:r>
      <w:r>
        <w:rPr>
          <w:b w:val="0"/>
          <w:bCs w:val="0"/>
        </w:rPr>
      </w:r>
    </w:p>
    <w:p>
      <w:pPr>
        <w:spacing w:line="240" w:lineRule="auto" w:before="7"/>
        <w:rPr>
          <w:rFonts w:ascii="宋体" w:hAnsi="宋体" w:cs="宋体" w:eastAsia="宋体" w:hint="default"/>
          <w:b/>
          <w:bCs/>
          <w:sz w:val="11"/>
          <w:szCs w:val="11"/>
        </w:rPr>
      </w:pPr>
    </w:p>
    <w:p>
      <w:pPr>
        <w:pStyle w:val="BodyText"/>
        <w:spacing w:line="240" w:lineRule="auto" w:before="44"/>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1370"/>
        <w:gridCol w:w="1367"/>
        <w:gridCol w:w="1367"/>
        <w:gridCol w:w="1367"/>
        <w:gridCol w:w="1367"/>
        <w:gridCol w:w="1367"/>
        <w:gridCol w:w="1368"/>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游戏名称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季度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新增用户数量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活跃用户数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付费用户数量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ARPU</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充值流水</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89" w:right="26" w:hanging="26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War </w:t>
            </w:r>
            <w:r>
              <w:rPr>
                <w:rFonts w:ascii="Times New Roman" w:hAnsi="Times New Roman" w:cs="Times New Roman" w:eastAsia="Times New Roman" w:hint="default"/>
                <w:sz w:val="18"/>
                <w:szCs w:val="18"/>
              </w:rPr>
              <w:t>and</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Order(</w:t>
            </w:r>
            <w:r>
              <w:rPr>
                <w:rFonts w:ascii="宋体" w:hAnsi="宋体" w:cs="宋体" w:eastAsia="宋体" w:hint="default"/>
                <w:sz w:val="18"/>
                <w:szCs w:val="18"/>
              </w:rPr>
              <w:t>战</w:t>
            </w:r>
            <w:r>
              <w:rPr>
                <w:rFonts w:ascii="宋体" w:hAnsi="宋体" w:cs="宋体" w:eastAsia="宋体" w:hint="default"/>
                <w:w w:val="99"/>
                <w:sz w:val="18"/>
                <w:szCs w:val="18"/>
              </w:rPr>
              <w:t> </w:t>
            </w:r>
            <w:r>
              <w:rPr>
                <w:rFonts w:ascii="宋体" w:hAnsi="宋体" w:cs="宋体" w:eastAsia="宋体" w:hint="default"/>
                <w:sz w:val="18"/>
                <w:szCs w:val="18"/>
              </w:rPr>
              <w:t>火与秩序</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第一季度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4,373,202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2,305,145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304,187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103.87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239,441,160.42</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89" w:right="26" w:hanging="26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War </w:t>
            </w:r>
            <w:r>
              <w:rPr>
                <w:rFonts w:ascii="Times New Roman" w:hAnsi="Times New Roman" w:cs="Times New Roman" w:eastAsia="Times New Roman" w:hint="default"/>
                <w:sz w:val="18"/>
                <w:szCs w:val="18"/>
              </w:rPr>
              <w:t>and</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Order(</w:t>
            </w:r>
            <w:r>
              <w:rPr>
                <w:rFonts w:ascii="宋体" w:hAnsi="宋体" w:cs="宋体" w:eastAsia="宋体" w:hint="default"/>
                <w:sz w:val="18"/>
                <w:szCs w:val="18"/>
              </w:rPr>
              <w:t>战</w:t>
            </w:r>
            <w:r>
              <w:rPr>
                <w:rFonts w:ascii="宋体" w:hAnsi="宋体" w:cs="宋体" w:eastAsia="宋体" w:hint="default"/>
                <w:w w:val="99"/>
                <w:sz w:val="18"/>
                <w:szCs w:val="18"/>
              </w:rPr>
              <w:t> </w:t>
            </w:r>
            <w:r>
              <w:rPr>
                <w:rFonts w:ascii="宋体" w:hAnsi="宋体" w:cs="宋体" w:eastAsia="宋体" w:hint="default"/>
                <w:sz w:val="18"/>
                <w:szCs w:val="18"/>
              </w:rPr>
              <w:t>火与秩序</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第二季度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3,388,857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2,118,276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243,150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110.18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233,390,308.43</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89" w:right="26" w:hanging="26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War </w:t>
            </w:r>
            <w:r>
              <w:rPr>
                <w:rFonts w:ascii="Times New Roman" w:hAnsi="Times New Roman" w:cs="Times New Roman" w:eastAsia="Times New Roman" w:hint="default"/>
                <w:sz w:val="18"/>
                <w:szCs w:val="18"/>
              </w:rPr>
              <w:t>and</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Order(</w:t>
            </w:r>
            <w:r>
              <w:rPr>
                <w:rFonts w:ascii="宋体" w:hAnsi="宋体" w:cs="宋体" w:eastAsia="宋体" w:hint="default"/>
                <w:sz w:val="18"/>
                <w:szCs w:val="18"/>
              </w:rPr>
              <w:t>战</w:t>
            </w:r>
            <w:r>
              <w:rPr>
                <w:rFonts w:ascii="宋体" w:hAnsi="宋体" w:cs="宋体" w:eastAsia="宋体" w:hint="default"/>
                <w:w w:val="99"/>
                <w:sz w:val="18"/>
                <w:szCs w:val="18"/>
              </w:rPr>
              <w:t> </w:t>
            </w:r>
            <w:r>
              <w:rPr>
                <w:rFonts w:ascii="宋体" w:hAnsi="宋体" w:cs="宋体" w:eastAsia="宋体" w:hint="default"/>
                <w:sz w:val="18"/>
                <w:szCs w:val="18"/>
              </w:rPr>
              <w:t>火与秩序</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第三季度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2,938,705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2,001,379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228,805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201,402,061.40</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89" w:right="26" w:hanging="263"/>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War </w:t>
            </w:r>
            <w:r>
              <w:rPr>
                <w:rFonts w:ascii="Times New Roman" w:hAnsi="Times New Roman" w:cs="Times New Roman" w:eastAsia="Times New Roman" w:hint="default"/>
                <w:sz w:val="18"/>
                <w:szCs w:val="18"/>
              </w:rPr>
              <w:t>and</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Order(</w:t>
            </w:r>
            <w:r>
              <w:rPr>
                <w:rFonts w:ascii="宋体" w:hAnsi="宋体" w:cs="宋体" w:eastAsia="宋体" w:hint="default"/>
                <w:sz w:val="18"/>
                <w:szCs w:val="18"/>
              </w:rPr>
              <w:t>战</w:t>
            </w:r>
            <w:r>
              <w:rPr>
                <w:rFonts w:ascii="宋体" w:hAnsi="宋体" w:cs="宋体" w:eastAsia="宋体" w:hint="default"/>
                <w:w w:val="99"/>
                <w:sz w:val="18"/>
                <w:szCs w:val="18"/>
              </w:rPr>
              <w:t> </w:t>
            </w:r>
            <w:r>
              <w:rPr>
                <w:rFonts w:ascii="宋体" w:hAnsi="宋体" w:cs="宋体" w:eastAsia="宋体" w:hint="default"/>
                <w:sz w:val="18"/>
                <w:szCs w:val="18"/>
              </w:rPr>
              <w:t>火与秩序</w:t>
            </w:r>
            <w:r>
              <w:rPr>
                <w:rFonts w:ascii="Times New Roman" w:hAnsi="Times New Roman" w:cs="Times New Roman" w:eastAsia="Times New Roman" w:hint="default"/>
                <w:sz w:val="18"/>
                <w:szCs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第四季度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2,694,231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1,938,301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212,532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103.27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200,159,343.55</w:t>
            </w:r>
          </w:p>
        </w:tc>
      </w:tr>
    </w:tbl>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5"/>
          <w:szCs w:val="25"/>
        </w:rPr>
      </w:pPr>
    </w:p>
    <w:p>
      <w:pPr>
        <w:pStyle w:val="Heading4"/>
        <w:spacing w:line="240" w:lineRule="auto" w:before="44"/>
        <w:ind w:left="1134" w:right="0"/>
        <w:jc w:val="left"/>
        <w:rPr>
          <w:b w:val="0"/>
          <w:bCs w:val="0"/>
        </w:rPr>
      </w:pPr>
      <w:r>
        <w:rPr/>
        <w:t>营业收入整体情况</w:t>
      </w:r>
      <w:r>
        <w:rPr>
          <w:b w:val="0"/>
          <w:bCs w:val="0"/>
        </w:rPr>
      </w:r>
    </w:p>
    <w:p>
      <w:pPr>
        <w:spacing w:line="240" w:lineRule="auto" w:before="6"/>
        <w:rPr>
          <w:rFonts w:ascii="宋体" w:hAnsi="宋体" w:cs="宋体" w:eastAsia="宋体" w:hint="default"/>
          <w:b/>
          <w:bCs/>
          <w:sz w:val="11"/>
          <w:szCs w:val="11"/>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133"/>
        <w:gridCol w:w="1417"/>
        <w:gridCol w:w="1413"/>
        <w:gridCol w:w="1422"/>
        <w:gridCol w:w="1583"/>
        <w:gridCol w:w="1601"/>
      </w:tblGrid>
      <w:tr>
        <w:trPr>
          <w:trHeight w:val="205" w:hRule="exact"/>
        </w:trPr>
        <w:tc>
          <w:tcPr>
            <w:tcW w:w="2133" w:type="dxa"/>
            <w:tcBorders>
              <w:top w:val="single" w:sz="4" w:space="0" w:color="000000"/>
              <w:left w:val="single" w:sz="4" w:space="0" w:color="000000"/>
              <w:bottom w:val="nil" w:sz="6" w:space="0" w:color="auto"/>
              <w:right w:val="single" w:sz="4" w:space="0" w:color="000000"/>
            </w:tcBorders>
            <w:shd w:val="clear" w:color="auto" w:fill="D2D2D2"/>
          </w:tcPr>
          <w:p>
            <w:pPr/>
          </w:p>
        </w:tc>
        <w:tc>
          <w:tcPr>
            <w:tcW w:w="282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6"/>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00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01"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2" w:hRule="exact"/>
        </w:trPr>
        <w:tc>
          <w:tcPr>
            <w:tcW w:w="2133" w:type="dxa"/>
            <w:vMerge w:val="restart"/>
            <w:tcBorders>
              <w:top w:val="nil" w:sz="6" w:space="0" w:color="auto"/>
              <w:left w:val="single" w:sz="4" w:space="0" w:color="000000"/>
              <w:right w:val="single" w:sz="4" w:space="0" w:color="000000"/>
            </w:tcBorders>
            <w:shd w:val="clear" w:color="auto" w:fill="D2D2D2"/>
          </w:tcPr>
          <w:p>
            <w:pPr/>
          </w:p>
        </w:tc>
        <w:tc>
          <w:tcPr>
            <w:tcW w:w="2829" w:type="dxa"/>
            <w:gridSpan w:val="2"/>
            <w:vMerge/>
            <w:tcBorders>
              <w:left w:val="single" w:sz="4" w:space="0" w:color="000000"/>
              <w:bottom w:val="single" w:sz="4" w:space="0" w:color="000000"/>
              <w:right w:val="single" w:sz="4" w:space="0" w:color="000000"/>
            </w:tcBorders>
            <w:shd w:val="clear" w:color="auto" w:fill="D2D2D2"/>
          </w:tcPr>
          <w:p>
            <w:pPr/>
          </w:p>
        </w:tc>
        <w:tc>
          <w:tcPr>
            <w:tcW w:w="3004" w:type="dxa"/>
            <w:gridSpan w:val="2"/>
            <w:vMerge/>
            <w:tcBorders>
              <w:left w:val="single" w:sz="4" w:space="0" w:color="000000"/>
              <w:bottom w:val="single" w:sz="4" w:space="0" w:color="000000"/>
              <w:right w:val="single" w:sz="4" w:space="0" w:color="000000"/>
            </w:tcBorders>
            <w:shd w:val="clear" w:color="auto" w:fill="D2D2D2"/>
          </w:tcPr>
          <w:p>
            <w:pPr/>
          </w:p>
        </w:tc>
        <w:tc>
          <w:tcPr>
            <w:tcW w:w="16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38"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0" w:hRule="exact"/>
        </w:trPr>
        <w:tc>
          <w:tcPr>
            <w:tcW w:w="2133" w:type="dxa"/>
            <w:vMerge/>
            <w:tcBorders>
              <w:left w:val="single" w:sz="4" w:space="0" w:color="000000"/>
              <w:bottom w:val="nil" w:sz="6" w:space="0" w:color="auto"/>
              <w:right w:val="single" w:sz="4" w:space="0" w:color="000000"/>
            </w:tcBorders>
            <w:shd w:val="clear" w:color="auto" w:fill="D2D2D2"/>
          </w:tcPr>
          <w:p>
            <w:pPr/>
          </w:p>
        </w:tc>
        <w:tc>
          <w:tcPr>
            <w:tcW w:w="14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9"/>
              <w:jc w:val="center"/>
              <w:rPr>
                <w:rFonts w:ascii="宋体" w:hAnsi="宋体" w:cs="宋体" w:eastAsia="宋体" w:hint="default"/>
                <w:sz w:val="18"/>
                <w:szCs w:val="18"/>
              </w:rPr>
            </w:pPr>
            <w:r>
              <w:rPr>
                <w:rFonts w:ascii="宋体" w:hAnsi="宋体" w:cs="宋体" w:eastAsia="宋体" w:hint="default"/>
                <w:sz w:val="18"/>
                <w:szCs w:val="18"/>
              </w:rPr>
              <w:t>金额</w:t>
            </w:r>
          </w:p>
        </w:tc>
        <w:tc>
          <w:tcPr>
            <w:tcW w:w="14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68"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42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6"/>
              <w:jc w:val="center"/>
              <w:rPr>
                <w:rFonts w:ascii="宋体" w:hAnsi="宋体" w:cs="宋体" w:eastAsia="宋体" w:hint="default"/>
                <w:sz w:val="18"/>
                <w:szCs w:val="18"/>
              </w:rPr>
            </w:pPr>
            <w:r>
              <w:rPr>
                <w:rFonts w:ascii="宋体" w:hAnsi="宋体" w:cs="宋体" w:eastAsia="宋体" w:hint="default"/>
                <w:sz w:val="18"/>
                <w:szCs w:val="18"/>
              </w:rPr>
              <w:t>金额</w:t>
            </w:r>
          </w:p>
        </w:tc>
        <w:tc>
          <w:tcPr>
            <w:tcW w:w="15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6"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601"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2133"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7" w:type="dxa"/>
            <w:vMerge/>
            <w:tcBorders>
              <w:left w:val="single" w:sz="4" w:space="0" w:color="000000"/>
              <w:bottom w:val="single" w:sz="4" w:space="0" w:color="000000"/>
              <w:right w:val="single" w:sz="4" w:space="0" w:color="000000"/>
            </w:tcBorders>
            <w:shd w:val="clear" w:color="auto" w:fill="D2D2D2"/>
          </w:tcPr>
          <w:p>
            <w:pPr/>
          </w:p>
        </w:tc>
        <w:tc>
          <w:tcPr>
            <w:tcW w:w="1413" w:type="dxa"/>
            <w:vMerge/>
            <w:tcBorders>
              <w:left w:val="single" w:sz="4" w:space="0" w:color="000000"/>
              <w:bottom w:val="single" w:sz="4" w:space="0" w:color="000000"/>
              <w:right w:val="single" w:sz="4" w:space="0" w:color="000000"/>
            </w:tcBorders>
            <w:shd w:val="clear" w:color="auto" w:fill="D2D2D2"/>
          </w:tcPr>
          <w:p>
            <w:pPr/>
          </w:p>
        </w:tc>
        <w:tc>
          <w:tcPr>
            <w:tcW w:w="1422" w:type="dxa"/>
            <w:vMerge/>
            <w:tcBorders>
              <w:left w:val="single" w:sz="4" w:space="0" w:color="000000"/>
              <w:bottom w:val="single" w:sz="4" w:space="0" w:color="000000"/>
              <w:right w:val="single" w:sz="4" w:space="0" w:color="000000"/>
            </w:tcBorders>
            <w:shd w:val="clear" w:color="auto" w:fill="D2D2D2"/>
          </w:tcPr>
          <w:p>
            <w:pPr/>
          </w:p>
        </w:tc>
        <w:tc>
          <w:tcPr>
            <w:tcW w:w="1583" w:type="dxa"/>
            <w:vMerge/>
            <w:tcBorders>
              <w:left w:val="single" w:sz="4" w:space="0" w:color="000000"/>
              <w:bottom w:val="single" w:sz="4" w:space="0" w:color="000000"/>
              <w:right w:val="single" w:sz="4" w:space="0" w:color="000000"/>
            </w:tcBorders>
            <w:shd w:val="clear" w:color="auto" w:fill="D2D2D2"/>
          </w:tcPr>
          <w:p>
            <w:pPr/>
          </w:p>
        </w:tc>
        <w:tc>
          <w:tcPr>
            <w:tcW w:w="1601"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7" w:hRule="exact"/>
        </w:trPr>
        <w:tc>
          <w:tcPr>
            <w:tcW w:w="2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41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2,026,498,700.16</w:t>
            </w:r>
          </w:p>
        </w:tc>
        <w:tc>
          <w:tcPr>
            <w:tcW w:w="14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422"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2,936,581,930.55</w:t>
            </w:r>
          </w:p>
        </w:tc>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6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-30.99%</w:t>
            </w:r>
          </w:p>
        </w:tc>
      </w:tr>
      <w:tr>
        <w:trPr>
          <w:trHeight w:val="397"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ICT</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运营管理</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7"/>
              <w:jc w:val="right"/>
              <w:rPr>
                <w:rFonts w:ascii="Times New Roman" w:hAnsi="Times New Roman" w:cs="Times New Roman" w:eastAsia="Times New Roman" w:hint="default"/>
                <w:sz w:val="18"/>
                <w:szCs w:val="18"/>
              </w:rPr>
            </w:pPr>
            <w:r>
              <w:rPr>
                <w:rFonts w:ascii="Times New Roman"/>
                <w:b/>
                <w:spacing w:val="-1"/>
                <w:sz w:val="18"/>
              </w:rPr>
              <w:t>1,208,540,730.86</w:t>
            </w:r>
            <w:r>
              <w:rPr>
                <w:rFonts w:ascii="Times New Roman"/>
                <w:spacing w:val="-1"/>
                <w:sz w:val="18"/>
              </w:rPr>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b/>
                <w:sz w:val="18"/>
              </w:rPr>
              <w:t>59.64%</w:t>
            </w:r>
            <w:r>
              <w:rPr>
                <w:rFonts w:ascii="Times New Roman"/>
                <w:sz w:val="18"/>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8"/>
              <w:jc w:val="right"/>
              <w:rPr>
                <w:rFonts w:ascii="Times New Roman" w:hAnsi="Times New Roman" w:cs="Times New Roman" w:eastAsia="Times New Roman" w:hint="default"/>
                <w:sz w:val="18"/>
                <w:szCs w:val="18"/>
              </w:rPr>
            </w:pPr>
            <w:r>
              <w:rPr>
                <w:rFonts w:ascii="Times New Roman"/>
                <w:b/>
                <w:spacing w:val="-1"/>
                <w:sz w:val="18"/>
              </w:rPr>
              <w:t>2,370,302,534.34</w:t>
            </w:r>
            <w:r>
              <w:rPr>
                <w:rFonts w:ascii="Times New Roman"/>
                <w:spacing w:val="-1"/>
                <w:sz w:val="18"/>
              </w:rPr>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4"/>
              <w:jc w:val="right"/>
              <w:rPr>
                <w:rFonts w:ascii="Times New Roman" w:hAnsi="Times New Roman" w:cs="Times New Roman" w:eastAsia="Times New Roman" w:hint="default"/>
                <w:sz w:val="18"/>
                <w:szCs w:val="18"/>
              </w:rPr>
            </w:pPr>
            <w:r>
              <w:rPr>
                <w:rFonts w:ascii="Times New Roman"/>
                <w:b/>
                <w:sz w:val="18"/>
              </w:rPr>
              <w:t>80.72%</w:t>
            </w:r>
            <w:r>
              <w:rPr>
                <w:rFonts w:ascii="Times New Roman"/>
                <w:sz w:val="18"/>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b/>
                <w:sz w:val="18"/>
              </w:rPr>
              <w:t>-49.01%</w:t>
            </w:r>
            <w:r>
              <w:rPr>
                <w:rFonts w:ascii="Times New Roman"/>
                <w:sz w:val="18"/>
              </w:rPr>
            </w:r>
          </w:p>
        </w:tc>
      </w:tr>
      <w:tr>
        <w:trPr>
          <w:trHeight w:val="754"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w:t>
            </w:r>
          </w:p>
          <w:p>
            <w:pPr>
              <w:pStyle w:val="TableParagraph"/>
              <w:spacing w:line="240" w:lineRule="auto" w:before="117"/>
              <w:ind w:left="202" w:right="0"/>
              <w:jc w:val="left"/>
              <w:rPr>
                <w:rFonts w:ascii="宋体" w:hAnsi="宋体" w:cs="宋体" w:eastAsia="宋体" w:hint="default"/>
                <w:sz w:val="18"/>
                <w:szCs w:val="18"/>
              </w:rPr>
            </w:pPr>
            <w:r>
              <w:rPr>
                <w:rFonts w:ascii="宋体" w:hAnsi="宋体" w:cs="宋体" w:eastAsia="宋体" w:hint="default"/>
                <w:sz w:val="18"/>
                <w:szCs w:val="18"/>
              </w:rPr>
              <w:t>运维管理解决方案</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672,662,786.24</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33.19%</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pacing w:val="-1"/>
                <w:sz w:val="18"/>
              </w:rPr>
              <w:t>657,200,843.90</w:t>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4"/>
              <w:jc w:val="right"/>
              <w:rPr>
                <w:rFonts w:ascii="Times New Roman" w:hAnsi="Times New Roman" w:cs="Times New Roman" w:eastAsia="Times New Roman" w:hint="default"/>
                <w:sz w:val="18"/>
                <w:szCs w:val="18"/>
              </w:rPr>
            </w:pPr>
            <w:r>
              <w:rPr>
                <w:rFonts w:ascii="Times New Roman"/>
                <w:sz w:val="18"/>
              </w:rPr>
              <w:t>22.38%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2.35%</w:t>
            </w:r>
          </w:p>
        </w:tc>
      </w:tr>
      <w:tr>
        <w:trPr>
          <w:trHeight w:val="402"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375,015,380.67</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18.51%</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8"/>
              <w:jc w:val="right"/>
              <w:rPr>
                <w:rFonts w:ascii="Times New Roman" w:hAnsi="Times New Roman" w:cs="Times New Roman" w:eastAsia="Times New Roman" w:hint="default"/>
                <w:sz w:val="18"/>
                <w:szCs w:val="18"/>
              </w:rPr>
            </w:pPr>
            <w:r>
              <w:rPr>
                <w:rFonts w:ascii="Times New Roman"/>
                <w:spacing w:val="-1"/>
                <w:sz w:val="18"/>
              </w:rPr>
              <w:t>1,426,386,803.36</w:t>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48.58%</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-73.71%</w:t>
            </w:r>
          </w:p>
        </w:tc>
      </w:tr>
      <w:tr>
        <w:trPr>
          <w:trHeight w:val="402"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移动互联网运营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pacing w:val="-1"/>
                <w:sz w:val="18"/>
              </w:rPr>
              <w:t>160,862,563.95</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7.94%</w:t>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7"/>
              <w:jc w:val="right"/>
              <w:rPr>
                <w:rFonts w:ascii="Times New Roman" w:hAnsi="Times New Roman" w:cs="Times New Roman" w:eastAsia="Times New Roman" w:hint="default"/>
                <w:sz w:val="18"/>
                <w:szCs w:val="18"/>
              </w:rPr>
            </w:pPr>
            <w:r>
              <w:rPr>
                <w:rFonts w:ascii="Times New Roman"/>
                <w:spacing w:val="-1"/>
                <w:sz w:val="18"/>
              </w:rPr>
              <w:t>286,714,887.08</w:t>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z w:val="18"/>
              </w:rPr>
              <w:t>9.76%</w:t>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-43.89%</w:t>
            </w:r>
          </w:p>
        </w:tc>
      </w:tr>
      <w:tr>
        <w:trPr>
          <w:trHeight w:val="402"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游戏</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6"/>
              <w:jc w:val="right"/>
              <w:rPr>
                <w:rFonts w:ascii="Times New Roman" w:hAnsi="Times New Roman" w:cs="Times New Roman" w:eastAsia="Times New Roman" w:hint="default"/>
                <w:sz w:val="18"/>
                <w:szCs w:val="18"/>
              </w:rPr>
            </w:pPr>
            <w:r>
              <w:rPr>
                <w:rFonts w:ascii="Times New Roman"/>
                <w:b/>
                <w:spacing w:val="-1"/>
                <w:sz w:val="18"/>
              </w:rPr>
              <w:t>598,881,051.11</w:t>
            </w:r>
            <w:r>
              <w:rPr>
                <w:rFonts w:ascii="Times New Roman"/>
                <w:spacing w:val="-1"/>
                <w:sz w:val="18"/>
              </w:rPr>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9"/>
              <w:jc w:val="right"/>
              <w:rPr>
                <w:rFonts w:ascii="Times New Roman" w:hAnsi="Times New Roman" w:cs="Times New Roman" w:eastAsia="Times New Roman" w:hint="default"/>
                <w:sz w:val="18"/>
                <w:szCs w:val="18"/>
              </w:rPr>
            </w:pPr>
            <w:r>
              <w:rPr>
                <w:rFonts w:ascii="Times New Roman"/>
                <w:b/>
                <w:sz w:val="18"/>
              </w:rPr>
              <w:t>29.55%</w:t>
            </w:r>
            <w:r>
              <w:rPr>
                <w:rFonts w:ascii="Times New Roman"/>
                <w:sz w:val="18"/>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7"/>
              <w:jc w:val="right"/>
              <w:rPr>
                <w:rFonts w:ascii="Times New Roman" w:hAnsi="Times New Roman" w:cs="Times New Roman" w:eastAsia="Times New Roman" w:hint="default"/>
                <w:sz w:val="18"/>
                <w:szCs w:val="18"/>
              </w:rPr>
            </w:pPr>
            <w:r>
              <w:rPr>
                <w:rFonts w:ascii="Times New Roman"/>
                <w:b/>
                <w:spacing w:val="-1"/>
                <w:sz w:val="18"/>
              </w:rPr>
              <w:t>354,372,300.85</w:t>
            </w:r>
            <w:r>
              <w:rPr>
                <w:rFonts w:ascii="Times New Roman"/>
                <w:spacing w:val="-1"/>
                <w:sz w:val="18"/>
              </w:rPr>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4"/>
              <w:jc w:val="right"/>
              <w:rPr>
                <w:rFonts w:ascii="Times New Roman" w:hAnsi="Times New Roman" w:cs="Times New Roman" w:eastAsia="Times New Roman" w:hint="default"/>
                <w:sz w:val="18"/>
                <w:szCs w:val="18"/>
              </w:rPr>
            </w:pPr>
            <w:r>
              <w:rPr>
                <w:rFonts w:ascii="Times New Roman"/>
                <w:b/>
                <w:sz w:val="18"/>
              </w:rPr>
              <w:t>12.07%</w:t>
            </w:r>
            <w:r>
              <w:rPr>
                <w:rFonts w:ascii="Times New Roman"/>
                <w:sz w:val="18"/>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9"/>
              <w:jc w:val="right"/>
              <w:rPr>
                <w:rFonts w:ascii="Times New Roman" w:hAnsi="Times New Roman" w:cs="Times New Roman" w:eastAsia="Times New Roman" w:hint="default"/>
                <w:sz w:val="18"/>
                <w:szCs w:val="18"/>
              </w:rPr>
            </w:pPr>
            <w:r>
              <w:rPr>
                <w:rFonts w:ascii="Times New Roman"/>
                <w:b/>
                <w:sz w:val="18"/>
              </w:rPr>
              <w:t>69.00%</w:t>
            </w:r>
            <w:r>
              <w:rPr>
                <w:rFonts w:ascii="Times New Roman"/>
                <w:sz w:val="18"/>
              </w:rPr>
            </w:r>
          </w:p>
        </w:tc>
      </w:tr>
      <w:tr>
        <w:trPr>
          <w:trHeight w:val="402"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物联网技术应用</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6"/>
              <w:jc w:val="right"/>
              <w:rPr>
                <w:rFonts w:ascii="Times New Roman" w:hAnsi="Times New Roman" w:cs="Times New Roman" w:eastAsia="Times New Roman" w:hint="default"/>
                <w:sz w:val="18"/>
                <w:szCs w:val="18"/>
              </w:rPr>
            </w:pPr>
            <w:r>
              <w:rPr>
                <w:rFonts w:ascii="Times New Roman"/>
                <w:b/>
                <w:spacing w:val="-1"/>
                <w:sz w:val="18"/>
              </w:rPr>
              <w:t>14,196,356.43</w:t>
            </w:r>
            <w:r>
              <w:rPr>
                <w:rFonts w:ascii="Times New Roman"/>
                <w:spacing w:val="-1"/>
                <w:sz w:val="18"/>
              </w:rPr>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0.70%</w:t>
            </w:r>
            <w:r>
              <w:rPr>
                <w:rFonts w:ascii="Times New Roman"/>
                <w:sz w:val="18"/>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7"/>
              <w:jc w:val="right"/>
              <w:rPr>
                <w:rFonts w:ascii="Times New Roman" w:hAnsi="Times New Roman" w:cs="Times New Roman" w:eastAsia="Times New Roman" w:hint="default"/>
                <w:sz w:val="18"/>
                <w:szCs w:val="18"/>
              </w:rPr>
            </w:pPr>
            <w:r>
              <w:rPr>
                <w:rFonts w:ascii="Times New Roman"/>
                <w:b/>
                <w:spacing w:val="-1"/>
                <w:w w:val="95"/>
                <w:sz w:val="18"/>
              </w:rPr>
              <w:t>4,541,387.11</w:t>
            </w:r>
            <w:r>
              <w:rPr>
                <w:rFonts w:ascii="Times New Roman"/>
                <w:spacing w:val="-1"/>
                <w:w w:val="95"/>
                <w:sz w:val="18"/>
              </w:rPr>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4"/>
              <w:jc w:val="right"/>
              <w:rPr>
                <w:rFonts w:ascii="Times New Roman" w:hAnsi="Times New Roman" w:cs="Times New Roman" w:eastAsia="Times New Roman" w:hint="default"/>
                <w:sz w:val="18"/>
                <w:szCs w:val="18"/>
              </w:rPr>
            </w:pPr>
            <w:r>
              <w:rPr>
                <w:rFonts w:ascii="Times New Roman"/>
                <w:b/>
                <w:sz w:val="18"/>
              </w:rPr>
              <w:t>0.15%</w:t>
            </w:r>
            <w:r>
              <w:rPr>
                <w:rFonts w:ascii="Times New Roman"/>
                <w:sz w:val="18"/>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212.60%</w:t>
            </w:r>
            <w:r>
              <w:rPr>
                <w:rFonts w:ascii="Times New Roman"/>
                <w:sz w:val="18"/>
              </w:rPr>
            </w:r>
          </w:p>
        </w:tc>
      </w:tr>
      <w:tr>
        <w:trPr>
          <w:trHeight w:val="402" w:hRule="exact"/>
        </w:trPr>
        <w:tc>
          <w:tcPr>
            <w:tcW w:w="2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创新孵化业务</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6"/>
              <w:jc w:val="right"/>
              <w:rPr>
                <w:rFonts w:ascii="Times New Roman" w:hAnsi="Times New Roman" w:cs="Times New Roman" w:eastAsia="Times New Roman" w:hint="default"/>
                <w:sz w:val="18"/>
                <w:szCs w:val="18"/>
              </w:rPr>
            </w:pPr>
            <w:r>
              <w:rPr>
                <w:rFonts w:ascii="Times New Roman"/>
                <w:b/>
                <w:spacing w:val="-1"/>
                <w:sz w:val="18"/>
              </w:rPr>
              <w:t>173,473,106.60</w:t>
            </w:r>
            <w:r>
              <w:rPr>
                <w:rFonts w:ascii="Times New Roman"/>
                <w:spacing w:val="-1"/>
                <w:sz w:val="18"/>
              </w:rPr>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8.56%</w:t>
            </w:r>
            <w:r>
              <w:rPr>
                <w:rFonts w:ascii="Times New Roman"/>
                <w:sz w:val="18"/>
              </w:rPr>
            </w:r>
          </w:p>
        </w:tc>
        <w:tc>
          <w:tcPr>
            <w:tcW w:w="14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7"/>
              <w:jc w:val="right"/>
              <w:rPr>
                <w:rFonts w:ascii="Times New Roman" w:hAnsi="Times New Roman" w:cs="Times New Roman" w:eastAsia="Times New Roman" w:hint="default"/>
                <w:sz w:val="18"/>
                <w:szCs w:val="18"/>
              </w:rPr>
            </w:pPr>
            <w:r>
              <w:rPr>
                <w:rFonts w:ascii="Times New Roman"/>
                <w:b/>
                <w:spacing w:val="-1"/>
                <w:sz w:val="18"/>
              </w:rPr>
              <w:t>171,039,723.59</w:t>
            </w:r>
            <w:r>
              <w:rPr>
                <w:rFonts w:ascii="Times New Roman"/>
                <w:spacing w:val="-1"/>
                <w:sz w:val="18"/>
              </w:rPr>
            </w:r>
          </w:p>
        </w:tc>
        <w:tc>
          <w:tcPr>
            <w:tcW w:w="1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4"/>
              <w:jc w:val="right"/>
              <w:rPr>
                <w:rFonts w:ascii="Times New Roman" w:hAnsi="Times New Roman" w:cs="Times New Roman" w:eastAsia="Times New Roman" w:hint="default"/>
                <w:sz w:val="18"/>
                <w:szCs w:val="18"/>
              </w:rPr>
            </w:pPr>
            <w:r>
              <w:rPr>
                <w:rFonts w:ascii="Times New Roman"/>
                <w:b/>
                <w:sz w:val="18"/>
              </w:rPr>
              <w:t>5.82%</w:t>
            </w:r>
            <w:r>
              <w:rPr>
                <w:rFonts w:ascii="Times New Roman"/>
                <w:sz w:val="18"/>
              </w:rPr>
            </w:r>
          </w:p>
        </w:tc>
        <w:tc>
          <w:tcPr>
            <w:tcW w:w="16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1.42%</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2127"/>
        <w:gridCol w:w="1417"/>
        <w:gridCol w:w="1419"/>
        <w:gridCol w:w="1416"/>
        <w:gridCol w:w="1594"/>
        <w:gridCol w:w="1595"/>
      </w:tblGrid>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其他业务收入</w:t>
            </w:r>
            <w:r>
              <w:rPr>
                <w:rFonts w:ascii="宋体" w:hAnsi="宋体" w:cs="宋体" w:eastAsia="宋体" w:hint="default"/>
                <w:sz w:val="18"/>
                <w:szCs w:val="18"/>
              </w:rPr>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31,407,455.16</w:t>
            </w:r>
            <w:r>
              <w:rPr>
                <w:rFonts w:ascii="Times New Roman"/>
                <w:spacing w:val="-1"/>
                <w:sz w:val="18"/>
              </w:rPr>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1.55%</w:t>
            </w:r>
            <w:r>
              <w:rPr>
                <w:rFonts w:ascii="Times New Roman"/>
                <w:sz w:val="18"/>
              </w:rPr>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36,325,984.66</w:t>
            </w:r>
            <w:r>
              <w:rPr>
                <w:rFonts w:ascii="Times New Roman"/>
                <w:spacing w:val="-1"/>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1.24%</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-13.54%</w:t>
            </w:r>
            <w:r>
              <w:rPr>
                <w:rFonts w:ascii="Times New Roman"/>
                <w:sz w:val="18"/>
              </w:rPr>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软件产品开发与销售</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2"/>
                <w:sz w:val="18"/>
              </w:rPr>
              <w:t>202,449,111.63</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9.99%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215,294,770.66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-5.97%</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1,380,202,851.15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68.11%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1,166,098,348.69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39.71%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18.36%</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412,439,282.22</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20.35%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1,518,862,826.54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51.72%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-72.85%</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31,407,455.16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36,325,984.66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-13.54%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大陆地区</w:t>
            </w:r>
            <w:r>
              <w:rPr>
                <w:rFonts w:ascii="Times New Roman" w:hAnsi="Times New Roman" w:cs="Times New Roman" w:eastAsia="Times New Roman" w:hint="default"/>
                <w:sz w:val="18"/>
                <w:szCs w:val="18"/>
              </w:rPr>
              <w:t>-</w:t>
            </w:r>
            <w:r>
              <w:rPr>
                <w:rFonts w:ascii="宋体" w:hAnsi="宋体" w:cs="宋体" w:eastAsia="宋体" w:hint="default"/>
                <w:sz w:val="18"/>
                <w:szCs w:val="18"/>
              </w:rPr>
              <w:t>主营业务收入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1,496,494,983.65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73.85%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2,562,652,090.00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87.26%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-41.60%</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大陆地区</w:t>
            </w:r>
            <w:r>
              <w:rPr>
                <w:rFonts w:ascii="Times New Roman" w:hAnsi="Times New Roman" w:cs="Times New Roman" w:eastAsia="Times New Roman" w:hint="default"/>
                <w:sz w:val="18"/>
                <w:szCs w:val="18"/>
              </w:rPr>
              <w:t>-</w:t>
            </w:r>
            <w:r>
              <w:rPr>
                <w:rFonts w:ascii="宋体" w:hAnsi="宋体" w:cs="宋体" w:eastAsia="宋体" w:hint="default"/>
                <w:sz w:val="18"/>
                <w:szCs w:val="18"/>
              </w:rPr>
              <w:t>其他业务收入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31,407,455.16</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1.55%</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36,325,984.66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-13.54%</w:t>
            </w:r>
          </w:p>
        </w:tc>
      </w:tr>
      <w:tr>
        <w:trPr>
          <w:trHeight w:val="402"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海外地区</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498,596,261.35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24.60%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337,603,855.89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11.50%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47.69%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占公司营业收入或营业利润10%以上的行业、产品或地区情况" w:id="29"/>
      <w:bookmarkEnd w:id="29"/>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7"/>
        <w:rPr>
          <w:rFonts w:ascii="宋体" w:hAnsi="宋体" w:cs="宋体" w:eastAsia="宋体" w:hint="default"/>
          <w:b/>
          <w:bCs/>
          <w:sz w:val="32"/>
          <w:szCs w:val="32"/>
        </w:rPr>
      </w:pPr>
    </w:p>
    <w:p>
      <w:pPr>
        <w:pStyle w:val="BodyText"/>
        <w:spacing w:line="504" w:lineRule="auto"/>
        <w:ind w:left="1134" w:right="7692"/>
        <w:jc w:val="left"/>
        <w:rPr>
          <w:rFonts w:ascii="宋体" w:hAnsi="宋体" w:cs="宋体" w:eastAsia="宋体" w:hint="default"/>
        </w:rPr>
      </w:pPr>
      <w:r>
        <w:rPr>
          <w:rFonts w:ascii="Times New Roman" w:hAnsi="Times New Roman" w:cs="Times New Roman" w:eastAsia="Times New Roman" w:hint="default"/>
          <w:b/>
          <w:bCs/>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不适用 公司是否需要遵守特殊行业的披露要求 </w:t>
      </w:r>
      <w:r>
        <w:rPr>
          <w:rFonts w:ascii="宋体" w:hAnsi="宋体" w:cs="宋体" w:eastAsia="宋体" w:hint="default"/>
          <w:b/>
          <w:bCs/>
        </w:rPr>
        <w:t>是</w:t>
      </w:r>
      <w:r>
        <w:rPr>
          <w:rFonts w:ascii="宋体" w:hAnsi="宋体" w:cs="宋体" w:eastAsia="宋体" w:hint="default"/>
        </w:rPr>
      </w:r>
    </w:p>
    <w:p>
      <w:pPr>
        <w:pStyle w:val="Heading4"/>
        <w:spacing w:line="240" w:lineRule="auto" w:before="74"/>
        <w:ind w:left="1134" w:right="0"/>
        <w:jc w:val="left"/>
        <w:rPr>
          <w:b w:val="0"/>
          <w:bCs w:val="0"/>
        </w:rPr>
      </w:pPr>
      <w:r>
        <w:rPr/>
        <w:t>互联网游戏业</w:t>
      </w:r>
      <w:r>
        <w:rPr>
          <w:b w:val="0"/>
          <w:bCs w:val="0"/>
        </w:rPr>
      </w:r>
    </w:p>
    <w:p>
      <w:pPr>
        <w:spacing w:line="240" w:lineRule="auto" w:before="7"/>
        <w:rPr>
          <w:rFonts w:ascii="宋体" w:hAnsi="宋体" w:cs="宋体" w:eastAsia="宋体" w:hint="default"/>
          <w:b/>
          <w:bCs/>
          <w:sz w:val="11"/>
          <w:szCs w:val="11"/>
        </w:rPr>
      </w:pPr>
    </w:p>
    <w:p>
      <w:pPr>
        <w:pStyle w:val="BodyText"/>
        <w:spacing w:line="240" w:lineRule="auto" w:before="44"/>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60"/>
        <w:gridCol w:w="1374"/>
        <w:gridCol w:w="1366"/>
        <w:gridCol w:w="1367"/>
        <w:gridCol w:w="1367"/>
        <w:gridCol w:w="1367"/>
        <w:gridCol w:w="1372"/>
      </w:tblGrid>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ICT</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运营管理</w:t>
            </w:r>
            <w:r>
              <w:rPr>
                <w:rFonts w:ascii="宋体" w:hAnsi="宋体" w:cs="宋体" w:eastAsia="宋体" w:hint="default"/>
                <w:sz w:val="18"/>
                <w:szCs w:val="18"/>
              </w:rPr>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18"/>
                <w:szCs w:val="18"/>
              </w:rPr>
            </w:pPr>
            <w:r>
              <w:rPr>
                <w:rFonts w:ascii="Times New Roman"/>
                <w:b/>
                <w:spacing w:val="-1"/>
                <w:sz w:val="18"/>
              </w:rPr>
              <w:t>1,208,540,730.86</w:t>
            </w:r>
            <w:r>
              <w:rPr>
                <w:rFonts w:ascii="Times New Roman"/>
                <w:spacing w:val="-1"/>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504,890,160.63</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58.22%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-49.01%</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-67.74%</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24.25%</w:t>
            </w:r>
            <w:r>
              <w:rPr>
                <w:rFonts w:ascii="Times New Roman"/>
                <w:sz w:val="18"/>
              </w:rPr>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其中：运维管理 解决方案</w:t>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672,662,786.24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115,294,062.08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82.86%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1.52%</w:t>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375,015,380.67</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332,382,618.49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-73.71%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-75.52%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6.58%</w:t>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移动互联网运营</w:t>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160,862,563.95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57,213,480.06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-32.27%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-6.11%</w:t>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游戏</w:t>
            </w:r>
            <w:r>
              <w:rPr>
                <w:rFonts w:ascii="宋体" w:hAnsi="宋体" w:cs="宋体" w:eastAsia="宋体" w:hint="default"/>
                <w:sz w:val="18"/>
                <w:szCs w:val="18"/>
              </w:rPr>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598,881,051.11</w:t>
            </w:r>
            <w:r>
              <w:rPr>
                <w:rFonts w:ascii="Times New Roman"/>
                <w:spacing w:val="-1"/>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49,153,672.69</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91.79%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69.00%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-34.61%</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13.00%</w:t>
            </w:r>
            <w:r>
              <w:rPr>
                <w:rFonts w:ascii="Times New Roman"/>
                <w:sz w:val="18"/>
              </w:rPr>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物联网技术应用</w:t>
            </w:r>
            <w:r>
              <w:rPr>
                <w:rFonts w:ascii="宋体" w:hAnsi="宋体" w:cs="宋体" w:eastAsia="宋体" w:hint="default"/>
                <w:sz w:val="18"/>
                <w:szCs w:val="18"/>
              </w:rPr>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14,196,356.43</w:t>
            </w:r>
            <w:r>
              <w:rPr>
                <w:rFonts w:ascii="Times New Roman"/>
                <w:spacing w:val="-1"/>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4,374,358.18</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69.19%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212.60%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109.77%</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pacing w:val="-2"/>
                <w:sz w:val="18"/>
              </w:rPr>
              <w:t>15.11%</w:t>
            </w:r>
            <w:r>
              <w:rPr>
                <w:rFonts w:ascii="Times New Roman"/>
                <w:spacing w:val="-2"/>
                <w:sz w:val="18"/>
              </w:rPr>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创新孵化业务</w:t>
            </w:r>
            <w:r>
              <w:rPr>
                <w:rFonts w:ascii="宋体" w:hAnsi="宋体" w:cs="宋体" w:eastAsia="宋体" w:hint="default"/>
                <w:sz w:val="18"/>
                <w:szCs w:val="18"/>
              </w:rPr>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173,473,106.60</w:t>
            </w:r>
            <w:r>
              <w:rPr>
                <w:rFonts w:ascii="Times New Roman"/>
                <w:spacing w:val="-1"/>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59,209,412.93</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65.87%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1.42%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-10.64%</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4.61%</w:t>
            </w:r>
            <w:r>
              <w:rPr>
                <w:rFonts w:ascii="Times New Roman"/>
                <w:sz w:val="18"/>
              </w:rPr>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其他业务收入</w:t>
            </w:r>
            <w:r>
              <w:rPr>
                <w:rFonts w:ascii="宋体" w:hAnsi="宋体" w:cs="宋体" w:eastAsia="宋体" w:hint="default"/>
                <w:sz w:val="18"/>
                <w:szCs w:val="18"/>
              </w:rPr>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31,407,455.16</w:t>
            </w:r>
            <w:r>
              <w:rPr>
                <w:rFonts w:ascii="Times New Roman"/>
                <w:spacing w:val="-1"/>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4,882,429.22</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84.45%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-13.54%</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4.33%</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-2.67%</w:t>
            </w:r>
            <w:r>
              <w:rPr>
                <w:rFonts w:ascii="Times New Roman"/>
                <w:sz w:val="18"/>
              </w:rPr>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18"/>
                <w:szCs w:val="18"/>
              </w:rPr>
            </w:pPr>
            <w:r>
              <w:rPr>
                <w:rFonts w:ascii="Times New Roman"/>
                <w:b/>
                <w:spacing w:val="-1"/>
                <w:sz w:val="18"/>
              </w:rPr>
              <w:t>2,026,498,700.16</w:t>
            </w:r>
            <w:r>
              <w:rPr>
                <w:rFonts w:ascii="Times New Roman"/>
                <w:spacing w:val="-1"/>
                <w:sz w:val="18"/>
              </w:rPr>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622,510,033.65</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69.28%</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-30.99%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-63.67%</w:t>
            </w:r>
            <w:r>
              <w:rPr>
                <w:rFonts w:ascii="Times New Roman"/>
                <w:sz w:val="18"/>
              </w:rPr>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27.62%</w:t>
            </w:r>
            <w:r>
              <w:rPr>
                <w:rFonts w:ascii="Times New Roman"/>
                <w:sz w:val="18"/>
              </w:rPr>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软件产品开发与 销售</w:t>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202,449,111.63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60,892,125.85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69.92%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24.20%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-7.31%</w:t>
            </w:r>
          </w:p>
        </w:tc>
      </w:tr>
      <w:tr>
        <w:trPr>
          <w:trHeight w:val="40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技术服务</w:t>
            </w:r>
          </w:p>
        </w:tc>
        <w:tc>
          <w:tcPr>
            <w:tcW w:w="137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1,380,202,851.15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194,061,504.16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-14.37%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5.38%</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1356"/>
        <w:gridCol w:w="1378"/>
        <w:gridCol w:w="1366"/>
        <w:gridCol w:w="1367"/>
        <w:gridCol w:w="1367"/>
        <w:gridCol w:w="1367"/>
        <w:gridCol w:w="1372"/>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412,439,282.22</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362,673,974.42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-74.69%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31,407,455.16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4,882,429.22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-2.67%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2,026,498,700.16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622,510,033.65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-63.67%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27.62%</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82"/>
              <w:jc w:val="left"/>
              <w:rPr>
                <w:rFonts w:ascii="宋体" w:hAnsi="宋体" w:cs="宋体" w:eastAsia="宋体" w:hint="default"/>
                <w:sz w:val="18"/>
                <w:szCs w:val="18"/>
              </w:rPr>
            </w:pPr>
            <w:r>
              <w:rPr>
                <w:rFonts w:ascii="宋体" w:hAnsi="宋体" w:cs="宋体" w:eastAsia="宋体" w:hint="default"/>
                <w:sz w:val="18"/>
                <w:szCs w:val="18"/>
              </w:rPr>
              <w:t>大陆地区</w:t>
            </w:r>
            <w:r>
              <w:rPr>
                <w:rFonts w:ascii="Times New Roman" w:hAnsi="Times New Roman" w:cs="Times New Roman" w:eastAsia="Times New Roman" w:hint="default"/>
                <w:sz w:val="18"/>
                <w:szCs w:val="18"/>
              </w:rPr>
              <w:t>-</w:t>
            </w:r>
            <w:r>
              <w:rPr>
                <w:rFonts w:ascii="宋体" w:hAnsi="宋体" w:cs="宋体" w:eastAsia="宋体" w:hint="default"/>
                <w:sz w:val="18"/>
                <w:szCs w:val="18"/>
              </w:rPr>
              <w:t>主营 业务收入</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1,496,494,983.65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565,239,308.53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62.23%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-41.60%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-65.62%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26.38%</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82"/>
              <w:jc w:val="left"/>
              <w:rPr>
                <w:rFonts w:ascii="宋体" w:hAnsi="宋体" w:cs="宋体" w:eastAsia="宋体" w:hint="default"/>
                <w:sz w:val="18"/>
                <w:szCs w:val="18"/>
              </w:rPr>
            </w:pPr>
            <w:r>
              <w:rPr>
                <w:rFonts w:ascii="宋体" w:hAnsi="宋体" w:cs="宋体" w:eastAsia="宋体" w:hint="default"/>
                <w:sz w:val="18"/>
                <w:szCs w:val="18"/>
              </w:rPr>
              <w:t>大陆地区</w:t>
            </w:r>
            <w:r>
              <w:rPr>
                <w:rFonts w:ascii="Times New Roman" w:hAnsi="Times New Roman" w:cs="Times New Roman" w:eastAsia="Times New Roman" w:hint="default"/>
                <w:sz w:val="18"/>
                <w:szCs w:val="18"/>
              </w:rPr>
              <w:t>-</w:t>
            </w:r>
            <w:r>
              <w:rPr>
                <w:rFonts w:ascii="宋体" w:hAnsi="宋体" w:cs="宋体" w:eastAsia="宋体" w:hint="default"/>
                <w:sz w:val="18"/>
                <w:szCs w:val="18"/>
              </w:rPr>
              <w:t>其他 业务收入</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31,407,455.16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4,882,429.22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84.45%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4.33%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-2.67%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海外地区</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498,596,261.35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52,388,295.90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89.49%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47.69%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-19.07%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8.66%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2,026,498,700.16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622,510,033.65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-63.67%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27.62%</w:t>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 </w:t>
      </w:r>
      <w:r>
        <w:rPr/>
        <w:t>年按报告期末口径调整后的主营业务数据</w:t>
      </w:r>
    </w:p>
    <w:p>
      <w:pPr>
        <w:spacing w:line="240" w:lineRule="auto" w:before="11"/>
        <w:rPr>
          <w:rFonts w:ascii="宋体" w:hAnsi="宋体" w:cs="宋体" w:eastAsia="宋体" w:hint="default"/>
          <w:sz w:val="19"/>
          <w:szCs w:val="19"/>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3）公司实物销售收入是否大于劳务收入" w:id="30"/>
      <w:bookmarkEnd w:id="30"/>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33" w:right="0"/>
        <w:jc w:val="left"/>
        <w:rPr>
          <w:b w:val="0"/>
          <w:bCs w:val="0"/>
        </w:rPr>
      </w:pPr>
      <w:bookmarkStart w:name="（4）公司已签订的重大销售合同截至本报告期的履行情况" w:id="31"/>
      <w:bookmarkEnd w:id="31"/>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9"/>
        <w:rPr>
          <w:rFonts w:ascii="宋体" w:hAnsi="宋体" w:cs="宋体" w:eastAsia="宋体" w:hint="default"/>
          <w:b/>
          <w:bCs/>
          <w:sz w:val="32"/>
          <w:szCs w:val="32"/>
        </w:rPr>
      </w:pPr>
    </w:p>
    <w:p>
      <w:pPr>
        <w:spacing w:line="489" w:lineRule="auto" w:before="0"/>
        <w:ind w:left="1133" w:right="928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是</w:t>
      </w:r>
      <w:r>
        <w:rPr>
          <w:rFonts w:ascii="宋体" w:hAnsi="宋体" w:cs="宋体" w:eastAsia="宋体" w:hint="default"/>
          <w:sz w:val="18"/>
          <w:szCs w:val="18"/>
        </w:rPr>
      </w:r>
    </w:p>
    <w:p>
      <w:pPr>
        <w:pStyle w:val="Heading4"/>
        <w:spacing w:line="240" w:lineRule="auto" w:before="86"/>
        <w:ind w:left="1133" w:right="0"/>
        <w:jc w:val="left"/>
        <w:rPr>
          <w:b w:val="0"/>
          <w:bCs w:val="0"/>
        </w:rPr>
      </w:pPr>
      <w:r>
        <w:rPr/>
        <w:t>互联网游戏业</w:t>
      </w:r>
      <w:r>
        <w:rPr>
          <w:b w:val="0"/>
          <w:bCs w:val="0"/>
        </w:rPr>
      </w:r>
    </w:p>
    <w:p>
      <w:pPr>
        <w:spacing w:line="240" w:lineRule="auto" w:before="9"/>
        <w:rPr>
          <w:rFonts w:ascii="宋体" w:hAnsi="宋体" w:cs="宋体" w:eastAsia="宋体" w:hint="default"/>
          <w:b/>
          <w:bCs/>
          <w:sz w:val="20"/>
          <w:szCs w:val="20"/>
        </w:rPr>
      </w:pPr>
    </w:p>
    <w:p>
      <w:pPr>
        <w:pStyle w:val="BodyText"/>
        <w:spacing w:line="451" w:lineRule="auto"/>
        <w:ind w:right="1131" w:firstLine="360"/>
        <w:jc w:val="both"/>
      </w:pPr>
      <w:r>
        <w:rPr>
          <w:spacing w:val="-1"/>
        </w:rPr>
        <w:t>截至报告期末，公司及控股子公司已签约尚未结转收入的合同余额约为</w:t>
      </w:r>
      <w:r>
        <w:rPr>
          <w:rFonts w:ascii="Times New Roman" w:hAnsi="Times New Roman" w:cs="Times New Roman" w:eastAsia="Times New Roman" w:hint="default"/>
          <w:spacing w:val="-1"/>
        </w:rPr>
        <w:t>7.11</w:t>
      </w:r>
      <w:r>
        <w:rPr>
          <w:spacing w:val="-1"/>
        </w:rPr>
        <w:t>亿元，较年初已签约尚未结转收入余额下降</w:t>
      </w:r>
      <w:r>
        <w:rPr/>
        <w:t> 了</w:t>
      </w:r>
      <w:r>
        <w:rPr>
          <w:rFonts w:ascii="Times New Roman" w:hAnsi="Times New Roman" w:cs="Times New Roman" w:eastAsia="Times New Roman" w:hint="default"/>
        </w:rPr>
        <w:t>2.55</w:t>
      </w:r>
      <w:r>
        <w:rPr/>
        <w:t>亿元，下降比例为</w:t>
      </w:r>
      <w:r>
        <w:rPr>
          <w:rFonts w:ascii="Times New Roman" w:hAnsi="Times New Roman" w:cs="Times New Roman" w:eastAsia="Times New Roman" w:hint="default"/>
        </w:rPr>
        <w:t>26.40%</w:t>
      </w:r>
      <w:r>
        <w:rPr/>
        <w:t>。本期合同额下降主要系</w:t>
      </w:r>
      <w:r>
        <w:rPr>
          <w:rFonts w:ascii="Times New Roman" w:hAnsi="Times New Roman" w:cs="Times New Roman" w:eastAsia="Times New Roman" w:hint="default"/>
        </w:rPr>
        <w:t>ICT</w:t>
      </w:r>
      <w:r>
        <w:rPr/>
        <w:t>运营管理下的系统集成业务收缩所致，系统集成业务期末已签 约尚未结转收入的合同余额较年初下降了</w:t>
      </w:r>
      <w:r>
        <w:rPr>
          <w:rFonts w:ascii="Times New Roman" w:hAnsi="Times New Roman" w:cs="Times New Roman" w:eastAsia="Times New Roman" w:hint="default"/>
        </w:rPr>
        <w:t>3.77</w:t>
      </w:r>
      <w:r>
        <w:rPr/>
        <w:t>亿元，其他业务期末已签约尚未结转收入的合同余额较年初增长</w:t>
      </w:r>
      <w:r>
        <w:rPr>
          <w:rFonts w:ascii="Times New Roman" w:hAnsi="Times New Roman" w:cs="Times New Roman" w:eastAsia="Times New Roman" w:hint="default"/>
        </w:rPr>
        <w:t>1.22</w:t>
      </w:r>
      <w:r>
        <w:rPr/>
        <w:t>亿元。</w:t>
      </w:r>
    </w:p>
    <w:p>
      <w:pPr>
        <w:spacing w:line="240" w:lineRule="auto" w:before="6"/>
        <w:rPr>
          <w:rFonts w:ascii="宋体" w:hAnsi="宋体" w:cs="宋体" w:eastAsia="宋体" w:hint="default"/>
          <w:sz w:val="18"/>
          <w:szCs w:val="18"/>
        </w:rPr>
      </w:pPr>
    </w:p>
    <w:p>
      <w:pPr>
        <w:pStyle w:val="Heading3"/>
        <w:spacing w:line="240" w:lineRule="auto"/>
        <w:ind w:right="0"/>
        <w:jc w:val="left"/>
        <w:rPr>
          <w:b w:val="0"/>
          <w:bCs w:val="0"/>
        </w:rPr>
      </w:pPr>
      <w:bookmarkStart w:name="（5）营业成本构成" w:id="32"/>
      <w:bookmarkEnd w:id="32"/>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3"/>
        <w:rPr>
          <w:rFonts w:ascii="宋体" w:hAnsi="宋体" w:cs="宋体" w:eastAsia="宋体" w:hint="default"/>
          <w:b/>
          <w:bCs/>
          <w:sz w:val="23"/>
          <w:szCs w:val="23"/>
        </w:rPr>
      </w:pPr>
    </w:p>
    <w:p>
      <w:pPr>
        <w:pStyle w:val="Heading4"/>
        <w:spacing w:line="240" w:lineRule="auto" w:before="44"/>
        <w:ind w:left="1134" w:right="0"/>
        <w:jc w:val="left"/>
        <w:rPr>
          <w:b w:val="0"/>
          <w:bCs w:val="0"/>
        </w:rPr>
      </w:pPr>
      <w:r>
        <w:rPr/>
        <w:t>行业分类</w:t>
      </w:r>
      <w:r>
        <w:rPr>
          <w:b w:val="0"/>
          <w:bCs w:val="0"/>
        </w:rPr>
      </w:r>
    </w:p>
    <w:p>
      <w:pPr>
        <w:pStyle w:val="BodyText"/>
        <w:spacing w:line="240" w:lineRule="auto" w:before="116"/>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370" w:type="dxa"/>
            <w:vMerge/>
            <w:tcBorders>
              <w:left w:val="single" w:sz="4" w:space="0" w:color="000000"/>
              <w:bottom w:val="single" w:sz="4" w:space="0" w:color="000000"/>
              <w:right w:val="single" w:sz="4" w:space="0" w:color="000000"/>
            </w:tcBorders>
            <w:shd w:val="clear" w:color="auto" w:fill="D9D9D9"/>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ICT</w:t>
            </w:r>
            <w:r>
              <w:rPr>
                <w:rFonts w:ascii="Times New Roman" w:hAnsi="Times New Roman" w:cs="Times New Roman" w:eastAsia="Times New Roman" w:hint="default"/>
                <w:b/>
                <w:bCs/>
                <w:spacing w:val="-1"/>
                <w:sz w:val="18"/>
                <w:szCs w:val="18"/>
              </w:rPr>
              <w:t> </w:t>
            </w:r>
            <w:r>
              <w:rPr>
                <w:rFonts w:ascii="宋体" w:hAnsi="宋体" w:cs="宋体" w:eastAsia="宋体" w:hint="default"/>
                <w:b/>
                <w:bCs/>
                <w:sz w:val="18"/>
                <w:szCs w:val="18"/>
              </w:rPr>
              <w:t>运营管理</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0"/>
              <w:jc w:val="right"/>
              <w:rPr>
                <w:rFonts w:ascii="Times New Roman" w:hAnsi="Times New Roman" w:cs="Times New Roman" w:eastAsia="Times New Roman" w:hint="default"/>
                <w:sz w:val="18"/>
                <w:szCs w:val="18"/>
              </w:rPr>
            </w:pPr>
            <w:r>
              <w:rPr>
                <w:rFonts w:ascii="Times New Roman"/>
                <w:b/>
                <w:spacing w:val="-1"/>
                <w:sz w:val="18"/>
              </w:rPr>
              <w:t>504,890,160.63</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9"/>
              <w:jc w:val="right"/>
              <w:rPr>
                <w:rFonts w:ascii="Times New Roman" w:hAnsi="Times New Roman" w:cs="Times New Roman" w:eastAsia="Times New Roman" w:hint="default"/>
                <w:sz w:val="18"/>
                <w:szCs w:val="18"/>
              </w:rPr>
            </w:pPr>
            <w:r>
              <w:rPr>
                <w:rFonts w:ascii="Times New Roman"/>
                <w:b/>
                <w:spacing w:val="-2"/>
                <w:sz w:val="18"/>
              </w:rPr>
              <w:t>81.11%</w:t>
            </w:r>
            <w:r>
              <w:rPr>
                <w:rFonts w:ascii="Times New Roman"/>
                <w:spacing w:val="-2"/>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1"/>
              <w:jc w:val="right"/>
              <w:rPr>
                <w:rFonts w:ascii="Times New Roman" w:hAnsi="Times New Roman" w:cs="Times New Roman" w:eastAsia="Times New Roman" w:hint="default"/>
                <w:sz w:val="18"/>
                <w:szCs w:val="18"/>
              </w:rPr>
            </w:pPr>
            <w:r>
              <w:rPr>
                <w:rFonts w:ascii="Times New Roman"/>
                <w:b/>
                <w:spacing w:val="-1"/>
                <w:sz w:val="18"/>
              </w:rPr>
              <w:t>1,565,141,448.54</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9"/>
              <w:jc w:val="right"/>
              <w:rPr>
                <w:rFonts w:ascii="Times New Roman" w:hAnsi="Times New Roman" w:cs="Times New Roman" w:eastAsia="Times New Roman" w:hint="default"/>
                <w:sz w:val="18"/>
                <w:szCs w:val="18"/>
              </w:rPr>
            </w:pPr>
            <w:r>
              <w:rPr>
                <w:rFonts w:ascii="Times New Roman"/>
                <w:b/>
                <w:sz w:val="18"/>
              </w:rPr>
              <w:t>91.35%</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9"/>
              <w:jc w:val="right"/>
              <w:rPr>
                <w:rFonts w:ascii="Times New Roman" w:hAnsi="Times New Roman" w:cs="Times New Roman" w:eastAsia="Times New Roman" w:hint="default"/>
                <w:sz w:val="18"/>
                <w:szCs w:val="18"/>
              </w:rPr>
            </w:pPr>
            <w:r>
              <w:rPr>
                <w:rFonts w:ascii="Times New Roman"/>
                <w:b/>
                <w:sz w:val="18"/>
              </w:rPr>
              <w:t>-67.74%</w:t>
            </w:r>
            <w:r>
              <w:rPr>
                <w:rFonts w:ascii="Times New Roman"/>
                <w:sz w:val="18"/>
              </w:rPr>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75"/>
              <w:jc w:val="left"/>
              <w:rPr>
                <w:rFonts w:ascii="宋体" w:hAnsi="宋体" w:cs="宋体" w:eastAsia="宋体" w:hint="default"/>
                <w:sz w:val="18"/>
                <w:szCs w:val="18"/>
              </w:rPr>
            </w:pPr>
            <w:r>
              <w:rPr>
                <w:rFonts w:ascii="宋体" w:hAnsi="宋体" w:cs="宋体" w:eastAsia="宋体" w:hint="default"/>
                <w:sz w:val="18"/>
                <w:szCs w:val="18"/>
              </w:rPr>
              <w:t>其中：运维管理 解决方案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成本主要为外购 软硬件及服务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115,294,062.08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122,645,925.91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-5.99%</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成本主要为外购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332,382,618.49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1,358,023,712.24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-75.52%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362"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软硬件</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移动互联网运营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成本主要为外购 软硬件、服务、 流量</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57,213,480.06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9.19%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84,471,810.39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-32.27%</w:t>
            </w:r>
          </w:p>
        </w:tc>
      </w:tr>
      <w:tr>
        <w:trPr>
          <w:trHeight w:val="1026"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b/>
                <w:bCs/>
                <w:sz w:val="18"/>
                <w:szCs w:val="18"/>
              </w:rPr>
              <w:t>游戏</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9"/>
              <w:jc w:val="both"/>
              <w:rPr>
                <w:rFonts w:ascii="宋体" w:hAnsi="宋体" w:cs="宋体" w:eastAsia="宋体" w:hint="default"/>
                <w:sz w:val="18"/>
                <w:szCs w:val="18"/>
              </w:rPr>
            </w:pPr>
            <w:r>
              <w:rPr>
                <w:rFonts w:ascii="宋体" w:hAnsi="宋体" w:cs="宋体" w:eastAsia="宋体" w:hint="default"/>
                <w:b/>
                <w:bCs/>
                <w:sz w:val="18"/>
                <w:szCs w:val="18"/>
              </w:rPr>
              <w:t>成本主要为版权</w:t>
            </w:r>
            <w:r>
              <w:rPr>
                <w:rFonts w:ascii="宋体" w:hAnsi="宋体" w:cs="宋体" w:eastAsia="宋体" w:hint="default"/>
                <w:b/>
                <w:bCs/>
                <w:w w:val="99"/>
                <w:sz w:val="18"/>
                <w:szCs w:val="18"/>
              </w:rPr>
              <w:t> </w:t>
            </w:r>
            <w:r>
              <w:rPr>
                <w:rFonts w:ascii="宋体" w:hAnsi="宋体" w:cs="宋体" w:eastAsia="宋体" w:hint="default"/>
                <w:b/>
                <w:bCs/>
                <w:sz w:val="18"/>
                <w:szCs w:val="18"/>
              </w:rPr>
              <w:t>金摊销、人工及</w:t>
            </w:r>
            <w:r>
              <w:rPr>
                <w:rFonts w:ascii="宋体" w:hAnsi="宋体" w:cs="宋体" w:eastAsia="宋体" w:hint="default"/>
                <w:b/>
                <w:bCs/>
                <w:w w:val="99"/>
                <w:sz w:val="18"/>
                <w:szCs w:val="18"/>
              </w:rPr>
              <w:t> </w:t>
            </w:r>
            <w:r>
              <w:rPr>
                <w:rFonts w:ascii="宋体" w:hAnsi="宋体" w:cs="宋体" w:eastAsia="宋体" w:hint="default"/>
                <w:b/>
                <w:bCs/>
                <w:sz w:val="18"/>
                <w:szCs w:val="18"/>
              </w:rPr>
              <w:t>租赁服务器</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49,153,672.69</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7.90%</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75,166,898.46</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4.39%</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-34.61%</w:t>
            </w:r>
            <w:r>
              <w:rPr>
                <w:rFonts w:ascii="Times New Roman"/>
                <w:sz w:val="18"/>
              </w:rPr>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b/>
                <w:bCs/>
                <w:sz w:val="18"/>
                <w:szCs w:val="18"/>
              </w:rPr>
              <w:t>物联网技术应用</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9"/>
              <w:jc w:val="left"/>
              <w:rPr>
                <w:rFonts w:ascii="宋体" w:hAnsi="宋体" w:cs="宋体" w:eastAsia="宋体" w:hint="default"/>
                <w:sz w:val="18"/>
                <w:szCs w:val="18"/>
              </w:rPr>
            </w:pPr>
            <w:r>
              <w:rPr>
                <w:rFonts w:ascii="宋体" w:hAnsi="宋体" w:cs="宋体" w:eastAsia="宋体" w:hint="default"/>
                <w:b/>
                <w:bCs/>
                <w:sz w:val="18"/>
                <w:szCs w:val="18"/>
              </w:rPr>
              <w:t>成本主要为外购</w:t>
            </w:r>
            <w:r>
              <w:rPr>
                <w:rFonts w:ascii="宋体" w:hAnsi="宋体" w:cs="宋体" w:eastAsia="宋体" w:hint="default"/>
                <w:b/>
                <w:bCs/>
                <w:w w:val="99"/>
                <w:sz w:val="18"/>
                <w:szCs w:val="18"/>
              </w:rPr>
              <w:t> </w:t>
            </w:r>
            <w:r>
              <w:rPr>
                <w:rFonts w:ascii="宋体" w:hAnsi="宋体" w:cs="宋体" w:eastAsia="宋体" w:hint="default"/>
                <w:b/>
                <w:bCs/>
                <w:sz w:val="18"/>
                <w:szCs w:val="18"/>
              </w:rPr>
              <w:t>原材料</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4,374,358.18</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0.70%</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2,085,345.45</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0.12%</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109.77%</w:t>
            </w:r>
            <w:r>
              <w:rPr>
                <w:rFonts w:ascii="Times New Roman"/>
                <w:sz w:val="18"/>
              </w:rPr>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b/>
                <w:bCs/>
                <w:sz w:val="18"/>
                <w:szCs w:val="18"/>
              </w:rPr>
              <w:t>创新孵化业务</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9"/>
              <w:jc w:val="left"/>
              <w:rPr>
                <w:rFonts w:ascii="宋体" w:hAnsi="宋体" w:cs="宋体" w:eastAsia="宋体" w:hint="default"/>
                <w:sz w:val="18"/>
                <w:szCs w:val="18"/>
              </w:rPr>
            </w:pPr>
            <w:r>
              <w:rPr>
                <w:rFonts w:ascii="宋体" w:hAnsi="宋体" w:cs="宋体" w:eastAsia="宋体" w:hint="default"/>
                <w:b/>
                <w:bCs/>
                <w:sz w:val="18"/>
                <w:szCs w:val="18"/>
              </w:rPr>
              <w:t>成本主要为外购</w:t>
            </w:r>
            <w:r>
              <w:rPr>
                <w:rFonts w:ascii="宋体" w:hAnsi="宋体" w:cs="宋体" w:eastAsia="宋体" w:hint="default"/>
                <w:b/>
                <w:bCs/>
                <w:w w:val="99"/>
                <w:sz w:val="18"/>
                <w:szCs w:val="18"/>
              </w:rPr>
              <w:t> </w:t>
            </w:r>
            <w:r>
              <w:rPr>
                <w:rFonts w:ascii="宋体" w:hAnsi="宋体" w:cs="宋体" w:eastAsia="宋体" w:hint="default"/>
                <w:b/>
                <w:bCs/>
                <w:sz w:val="18"/>
                <w:szCs w:val="18"/>
              </w:rPr>
              <w:t>软硬件及服务</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59,209,412.93</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9.51%</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66,257,596.71</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3.87%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-10.64%</w:t>
            </w:r>
            <w:r>
              <w:rPr>
                <w:rFonts w:ascii="Times New Roman"/>
                <w:sz w:val="18"/>
              </w:rPr>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b/>
                <w:bCs/>
                <w:sz w:val="18"/>
                <w:szCs w:val="18"/>
              </w:rPr>
              <w:t>其他业务收入</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9"/>
              <w:jc w:val="left"/>
              <w:rPr>
                <w:rFonts w:ascii="宋体" w:hAnsi="宋体" w:cs="宋体" w:eastAsia="宋体" w:hint="default"/>
                <w:sz w:val="18"/>
                <w:szCs w:val="18"/>
              </w:rPr>
            </w:pPr>
            <w:r>
              <w:rPr>
                <w:rFonts w:ascii="宋体" w:hAnsi="宋体" w:cs="宋体" w:eastAsia="宋体" w:hint="default"/>
                <w:b/>
                <w:bCs/>
                <w:sz w:val="18"/>
                <w:szCs w:val="18"/>
              </w:rPr>
              <w:t>成本主要为投资</w:t>
            </w:r>
            <w:r>
              <w:rPr>
                <w:rFonts w:ascii="宋体" w:hAnsi="宋体" w:cs="宋体" w:eastAsia="宋体" w:hint="default"/>
                <w:b/>
                <w:bCs/>
                <w:w w:val="99"/>
                <w:sz w:val="18"/>
                <w:szCs w:val="18"/>
              </w:rPr>
              <w:t> </w:t>
            </w:r>
            <w:r>
              <w:rPr>
                <w:rFonts w:ascii="宋体" w:hAnsi="宋体" w:cs="宋体" w:eastAsia="宋体" w:hint="default"/>
                <w:b/>
                <w:bCs/>
                <w:sz w:val="18"/>
                <w:szCs w:val="18"/>
              </w:rPr>
              <w:t>性房地产折旧</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4,882,429.22</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0.78%</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b/>
                <w:spacing w:val="-1"/>
                <w:sz w:val="18"/>
              </w:rPr>
              <w:t>4,679,723.43</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0.27%</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b/>
                <w:sz w:val="18"/>
              </w:rPr>
              <w:t>4.33%</w:t>
            </w:r>
            <w:r>
              <w:rPr>
                <w:rFonts w:ascii="Times New Roman"/>
                <w:sz w:val="18"/>
              </w:rPr>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b/>
                <w:spacing w:val="-1"/>
                <w:sz w:val="18"/>
              </w:rPr>
              <w:t>622,510,033.65</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1,713,331,012.59</w:t>
            </w:r>
            <w:r>
              <w:rPr>
                <w:rFonts w:ascii="Times New Roman"/>
                <w:spacing w:val="-1"/>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100.00%</w:t>
            </w:r>
            <w:r>
              <w:rPr>
                <w:rFonts w:ascii="Times New Roman"/>
                <w:sz w:val="18"/>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9"/>
              <w:jc w:val="right"/>
              <w:rPr>
                <w:rFonts w:ascii="Times New Roman" w:hAnsi="Times New Roman" w:cs="Times New Roman" w:eastAsia="Times New Roman" w:hint="default"/>
                <w:sz w:val="18"/>
                <w:szCs w:val="18"/>
              </w:rPr>
            </w:pPr>
            <w:r>
              <w:rPr>
                <w:rFonts w:ascii="Times New Roman"/>
                <w:b/>
                <w:sz w:val="18"/>
              </w:rPr>
              <w:t>-63.67%</w:t>
            </w:r>
            <w:r>
              <w:rPr>
                <w:rFonts w:ascii="Times New Roman"/>
                <w:sz w:val="18"/>
              </w:rPr>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说明</w:t>
      </w:r>
    </w:p>
    <w:p>
      <w:pPr>
        <w:spacing w:line="240" w:lineRule="auto" w:before="10"/>
        <w:rPr>
          <w:rFonts w:ascii="宋体" w:hAnsi="宋体" w:cs="宋体" w:eastAsia="宋体" w:hint="default"/>
          <w:sz w:val="20"/>
          <w:szCs w:val="20"/>
        </w:rPr>
      </w:pPr>
    </w:p>
    <w:p>
      <w:pPr>
        <w:pStyle w:val="BodyText"/>
        <w:spacing w:line="240" w:lineRule="auto"/>
        <w:ind w:left="1134"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ICT</w:t>
      </w:r>
      <w:r>
        <w:rPr/>
        <w:t>运营管理下的系统集成业务本期收入、成本较上期均有所下降，主要系战略调整，系统集成业务收缩所致。</w:t>
      </w:r>
    </w:p>
    <w:p>
      <w:pPr>
        <w:spacing w:line="240" w:lineRule="auto" w:before="9"/>
        <w:rPr>
          <w:rFonts w:ascii="宋体" w:hAnsi="宋体" w:cs="宋体" w:eastAsia="宋体" w:hint="default"/>
          <w:sz w:val="16"/>
          <w:szCs w:val="16"/>
        </w:rPr>
      </w:pPr>
    </w:p>
    <w:p>
      <w:pPr>
        <w:pStyle w:val="BodyText"/>
        <w:spacing w:line="240" w:lineRule="auto"/>
        <w:ind w:right="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ICT</w:t>
      </w:r>
      <w:r>
        <w:rPr/>
        <w:t>运营管理下的移动互联网运营本期收入、成本较上期均有所下降，主要系相关业务签约和项目验收延迟所致。</w:t>
      </w:r>
    </w:p>
    <w:p>
      <w:pPr>
        <w:spacing w:line="240" w:lineRule="auto" w:before="9"/>
        <w:rPr>
          <w:rFonts w:ascii="宋体" w:hAnsi="宋体" w:cs="宋体" w:eastAsia="宋体" w:hint="default"/>
          <w:sz w:val="16"/>
          <w:szCs w:val="16"/>
        </w:rPr>
      </w:pPr>
    </w:p>
    <w:p>
      <w:pPr>
        <w:pStyle w:val="BodyText"/>
        <w:spacing w:line="451" w:lineRule="auto"/>
        <w:ind w:right="1186"/>
        <w:jc w:val="left"/>
      </w:pPr>
      <w:r>
        <w:rPr/>
        <w:t>（</w:t>
      </w:r>
      <w:r>
        <w:rPr>
          <w:rFonts w:ascii="Times New Roman" w:hAnsi="Times New Roman" w:cs="Times New Roman" w:eastAsia="Times New Roman" w:hint="default"/>
        </w:rPr>
        <w:t>3</w:t>
      </w:r>
      <w:r>
        <w:rPr/>
        <w:t>）游戏的本期收入较上期有所增长，主要系《</w:t>
      </w:r>
      <w:r>
        <w:rPr>
          <w:rFonts w:ascii="Times New Roman" w:hAnsi="Times New Roman" w:cs="Times New Roman" w:eastAsia="Times New Roman" w:hint="default"/>
        </w:rPr>
        <w:t>War and</w:t>
      </w:r>
      <w:r>
        <w:rPr>
          <w:rFonts w:ascii="Times New Roman" w:hAnsi="Times New Roman" w:cs="Times New Roman" w:eastAsia="Times New Roman" w:hint="default"/>
          <w:spacing w:val="-2"/>
        </w:rPr>
        <w:t> </w:t>
      </w:r>
      <w:r>
        <w:rPr>
          <w:rFonts w:ascii="Times New Roman" w:hAnsi="Times New Roman" w:cs="Times New Roman" w:eastAsia="Times New Roman" w:hint="default"/>
        </w:rPr>
        <w:t>Order(</w:t>
      </w:r>
      <w:r>
        <w:rPr/>
        <w:t>战火与秩序</w:t>
      </w:r>
      <w:r>
        <w:rPr>
          <w:rFonts w:ascii="Times New Roman" w:hAnsi="Times New Roman" w:cs="Times New Roman" w:eastAsia="Times New Roman" w:hint="default"/>
        </w:rPr>
        <w:t>)</w:t>
      </w:r>
      <w:r>
        <w:rPr/>
        <w:t>》加大推广所致；成本较上期有所下降，主要 系游戏代理发行业务收入下降，分成款下降所致。</w:t>
      </w:r>
    </w:p>
    <w:p>
      <w:pPr>
        <w:pStyle w:val="BodyText"/>
        <w:spacing w:line="240" w:lineRule="auto" w:before="74"/>
        <w:ind w:right="0"/>
        <w:jc w:val="left"/>
      </w:pPr>
      <w:r>
        <w:rPr/>
        <w:t>（</w:t>
      </w:r>
      <w:r>
        <w:rPr>
          <w:rFonts w:ascii="Times New Roman" w:hAnsi="Times New Roman" w:cs="Times New Roman" w:eastAsia="Times New Roman" w:hint="default"/>
        </w:rPr>
        <w:t>4</w:t>
      </w:r>
      <w:r>
        <w:rPr/>
        <w:t>）物联网技术应用的本期收入、成本较上期均有所增长，主要系本期相关自研产品订单逐步落地所致。</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3" w:right="0"/>
        <w:jc w:val="left"/>
        <w:rPr>
          <w:b w:val="0"/>
          <w:bCs w:val="0"/>
        </w:rPr>
      </w:pPr>
      <w:bookmarkStart w:name="（6）报告期内合并范围是否发生变动" w:id="33"/>
      <w:bookmarkEnd w:id="33"/>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7"/>
        <w:rPr>
          <w:rFonts w:ascii="宋体" w:hAnsi="宋体" w:cs="宋体" w:eastAsia="宋体" w:hint="default"/>
          <w:b/>
          <w:bCs/>
          <w:sz w:val="32"/>
          <w:szCs w:val="32"/>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9"/>
        <w:rPr>
          <w:rFonts w:ascii="宋体" w:hAnsi="宋体" w:cs="宋体" w:eastAsia="宋体" w:hint="default"/>
          <w:sz w:val="19"/>
          <w:szCs w:val="19"/>
        </w:rPr>
      </w:pPr>
    </w:p>
    <w:p>
      <w:pPr>
        <w:pStyle w:val="BodyText"/>
        <w:spacing w:line="451" w:lineRule="auto"/>
        <w:ind w:left="1134" w:right="1121"/>
        <w:jc w:val="left"/>
      </w:pPr>
      <w:r>
        <w:rPr>
          <w:spacing w:val="-2"/>
        </w:rPr>
        <w:t>本报告期合并范围的变动主要为新设、处置、清算子公司，具体详见</w:t>
      </w:r>
      <w:r>
        <w:rPr>
          <w:rFonts w:ascii="Times New Roman" w:hAnsi="Times New Roman" w:cs="Times New Roman" w:eastAsia="Times New Roman" w:hint="default"/>
          <w:spacing w:val="-2"/>
        </w:rPr>
        <w:t>“</w:t>
      </w:r>
      <w:r>
        <w:rPr>
          <w:spacing w:val="-2"/>
        </w:rPr>
        <w:t>第五节</w:t>
      </w:r>
      <w:r>
        <w:rPr>
          <w:spacing w:val="29"/>
        </w:rPr>
        <w:t> </w:t>
      </w:r>
      <w:r>
        <w:rPr>
          <w:spacing w:val="-2"/>
        </w:rPr>
        <w:t>七、与上年度财务报告相比，合并报表范围发</w:t>
      </w:r>
      <w:r>
        <w:rPr>
          <w:spacing w:val="-87"/>
        </w:rPr>
        <w:t> </w:t>
      </w:r>
      <w:r>
        <w:rPr>
          <w:spacing w:val="-87"/>
        </w:rPr>
      </w:r>
      <w:r>
        <w:rPr/>
        <w:t>生变化的情况说明</w:t>
      </w:r>
      <w:r>
        <w:rPr>
          <w:rFonts w:ascii="Times New Roman" w:hAnsi="Times New Roman" w:cs="Times New Roman" w:eastAsia="Times New Roman" w:hint="default"/>
        </w:rPr>
        <w:t>”</w:t>
      </w:r>
      <w:r>
        <w:rPr/>
        <w:t>。</w:t>
      </w:r>
    </w:p>
    <w:p>
      <w:pPr>
        <w:spacing w:line="240" w:lineRule="auto" w:before="3"/>
        <w:rPr>
          <w:rFonts w:ascii="宋体" w:hAnsi="宋体" w:cs="宋体" w:eastAsia="宋体" w:hint="default"/>
          <w:sz w:val="18"/>
          <w:szCs w:val="18"/>
        </w:rPr>
      </w:pPr>
    </w:p>
    <w:p>
      <w:pPr>
        <w:pStyle w:val="Heading3"/>
        <w:spacing w:line="240" w:lineRule="auto"/>
        <w:ind w:right="0"/>
        <w:jc w:val="left"/>
        <w:rPr>
          <w:b w:val="0"/>
          <w:bCs w:val="0"/>
        </w:rPr>
      </w:pPr>
      <w:bookmarkStart w:name="（7）公司报告期内业务、产品或服务发生重大变化或调整有关情况" w:id="34"/>
      <w:bookmarkEnd w:id="34"/>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8）主要销售客户和主要供应商情况" w:id="35"/>
      <w:bookmarkEnd w:id="35"/>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32"/>
          <w:szCs w:val="32"/>
        </w:rPr>
      </w:pPr>
    </w:p>
    <w:p>
      <w:pPr>
        <w:pStyle w:val="Heading4"/>
        <w:spacing w:line="240" w:lineRule="auto"/>
        <w:ind w:left="1134" w:right="0"/>
        <w:jc w:val="left"/>
        <w:rPr>
          <w:b w:val="0"/>
          <w:bCs w:val="0"/>
        </w:rPr>
      </w:pPr>
      <w:r>
        <w:rPr/>
        <w:t>公司主要销售客户情况</w:t>
      </w:r>
      <w:r>
        <w:rPr>
          <w:b w:val="0"/>
          <w:bCs w:val="0"/>
        </w:rPr>
      </w:r>
    </w:p>
    <w:p>
      <w:pPr>
        <w:spacing w:line="240" w:lineRule="auto" w:before="12"/>
        <w:rPr>
          <w:rFonts w:ascii="宋体" w:hAnsi="宋体" w:cs="宋体" w:eastAsia="宋体" w:hint="default"/>
          <w:b/>
          <w:bCs/>
          <w:sz w:val="13"/>
          <w:szCs w:val="13"/>
        </w:rPr>
      </w:pPr>
    </w:p>
    <w:tbl>
      <w:tblPr>
        <w:tblW w:w="0" w:type="auto"/>
        <w:jc w:val="left"/>
        <w:tblInd w:w="1129" w:type="dxa"/>
        <w:tblLayout w:type="fixed"/>
        <w:tblCellMar>
          <w:top w:w="0" w:type="dxa"/>
          <w:left w:w="0" w:type="dxa"/>
          <w:bottom w:w="0" w:type="dxa"/>
          <w:right w:w="0" w:type="dxa"/>
        </w:tblCellMar>
        <w:tblLook w:val="01E0"/>
      </w:tblPr>
      <w:tblGrid>
        <w:gridCol w:w="4537"/>
        <w:gridCol w:w="5032"/>
      </w:tblGrid>
      <w:tr>
        <w:trPr>
          <w:trHeight w:val="403"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721,242,124.56</w:t>
            </w:r>
          </w:p>
        </w:tc>
      </w:tr>
      <w:tr>
        <w:trPr>
          <w:trHeight w:val="403"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36.16%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b/>
          <w:bCs/>
          <w:sz w:val="3"/>
          <w:szCs w:val="3"/>
        </w:rPr>
      </w:pPr>
    </w:p>
    <w:tbl>
      <w:tblPr>
        <w:tblW w:w="0" w:type="auto"/>
        <w:jc w:val="left"/>
        <w:tblInd w:w="1129" w:type="dxa"/>
        <w:tblLayout w:type="fixed"/>
        <w:tblCellMar>
          <w:top w:w="0" w:type="dxa"/>
          <w:left w:w="0" w:type="dxa"/>
          <w:bottom w:w="0" w:type="dxa"/>
          <w:right w:w="0" w:type="dxa"/>
        </w:tblCellMar>
        <w:tblLook w:val="01E0"/>
      </w:tblPr>
      <w:tblGrid>
        <w:gridCol w:w="4537"/>
        <w:gridCol w:w="5032"/>
      </w:tblGrid>
      <w:tr>
        <w:trPr>
          <w:trHeight w:val="402" w:hRule="exact"/>
        </w:trPr>
        <w:tc>
          <w:tcPr>
            <w:tcW w:w="45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50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6"/>
        <w:rPr>
          <w:rFonts w:ascii="宋体" w:hAnsi="宋体" w:cs="宋体" w:eastAsia="宋体" w:hint="default"/>
          <w:b/>
          <w:bCs/>
          <w:sz w:val="6"/>
          <w:szCs w:val="6"/>
        </w:rPr>
      </w:pPr>
    </w:p>
    <w:p>
      <w:pPr>
        <w:pStyle w:val="Heading4"/>
        <w:spacing w:line="240" w:lineRule="auto" w:before="44"/>
        <w:ind w:left="1134" w:right="0"/>
        <w:jc w:val="left"/>
        <w:rPr>
          <w:b w:val="0"/>
          <w:bCs w:val="0"/>
        </w:rPr>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大客户资料</w:t>
      </w:r>
      <w:r>
        <w:rPr>
          <w:b w:val="0"/>
          <w:bCs w:val="0"/>
        </w:rPr>
      </w:r>
    </w:p>
    <w:p>
      <w:pPr>
        <w:spacing w:line="240" w:lineRule="auto" w:before="13"/>
        <w:rPr>
          <w:rFonts w:ascii="宋体" w:hAnsi="宋体" w:cs="宋体" w:eastAsia="宋体" w:hint="default"/>
          <w:b/>
          <w:bCs/>
          <w:sz w:val="12"/>
          <w:szCs w:val="12"/>
        </w:rPr>
      </w:pPr>
    </w:p>
    <w:tbl>
      <w:tblPr>
        <w:tblW w:w="0" w:type="auto"/>
        <w:jc w:val="left"/>
        <w:tblInd w:w="1129" w:type="dxa"/>
        <w:tblLayout w:type="fixed"/>
        <w:tblCellMar>
          <w:top w:w="0" w:type="dxa"/>
          <w:left w:w="0" w:type="dxa"/>
          <w:bottom w:w="0" w:type="dxa"/>
          <w:right w:w="0" w:type="dxa"/>
        </w:tblCellMar>
        <w:tblLook w:val="01E0"/>
      </w:tblPr>
      <w:tblGrid>
        <w:gridCol w:w="791"/>
        <w:gridCol w:w="3313"/>
        <w:gridCol w:w="2322"/>
        <w:gridCol w:w="3143"/>
      </w:tblGrid>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1</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316,955,894.72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15.89%</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2</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228,383,798.01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11.45%</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3</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74,283,513.73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3.72%</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4</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65,783,737.44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3.30%</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5</w:t>
            </w:r>
          </w:p>
        </w:tc>
        <w:tc>
          <w:tcPr>
            <w:tcW w:w="331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35,835,180.66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1.80%</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721,242,124.56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36.16%</w:t>
            </w:r>
          </w:p>
        </w:tc>
      </w:tr>
    </w:tbl>
    <w:p>
      <w:pPr>
        <w:spacing w:line="240" w:lineRule="auto" w:before="6"/>
        <w:rPr>
          <w:rFonts w:ascii="宋体" w:hAnsi="宋体" w:cs="宋体" w:eastAsia="宋体" w:hint="default"/>
          <w:b/>
          <w:bCs/>
          <w:sz w:val="6"/>
          <w:szCs w:val="6"/>
        </w:rPr>
      </w:pPr>
    </w:p>
    <w:p>
      <w:pPr>
        <w:pStyle w:val="BodyText"/>
        <w:spacing w:line="240" w:lineRule="auto" w:before="44"/>
        <w:ind w:left="1134" w:right="0"/>
        <w:jc w:val="left"/>
      </w:pPr>
      <w:r>
        <w:rPr/>
        <w:t>主要客户其他情况说明</w:t>
      </w:r>
    </w:p>
    <w:p>
      <w:pPr>
        <w:spacing w:line="240" w:lineRule="auto" w:before="12"/>
        <w:rPr>
          <w:rFonts w:ascii="宋体" w:hAnsi="宋体" w:cs="宋体" w:eastAsia="宋体" w:hint="default"/>
          <w:sz w:val="20"/>
          <w:szCs w:val="20"/>
        </w:rPr>
      </w:pPr>
    </w:p>
    <w:p>
      <w:pPr>
        <w:spacing w:line="489" w:lineRule="auto" w:before="0"/>
        <w:ind w:left="1134" w:right="912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3"/>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公司主要供应商情况</w:t>
      </w:r>
      <w:r>
        <w:rPr>
          <w:rFonts w:ascii="宋体" w:hAnsi="宋体" w:cs="宋体" w:eastAsia="宋体" w:hint="default"/>
          <w:sz w:val="18"/>
          <w:szCs w:val="18"/>
        </w:rPr>
      </w:r>
    </w:p>
    <w:tbl>
      <w:tblPr>
        <w:tblW w:w="0" w:type="auto"/>
        <w:jc w:val="left"/>
        <w:tblInd w:w="1129" w:type="dxa"/>
        <w:tblLayout w:type="fixed"/>
        <w:tblCellMar>
          <w:top w:w="0" w:type="dxa"/>
          <w:left w:w="0" w:type="dxa"/>
          <w:bottom w:w="0" w:type="dxa"/>
          <w:right w:w="0" w:type="dxa"/>
        </w:tblCellMar>
        <w:tblLook w:val="01E0"/>
      </w:tblPr>
      <w:tblGrid>
        <w:gridCol w:w="4821"/>
        <w:gridCol w:w="4748"/>
      </w:tblGrid>
      <w:tr>
        <w:trPr>
          <w:trHeight w:val="40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0"/>
              <w:jc w:val="right"/>
              <w:rPr>
                <w:rFonts w:ascii="Times New Roman" w:hAnsi="Times New Roman" w:cs="Times New Roman" w:eastAsia="Times New Roman" w:hint="default"/>
                <w:sz w:val="18"/>
                <w:szCs w:val="18"/>
              </w:rPr>
            </w:pPr>
            <w:r>
              <w:rPr>
                <w:rFonts w:ascii="Times New Roman"/>
                <w:spacing w:val="-1"/>
                <w:sz w:val="18"/>
              </w:rPr>
              <w:t>215,874,610.27</w:t>
            </w:r>
          </w:p>
        </w:tc>
      </w:tr>
      <w:tr>
        <w:trPr>
          <w:trHeight w:val="40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35.33%</w:t>
            </w:r>
          </w:p>
        </w:tc>
      </w:tr>
      <w:tr>
        <w:trPr>
          <w:trHeight w:val="402" w:hRule="exact"/>
        </w:trPr>
        <w:tc>
          <w:tcPr>
            <w:tcW w:w="48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3"/>
        <w:rPr>
          <w:rFonts w:ascii="宋体" w:hAnsi="宋体" w:cs="宋体" w:eastAsia="宋体" w:hint="default"/>
          <w:b/>
          <w:bCs/>
          <w:sz w:val="6"/>
          <w:szCs w:val="6"/>
        </w:rPr>
      </w:pPr>
    </w:p>
    <w:p>
      <w:pPr>
        <w:pStyle w:val="Heading4"/>
        <w:spacing w:line="240" w:lineRule="auto" w:before="44"/>
        <w:ind w:left="1134" w:right="0"/>
        <w:jc w:val="left"/>
        <w:rPr>
          <w:b w:val="0"/>
          <w:bCs w:val="0"/>
        </w:rPr>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2"/>
        </w:rPr>
        <w:t> </w:t>
      </w:r>
      <w:r>
        <w:rPr/>
        <w:t>名供应商资料</w:t>
      </w:r>
      <w:r>
        <w:rPr>
          <w:b w:val="0"/>
          <w:bCs w:val="0"/>
        </w:rPr>
      </w:r>
    </w:p>
    <w:p>
      <w:pPr>
        <w:spacing w:line="240" w:lineRule="auto" w:before="0"/>
        <w:rPr>
          <w:rFonts w:ascii="宋体" w:hAnsi="宋体" w:cs="宋体" w:eastAsia="宋体" w:hint="default"/>
          <w:b/>
          <w:bCs/>
          <w:sz w:val="13"/>
          <w:szCs w:val="13"/>
        </w:rPr>
      </w:pPr>
    </w:p>
    <w:tbl>
      <w:tblPr>
        <w:tblW w:w="0" w:type="auto"/>
        <w:jc w:val="left"/>
        <w:tblInd w:w="1140" w:type="dxa"/>
        <w:tblLayout w:type="fixed"/>
        <w:tblCellMar>
          <w:top w:w="0" w:type="dxa"/>
          <w:left w:w="0" w:type="dxa"/>
          <w:bottom w:w="0" w:type="dxa"/>
          <w:right w:w="0" w:type="dxa"/>
        </w:tblCellMar>
        <w:tblLook w:val="01E0"/>
      </w:tblPr>
      <w:tblGrid>
        <w:gridCol w:w="912"/>
        <w:gridCol w:w="3180"/>
        <w:gridCol w:w="2322"/>
        <w:gridCol w:w="3143"/>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76,349,389.00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12.50%</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44,347,692.32</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7.26%</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3</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36,981,766.63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6.05%</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31,229,164.68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5.11%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5</w:t>
            </w:r>
          </w:p>
        </w:tc>
        <w:tc>
          <w:tcPr>
            <w:tcW w:w="31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26,966,597.64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4.41%</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8"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215,874,610.27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35.33%</w:t>
            </w:r>
          </w:p>
        </w:tc>
      </w:tr>
    </w:tbl>
    <w:p>
      <w:pPr>
        <w:spacing w:line="240" w:lineRule="auto" w:before="6"/>
        <w:rPr>
          <w:rFonts w:ascii="宋体" w:hAnsi="宋体" w:cs="宋体" w:eastAsia="宋体" w:hint="default"/>
          <w:b/>
          <w:bCs/>
          <w:sz w:val="6"/>
          <w:szCs w:val="6"/>
        </w:rPr>
      </w:pPr>
    </w:p>
    <w:p>
      <w:pPr>
        <w:pStyle w:val="BodyText"/>
        <w:spacing w:line="240" w:lineRule="auto" w:before="44"/>
        <w:ind w:left="1134" w:right="0"/>
        <w:jc w:val="left"/>
      </w:pPr>
      <w:r>
        <w:rPr/>
        <w:t>主要供应商其他情况说明</w:t>
      </w:r>
    </w:p>
    <w:p>
      <w:pPr>
        <w:spacing w:line="240" w:lineRule="auto" w:before="12"/>
        <w:rPr>
          <w:rFonts w:ascii="宋体" w:hAnsi="宋体" w:cs="宋体" w:eastAsia="宋体" w:hint="default"/>
          <w:sz w:val="20"/>
          <w:szCs w:val="20"/>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3、费用" w:id="36"/>
      <w:bookmarkEnd w:id="36"/>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079"/>
        <w:gridCol w:w="1429"/>
        <w:gridCol w:w="1277"/>
        <w:gridCol w:w="991"/>
        <w:gridCol w:w="4781"/>
      </w:tblGrid>
      <w:tr>
        <w:trPr>
          <w:trHeight w:val="402" w:hRule="exact"/>
        </w:trPr>
        <w:tc>
          <w:tcPr>
            <w:tcW w:w="107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47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456,691,665.34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175,401,170.69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160.37%</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主要系公司游戏业务的推广费大幅增加所致。</w:t>
            </w:r>
          </w:p>
        </w:tc>
      </w:tr>
      <w:tr>
        <w:trPr>
          <w:trHeight w:val="402" w:hRule="exact"/>
        </w:trPr>
        <w:tc>
          <w:tcPr>
            <w:tcW w:w="1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745,597,615.35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669,394,532.10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11.38%</w:t>
            </w:r>
          </w:p>
        </w:tc>
        <w:tc>
          <w:tcPr>
            <w:tcW w:w="4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0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68,835,073.74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8,726,708.12</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688.79%</w:t>
            </w: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主要系发行超短融债券和中期票据产生的利息及外汇汇率变</w:t>
            </w:r>
          </w:p>
        </w:tc>
      </w:tr>
    </w:tbl>
    <w:p>
      <w:pPr>
        <w:spacing w:after="0" w:line="240" w:lineRule="auto"/>
        <w:jc w:val="left"/>
        <w:rPr>
          <w:rFonts w:ascii="宋体" w:hAnsi="宋体" w:cs="宋体" w:eastAsia="宋体"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3"/>
          <w:szCs w:val="3"/>
        </w:rPr>
      </w:pPr>
      <w:r>
        <w:rPr/>
        <w:pict>
          <v:shape style="position:absolute;margin-left:460.820007pt;margin-top:414.799988pt;width:78.1pt;height:49.6pt;mso-position-horizontal-relative:page;mso-position-vertical-relative:page;z-index:-119380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13"/>
                      <w:szCs w:val="13"/>
                    </w:rPr>
                  </w:pPr>
                </w:p>
                <w:p>
                  <w:pPr>
                    <w:pStyle w:val="BodyText"/>
                    <w:spacing w:line="240" w:lineRule="auto"/>
                    <w:ind w:left="0" w:right="0"/>
                    <w:jc w:val="left"/>
                  </w:pPr>
                  <w:r>
                    <w:rPr/>
                    <w:t>。</w:t>
                  </w:r>
                </w:p>
              </w:txbxContent>
            </v:textbox>
            <w10:wrap type="none"/>
          </v:shape>
        </w:pict>
      </w:r>
      <w:r>
        <w:rPr/>
        <w:pict>
          <v:shape style="position:absolute;margin-left:460.820007pt;margin-top:705.425598pt;width:77.9pt;height:20.1pt;mso-position-horizontal-relative:page;mso-position-vertical-relative:page;z-index:-1193776" type="#_x0000_t202" filled="false" stroked="false">
            <v:textbox inset="0,0,0,0">
              <w:txbxContent>
                <w:p>
                  <w:pPr>
                    <w:pStyle w:val="BodyText"/>
                    <w:spacing w:line="180" w:lineRule="exact"/>
                    <w:ind w:left="0" w:right="0"/>
                    <w:jc w:val="left"/>
                  </w:pPr>
                  <w:r>
                    <w:rPr/>
                    <w:t>，</w:t>
                  </w:r>
                </w:p>
              </w:txbxContent>
            </v:textbox>
            <w10:wrap type="none"/>
          </v:shape>
        </w:pict>
      </w:r>
    </w:p>
    <w:tbl>
      <w:tblPr>
        <w:tblW w:w="0" w:type="auto"/>
        <w:jc w:val="left"/>
        <w:tblInd w:w="1129" w:type="dxa"/>
        <w:tblLayout w:type="fixed"/>
        <w:tblCellMar>
          <w:top w:w="0" w:type="dxa"/>
          <w:left w:w="0" w:type="dxa"/>
          <w:bottom w:w="0" w:type="dxa"/>
          <w:right w:w="0" w:type="dxa"/>
        </w:tblCellMar>
        <w:tblLook w:val="01E0"/>
      </w:tblPr>
      <w:tblGrid>
        <w:gridCol w:w="1101"/>
        <w:gridCol w:w="1418"/>
        <w:gridCol w:w="1277"/>
        <w:gridCol w:w="991"/>
        <w:gridCol w:w="4781"/>
      </w:tblGrid>
      <w:tr>
        <w:trPr>
          <w:trHeight w:val="362" w:hRule="exact"/>
        </w:trPr>
        <w:tc>
          <w:tcPr>
            <w:tcW w:w="110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4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动产生的汇兑损失所致。</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研发投入" w:id="37"/>
      <w:bookmarkEnd w:id="37"/>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pStyle w:val="BodyText"/>
        <w:spacing w:line="412" w:lineRule="auto"/>
        <w:ind w:left="1493" w:right="1118" w:hanging="360"/>
        <w:jc w:val="left"/>
      </w:pPr>
      <w:r>
        <w:rPr>
          <w:rFonts w:ascii="Times New Roman" w:hAnsi="Times New Roman" w:cs="Times New Roman" w:eastAsia="Times New Roman" w:hint="default"/>
          <w:b/>
          <w:bCs/>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不适用 </w:t>
      </w:r>
      <w:r>
        <w:rPr>
          <w:spacing w:val="-2"/>
        </w:rPr>
        <w:t>持续的自主创新能力是市场竞争力的核心要素，公司自成立以来一直高度重视研发投入力度，近几年研发投入一直都保</w:t>
      </w:r>
    </w:p>
    <w:p>
      <w:pPr>
        <w:pStyle w:val="BodyText"/>
        <w:spacing w:line="477" w:lineRule="auto" w:before="103"/>
        <w:ind w:left="1493" w:right="0" w:hanging="360"/>
        <w:jc w:val="left"/>
      </w:pPr>
      <w:r>
        <w:rPr/>
        <w:t>持在一定规模，持续的研发投入为公司巩固和进一步提高技术竞争优势提供了有力的物质保障。 </w:t>
      </w:r>
      <w:r>
        <w:rPr>
          <w:spacing w:val="-2"/>
        </w:rPr>
        <w:t>报告期内，公司持续加强运维管理和融合通信业务线的产品开发，提升性能与功能；进一步推进新游戏产品的开发；同</w:t>
      </w:r>
    </w:p>
    <w:p>
      <w:pPr>
        <w:pStyle w:val="BodyText"/>
        <w:spacing w:line="477" w:lineRule="auto" w:before="54"/>
        <w:ind w:right="1133"/>
        <w:jc w:val="both"/>
      </w:pPr>
      <w:r>
        <w:rPr>
          <w:spacing w:val="-2"/>
        </w:rPr>
        <w:t>时结合公司战略调整，重点加强物联网和人工智能技术的研发工作。在物联网领域，公司与中国广核集团签署了有关通信与</w:t>
      </w:r>
      <w:r>
        <w:rPr>
          <w:spacing w:val="-66"/>
        </w:rPr>
        <w:t> </w:t>
      </w:r>
      <w:r>
        <w:rPr>
          <w:spacing w:val="-66"/>
        </w:rPr>
      </w:r>
      <w:r>
        <w:rPr>
          <w:spacing w:val="-2"/>
        </w:rPr>
        <w:t>物联网的战略合作协议，合作成立通信与物联网应用实验室；在人工智能领域，公司与北京师范大学中文信息处理研究所正</w:t>
      </w:r>
      <w:r>
        <w:rPr>
          <w:spacing w:val="-66"/>
        </w:rPr>
        <w:t> </w:t>
      </w:r>
      <w:r>
        <w:rPr>
          <w:spacing w:val="-66"/>
        </w:rPr>
      </w:r>
      <w:r>
        <w:rPr/>
        <w:t>式签署协议，共同建立人工智能联合实验室。</w:t>
      </w:r>
    </w:p>
    <w:p>
      <w:pPr>
        <w:pStyle w:val="Heading4"/>
        <w:spacing w:line="240" w:lineRule="auto" w:before="54"/>
        <w:ind w:right="0"/>
        <w:jc w:val="left"/>
        <w:rPr>
          <w:b w:val="0"/>
          <w:bCs w:val="0"/>
        </w:rPr>
      </w:pPr>
      <w:r>
        <w:rPr/>
        <w:t>下表列示了公司报告期内的资本化研发项目明细：</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9"/>
          <w:szCs w:val="19"/>
        </w:rPr>
      </w:pPr>
    </w:p>
    <w:p>
      <w:pPr>
        <w:spacing w:line="992" w:lineRule="exact"/>
        <w:ind w:left="9316" w:right="0" w:firstLine="0"/>
        <w:rPr>
          <w:rFonts w:ascii="宋体" w:hAnsi="宋体" w:cs="宋体" w:eastAsia="宋体" w:hint="default"/>
          <w:sz w:val="20"/>
          <w:szCs w:val="20"/>
        </w:rPr>
      </w:pPr>
      <w:r>
        <w:rPr>
          <w:rFonts w:ascii="宋体" w:hAnsi="宋体" w:cs="宋体" w:eastAsia="宋体" w:hint="default"/>
          <w:position w:val="-19"/>
          <w:sz w:val="20"/>
          <w:szCs w:val="20"/>
        </w:rPr>
        <w:pict>
          <v:group style="width:73.4pt;height:49.65pt;mso-position-horizontal-relative:char;mso-position-vertical-relative:line" coordorigin="0,0" coordsize="1468,993">
            <v:group style="position:absolute;left:7;top:1;width:1456;height:992" coordorigin="7,1" coordsize="1456,992">
              <v:shape style="position:absolute;left:7;top:1;width:1456;height:992" coordorigin="7,1" coordsize="1456,992" path="m7,993l1462,993,1462,1,7,1,7,993xe" filled="true" fillcolor="#ffffff" stroked="false">
                <v:path arrowok="t"/>
                <v:fill type="solid"/>
              </v:shape>
            </v:group>
            <v:group style="position:absolute;left:5;top:5;width:1457;height:2" coordorigin="5,5" coordsize="1457,2">
              <v:shape style="position:absolute;left:5;top:5;width:1457;height:2" coordorigin="5,5" coordsize="1457,0" path="m5,5l1462,5e" filled="false" stroked="true" strokeweight=".54pt" strokecolor="#ffffff">
                <v:path arrowok="t"/>
              </v:shape>
            </v:group>
          </v:group>
        </w:pict>
      </w:r>
      <w:r>
        <w:rPr>
          <w:rFonts w:ascii="宋体" w:hAnsi="宋体" w:cs="宋体" w:eastAsia="宋体" w:hint="default"/>
          <w:position w:val="-19"/>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8"/>
          <w:szCs w:val="28"/>
        </w:rPr>
      </w:pPr>
    </w:p>
    <w:p>
      <w:pPr>
        <w:pStyle w:val="BodyText"/>
        <w:spacing w:line="240" w:lineRule="auto" w:before="44"/>
        <w:ind w:left="630" w:right="1040"/>
        <w:jc w:val="right"/>
      </w:pPr>
      <w:r>
        <w:rPr/>
        <w:pict>
          <v:shape style="position:absolute;margin-left:55.98pt;margin-top:-269.758301pt;width:483.7pt;height:447.8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86"/>
                    <w:gridCol w:w="1861"/>
                    <w:gridCol w:w="664"/>
                    <w:gridCol w:w="4581"/>
                    <w:gridCol w:w="1466"/>
                  </w:tblGrid>
                  <w:tr>
                    <w:trPr>
                      <w:trHeight w:val="653"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357"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861"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385" w:right="0"/>
                          <w:jc w:val="left"/>
                          <w:rPr>
                            <w:rFonts w:ascii="宋体" w:hAnsi="宋体" w:cs="宋体" w:eastAsia="宋体" w:hint="default"/>
                            <w:sz w:val="18"/>
                            <w:szCs w:val="18"/>
                          </w:rPr>
                        </w:pPr>
                        <w:r>
                          <w:rPr>
                            <w:rFonts w:ascii="宋体" w:hAnsi="宋体" w:cs="宋体" w:eastAsia="宋体" w:hint="default"/>
                            <w:sz w:val="18"/>
                            <w:szCs w:val="18"/>
                          </w:rPr>
                          <w:t>拟达到的目标</w:t>
                        </w:r>
                      </w:p>
                    </w:tc>
                    <w:tc>
                      <w:tcPr>
                        <w:tcW w:w="664"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6" w:lineRule="auto" w:before="20"/>
                          <w:ind w:left="237" w:right="54" w:hanging="180"/>
                          <w:jc w:val="left"/>
                          <w:rPr>
                            <w:rFonts w:ascii="宋体" w:hAnsi="宋体" w:cs="宋体" w:eastAsia="宋体" w:hint="default"/>
                            <w:sz w:val="18"/>
                            <w:szCs w:val="18"/>
                          </w:rPr>
                        </w:pPr>
                        <w:r>
                          <w:rPr>
                            <w:rFonts w:ascii="宋体" w:hAnsi="宋体" w:cs="宋体" w:eastAsia="宋体" w:hint="default"/>
                            <w:sz w:val="18"/>
                            <w:szCs w:val="18"/>
                          </w:rPr>
                          <w:t>项目进 展</w:t>
                        </w:r>
                      </w:p>
                    </w:tc>
                    <w:tc>
                      <w:tcPr>
                        <w:tcW w:w="4581"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研发项目的目的</w:t>
                        </w:r>
                      </w:p>
                    </w:tc>
                    <w:tc>
                      <w:tcPr>
                        <w:tcW w:w="1466"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6" w:lineRule="auto" w:before="20"/>
                          <w:ind w:left="548" w:right="6" w:hanging="540"/>
                          <w:jc w:val="left"/>
                          <w:rPr>
                            <w:rFonts w:ascii="宋体" w:hAnsi="宋体" w:cs="宋体" w:eastAsia="宋体" w:hint="default"/>
                            <w:sz w:val="18"/>
                            <w:szCs w:val="18"/>
                          </w:rPr>
                        </w:pPr>
                        <w:r>
                          <w:rPr>
                            <w:rFonts w:ascii="宋体" w:hAnsi="宋体" w:cs="宋体" w:eastAsia="宋体" w:hint="default"/>
                            <w:sz w:val="18"/>
                            <w:szCs w:val="18"/>
                          </w:rPr>
                          <w:t>对公司生产经营的 影响</w:t>
                        </w:r>
                      </w:p>
                    </w:tc>
                  </w:tr>
                  <w:tr>
                    <w:trPr>
                      <w:trHeight w:val="1278"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 w:right="171"/>
                          <w:jc w:val="both"/>
                          <w:rPr>
                            <w:rFonts w:ascii="宋体" w:hAnsi="宋体" w:cs="宋体" w:eastAsia="宋体" w:hint="default"/>
                            <w:sz w:val="18"/>
                            <w:szCs w:val="18"/>
                          </w:rPr>
                        </w:pPr>
                        <w:r>
                          <w:rPr>
                            <w:rFonts w:ascii="宋体" w:hAnsi="宋体" w:cs="宋体" w:eastAsia="宋体" w:hint="default"/>
                            <w:sz w:val="18"/>
                            <w:szCs w:val="18"/>
                          </w:rPr>
                          <w:t>基于深度学 习的语义认 知平台</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 w:right="44"/>
                          <w:jc w:val="both"/>
                          <w:rPr>
                            <w:rFonts w:ascii="宋体" w:hAnsi="宋体" w:cs="宋体" w:eastAsia="宋体" w:hint="default"/>
                            <w:sz w:val="18"/>
                            <w:szCs w:val="18"/>
                          </w:rPr>
                        </w:pPr>
                        <w:r>
                          <w:rPr>
                            <w:rFonts w:ascii="宋体" w:hAnsi="宋体" w:cs="宋体" w:eastAsia="宋体" w:hint="default"/>
                            <w:sz w:val="18"/>
                            <w:szCs w:val="18"/>
                          </w:rPr>
                          <w:t>基于自然语义分析为用 户提供业务参考数据的 平台。</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 w:right="7"/>
                          <w:jc w:val="both"/>
                          <w:rPr>
                            <w:rFonts w:ascii="宋体" w:hAnsi="宋体" w:cs="宋体" w:eastAsia="宋体" w:hint="default"/>
                            <w:sz w:val="18"/>
                            <w:szCs w:val="18"/>
                          </w:rPr>
                        </w:pPr>
                        <w:r>
                          <w:rPr>
                            <w:rFonts w:ascii="宋体" w:hAnsi="宋体" w:cs="宋体" w:eastAsia="宋体" w:hint="default"/>
                            <w:spacing w:val="2"/>
                            <w:sz w:val="18"/>
                            <w:szCs w:val="18"/>
                          </w:rPr>
                          <w:t>本平台是企业实施大数据战略的强大利器，能够提高大数</w:t>
                        </w:r>
                        <w:r>
                          <w:rPr>
                            <w:rFonts w:ascii="宋体" w:hAnsi="宋体" w:cs="宋体" w:eastAsia="宋体" w:hint="default"/>
                            <w:sz w:val="18"/>
                            <w:szCs w:val="18"/>
                          </w:rPr>
                          <w:t> </w:t>
                        </w:r>
                        <w:r>
                          <w:rPr>
                            <w:rFonts w:ascii="宋体" w:hAnsi="宋体" w:cs="宋体" w:eastAsia="宋体" w:hint="default"/>
                            <w:spacing w:val="2"/>
                            <w:sz w:val="18"/>
                            <w:szCs w:val="18"/>
                          </w:rPr>
                          <w:t>据系统准确率和数据收集效率。为企业提供高效准确的大</w:t>
                        </w:r>
                        <w:r>
                          <w:rPr>
                            <w:rFonts w:ascii="宋体" w:hAnsi="宋体" w:cs="宋体" w:eastAsia="宋体" w:hint="default"/>
                            <w:sz w:val="18"/>
                            <w:szCs w:val="18"/>
                          </w:rPr>
                          <w:t> 数据分析引擎系统支持能力。</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 w:right="3"/>
                          <w:jc w:val="both"/>
                          <w:rPr>
                            <w:rFonts w:ascii="宋体" w:hAnsi="宋体" w:cs="宋体" w:eastAsia="宋体" w:hint="default"/>
                            <w:sz w:val="18"/>
                            <w:szCs w:val="18"/>
                          </w:rPr>
                        </w:pPr>
                        <w:r>
                          <w:rPr>
                            <w:rFonts w:ascii="宋体" w:hAnsi="宋体" w:cs="宋体" w:eastAsia="宋体" w:hint="default"/>
                            <w:sz w:val="18"/>
                            <w:szCs w:val="18"/>
                          </w:rPr>
                          <w:t>提升公司在人工智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能领域的核心技术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能力，助力公司相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关业务发展。</w:t>
                        </w:r>
                      </w:p>
                    </w:tc>
                  </w:tr>
                  <w:tr>
                    <w:trPr>
                      <w:trHeight w:val="966"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5"/>
                            <w:szCs w:val="25"/>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智慧芯</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建立一个能够解决物联 网系统的公网接入问题 的系统。</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9"/>
                            <w:sz w:val="18"/>
                            <w:szCs w:val="18"/>
                          </w:rPr>
                          <w:t>智慧芯模块设计为针对物联网领域的公网接入的适配模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块，可配合综合平台系统完成数据传输、告警、定位数据</w:t>
                        </w:r>
                        <w:r>
                          <w:rPr>
                            <w:rFonts w:ascii="宋体" w:hAnsi="宋体" w:cs="宋体" w:eastAsia="宋体" w:hint="default"/>
                            <w:sz w:val="18"/>
                            <w:szCs w:val="18"/>
                          </w:rPr>
                          <w:t> 上报、设备管理、资源调度、用户管理、计费等系统功能</w:t>
                        </w:r>
                      </w:p>
                    </w:tc>
                    <w:tc>
                      <w:tcPr>
                        <w:tcW w:w="14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316" w:lineRule="auto"/>
                          <w:ind w:left="5" w:right="3"/>
                          <w:jc w:val="left"/>
                          <w:rPr>
                            <w:rFonts w:ascii="宋体" w:hAnsi="宋体" w:cs="宋体" w:eastAsia="宋体" w:hint="default"/>
                            <w:sz w:val="18"/>
                            <w:szCs w:val="18"/>
                          </w:rPr>
                        </w:pPr>
                        <w:r>
                          <w:rPr>
                            <w:rFonts w:ascii="宋体" w:hAnsi="宋体" w:cs="宋体" w:eastAsia="宋体" w:hint="default"/>
                            <w:sz w:val="18"/>
                            <w:szCs w:val="18"/>
                          </w:rPr>
                          <w:t>丰富公司在物联网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技术应用方向的产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1"/>
                            <w:sz w:val="18"/>
                            <w:szCs w:val="18"/>
                          </w:rPr>
                          <w:t>品，完善产品功能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为该领域的业务打</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下坚实的基础。</w:t>
                        </w:r>
                      </w:p>
                      <w:p>
                        <w:pPr>
                          <w:pStyle w:val="TableParagraph"/>
                          <w:spacing w:line="240" w:lineRule="auto" w:before="64"/>
                          <w:ind w:left="-106"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1278"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4" w:right="171"/>
                          <w:jc w:val="left"/>
                          <w:rPr>
                            <w:rFonts w:ascii="宋体" w:hAnsi="宋体" w:cs="宋体" w:eastAsia="宋体" w:hint="default"/>
                            <w:sz w:val="18"/>
                            <w:szCs w:val="18"/>
                          </w:rPr>
                        </w:pPr>
                        <w:r>
                          <w:rPr>
                            <w:rFonts w:ascii="宋体" w:hAnsi="宋体" w:cs="宋体" w:eastAsia="宋体" w:hint="default"/>
                            <w:sz w:val="18"/>
                            <w:szCs w:val="18"/>
                          </w:rPr>
                          <w:t>智慧墙入侵 检测系统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00" w:lineRule="auto"/>
                          <w:ind w:left="4" w:right="65"/>
                          <w:jc w:val="left"/>
                          <w:rPr>
                            <w:rFonts w:ascii="宋体" w:hAnsi="宋体" w:cs="宋体" w:eastAsia="宋体" w:hint="default"/>
                            <w:sz w:val="18"/>
                            <w:szCs w:val="18"/>
                          </w:rPr>
                        </w:pPr>
                        <w:r>
                          <w:rPr>
                            <w:rFonts w:ascii="宋体" w:hAnsi="宋体" w:cs="宋体" w:eastAsia="宋体" w:hint="default"/>
                            <w:sz w:val="18"/>
                            <w:szCs w:val="18"/>
                          </w:rPr>
                          <w:t>建立一个</w:t>
                        </w:r>
                        <w:r>
                          <w:rPr>
                            <w:rFonts w:ascii="Times New Roman" w:hAnsi="Times New Roman" w:cs="Times New Roman" w:eastAsia="Times New Roman" w:hint="default"/>
                            <w:sz w:val="18"/>
                            <w:szCs w:val="18"/>
                          </w:rPr>
                          <w:t>“</w:t>
                        </w:r>
                        <w:r>
                          <w:rPr>
                            <w:rFonts w:ascii="宋体" w:hAnsi="宋体" w:cs="宋体" w:eastAsia="宋体" w:hint="default"/>
                            <w:sz w:val="18"/>
                            <w:szCs w:val="18"/>
                          </w:rPr>
                          <w:t>大周界</w:t>
                        </w:r>
                        <w:r>
                          <w:rPr>
                            <w:rFonts w:ascii="Times New Roman" w:hAnsi="Times New Roman" w:cs="Times New Roman" w:eastAsia="Times New Roman" w:hint="default"/>
                            <w:sz w:val="18"/>
                            <w:szCs w:val="18"/>
                          </w:rPr>
                          <w:t>”</w:t>
                        </w:r>
                        <w:r>
                          <w:rPr>
                            <w:rFonts w:ascii="宋体" w:hAnsi="宋体" w:cs="宋体" w:eastAsia="宋体" w:hint="default"/>
                            <w:sz w:val="18"/>
                            <w:szCs w:val="18"/>
                          </w:rPr>
                          <w:t>智慧 墙入侵探测系统。</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left"/>
                          <w:rPr>
                            <w:rFonts w:ascii="宋体" w:hAnsi="宋体" w:cs="宋体" w:eastAsia="宋体" w:hint="default"/>
                            <w:sz w:val="18"/>
                            <w:szCs w:val="18"/>
                          </w:rPr>
                        </w:pPr>
                        <w:r>
                          <w:rPr>
                            <w:rFonts w:ascii="宋体" w:hAnsi="宋体" w:cs="宋体" w:eastAsia="宋体" w:hint="default"/>
                            <w:spacing w:val="2"/>
                            <w:sz w:val="18"/>
                            <w:szCs w:val="18"/>
                          </w:rPr>
                          <w:t>本项目将通过自适应微波阵列实现全空间、全天候的传感</w:t>
                        </w:r>
                        <w:r>
                          <w:rPr>
                            <w:rFonts w:ascii="宋体" w:hAnsi="宋体" w:cs="宋体" w:eastAsia="宋体" w:hint="default"/>
                            <w:sz w:val="18"/>
                            <w:szCs w:val="18"/>
                          </w:rPr>
                          <w:t> </w:t>
                        </w:r>
                        <w:r>
                          <w:rPr>
                            <w:rFonts w:ascii="宋体" w:hAnsi="宋体" w:cs="宋体" w:eastAsia="宋体" w:hint="default"/>
                            <w:spacing w:val="2"/>
                            <w:sz w:val="18"/>
                            <w:szCs w:val="18"/>
                          </w:rPr>
                          <w:t>手段，实现准确的入侵探测和入侵定位；同时支持精确定</w:t>
                        </w:r>
                        <w:r>
                          <w:rPr>
                            <w:rFonts w:ascii="宋体" w:hAnsi="宋体" w:cs="宋体" w:eastAsia="宋体" w:hint="default"/>
                            <w:sz w:val="18"/>
                            <w:szCs w:val="18"/>
                          </w:rPr>
                          <w:t> 位、敌我识别、视频联动、灯光警笛联动、支持逻辑防区 施工简单、后期维护成本低等优点的周界入侵探测系统。</w:t>
                        </w:r>
                      </w:p>
                    </w:tc>
                    <w:tc>
                      <w:tcPr>
                        <w:tcW w:w="1466" w:type="dxa"/>
                        <w:vMerge/>
                        <w:tcBorders>
                          <w:left w:val="single" w:sz="4" w:space="0" w:color="000000"/>
                          <w:right w:val="single" w:sz="4" w:space="0" w:color="000000"/>
                        </w:tcBorders>
                      </w:tcPr>
                      <w:p>
                        <w:pPr/>
                      </w:p>
                    </w:tc>
                  </w:tr>
                  <w:tr>
                    <w:trPr>
                      <w:trHeight w:val="1590"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4" w:right="171"/>
                          <w:jc w:val="left"/>
                          <w:rPr>
                            <w:rFonts w:ascii="宋体" w:hAnsi="宋体" w:cs="宋体" w:eastAsia="宋体" w:hint="default"/>
                            <w:sz w:val="18"/>
                            <w:szCs w:val="18"/>
                          </w:rPr>
                        </w:pPr>
                        <w:r>
                          <w:rPr>
                            <w:rFonts w:ascii="宋体" w:hAnsi="宋体" w:cs="宋体" w:eastAsia="宋体" w:hint="default"/>
                            <w:sz w:val="18"/>
                            <w:szCs w:val="18"/>
                          </w:rPr>
                          <w:t>通信安防一 体化系统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建设一套集无线覆盖、 有线传输、电源供电于 一体，能够快速构造一 张覆盖指定区域的无线 通信网络。</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2"/>
                            <w:sz w:val="18"/>
                            <w:szCs w:val="18"/>
                          </w:rPr>
                          <w:t>本项目包含安防、通信、定位三部分，安防实现对综合管</w:t>
                        </w:r>
                        <w:r>
                          <w:rPr>
                            <w:rFonts w:ascii="宋体" w:hAnsi="宋体" w:cs="宋体" w:eastAsia="宋体" w:hint="default"/>
                            <w:sz w:val="18"/>
                            <w:szCs w:val="18"/>
                          </w:rPr>
                          <w:t> </w:t>
                        </w:r>
                        <w:r>
                          <w:rPr>
                            <w:rFonts w:ascii="宋体" w:hAnsi="宋体" w:cs="宋体" w:eastAsia="宋体" w:hint="default"/>
                            <w:spacing w:val="2"/>
                            <w:sz w:val="18"/>
                            <w:szCs w:val="18"/>
                          </w:rPr>
                          <w:t>廊全域内人员的全程监控，将实时视频信息和电子巡查信</w:t>
                        </w:r>
                        <w:r>
                          <w:rPr>
                            <w:rFonts w:ascii="宋体" w:hAnsi="宋体" w:cs="宋体" w:eastAsia="宋体" w:hint="default"/>
                            <w:sz w:val="18"/>
                            <w:szCs w:val="18"/>
                          </w:rPr>
                          <w:t> </w:t>
                        </w:r>
                        <w:r>
                          <w:rPr>
                            <w:rFonts w:ascii="宋体" w:hAnsi="宋体" w:cs="宋体" w:eastAsia="宋体" w:hint="default"/>
                            <w:spacing w:val="2"/>
                            <w:sz w:val="18"/>
                            <w:szCs w:val="18"/>
                          </w:rPr>
                          <w:t>息通过多功能基站及时、准确地传输到监控中心，便于值</w:t>
                        </w:r>
                        <w:r>
                          <w:rPr>
                            <w:rFonts w:ascii="宋体" w:hAnsi="宋体" w:cs="宋体" w:eastAsia="宋体" w:hint="default"/>
                            <w:sz w:val="18"/>
                            <w:szCs w:val="18"/>
                          </w:rPr>
                          <w:t> </w:t>
                        </w:r>
                        <w:r>
                          <w:rPr>
                            <w:rFonts w:ascii="宋体" w:hAnsi="宋体" w:cs="宋体" w:eastAsia="宋体" w:hint="default"/>
                            <w:spacing w:val="2"/>
                            <w:sz w:val="18"/>
                            <w:szCs w:val="18"/>
                          </w:rPr>
                          <w:t>班人员及时发现现场问题，排除故障以及对警情的及时处</w:t>
                        </w:r>
                        <w:r>
                          <w:rPr>
                            <w:rFonts w:ascii="宋体" w:hAnsi="宋体" w:cs="宋体" w:eastAsia="宋体" w:hint="default"/>
                            <w:sz w:val="18"/>
                            <w:szCs w:val="18"/>
                          </w:rPr>
                          <w:t> 理，保证管廊正常运行。</w:t>
                        </w:r>
                      </w:p>
                    </w:tc>
                    <w:tc>
                      <w:tcPr>
                        <w:tcW w:w="1466" w:type="dxa"/>
                        <w:vMerge/>
                        <w:tcBorders>
                          <w:left w:val="single" w:sz="4" w:space="0" w:color="000000"/>
                          <w:right w:val="single" w:sz="4" w:space="0" w:color="000000"/>
                        </w:tcBorders>
                      </w:tcPr>
                      <w:p>
                        <w:pPr/>
                      </w:p>
                    </w:tc>
                  </w:tr>
                  <w:tr>
                    <w:trPr>
                      <w:trHeight w:val="1590"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00" w:lineRule="auto"/>
                          <w:ind w:left="4" w:right="60"/>
                          <w:jc w:val="left"/>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宋体" w:hAnsi="宋体" w:cs="宋体" w:eastAsia="宋体" w:hint="default"/>
                            <w:sz w:val="18"/>
                            <w:szCs w:val="18"/>
                          </w:rPr>
                          <w:t>无线 通信系统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4" w:right="44"/>
                          <w:jc w:val="both"/>
                          <w:rPr>
                            <w:rFonts w:ascii="宋体" w:hAnsi="宋体" w:cs="宋体" w:eastAsia="宋体" w:hint="default"/>
                            <w:sz w:val="18"/>
                            <w:szCs w:val="18"/>
                          </w:rPr>
                        </w:pPr>
                        <w:r>
                          <w:rPr>
                            <w:rFonts w:ascii="宋体" w:hAnsi="宋体" w:cs="宋体" w:eastAsia="宋体" w:hint="default"/>
                            <w:sz w:val="18"/>
                            <w:szCs w:val="18"/>
                          </w:rPr>
                          <w:t>面向核电站应用场景， 提供顺应智能核电发展 路线的无线通信系统。</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 w:right="2"/>
                          <w:jc w:val="both"/>
                          <w:rPr>
                            <w:rFonts w:ascii="宋体" w:hAnsi="宋体" w:cs="宋体" w:eastAsia="宋体" w:hint="default"/>
                            <w:sz w:val="18"/>
                            <w:szCs w:val="18"/>
                          </w:rPr>
                        </w:pPr>
                        <w:r>
                          <w:rPr>
                            <w:rFonts w:ascii="宋体" w:hAnsi="宋体" w:cs="宋体" w:eastAsia="宋体" w:hint="default"/>
                            <w:spacing w:val="25"/>
                            <w:sz w:val="18"/>
                            <w:szCs w:val="18"/>
                          </w:rPr>
                          <w:t>正在</w:t>
                        </w:r>
                        <w:r>
                          <w:rPr>
                            <w:rFonts w:ascii="宋体" w:hAnsi="宋体" w:cs="宋体" w:eastAsia="宋体" w:hint="default"/>
                            <w:spacing w:val="-39"/>
                            <w:sz w:val="18"/>
                            <w:szCs w:val="18"/>
                          </w:rPr>
                          <w:t> </w:t>
                        </w:r>
                        <w:r>
                          <w:rPr>
                            <w:rFonts w:ascii="宋体" w:hAnsi="宋体" w:cs="宋体" w:eastAsia="宋体" w:hint="default"/>
                            <w:sz w:val="18"/>
                            <w:szCs w:val="18"/>
                          </w:rPr>
                          <w:t>研</w:t>
                        </w:r>
                        <w:r>
                          <w:rPr>
                            <w:rFonts w:ascii="宋体" w:hAnsi="宋体" w:cs="宋体" w:eastAsia="宋体" w:hint="default"/>
                            <w:sz w:val="18"/>
                            <w:szCs w:val="18"/>
                          </w:rPr>
                          <w:t> </w:t>
                        </w:r>
                        <w:r>
                          <w:rPr>
                            <w:rFonts w:ascii="宋体" w:hAnsi="宋体" w:cs="宋体" w:eastAsia="宋体" w:hint="default"/>
                            <w:spacing w:val="-20"/>
                            <w:sz w:val="18"/>
                            <w:szCs w:val="18"/>
                          </w:rPr>
                          <w:t>发中，预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计</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p>
                        <w:pPr>
                          <w:pStyle w:val="TableParagraph"/>
                          <w:spacing w:line="300" w:lineRule="auto"/>
                          <w:ind w:left="5" w:right="2"/>
                          <w:jc w:val="both"/>
                          <w:rPr>
                            <w:rFonts w:ascii="宋体" w:hAnsi="宋体" w:cs="宋体" w:eastAsia="宋体"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3"/>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4" w:right="8"/>
                          <w:jc w:val="left"/>
                          <w:rPr>
                            <w:rFonts w:ascii="宋体" w:hAnsi="宋体" w:cs="宋体" w:eastAsia="宋体" w:hint="default"/>
                            <w:sz w:val="18"/>
                            <w:szCs w:val="18"/>
                          </w:rPr>
                        </w:pPr>
                        <w:r>
                          <w:rPr>
                            <w:rFonts w:ascii="宋体" w:hAnsi="宋体" w:cs="宋体" w:eastAsia="宋体" w:hint="default"/>
                            <w:spacing w:val="9"/>
                            <w:sz w:val="18"/>
                            <w:szCs w:val="18"/>
                          </w:rPr>
                          <w:t>本项目将会建设一套专门适配核电行业需求的集语音通</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信、精确定位、宽带数据接入、物联网数据接入于一体的</w:t>
                        </w:r>
                        <w:r>
                          <w:rPr>
                            <w:rFonts w:ascii="宋体" w:hAnsi="宋体" w:cs="宋体" w:eastAsia="宋体" w:hint="default"/>
                            <w:sz w:val="18"/>
                            <w:szCs w:val="18"/>
                          </w:rPr>
                          <w:t> 的综合性的</w:t>
                        </w:r>
                        <w:r>
                          <w:rPr>
                            <w:rFonts w:ascii="Times New Roman" w:hAnsi="Times New Roman" w:cs="Times New Roman" w:eastAsia="Times New Roman" w:hint="default"/>
                            <w:sz w:val="18"/>
                            <w:szCs w:val="18"/>
                          </w:rPr>
                          <w:t>Nu-WiFi</w:t>
                        </w:r>
                        <w:r>
                          <w:rPr>
                            <w:rFonts w:ascii="宋体" w:hAnsi="宋体" w:cs="宋体" w:eastAsia="宋体" w:hint="default"/>
                            <w:sz w:val="18"/>
                            <w:szCs w:val="18"/>
                          </w:rPr>
                          <w:t>无线通信系统。</w:t>
                        </w:r>
                      </w:p>
                    </w:tc>
                    <w:tc>
                      <w:tcPr>
                        <w:tcW w:w="1466" w:type="dxa"/>
                        <w:vMerge/>
                        <w:tcBorders>
                          <w:left w:val="single" w:sz="4" w:space="0" w:color="000000"/>
                          <w:bottom w:val="single" w:sz="4" w:space="0" w:color="000000"/>
                          <w:right w:val="single" w:sz="4" w:space="0" w:color="000000"/>
                        </w:tcBorders>
                      </w:tcPr>
                      <w:p>
                        <w:pPr/>
                      </w:p>
                    </w:tc>
                  </w:tr>
                  <w:tr>
                    <w:trPr>
                      <w:trHeight w:val="1592"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316" w:lineRule="auto"/>
                          <w:ind w:left="4" w:right="171"/>
                          <w:jc w:val="left"/>
                          <w:rPr>
                            <w:rFonts w:ascii="宋体" w:hAnsi="宋体" w:cs="宋体" w:eastAsia="宋体" w:hint="default"/>
                            <w:sz w:val="18"/>
                            <w:szCs w:val="18"/>
                          </w:rPr>
                        </w:pPr>
                        <w:r>
                          <w:rPr>
                            <w:rFonts w:ascii="宋体" w:hAnsi="宋体" w:cs="宋体" w:eastAsia="宋体" w:hint="default"/>
                            <w:sz w:val="18"/>
                            <w:szCs w:val="18"/>
                          </w:rPr>
                          <w:t>防火墙策略 核查系统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对防火墙策略信息进行 深入的分析，优化并提 高防火墙的运行效率， 更好的发挥防火墙的功 能。</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316" w:lineRule="auto"/>
                          <w:ind w:left="5" w:right="107"/>
                          <w:jc w:val="left"/>
                          <w:rPr>
                            <w:rFonts w:ascii="宋体" w:hAnsi="宋体" w:cs="宋体" w:eastAsia="宋体" w:hint="default"/>
                            <w:sz w:val="18"/>
                            <w:szCs w:val="18"/>
                          </w:rPr>
                        </w:pPr>
                        <w:r>
                          <w:rPr>
                            <w:rFonts w:ascii="宋体" w:hAnsi="宋体" w:cs="宋体" w:eastAsia="宋体" w:hint="default"/>
                            <w:sz w:val="18"/>
                            <w:szCs w:val="18"/>
                          </w:rPr>
                          <w:t>已经结 项</w:t>
                        </w:r>
                      </w:p>
                    </w:tc>
                    <w:tc>
                      <w:tcPr>
                        <w:tcW w:w="4581" w:type="dxa"/>
                        <w:tcBorders>
                          <w:top w:val="single" w:sz="4" w:space="0" w:color="000000"/>
                          <w:left w:val="single" w:sz="4" w:space="0" w:color="000000"/>
                          <w:bottom w:val="single" w:sz="4" w:space="0" w:color="000000"/>
                          <w:right w:val="single" w:sz="6" w:space="0" w:color="000000"/>
                        </w:tcBorders>
                      </w:tcPr>
                      <w:p>
                        <w:pPr>
                          <w:pStyle w:val="TableParagraph"/>
                          <w:spacing w:line="319" w:lineRule="auto" w:before="21"/>
                          <w:ind w:left="4" w:right="4"/>
                          <w:jc w:val="left"/>
                          <w:rPr>
                            <w:rFonts w:ascii="宋体" w:hAnsi="宋体" w:cs="宋体" w:eastAsia="宋体" w:hint="default"/>
                            <w:sz w:val="18"/>
                            <w:szCs w:val="18"/>
                          </w:rPr>
                        </w:pPr>
                        <w:r>
                          <w:rPr>
                            <w:rFonts w:ascii="宋体" w:hAnsi="宋体" w:cs="宋体" w:eastAsia="宋体" w:hint="default"/>
                            <w:spacing w:val="2"/>
                            <w:sz w:val="18"/>
                            <w:szCs w:val="18"/>
                          </w:rPr>
                          <w:t>对防火墙策略进行自动化核查，使防火墙策略满足权限最</w:t>
                        </w:r>
                        <w:r>
                          <w:rPr>
                            <w:rFonts w:ascii="宋体" w:hAnsi="宋体" w:cs="宋体" w:eastAsia="宋体" w:hint="default"/>
                            <w:sz w:val="18"/>
                            <w:szCs w:val="18"/>
                          </w:rPr>
                          <w:t> 小化和效率最优化原则。核查过程结合业务实际使用情况 </w:t>
                        </w:r>
                        <w:r>
                          <w:rPr>
                            <w:rFonts w:ascii="宋体" w:hAnsi="宋体" w:cs="宋体" w:eastAsia="宋体" w:hint="default"/>
                            <w:spacing w:val="2"/>
                            <w:sz w:val="18"/>
                            <w:szCs w:val="18"/>
                          </w:rPr>
                          <w:t>并能对多类型防火墙策略进行标准化展示，从多个维度辅</w:t>
                        </w:r>
                        <w:r>
                          <w:rPr>
                            <w:rFonts w:ascii="宋体" w:hAnsi="宋体" w:cs="宋体" w:eastAsia="宋体" w:hint="default"/>
                            <w:sz w:val="18"/>
                            <w:szCs w:val="18"/>
                          </w:rPr>
                          <w:t> </w:t>
                        </w:r>
                        <w:r>
                          <w:rPr>
                            <w:rFonts w:ascii="宋体" w:hAnsi="宋体" w:cs="宋体" w:eastAsia="宋体" w:hint="default"/>
                            <w:spacing w:val="2"/>
                            <w:sz w:val="18"/>
                            <w:szCs w:val="18"/>
                          </w:rPr>
                          <w:t>助管理员定位问题策略，加强对防火墙策略的管理，避免</w:t>
                        </w:r>
                        <w:r>
                          <w:rPr>
                            <w:rFonts w:ascii="宋体" w:hAnsi="宋体" w:cs="宋体" w:eastAsia="宋体" w:hint="default"/>
                            <w:sz w:val="18"/>
                            <w:szCs w:val="18"/>
                          </w:rPr>
                          <w:t> 建立具有安全风险的策略。</w:t>
                        </w:r>
                      </w:p>
                    </w:tc>
                    <w:tc>
                      <w:tcPr>
                        <w:tcW w:w="1466"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312" w:lineRule="auto"/>
                          <w:ind w:left="2" w:right="1"/>
                          <w:jc w:val="both"/>
                          <w:rPr>
                            <w:rFonts w:ascii="宋体" w:hAnsi="宋体" w:cs="宋体" w:eastAsia="宋体" w:hint="default"/>
                            <w:sz w:val="18"/>
                            <w:szCs w:val="18"/>
                          </w:rPr>
                        </w:pPr>
                        <w:r>
                          <w:rPr>
                            <w:rFonts w:ascii="宋体" w:hAnsi="宋体" w:cs="宋体" w:eastAsia="宋体" w:hint="default"/>
                            <w:spacing w:val="8"/>
                            <w:sz w:val="18"/>
                            <w:szCs w:val="18"/>
                          </w:rPr>
                          <w:t>提升公司在</w:t>
                        </w:r>
                        <w:r>
                          <w:rPr>
                            <w:rFonts w:ascii="Times New Roman" w:hAnsi="Times New Roman" w:cs="Times New Roman" w:eastAsia="Times New Roman" w:hint="default"/>
                            <w:spacing w:val="8"/>
                            <w:sz w:val="18"/>
                            <w:szCs w:val="18"/>
                          </w:rPr>
                          <w:t>ICT</w:t>
                        </w:r>
                        <w:r>
                          <w:rPr>
                            <w:rFonts w:ascii="宋体" w:hAnsi="宋体" w:cs="宋体" w:eastAsia="宋体" w:hint="default"/>
                            <w:spacing w:val="8"/>
                            <w:sz w:val="18"/>
                            <w:szCs w:val="18"/>
                          </w:rPr>
                          <w:t>领</w:t>
                        </w:r>
                        <w:r>
                          <w:rPr>
                            <w:rFonts w:ascii="宋体" w:hAnsi="宋体" w:cs="宋体" w:eastAsia="宋体" w:hint="default"/>
                            <w:sz w:val="18"/>
                            <w:szCs w:val="18"/>
                          </w:rPr>
                          <w:t> 域</w:t>
                        </w:r>
                        <w:r>
                          <w:rPr>
                            <w:rFonts w:ascii="宋体" w:hAnsi="宋体" w:cs="宋体" w:eastAsia="宋体" w:hint="default"/>
                            <w:spacing w:val="-60"/>
                            <w:sz w:val="18"/>
                            <w:szCs w:val="18"/>
                          </w:rPr>
                          <w:t> </w:t>
                        </w:r>
                        <w:r>
                          <w:rPr>
                            <w:rFonts w:ascii="宋体" w:hAnsi="宋体" w:cs="宋体" w:eastAsia="宋体" w:hint="default"/>
                            <w:sz w:val="18"/>
                            <w:szCs w:val="18"/>
                          </w:rPr>
                          <w:t>的</w:t>
                        </w:r>
                        <w:r>
                          <w:rPr>
                            <w:rFonts w:ascii="宋体" w:hAnsi="宋体" w:cs="宋体" w:eastAsia="宋体" w:hint="default"/>
                            <w:spacing w:val="-60"/>
                            <w:sz w:val="18"/>
                            <w:szCs w:val="18"/>
                          </w:rPr>
                          <w:t> </w:t>
                        </w:r>
                        <w:r>
                          <w:rPr>
                            <w:rFonts w:ascii="宋体" w:hAnsi="宋体" w:cs="宋体" w:eastAsia="宋体" w:hint="default"/>
                            <w:sz w:val="18"/>
                            <w:szCs w:val="18"/>
                          </w:rPr>
                          <w:t>核</w:t>
                        </w:r>
                        <w:r>
                          <w:rPr>
                            <w:rFonts w:ascii="宋体" w:hAnsi="宋体" w:cs="宋体" w:eastAsia="宋体" w:hint="default"/>
                            <w:spacing w:val="-60"/>
                            <w:sz w:val="18"/>
                            <w:szCs w:val="18"/>
                          </w:rPr>
                          <w:t> </w:t>
                        </w:r>
                        <w:r>
                          <w:rPr>
                            <w:rFonts w:ascii="宋体" w:hAnsi="宋体" w:cs="宋体" w:eastAsia="宋体" w:hint="default"/>
                            <w:sz w:val="18"/>
                            <w:szCs w:val="18"/>
                          </w:rPr>
                          <w:t>心</w:t>
                        </w:r>
                        <w:r>
                          <w:rPr>
                            <w:rFonts w:ascii="宋体" w:hAnsi="宋体" w:cs="宋体" w:eastAsia="宋体" w:hint="default"/>
                            <w:spacing w:val="-60"/>
                            <w:sz w:val="18"/>
                            <w:szCs w:val="18"/>
                          </w:rPr>
                          <w:t> </w:t>
                        </w:r>
                        <w:r>
                          <w:rPr>
                            <w:rFonts w:ascii="宋体" w:hAnsi="宋体" w:cs="宋体" w:eastAsia="宋体" w:hint="default"/>
                            <w:sz w:val="18"/>
                            <w:szCs w:val="18"/>
                          </w:rPr>
                          <w:t>技</w:t>
                        </w:r>
                        <w:r>
                          <w:rPr>
                            <w:rFonts w:ascii="宋体" w:hAnsi="宋体" w:cs="宋体" w:eastAsia="宋体" w:hint="default"/>
                            <w:spacing w:val="-61"/>
                            <w:sz w:val="18"/>
                            <w:szCs w:val="18"/>
                          </w:rPr>
                          <w:t> </w:t>
                        </w:r>
                        <w:r>
                          <w:rPr>
                            <w:rFonts w:ascii="宋体" w:hAnsi="宋体" w:cs="宋体" w:eastAsia="宋体" w:hint="default"/>
                            <w:sz w:val="18"/>
                            <w:szCs w:val="18"/>
                          </w:rPr>
                          <w:t>术</w:t>
                        </w:r>
                        <w:r>
                          <w:rPr>
                            <w:rFonts w:ascii="宋体" w:hAnsi="宋体" w:cs="宋体" w:eastAsia="宋体" w:hint="default"/>
                            <w:spacing w:val="-60"/>
                            <w:sz w:val="18"/>
                            <w:szCs w:val="18"/>
                          </w:rPr>
                          <w:t> </w:t>
                        </w:r>
                        <w:r>
                          <w:rPr>
                            <w:rFonts w:ascii="宋体" w:hAnsi="宋体" w:cs="宋体" w:eastAsia="宋体" w:hint="default"/>
                            <w:sz w:val="18"/>
                            <w:szCs w:val="18"/>
                          </w:rPr>
                          <w:t>能</w:t>
                        </w:r>
                        <w:r>
                          <w:rPr>
                            <w:rFonts w:ascii="宋体" w:hAnsi="宋体" w:cs="宋体" w:eastAsia="宋体" w:hint="default"/>
                            <w:sz w:val="18"/>
                            <w:szCs w:val="18"/>
                          </w:rPr>
                          <w:t> 力，丰富产品线，</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助力业务落地。</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spacing w:line="624" w:lineRule="exact"/>
        <w:ind w:left="9327"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72.3pt;height:31.25pt;mso-position-horizontal-relative:char;mso-position-vertical-relative:line" coordorigin="0,0" coordsize="1446,625">
            <v:group style="position:absolute;left:0;top:0;width:1446;height:313" coordorigin="0,0" coordsize="1446,313">
              <v:shape style="position:absolute;left:0;top:0;width:1446;height:313" coordorigin="0,0" coordsize="1446,313" path="m0,312l1446,312,1446,0,0,0,0,312xe" filled="true" fillcolor="#ffffff" stroked="false">
                <v:path arrowok="t"/>
                <v:fill type="solid"/>
              </v:shape>
            </v:group>
            <v:group style="position:absolute;left:0;top:312;width:1446;height:312" coordorigin="0,312" coordsize="1446,312">
              <v:shape style="position:absolute;left:0;top:312;width:1446;height:312" coordorigin="0,312" coordsize="1446,312" path="m0,624l1446,624,1446,312,0,312,0,624xe" filled="true" fillcolor="#ffffff" stroked="false">
                <v:path arrowok="t"/>
                <v:fill type="solid"/>
              </v:shape>
            </v:group>
          </v:group>
        </w:pict>
      </w:r>
      <w:r>
        <w:rPr>
          <w:rFonts w:ascii="宋体" w:hAnsi="宋体" w:cs="宋体" w:eastAsia="宋体" w:hint="default"/>
          <w:position w:val="-11"/>
          <w:sz w:val="20"/>
          <w:szCs w:val="20"/>
        </w:rPr>
      </w:r>
    </w:p>
    <w:p>
      <w:pPr>
        <w:spacing w:after="0" w:line="624" w:lineRule="exact"/>
        <w:rPr>
          <w:rFonts w:ascii="宋体" w:hAnsi="宋体" w:cs="宋体" w:eastAsia="宋体" w:hint="default"/>
          <w:sz w:val="20"/>
          <w:szCs w:val="20"/>
        </w:rPr>
        <w:sectPr>
          <w:pgSz w:w="11910" w:h="16840"/>
          <w:pgMar w:header="851" w:footer="979" w:top="1380" w:bottom="1160" w:left="0" w:right="0"/>
        </w:sectPr>
      </w:pPr>
    </w:p>
    <w:tbl>
      <w:tblPr>
        <w:tblW w:w="0" w:type="auto"/>
        <w:jc w:val="left"/>
        <w:tblInd w:w="1119" w:type="dxa"/>
        <w:tblLayout w:type="fixed"/>
        <w:tblCellMar>
          <w:top w:w="0" w:type="dxa"/>
          <w:left w:w="0" w:type="dxa"/>
          <w:bottom w:w="0" w:type="dxa"/>
          <w:right w:w="0" w:type="dxa"/>
        </w:tblCellMar>
        <w:tblLook w:val="01E0"/>
      </w:tblPr>
      <w:tblGrid>
        <w:gridCol w:w="1086"/>
        <w:gridCol w:w="1861"/>
        <w:gridCol w:w="664"/>
        <w:gridCol w:w="4581"/>
        <w:gridCol w:w="1466"/>
      </w:tblGrid>
      <w:tr>
        <w:trPr>
          <w:trHeight w:val="1902"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4" w:right="171"/>
              <w:jc w:val="both"/>
              <w:rPr>
                <w:rFonts w:ascii="宋体" w:hAnsi="宋体" w:cs="宋体" w:eastAsia="宋体" w:hint="default"/>
                <w:sz w:val="18"/>
                <w:szCs w:val="18"/>
              </w:rPr>
            </w:pPr>
            <w:r>
              <w:rPr>
                <w:rFonts w:ascii="宋体" w:hAnsi="宋体" w:cs="宋体" w:eastAsia="宋体" w:hint="default"/>
                <w:sz w:val="18"/>
                <w:szCs w:val="18"/>
              </w:rPr>
              <w:t>神州泰岳数 据中心可视 化系统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9" w:lineRule="auto"/>
              <w:ind w:left="4" w:right="44"/>
              <w:jc w:val="left"/>
              <w:rPr>
                <w:rFonts w:ascii="宋体" w:hAnsi="宋体" w:cs="宋体" w:eastAsia="宋体" w:hint="default"/>
                <w:sz w:val="18"/>
                <w:szCs w:val="18"/>
              </w:rPr>
            </w:pPr>
            <w:r>
              <w:rPr>
                <w:rFonts w:ascii="宋体" w:hAnsi="宋体" w:cs="宋体" w:eastAsia="宋体" w:hint="default"/>
                <w:sz w:val="18"/>
                <w:szCs w:val="18"/>
              </w:rPr>
              <w:t>提升机房的整体容量、 使用情况以及掌控能 力，最终为实际的运维 作业与运维管理提供支 持作用。</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21"/>
              <w:ind w:left="4" w:right="5"/>
              <w:jc w:val="both"/>
              <w:rPr>
                <w:rFonts w:ascii="宋体" w:hAnsi="宋体" w:cs="宋体" w:eastAsia="宋体" w:hint="default"/>
                <w:sz w:val="18"/>
                <w:szCs w:val="18"/>
              </w:rPr>
            </w:pPr>
            <w:r>
              <w:rPr>
                <w:rFonts w:ascii="宋体" w:hAnsi="宋体" w:cs="宋体" w:eastAsia="宋体" w:hint="default"/>
                <w:spacing w:val="2"/>
                <w:sz w:val="18"/>
                <w:szCs w:val="18"/>
              </w:rPr>
              <w:t>本项目是面向数据中心的专业级可视化管理产品，结合多</w:t>
            </w:r>
            <w:r>
              <w:rPr>
                <w:rFonts w:ascii="宋体" w:hAnsi="宋体" w:cs="宋体" w:eastAsia="宋体" w:hint="default"/>
                <w:sz w:val="18"/>
                <w:szCs w:val="18"/>
              </w:rPr>
              <w:t> </w:t>
            </w:r>
            <w:r>
              <w:rPr>
                <w:rFonts w:ascii="宋体" w:hAnsi="宋体" w:cs="宋体" w:eastAsia="宋体" w:hint="default"/>
                <w:spacing w:val="2"/>
                <w:sz w:val="18"/>
                <w:szCs w:val="18"/>
              </w:rPr>
              <w:t>年数据中心和</w:t>
            </w:r>
            <w:r>
              <w:rPr>
                <w:rFonts w:ascii="Times New Roman" w:hAnsi="Times New Roman" w:cs="Times New Roman" w:eastAsia="Times New Roman" w:hint="default"/>
                <w:spacing w:val="2"/>
                <w:sz w:val="18"/>
                <w:szCs w:val="18"/>
              </w:rPr>
              <w:t>IT</w:t>
            </w:r>
            <w:r>
              <w:rPr>
                <w:rFonts w:ascii="宋体" w:hAnsi="宋体" w:cs="宋体" w:eastAsia="宋体" w:hint="default"/>
                <w:spacing w:val="2"/>
                <w:sz w:val="18"/>
                <w:szCs w:val="18"/>
              </w:rPr>
              <w:t>系统管理经验，采用虚拟现实技术，在三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2"/>
                <w:sz w:val="18"/>
                <w:szCs w:val="18"/>
              </w:rPr>
              <w:t>维可视化管理环境中，实现数据中心机房、机柜、设备、</w:t>
            </w:r>
            <w:r>
              <w:rPr>
                <w:rFonts w:ascii="宋体" w:hAnsi="宋体" w:cs="宋体" w:eastAsia="宋体" w:hint="default"/>
                <w:sz w:val="18"/>
                <w:szCs w:val="18"/>
              </w:rPr>
              <w:t> </w:t>
            </w:r>
            <w:r>
              <w:rPr>
                <w:rFonts w:ascii="宋体" w:hAnsi="宋体" w:cs="宋体" w:eastAsia="宋体" w:hint="default"/>
                <w:spacing w:val="2"/>
                <w:sz w:val="18"/>
                <w:szCs w:val="18"/>
              </w:rPr>
              <w:t>端口、线缆浏览和操作，并与资产、动环、安防、网络、</w:t>
            </w:r>
            <w:r>
              <w:rPr>
                <w:rFonts w:ascii="宋体" w:hAnsi="宋体" w:cs="宋体" w:eastAsia="宋体" w:hint="default"/>
                <w:sz w:val="18"/>
                <w:szCs w:val="18"/>
              </w:rPr>
              <w:t> </w:t>
            </w:r>
            <w:r>
              <w:rPr>
                <w:rFonts w:ascii="宋体" w:hAnsi="宋体" w:cs="宋体" w:eastAsia="宋体" w:hint="default"/>
                <w:spacing w:val="2"/>
                <w:sz w:val="18"/>
                <w:szCs w:val="18"/>
              </w:rPr>
              <w:t>主机、应用、系统等多种</w:t>
            </w:r>
            <w:r>
              <w:rPr>
                <w:rFonts w:ascii="Times New Roman" w:hAnsi="Times New Roman" w:cs="Times New Roman" w:eastAsia="Times New Roman" w:hint="default"/>
                <w:spacing w:val="2"/>
                <w:sz w:val="18"/>
                <w:szCs w:val="18"/>
              </w:rPr>
              <w:t>IT</w:t>
            </w:r>
            <w:r>
              <w:rPr>
                <w:rFonts w:ascii="宋体" w:hAnsi="宋体" w:cs="宋体" w:eastAsia="宋体" w:hint="default"/>
                <w:spacing w:val="2"/>
                <w:sz w:val="18"/>
                <w:szCs w:val="18"/>
              </w:rPr>
              <w:t>监控管理工具集成，真正打造</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一个满足客户需求的数据中心可视化运维管理工具。</w:t>
            </w:r>
          </w:p>
        </w:tc>
        <w:tc>
          <w:tcPr>
            <w:tcW w:w="1466" w:type="dxa"/>
            <w:vMerge w:val="restart"/>
            <w:tcBorders>
              <w:top w:val="single" w:sz="4" w:space="0" w:color="000000"/>
              <w:left w:val="single" w:sz="4" w:space="0" w:color="000000"/>
              <w:right w:val="single" w:sz="4" w:space="0" w:color="000000"/>
            </w:tcBorders>
          </w:tcPr>
          <w:p>
            <w:pPr/>
          </w:p>
        </w:tc>
      </w:tr>
      <w:tr>
        <w:trPr>
          <w:trHeight w:val="1590"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4" w:right="171"/>
              <w:jc w:val="left"/>
              <w:rPr>
                <w:rFonts w:ascii="宋体" w:hAnsi="宋体" w:cs="宋体" w:eastAsia="宋体" w:hint="default"/>
                <w:sz w:val="18"/>
                <w:szCs w:val="18"/>
              </w:rPr>
            </w:pPr>
            <w:r>
              <w:rPr>
                <w:rFonts w:ascii="宋体" w:hAnsi="宋体" w:cs="宋体" w:eastAsia="宋体" w:hint="default"/>
                <w:sz w:val="18"/>
                <w:szCs w:val="18"/>
              </w:rPr>
              <w:t>网络配置管 理系统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4" w:right="44"/>
              <w:jc w:val="both"/>
              <w:rPr>
                <w:rFonts w:ascii="宋体" w:hAnsi="宋体" w:cs="宋体" w:eastAsia="宋体" w:hint="default"/>
                <w:sz w:val="18"/>
                <w:szCs w:val="18"/>
              </w:rPr>
            </w:pPr>
            <w:r>
              <w:rPr>
                <w:rFonts w:ascii="宋体" w:hAnsi="宋体" w:cs="宋体" w:eastAsia="宋体" w:hint="default"/>
                <w:sz w:val="18"/>
                <w:szCs w:val="18"/>
              </w:rPr>
              <w:t>为用户提供全专业、端 到端、自动化、标准化 的网络配置管理平台。</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2"/>
                <w:sz w:val="18"/>
                <w:szCs w:val="18"/>
              </w:rPr>
              <w:t>本系统是一个针对中国移动网络设备局数据、参数等的一</w:t>
            </w:r>
            <w:r>
              <w:rPr>
                <w:rFonts w:ascii="宋体" w:hAnsi="宋体" w:cs="宋体" w:eastAsia="宋体" w:hint="default"/>
                <w:sz w:val="18"/>
                <w:szCs w:val="18"/>
              </w:rPr>
              <w:t> </w:t>
            </w:r>
            <w:r>
              <w:rPr>
                <w:rFonts w:ascii="宋体" w:hAnsi="宋体" w:cs="宋体" w:eastAsia="宋体" w:hint="default"/>
                <w:spacing w:val="2"/>
                <w:sz w:val="18"/>
                <w:szCs w:val="18"/>
              </w:rPr>
              <w:t>键采集、核查、制作、下发的全专业、端到端、自动化、</w:t>
            </w:r>
            <w:r>
              <w:rPr>
                <w:rFonts w:ascii="宋体" w:hAnsi="宋体" w:cs="宋体" w:eastAsia="宋体" w:hint="default"/>
                <w:sz w:val="18"/>
                <w:szCs w:val="18"/>
              </w:rPr>
              <w:t> </w:t>
            </w:r>
            <w:r>
              <w:rPr>
                <w:rFonts w:ascii="宋体" w:hAnsi="宋体" w:cs="宋体" w:eastAsia="宋体" w:hint="default"/>
                <w:spacing w:val="2"/>
                <w:sz w:val="18"/>
                <w:szCs w:val="18"/>
              </w:rPr>
              <w:t>标准化、规范化的网络配置管理平台，此配置平台能全面</w:t>
            </w:r>
            <w:r>
              <w:rPr>
                <w:rFonts w:ascii="宋体" w:hAnsi="宋体" w:cs="宋体" w:eastAsia="宋体" w:hint="default"/>
                <w:sz w:val="18"/>
                <w:szCs w:val="18"/>
              </w:rPr>
              <w:t> </w:t>
            </w:r>
            <w:r>
              <w:rPr>
                <w:rFonts w:ascii="宋体" w:hAnsi="宋体" w:cs="宋体" w:eastAsia="宋体" w:hint="default"/>
                <w:spacing w:val="2"/>
                <w:sz w:val="18"/>
                <w:szCs w:val="18"/>
              </w:rPr>
              <w:t>提升作效率，有效保障网络安全，确保局数据运行安全可</w:t>
            </w:r>
            <w:r>
              <w:rPr>
                <w:rFonts w:ascii="宋体" w:hAnsi="宋体" w:cs="宋体" w:eastAsia="宋体" w:hint="default"/>
                <w:sz w:val="18"/>
                <w:szCs w:val="18"/>
              </w:rPr>
              <w:t> 靠、并且切实有效的降低运维成本。</w:t>
            </w:r>
          </w:p>
        </w:tc>
        <w:tc>
          <w:tcPr>
            <w:tcW w:w="1466" w:type="dxa"/>
            <w:vMerge/>
            <w:tcBorders>
              <w:left w:val="single" w:sz="4" w:space="0" w:color="000000"/>
              <w:right w:val="single" w:sz="4" w:space="0" w:color="000000"/>
            </w:tcBorders>
          </w:tcPr>
          <w:p>
            <w:pPr/>
          </w:p>
        </w:tc>
      </w:tr>
      <w:tr>
        <w:trPr>
          <w:trHeight w:val="1278"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4" w:right="171"/>
              <w:jc w:val="left"/>
              <w:rPr>
                <w:rFonts w:ascii="宋体" w:hAnsi="宋体" w:cs="宋体" w:eastAsia="宋体" w:hint="default"/>
                <w:sz w:val="18"/>
                <w:szCs w:val="18"/>
              </w:rPr>
            </w:pPr>
            <w:r>
              <w:rPr>
                <w:rFonts w:ascii="宋体" w:hAnsi="宋体" w:cs="宋体" w:eastAsia="宋体" w:hint="default"/>
                <w:sz w:val="18"/>
                <w:szCs w:val="18"/>
              </w:rPr>
              <w:t>业务流程平 台系统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09" w:lineRule="auto"/>
              <w:ind w:left="4" w:right="44"/>
              <w:jc w:val="both"/>
              <w:rPr>
                <w:rFonts w:ascii="宋体" w:hAnsi="宋体" w:cs="宋体" w:eastAsia="宋体" w:hint="default"/>
                <w:sz w:val="18"/>
                <w:szCs w:val="18"/>
              </w:rPr>
            </w:pPr>
            <w:r>
              <w:rPr>
                <w:rFonts w:ascii="宋体" w:hAnsi="宋体" w:cs="宋体" w:eastAsia="宋体" w:hint="default"/>
                <w:sz w:val="18"/>
                <w:szCs w:val="18"/>
              </w:rPr>
              <w:t>搭建</w:t>
            </w:r>
            <w:r>
              <w:rPr>
                <w:rFonts w:ascii="Times New Roman" w:hAnsi="Times New Roman" w:cs="Times New Roman" w:eastAsia="Times New Roman" w:hint="default"/>
                <w:sz w:val="18"/>
                <w:szCs w:val="18"/>
              </w:rPr>
              <w:t>7*24</w:t>
            </w:r>
            <w:r>
              <w:rPr>
                <w:rFonts w:ascii="宋体" w:hAnsi="宋体" w:cs="宋体" w:eastAsia="宋体" w:hint="default"/>
                <w:sz w:val="18"/>
                <w:szCs w:val="18"/>
              </w:rPr>
              <w:t>稳定的业务流 程平台，高效安全的访 问环境。</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2"/>
                <w:sz w:val="18"/>
                <w:szCs w:val="18"/>
              </w:rPr>
              <w:t>提供工单管理、流程定制、系统管理等功能，能够支持集</w:t>
            </w:r>
            <w:r>
              <w:rPr>
                <w:rFonts w:ascii="宋体" w:hAnsi="宋体" w:cs="宋体" w:eastAsia="宋体" w:hint="default"/>
                <w:sz w:val="18"/>
                <w:szCs w:val="18"/>
              </w:rPr>
              <w:t> </w:t>
            </w:r>
            <w:r>
              <w:rPr>
                <w:rFonts w:ascii="宋体" w:hAnsi="宋体" w:cs="宋体" w:eastAsia="宋体" w:hint="default"/>
                <w:spacing w:val="2"/>
                <w:sz w:val="18"/>
                <w:szCs w:val="18"/>
              </w:rPr>
              <w:t>群部署，根据访问压力扩展或者缩减服务器数量。为客户</w:t>
            </w:r>
            <w:r>
              <w:rPr>
                <w:rFonts w:ascii="宋体" w:hAnsi="宋体" w:cs="宋体" w:eastAsia="宋体" w:hint="default"/>
                <w:sz w:val="18"/>
                <w:szCs w:val="18"/>
              </w:rPr>
              <w:t> </w:t>
            </w:r>
            <w:r>
              <w:rPr>
                <w:rFonts w:ascii="宋体" w:hAnsi="宋体" w:cs="宋体" w:eastAsia="宋体" w:hint="default"/>
                <w:spacing w:val="2"/>
                <w:sz w:val="18"/>
                <w:szCs w:val="18"/>
              </w:rPr>
              <w:t>提供及时高效的服务体验，提高工单的处理效率，并降低</w:t>
            </w:r>
            <w:r>
              <w:rPr>
                <w:rFonts w:ascii="宋体" w:hAnsi="宋体" w:cs="宋体" w:eastAsia="宋体" w:hint="default"/>
                <w:sz w:val="18"/>
                <w:szCs w:val="18"/>
              </w:rPr>
              <w:t> 流程的开发成本。</w:t>
            </w:r>
          </w:p>
        </w:tc>
        <w:tc>
          <w:tcPr>
            <w:tcW w:w="1466" w:type="dxa"/>
            <w:vMerge/>
            <w:tcBorders>
              <w:left w:val="single" w:sz="4" w:space="0" w:color="000000"/>
              <w:right w:val="single" w:sz="4" w:space="0" w:color="000000"/>
            </w:tcBorders>
          </w:tcPr>
          <w:p>
            <w:pPr/>
          </w:p>
        </w:tc>
      </w:tr>
      <w:tr>
        <w:trPr>
          <w:trHeight w:val="1590"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4" w:right="171"/>
              <w:jc w:val="left"/>
              <w:rPr>
                <w:rFonts w:ascii="宋体" w:hAnsi="宋体" w:cs="宋体" w:eastAsia="宋体" w:hint="default"/>
                <w:sz w:val="18"/>
                <w:szCs w:val="18"/>
              </w:rPr>
            </w:pPr>
            <w:r>
              <w:rPr>
                <w:rFonts w:ascii="宋体" w:hAnsi="宋体" w:cs="宋体" w:eastAsia="宋体" w:hint="default"/>
                <w:sz w:val="18"/>
                <w:szCs w:val="18"/>
              </w:rPr>
              <w:t>资源弱口令 核查系统</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通过异步破解（将采集 和破解过程分离）、加 </w:t>
            </w:r>
            <w:r>
              <w:rPr>
                <w:rFonts w:ascii="宋体" w:hAnsi="宋体" w:cs="宋体" w:eastAsia="宋体" w:hint="default"/>
                <w:spacing w:val="-5"/>
                <w:sz w:val="18"/>
                <w:szCs w:val="18"/>
              </w:rPr>
              <w:t>密算法、弱口令字典库</w:t>
            </w:r>
            <w:r>
              <w:rPr>
                <w:rFonts w:ascii="宋体" w:hAnsi="宋体" w:cs="宋体" w:eastAsia="宋体" w:hint="default"/>
                <w:sz w:val="18"/>
                <w:szCs w:val="18"/>
              </w:rPr>
              <w:t> 分布式部署，提升系统 安全性。</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5" w:right="107"/>
              <w:jc w:val="left"/>
              <w:rPr>
                <w:rFonts w:ascii="宋体" w:hAnsi="宋体" w:cs="宋体" w:eastAsia="宋体" w:hint="default"/>
                <w:sz w:val="18"/>
                <w:szCs w:val="18"/>
              </w:rPr>
            </w:pPr>
            <w:r>
              <w:rPr>
                <w:rFonts w:ascii="宋体" w:hAnsi="宋体" w:cs="宋体" w:eastAsia="宋体" w:hint="default"/>
                <w:sz w:val="18"/>
                <w:szCs w:val="18"/>
              </w:rPr>
              <w:t>已经结 项</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630" w:lineRule="exact"/>
              <w:ind w:right="-48"/>
              <w:jc w:val="left"/>
              <w:rPr>
                <w:rFonts w:ascii="宋体" w:hAnsi="宋体" w:cs="宋体" w:eastAsia="宋体" w:hint="default"/>
                <w:sz w:val="20"/>
                <w:szCs w:val="20"/>
              </w:rPr>
            </w:pPr>
            <w:r>
              <w:rPr>
                <w:rFonts w:ascii="宋体" w:hAnsi="宋体" w:cs="宋体" w:eastAsia="宋体" w:hint="default"/>
                <w:position w:val="-12"/>
                <w:sz w:val="20"/>
                <w:szCs w:val="20"/>
              </w:rPr>
              <w:pict>
                <v:group style="width:32.4pt;height:31.5pt;mso-position-horizontal-relative:char;mso-position-vertical-relative:line" coordorigin="0,0" coordsize="648,630">
                  <v:group style="position:absolute;left:3;top:3;width:2;height:624" coordorigin="3,3" coordsize="2,624">
                    <v:shape style="position:absolute;left:3;top:3;width:2;height:624" coordorigin="3,3" coordsize="0,624" path="m3,3l3,627e" filled="false" stroked="true" strokeweight=".3pt" strokecolor="#ffffff">
                      <v:path arrowok="t"/>
                    </v:shape>
                  </v:group>
                  <v:group style="position:absolute;left:6;top:3;width:642;height:312" coordorigin="6,3" coordsize="642,312">
                    <v:shape style="position:absolute;left:6;top:3;width:642;height:312" coordorigin="6,3" coordsize="642,312" path="m6,315l648,315,648,3,6,3,6,315xe" filled="true" fillcolor="#ffffff" stroked="false">
                      <v:path arrowok="t"/>
                      <v:fill type="solid"/>
                    </v:shape>
                  </v:group>
                  <v:group style="position:absolute;left:6;top:315;width:642;height:312" coordorigin="6,315" coordsize="642,312">
                    <v:shape style="position:absolute;left:6;top:315;width:642;height:312" coordorigin="6,315" coordsize="642,312" path="m6,627l648,627,648,315,6,315,6,627xe" filled="true" fillcolor="#ffffff" stroked="false">
                      <v:path arrowok="t"/>
                      <v:fill type="solid"/>
                    </v:shape>
                  </v:group>
                </v:group>
              </w:pict>
            </w:r>
            <w:r>
              <w:rPr>
                <w:rFonts w:ascii="宋体" w:hAnsi="宋体" w:cs="宋体" w:eastAsia="宋体" w:hint="default"/>
                <w:position w:val="-12"/>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6"/>
                <w:szCs w:val="16"/>
              </w:rPr>
            </w:pP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 w:right="64"/>
              <w:jc w:val="both"/>
              <w:rPr>
                <w:rFonts w:ascii="宋体" w:hAnsi="宋体" w:cs="宋体" w:eastAsia="宋体" w:hint="default"/>
                <w:sz w:val="18"/>
                <w:szCs w:val="18"/>
              </w:rPr>
            </w:pPr>
            <w:r>
              <w:rPr>
                <w:rFonts w:ascii="宋体" w:hAnsi="宋体" w:cs="宋体" w:eastAsia="宋体" w:hint="default"/>
                <w:sz w:val="18"/>
                <w:szCs w:val="18"/>
              </w:rPr>
              <w:t>提供高效发现各类设备弱口令存在的情况，实现对企业网 常见设备类型的账号口令进行高效、精准发现的能力，对 企业网内弱口令情况进行及时、全面的集中掌控，彻底解 决弱口令带来的安全风险。</w:t>
            </w:r>
          </w:p>
        </w:tc>
        <w:tc>
          <w:tcPr>
            <w:tcW w:w="1466" w:type="dxa"/>
            <w:vMerge/>
            <w:tcBorders>
              <w:left w:val="single" w:sz="4" w:space="0" w:color="000000"/>
              <w:bottom w:val="single" w:sz="4" w:space="0" w:color="000000"/>
              <w:right w:val="single" w:sz="4" w:space="0" w:color="000000"/>
            </w:tcBorders>
          </w:tcPr>
          <w:p>
            <w:pPr/>
          </w:p>
        </w:tc>
      </w:tr>
      <w:tr>
        <w:trPr>
          <w:trHeight w:val="1590"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240" w:lineRule="auto"/>
              <w:ind w:left="4" w:right="0"/>
              <w:jc w:val="left"/>
              <w:rPr>
                <w:rFonts w:ascii="Times New Roman" w:hAnsi="Times New Roman" w:cs="Times New Roman" w:eastAsia="Times New Roman" w:hint="default"/>
                <w:sz w:val="18"/>
                <w:szCs w:val="18"/>
              </w:rPr>
            </w:pPr>
            <w:r>
              <w:rPr>
                <w:rFonts w:ascii="Times New Roman"/>
                <w:sz w:val="18"/>
              </w:rPr>
              <w:t>Titan</w:t>
            </w:r>
            <w:r>
              <w:rPr>
                <w:rFonts w:ascii="Times New Roman"/>
                <w:spacing w:val="-2"/>
                <w:sz w:val="18"/>
              </w:rPr>
              <w:t> </w:t>
            </w:r>
            <w:r>
              <w:rPr>
                <w:rFonts w:ascii="Times New Roman"/>
                <w:sz w:val="18"/>
              </w:rPr>
              <w:t>Throne</w:t>
            </w:r>
          </w:p>
          <w:p>
            <w:pPr>
              <w:pStyle w:val="TableParagraph"/>
              <w:spacing w:line="240" w:lineRule="auto" w:before="65"/>
              <w:ind w:left="4" w:right="0"/>
              <w:jc w:val="left"/>
              <w:rPr>
                <w:rFonts w:ascii="宋体" w:hAnsi="宋体" w:cs="宋体" w:eastAsia="宋体" w:hint="default"/>
                <w:sz w:val="18"/>
                <w:szCs w:val="18"/>
              </w:rPr>
            </w:pPr>
            <w:r>
              <w:rPr>
                <w:rFonts w:ascii="宋体" w:hAnsi="宋体" w:cs="宋体" w:eastAsia="宋体" w:hint="default"/>
                <w:sz w:val="18"/>
                <w:szCs w:val="18"/>
              </w:rPr>
              <w:t>手游项目</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开发一款以奇幻世界为 背景，结合已经成为幻 想文化一部分的各种怪 物兵种和文明上各种耳 熟能详的英雄的游戏。</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2" w:lineRule="auto"/>
              <w:ind w:left="5" w:right="1"/>
              <w:jc w:val="both"/>
              <w:rPr>
                <w:rFonts w:ascii="宋体" w:hAnsi="宋体" w:cs="宋体" w:eastAsia="宋体" w:hint="default"/>
                <w:sz w:val="18"/>
                <w:szCs w:val="18"/>
              </w:rPr>
            </w:pPr>
            <w:r>
              <w:rPr>
                <w:rFonts w:ascii="宋体" w:hAnsi="宋体" w:cs="宋体" w:eastAsia="宋体" w:hint="default"/>
                <w:spacing w:val="25"/>
                <w:sz w:val="18"/>
                <w:szCs w:val="18"/>
              </w:rPr>
              <w:t>正在</w:t>
            </w:r>
            <w:r>
              <w:rPr>
                <w:rFonts w:ascii="宋体" w:hAnsi="宋体" w:cs="宋体" w:eastAsia="宋体" w:hint="default"/>
                <w:spacing w:val="-39"/>
                <w:sz w:val="18"/>
                <w:szCs w:val="18"/>
              </w:rPr>
              <w:t> </w:t>
            </w:r>
            <w:r>
              <w:rPr>
                <w:rFonts w:ascii="宋体" w:hAnsi="宋体" w:cs="宋体" w:eastAsia="宋体" w:hint="default"/>
                <w:sz w:val="18"/>
                <w:szCs w:val="18"/>
              </w:rPr>
              <w:t>研</w:t>
            </w:r>
            <w:r>
              <w:rPr>
                <w:rFonts w:ascii="宋体" w:hAnsi="宋体" w:cs="宋体" w:eastAsia="宋体" w:hint="default"/>
                <w:sz w:val="18"/>
                <w:szCs w:val="18"/>
              </w:rPr>
              <w:t> </w:t>
            </w:r>
            <w:r>
              <w:rPr>
                <w:rFonts w:ascii="宋体" w:hAnsi="宋体" w:cs="宋体" w:eastAsia="宋体" w:hint="default"/>
                <w:spacing w:val="-20"/>
                <w:sz w:val="18"/>
                <w:szCs w:val="18"/>
              </w:rPr>
              <w:t>发中，预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计</w:t>
            </w:r>
            <w:r>
              <w:rPr>
                <w:rFonts w:ascii="Times New Roman" w:hAnsi="Times New Roman" w:cs="Times New Roman" w:eastAsia="Times New Roman" w:hint="default"/>
                <w:spacing w:val="2"/>
                <w:sz w:val="18"/>
                <w:szCs w:val="18"/>
              </w:rPr>
              <w:t>18</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5</w:t>
            </w:r>
            <w:r>
              <w:rPr>
                <w:rFonts w:ascii="Times New Roman" w:hAnsi="Times New Roman" w:cs="Times New Roman" w:eastAsia="Times New Roman" w:hint="default"/>
                <w:sz w:val="18"/>
                <w:szCs w:val="18"/>
              </w:rPr>
              <w:t> </w:t>
            </w:r>
            <w:r>
              <w:rPr>
                <w:rFonts w:ascii="宋体" w:hAnsi="宋体" w:cs="宋体" w:eastAsia="宋体" w:hint="default"/>
                <w:sz w:val="18"/>
                <w:szCs w:val="18"/>
              </w:rPr>
              <w:t>月结项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9"/>
                <w:szCs w:val="19"/>
              </w:rPr>
            </w:pPr>
          </w:p>
          <w:p>
            <w:pPr>
              <w:pStyle w:val="TableParagraph"/>
              <w:spacing w:line="316" w:lineRule="auto"/>
              <w:ind w:left="4" w:right="7"/>
              <w:jc w:val="left"/>
              <w:rPr>
                <w:rFonts w:ascii="宋体" w:hAnsi="宋体" w:cs="宋体" w:eastAsia="宋体" w:hint="default"/>
                <w:sz w:val="18"/>
                <w:szCs w:val="18"/>
              </w:rPr>
            </w:pPr>
            <w:r>
              <w:rPr>
                <w:rFonts w:ascii="宋体" w:hAnsi="宋体" w:cs="宋体" w:eastAsia="宋体" w:hint="default"/>
                <w:spacing w:val="2"/>
                <w:sz w:val="18"/>
                <w:szCs w:val="18"/>
              </w:rPr>
              <w:t>把实时的战斗表现加入到产品当中，创造出更生动更丰富</w:t>
            </w:r>
            <w:r>
              <w:rPr>
                <w:rFonts w:ascii="宋体" w:hAnsi="宋体" w:cs="宋体" w:eastAsia="宋体" w:hint="default"/>
                <w:sz w:val="18"/>
                <w:szCs w:val="18"/>
              </w:rPr>
              <w:t> 的游戏趣味性，带来更好的游戏体验。</w:t>
            </w:r>
          </w:p>
        </w:tc>
        <w:tc>
          <w:tcPr>
            <w:tcW w:w="14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316" w:lineRule="auto"/>
              <w:ind w:left="5" w:right="3"/>
              <w:jc w:val="both"/>
              <w:rPr>
                <w:rFonts w:ascii="宋体" w:hAnsi="宋体" w:cs="宋体" w:eastAsia="宋体" w:hint="default"/>
                <w:sz w:val="18"/>
                <w:szCs w:val="18"/>
              </w:rPr>
            </w:pPr>
            <w:r>
              <w:rPr>
                <w:rFonts w:ascii="宋体" w:hAnsi="宋体" w:cs="宋体" w:eastAsia="宋体" w:hint="default"/>
                <w:sz w:val="18"/>
                <w:szCs w:val="18"/>
              </w:rPr>
              <w:t>手机游戏业务是公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司重点业务方向之</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一，该项目可为公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司在手游方向带来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新的利润增长点。</w:t>
            </w:r>
          </w:p>
        </w:tc>
      </w:tr>
      <w:tr>
        <w:trPr>
          <w:trHeight w:val="1590"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9"/>
                <w:szCs w:val="19"/>
              </w:rPr>
            </w:pPr>
          </w:p>
          <w:p>
            <w:pPr>
              <w:pStyle w:val="TableParagraph"/>
              <w:spacing w:line="300" w:lineRule="auto"/>
              <w:ind w:left="4" w:right="108"/>
              <w:jc w:val="left"/>
              <w:rPr>
                <w:rFonts w:ascii="宋体" w:hAnsi="宋体" w:cs="宋体" w:eastAsia="宋体" w:hint="default"/>
                <w:sz w:val="18"/>
                <w:szCs w:val="18"/>
              </w:rPr>
            </w:pPr>
            <w:r>
              <w:rPr>
                <w:rFonts w:ascii="Times New Roman" w:hAnsi="Times New Roman" w:cs="Times New Roman" w:eastAsia="Times New Roman" w:hint="default"/>
                <w:sz w:val="18"/>
                <w:szCs w:val="18"/>
              </w:rPr>
              <w:t>Doomsday</w:t>
            </w:r>
            <w:r>
              <w:rPr>
                <w:rFonts w:ascii="宋体" w:hAnsi="宋体" w:cs="宋体" w:eastAsia="宋体" w:hint="default"/>
                <w:sz w:val="18"/>
                <w:szCs w:val="18"/>
              </w:rPr>
              <w:t>手</w:t>
            </w:r>
            <w:r>
              <w:rPr>
                <w:rFonts w:ascii="宋体" w:hAnsi="宋体" w:cs="宋体" w:eastAsia="宋体" w:hint="default"/>
                <w:w w:val="99"/>
                <w:sz w:val="18"/>
                <w:szCs w:val="18"/>
              </w:rPr>
              <w:t> </w:t>
            </w:r>
            <w:r>
              <w:rPr>
                <w:rFonts w:ascii="宋体" w:hAnsi="宋体" w:cs="宋体" w:eastAsia="宋体" w:hint="default"/>
                <w:sz w:val="18"/>
                <w:szCs w:val="18"/>
              </w:rPr>
              <w:t>游项目</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是一款以时下最为流行 的末世为题材，依照当 代文明进程为背景进行 创作的即时战略手机游 戏。</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2" w:lineRule="auto"/>
              <w:ind w:left="5" w:right="1"/>
              <w:jc w:val="both"/>
              <w:rPr>
                <w:rFonts w:ascii="宋体" w:hAnsi="宋体" w:cs="宋体" w:eastAsia="宋体" w:hint="default"/>
                <w:sz w:val="18"/>
                <w:szCs w:val="18"/>
              </w:rPr>
            </w:pPr>
            <w:r>
              <w:rPr>
                <w:rFonts w:ascii="宋体" w:hAnsi="宋体" w:cs="宋体" w:eastAsia="宋体" w:hint="default"/>
                <w:spacing w:val="25"/>
                <w:sz w:val="18"/>
                <w:szCs w:val="18"/>
              </w:rPr>
              <w:t>正在</w:t>
            </w:r>
            <w:r>
              <w:rPr>
                <w:rFonts w:ascii="宋体" w:hAnsi="宋体" w:cs="宋体" w:eastAsia="宋体" w:hint="default"/>
                <w:spacing w:val="-39"/>
                <w:sz w:val="18"/>
                <w:szCs w:val="18"/>
              </w:rPr>
              <w:t> </w:t>
            </w:r>
            <w:r>
              <w:rPr>
                <w:rFonts w:ascii="宋体" w:hAnsi="宋体" w:cs="宋体" w:eastAsia="宋体" w:hint="default"/>
                <w:sz w:val="18"/>
                <w:szCs w:val="18"/>
              </w:rPr>
              <w:t>研</w:t>
            </w:r>
            <w:r>
              <w:rPr>
                <w:rFonts w:ascii="宋体" w:hAnsi="宋体" w:cs="宋体" w:eastAsia="宋体" w:hint="default"/>
                <w:sz w:val="18"/>
                <w:szCs w:val="18"/>
              </w:rPr>
              <w:t> </w:t>
            </w:r>
            <w:r>
              <w:rPr>
                <w:rFonts w:ascii="宋体" w:hAnsi="宋体" w:cs="宋体" w:eastAsia="宋体" w:hint="default"/>
                <w:spacing w:val="-20"/>
                <w:sz w:val="18"/>
                <w:szCs w:val="18"/>
              </w:rPr>
              <w:t>发中，预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
                <w:sz w:val="18"/>
                <w:szCs w:val="18"/>
              </w:rPr>
              <w:t>计</w:t>
            </w:r>
            <w:r>
              <w:rPr>
                <w:rFonts w:ascii="Times New Roman" w:hAnsi="Times New Roman" w:cs="Times New Roman" w:eastAsia="Times New Roman" w:hint="default"/>
                <w:spacing w:val="2"/>
                <w:sz w:val="18"/>
                <w:szCs w:val="18"/>
              </w:rPr>
              <w:t>18</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z w:val="18"/>
                <w:szCs w:val="18"/>
              </w:rPr>
              <w:t> </w:t>
            </w:r>
            <w:r>
              <w:rPr>
                <w:rFonts w:ascii="宋体" w:hAnsi="宋体" w:cs="宋体" w:eastAsia="宋体" w:hint="default"/>
                <w:sz w:val="18"/>
                <w:szCs w:val="18"/>
              </w:rPr>
              <w:t>月结项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00" w:lineRule="auto"/>
              <w:ind w:left="4" w:right="-3"/>
              <w:jc w:val="both"/>
              <w:rPr>
                <w:rFonts w:ascii="宋体" w:hAnsi="宋体" w:cs="宋体" w:eastAsia="宋体" w:hint="default"/>
                <w:sz w:val="18"/>
                <w:szCs w:val="18"/>
              </w:rPr>
            </w:pPr>
            <w:r>
              <w:rPr>
                <w:rFonts w:ascii="宋体" w:hAnsi="宋体" w:cs="宋体" w:eastAsia="宋体" w:hint="default"/>
                <w:spacing w:val="5"/>
                <w:sz w:val="18"/>
                <w:szCs w:val="18"/>
              </w:rPr>
              <w:t>游戏采用</w:t>
            </w:r>
            <w:r>
              <w:rPr>
                <w:rFonts w:ascii="Times New Roman" w:hAnsi="Times New Roman" w:cs="Times New Roman" w:eastAsia="Times New Roman" w:hint="default"/>
                <w:spacing w:val="5"/>
                <w:sz w:val="18"/>
                <w:szCs w:val="18"/>
              </w:rPr>
              <w:t>Unity3D</w:t>
            </w:r>
            <w:r>
              <w:rPr>
                <w:rFonts w:ascii="宋体" w:hAnsi="宋体" w:cs="宋体" w:eastAsia="宋体" w:hint="default"/>
                <w:spacing w:val="5"/>
                <w:sz w:val="18"/>
                <w:szCs w:val="18"/>
              </w:rPr>
              <w:t>引擎进行开发，通过大量的</w:t>
            </w:r>
            <w:r>
              <w:rPr>
                <w:rFonts w:ascii="Times New Roman" w:hAnsi="Times New Roman" w:cs="Times New Roman" w:eastAsia="Times New Roman" w:hint="default"/>
                <w:spacing w:val="5"/>
                <w:sz w:val="18"/>
                <w:szCs w:val="18"/>
              </w:rPr>
              <w:t>SLG</w:t>
            </w:r>
            <w:r>
              <w:rPr>
                <w:rFonts w:ascii="宋体" w:hAnsi="宋体" w:cs="宋体" w:eastAsia="宋体" w:hint="default"/>
                <w:spacing w:val="5"/>
                <w:sz w:val="18"/>
                <w:szCs w:val="18"/>
              </w:rPr>
              <w:t>经验积</w:t>
            </w:r>
            <w:r>
              <w:rPr>
                <w:rFonts w:ascii="宋体" w:hAnsi="宋体" w:cs="宋体" w:eastAsia="宋体" w:hint="default"/>
                <w:spacing w:val="-64"/>
                <w:sz w:val="18"/>
                <w:szCs w:val="18"/>
              </w:rPr>
              <w:t> </w:t>
            </w:r>
            <w:r>
              <w:rPr>
                <w:rFonts w:ascii="宋体" w:hAnsi="宋体" w:cs="宋体" w:eastAsia="宋体" w:hint="default"/>
                <w:spacing w:val="2"/>
                <w:sz w:val="18"/>
                <w:szCs w:val="18"/>
              </w:rPr>
              <w:t>累，对当前</w:t>
            </w:r>
            <w:r>
              <w:rPr>
                <w:rFonts w:ascii="Times New Roman" w:hAnsi="Times New Roman" w:cs="Times New Roman" w:eastAsia="Times New Roman" w:hint="default"/>
                <w:spacing w:val="2"/>
                <w:sz w:val="18"/>
                <w:szCs w:val="18"/>
              </w:rPr>
              <w:t>SLG</w:t>
            </w:r>
            <w:r>
              <w:rPr>
                <w:rFonts w:ascii="宋体" w:hAnsi="宋体" w:cs="宋体" w:eastAsia="宋体" w:hint="default"/>
                <w:spacing w:val="2"/>
                <w:sz w:val="18"/>
                <w:szCs w:val="18"/>
              </w:rPr>
              <w:t>类项目的可优化点进行分析设计与不断推</w:t>
            </w:r>
            <w:r>
              <w:rPr>
                <w:rFonts w:ascii="宋体" w:hAnsi="宋体" w:cs="宋体" w:eastAsia="宋体" w:hint="default"/>
                <w:spacing w:val="-70"/>
                <w:sz w:val="18"/>
                <w:szCs w:val="18"/>
              </w:rPr>
              <w:t> </w:t>
            </w:r>
            <w:r>
              <w:rPr>
                <w:rFonts w:ascii="宋体" w:hAnsi="宋体" w:cs="宋体" w:eastAsia="宋体" w:hint="default"/>
                <w:sz w:val="18"/>
                <w:szCs w:val="18"/>
              </w:rPr>
              <w:t>敲，最终成立的具有足够市场竞争力的项目。</w:t>
            </w:r>
          </w:p>
        </w:tc>
        <w:tc>
          <w:tcPr>
            <w:tcW w:w="1466" w:type="dxa"/>
            <w:vMerge/>
            <w:tcBorders>
              <w:left w:val="single" w:sz="4" w:space="0" w:color="000000"/>
              <w:bottom w:val="single" w:sz="4" w:space="0" w:color="000000"/>
              <w:right w:val="single" w:sz="4" w:space="0" w:color="000000"/>
            </w:tcBorders>
          </w:tcPr>
          <w:p>
            <w:pPr/>
          </w:p>
        </w:tc>
      </w:tr>
      <w:tr>
        <w:trPr>
          <w:trHeight w:val="1278" w:hRule="exact"/>
        </w:trPr>
        <w:tc>
          <w:tcPr>
            <w:tcW w:w="1086"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 w:right="171"/>
              <w:jc w:val="both"/>
              <w:rPr>
                <w:rFonts w:ascii="宋体" w:hAnsi="宋体" w:cs="宋体" w:eastAsia="宋体" w:hint="default"/>
                <w:sz w:val="18"/>
                <w:szCs w:val="18"/>
              </w:rPr>
            </w:pPr>
            <w:r>
              <w:rPr>
                <w:rFonts w:ascii="宋体" w:hAnsi="宋体" w:cs="宋体" w:eastAsia="宋体" w:hint="default"/>
                <w:sz w:val="18"/>
                <w:szCs w:val="18"/>
              </w:rPr>
              <w:t>面向金融行 业的基础通 信系统</w:t>
            </w:r>
          </w:p>
        </w:tc>
        <w:tc>
          <w:tcPr>
            <w:tcW w:w="186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4" w:right="44"/>
              <w:jc w:val="both"/>
              <w:rPr>
                <w:rFonts w:ascii="宋体" w:hAnsi="宋体" w:cs="宋体" w:eastAsia="宋体" w:hint="default"/>
                <w:sz w:val="18"/>
                <w:szCs w:val="18"/>
              </w:rPr>
            </w:pPr>
            <w:r>
              <w:rPr>
                <w:rFonts w:ascii="宋体" w:hAnsi="宋体" w:cs="宋体" w:eastAsia="宋体" w:hint="default"/>
                <w:sz w:val="18"/>
                <w:szCs w:val="18"/>
              </w:rPr>
              <w:t>为银行提供入驻式的部 署方案，帮助其建立专 属的通信能力平台。</w:t>
            </w:r>
          </w:p>
        </w:tc>
        <w:tc>
          <w:tcPr>
            <w:tcW w:w="66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FFFFFF"/>
              <w:right w:val="single" w:sz="4" w:space="0" w:color="000000"/>
            </w:tcBorders>
          </w:tcPr>
          <w:p>
            <w:pPr>
              <w:pStyle w:val="TableParagraph"/>
              <w:spacing w:line="316" w:lineRule="auto" w:before="21"/>
              <w:ind w:left="4" w:right="7"/>
              <w:jc w:val="left"/>
              <w:rPr>
                <w:rFonts w:ascii="宋体" w:hAnsi="宋体" w:cs="宋体" w:eastAsia="宋体" w:hint="default"/>
                <w:sz w:val="18"/>
                <w:szCs w:val="18"/>
              </w:rPr>
            </w:pPr>
            <w:r>
              <w:rPr>
                <w:rFonts w:ascii="宋体" w:hAnsi="宋体" w:cs="宋体" w:eastAsia="宋体" w:hint="default"/>
                <w:spacing w:val="2"/>
                <w:sz w:val="18"/>
                <w:szCs w:val="18"/>
              </w:rPr>
              <w:t>为企业和个人开发者提供开放融合的即时通讯平台；为金</w:t>
            </w:r>
            <w:r>
              <w:rPr>
                <w:rFonts w:ascii="宋体" w:hAnsi="宋体" w:cs="宋体" w:eastAsia="宋体" w:hint="default"/>
                <w:sz w:val="18"/>
                <w:szCs w:val="18"/>
              </w:rPr>
              <w:t> 融机构提供公众服务平台；为金融机构提供系统管理平台 </w:t>
            </w:r>
            <w:r>
              <w:rPr>
                <w:rFonts w:ascii="宋体" w:hAnsi="宋体" w:cs="宋体" w:eastAsia="宋体" w:hint="default"/>
                <w:spacing w:val="2"/>
                <w:sz w:val="18"/>
                <w:szCs w:val="18"/>
              </w:rPr>
              <w:t>更好的了解自有平台的运行和运营状况，指定运营方案和</w:t>
            </w:r>
            <w:r>
              <w:rPr>
                <w:rFonts w:ascii="宋体" w:hAnsi="宋体" w:cs="宋体" w:eastAsia="宋体" w:hint="default"/>
                <w:sz w:val="18"/>
                <w:szCs w:val="18"/>
              </w:rPr>
              <w:t> 策略。</w:t>
            </w:r>
          </w:p>
        </w:tc>
        <w:tc>
          <w:tcPr>
            <w:tcW w:w="1466" w:type="dxa"/>
            <w:vMerge w:val="restart"/>
            <w:tcBorders>
              <w:top w:val="single" w:sz="4" w:space="0" w:color="000000"/>
              <w:left w:val="single" w:sz="4" w:space="0" w:color="000000"/>
              <w:right w:val="single" w:sz="4" w:space="0" w:color="000000"/>
            </w:tcBorders>
          </w:tcPr>
          <w:p>
            <w:pPr>
              <w:pStyle w:val="TableParagraph"/>
              <w:spacing w:line="820" w:lineRule="exact"/>
              <w:ind w:left="-6" w:right="-55"/>
              <w:jc w:val="left"/>
              <w:rPr>
                <w:rFonts w:ascii="宋体" w:hAnsi="宋体" w:cs="宋体" w:eastAsia="宋体" w:hint="default"/>
                <w:sz w:val="20"/>
                <w:szCs w:val="20"/>
              </w:rPr>
            </w:pPr>
            <w:r>
              <w:rPr>
                <w:rFonts w:ascii="宋体" w:hAnsi="宋体" w:cs="宋体" w:eastAsia="宋体" w:hint="default"/>
                <w:position w:val="-15"/>
                <w:sz w:val="20"/>
                <w:szCs w:val="20"/>
              </w:rPr>
              <w:pict>
                <v:group style="width:73.4pt;height:41.05pt;mso-position-horizontal-relative:char;mso-position-vertical-relative:line" coordorigin="0,0" coordsize="1468,821">
                  <v:group style="position:absolute;left:7;top:1;width:1456;height:820" coordorigin="7,1" coordsize="1456,820">
                    <v:shape style="position:absolute;left:7;top:1;width:1456;height:820" coordorigin="7,1" coordsize="1456,820" path="m7,821l1462,821,1462,1,7,1,7,821xe" filled="true" fillcolor="#ffffff" stroked="false">
                      <v:path arrowok="t"/>
                      <v:fill type="solid"/>
                    </v:shape>
                  </v:group>
                  <v:group style="position:absolute;left:5;top:5;width:1457;height:2" coordorigin="5,5" coordsize="1457,2">
                    <v:shape style="position:absolute;left:5;top:5;width:1457;height:2" coordorigin="5,5" coordsize="1457,0" path="m5,5l1462,5e" filled="false" stroked="true" strokeweight=".54pt" strokecolor="#ffffff">
                      <v:path arrowok="t"/>
                    </v:shape>
                  </v:group>
                </v:group>
              </w:pict>
            </w:r>
            <w:r>
              <w:rPr>
                <w:rFonts w:ascii="宋体" w:hAnsi="宋体" w:cs="宋体" w:eastAsia="宋体" w:hint="default"/>
                <w:position w:val="-15"/>
                <w:sz w:val="20"/>
                <w:szCs w:val="20"/>
              </w:rPr>
            </w:r>
          </w:p>
          <w:p>
            <w:pPr>
              <w:pStyle w:val="TableParagraph"/>
              <w:spacing w:line="240" w:lineRule="auto" w:before="11"/>
              <w:ind w:left="5" w:right="0"/>
              <w:jc w:val="left"/>
              <w:rPr>
                <w:rFonts w:ascii="宋体" w:hAnsi="宋体" w:cs="宋体" w:eastAsia="宋体" w:hint="default"/>
                <w:sz w:val="18"/>
                <w:szCs w:val="18"/>
              </w:rPr>
            </w:pPr>
            <w:r>
              <w:rPr>
                <w:rFonts w:ascii="宋体" w:hAnsi="宋体" w:cs="宋体" w:eastAsia="宋体" w:hint="default"/>
                <w:sz w:val="18"/>
                <w:szCs w:val="18"/>
              </w:rPr>
              <w:t>移动互联网运营业</w:t>
            </w: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6" w:lineRule="auto"/>
              <w:ind w:left="5" w:right="3"/>
              <w:jc w:val="both"/>
              <w:rPr>
                <w:rFonts w:ascii="宋体" w:hAnsi="宋体" w:cs="宋体" w:eastAsia="宋体" w:hint="default"/>
                <w:sz w:val="18"/>
                <w:szCs w:val="18"/>
              </w:rPr>
            </w:pPr>
            <w:r>
              <w:rPr>
                <w:rFonts w:ascii="宋体" w:hAnsi="宋体" w:cs="宋体" w:eastAsia="宋体" w:hint="default"/>
                <w:sz w:val="18"/>
                <w:szCs w:val="18"/>
              </w:rPr>
              <w:t>务作为公司传统核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心业务的一部分，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该项目可提高公司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在该领域的技术水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平，丰富产品线。</w:t>
            </w:r>
          </w:p>
        </w:tc>
      </w:tr>
      <w:tr>
        <w:trPr>
          <w:trHeight w:val="966" w:hRule="exact"/>
        </w:trPr>
        <w:tc>
          <w:tcPr>
            <w:tcW w:w="1086"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316" w:lineRule="auto" w:before="21"/>
              <w:ind w:left="4" w:right="171"/>
              <w:jc w:val="both"/>
              <w:rPr>
                <w:rFonts w:ascii="宋体" w:hAnsi="宋体" w:cs="宋体" w:eastAsia="宋体" w:hint="default"/>
                <w:sz w:val="18"/>
                <w:szCs w:val="18"/>
              </w:rPr>
            </w:pPr>
            <w:r>
              <w:rPr>
                <w:rFonts w:ascii="宋体" w:hAnsi="宋体" w:cs="宋体" w:eastAsia="宋体" w:hint="default"/>
                <w:sz w:val="18"/>
                <w:szCs w:val="18"/>
              </w:rPr>
              <w:t>社交化融合 通信终端系 统</w:t>
            </w:r>
          </w:p>
        </w:tc>
        <w:tc>
          <w:tcPr>
            <w:tcW w:w="1861" w:type="dxa"/>
            <w:tcBorders>
              <w:top w:val="single" w:sz="4" w:space="0" w:color="FFFFFF"/>
              <w:left w:val="single" w:sz="4" w:space="0" w:color="000000"/>
              <w:bottom w:val="single" w:sz="4" w:space="0" w:color="000000"/>
              <w:right w:val="single" w:sz="4" w:space="0" w:color="000000"/>
            </w:tcBorders>
          </w:tcPr>
          <w:p>
            <w:pPr>
              <w:pStyle w:val="TableParagraph"/>
              <w:spacing w:line="309" w:lineRule="auto" w:before="21"/>
              <w:ind w:left="4" w:right="44"/>
              <w:jc w:val="both"/>
              <w:rPr>
                <w:rFonts w:ascii="宋体" w:hAnsi="宋体" w:cs="宋体" w:eastAsia="宋体" w:hint="default"/>
                <w:sz w:val="18"/>
                <w:szCs w:val="18"/>
              </w:rPr>
            </w:pPr>
            <w:r>
              <w:rPr>
                <w:rFonts w:ascii="宋体" w:hAnsi="宋体" w:cs="宋体" w:eastAsia="宋体" w:hint="default"/>
                <w:spacing w:val="-3"/>
                <w:sz w:val="18"/>
                <w:szCs w:val="18"/>
              </w:rPr>
              <w:t>在继承</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三新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（新消息</w:t>
            </w:r>
            <w:r>
              <w:rPr>
                <w:rFonts w:ascii="宋体" w:hAnsi="宋体" w:cs="宋体" w:eastAsia="宋体" w:hint="default"/>
                <w:spacing w:val="-86"/>
                <w:sz w:val="18"/>
                <w:szCs w:val="18"/>
              </w:rPr>
              <w:t> </w:t>
            </w:r>
            <w:r>
              <w:rPr>
                <w:rFonts w:ascii="宋体" w:hAnsi="宋体" w:cs="宋体" w:eastAsia="宋体" w:hint="default"/>
                <w:sz w:val="18"/>
                <w:szCs w:val="18"/>
              </w:rPr>
              <w:t>新联系、新通话）基础 </w:t>
            </w:r>
            <w:r>
              <w:rPr>
                <w:rFonts w:ascii="宋体" w:hAnsi="宋体" w:cs="宋体" w:eastAsia="宋体" w:hint="default"/>
                <w:spacing w:val="-5"/>
                <w:sz w:val="18"/>
                <w:szCs w:val="18"/>
              </w:rPr>
              <w:t>上，构建更多通信场景</w:t>
            </w:r>
          </w:p>
        </w:tc>
        <w:tc>
          <w:tcPr>
            <w:tcW w:w="66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p>
            <w:pPr>
              <w:pStyle w:val="TableParagraph"/>
              <w:spacing w:line="478" w:lineRule="exact"/>
              <w:ind w:left="-6" w:right="-55"/>
              <w:jc w:val="left"/>
              <w:rPr>
                <w:rFonts w:ascii="宋体" w:hAnsi="宋体" w:cs="宋体" w:eastAsia="宋体" w:hint="default"/>
                <w:sz w:val="20"/>
                <w:szCs w:val="20"/>
              </w:rPr>
            </w:pPr>
            <w:r>
              <w:rPr>
                <w:rFonts w:ascii="宋体" w:hAnsi="宋体" w:cs="宋体" w:eastAsia="宋体" w:hint="default"/>
                <w:position w:val="-9"/>
                <w:sz w:val="20"/>
                <w:szCs w:val="20"/>
              </w:rPr>
              <w:pict>
                <v:group style="width:33.25pt;height:23.95pt;mso-position-horizontal-relative:char;mso-position-vertical-relative:line" coordorigin="0,0" coordsize="665,479">
                  <v:group style="position:absolute;left:5;top:1;width:654;height:166" coordorigin="5,1" coordsize="654,166">
                    <v:shape style="position:absolute;left:5;top:1;width:654;height:166" coordorigin="5,1" coordsize="654,166" path="m5,167l659,167,659,1,5,1,5,167xe" filled="true" fillcolor="#ffffff" stroked="false">
                      <v:path arrowok="t"/>
                      <v:fill type="solid"/>
                    </v:shape>
                  </v:group>
                  <v:group style="position:absolute;left:11;top:167;width:642;height:312" coordorigin="11,167" coordsize="642,312">
                    <v:shape style="position:absolute;left:11;top:167;width:642;height:312" coordorigin="11,167" coordsize="642,312" path="m11,479l653,479,653,167,11,167,11,479xe" filled="true" fillcolor="#ffffff" stroked="false">
                      <v:path arrowok="t"/>
                      <v:fill type="solid"/>
                    </v:shape>
                  </v:group>
                  <v:group style="position:absolute;left:5;top:5;width:654;height:2" coordorigin="5,5" coordsize="654,2">
                    <v:shape style="position:absolute;left:5;top:5;width:654;height:2" coordorigin="5,5" coordsize="654,0" path="m5,5l659,5e" filled="false" stroked="true" strokeweight=".54pt" strokecolor="#ffffff">
                      <v:path arrowok="t"/>
                    </v:shape>
                  </v:group>
                </v:group>
              </w:pict>
            </w:r>
            <w:r>
              <w:rPr>
                <w:rFonts w:ascii="宋体" w:hAnsi="宋体" w:cs="宋体" w:eastAsia="宋体" w:hint="default"/>
                <w:position w:val="-9"/>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6"/>
                <w:szCs w:val="16"/>
              </w:rPr>
            </w:pPr>
          </w:p>
        </w:tc>
        <w:tc>
          <w:tcPr>
            <w:tcW w:w="4581" w:type="dxa"/>
            <w:tcBorders>
              <w:top w:val="single" w:sz="4" w:space="0" w:color="FFFFFF"/>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2"/>
                <w:sz w:val="18"/>
                <w:szCs w:val="18"/>
              </w:rPr>
              <w:t>提升系统各项性能，保证用户的极致体验。在提供了能够</w:t>
            </w:r>
            <w:r>
              <w:rPr>
                <w:rFonts w:ascii="宋体" w:hAnsi="宋体" w:cs="宋体" w:eastAsia="宋体" w:hint="default"/>
                <w:sz w:val="18"/>
                <w:szCs w:val="18"/>
              </w:rPr>
              <w:t> </w:t>
            </w:r>
            <w:r>
              <w:rPr>
                <w:rFonts w:ascii="宋体" w:hAnsi="宋体" w:cs="宋体" w:eastAsia="宋体" w:hint="default"/>
                <w:spacing w:val="9"/>
                <w:sz w:val="18"/>
                <w:szCs w:val="18"/>
              </w:rPr>
              <w:t>满足不同的企业和个人用户需要的多种社交能力的前提</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下，引导用户使用习惯，培养用户粘性。</w:t>
            </w:r>
          </w:p>
        </w:tc>
        <w:tc>
          <w:tcPr>
            <w:tcW w:w="1466" w:type="dxa"/>
            <w:vMerge/>
            <w:tcBorders>
              <w:left w:val="single" w:sz="4" w:space="0" w:color="000000"/>
              <w:right w:val="single" w:sz="4" w:space="0" w:color="000000"/>
            </w:tcBorders>
          </w:tcPr>
          <w:p>
            <w:pPr/>
          </w:p>
        </w:tc>
      </w:tr>
      <w:tr>
        <w:trPr>
          <w:trHeight w:val="1278" w:hRule="exact"/>
        </w:trPr>
        <w:tc>
          <w:tcPr>
            <w:tcW w:w="1086"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9" w:lineRule="auto"/>
              <w:ind w:left="4" w:right="171"/>
              <w:jc w:val="both"/>
              <w:rPr>
                <w:rFonts w:ascii="宋体" w:hAnsi="宋体" w:cs="宋体" w:eastAsia="宋体" w:hint="default"/>
                <w:sz w:val="18"/>
                <w:szCs w:val="18"/>
              </w:rPr>
            </w:pPr>
            <w:r>
              <w:rPr>
                <w:rFonts w:ascii="宋体" w:hAnsi="宋体" w:cs="宋体" w:eastAsia="宋体" w:hint="default"/>
                <w:sz w:val="18"/>
                <w:szCs w:val="18"/>
              </w:rPr>
              <w:t>企业融合通 信中间件平 台</w:t>
            </w:r>
          </w:p>
        </w:tc>
        <w:tc>
          <w:tcPr>
            <w:tcW w:w="1861" w:type="dxa"/>
            <w:tcBorders>
              <w:top w:val="single" w:sz="4" w:space="0" w:color="000000"/>
              <w:left w:val="single" w:sz="4" w:space="0" w:color="000000"/>
              <w:bottom w:val="single" w:sz="4" w:space="0" w:color="FFFFFF"/>
              <w:right w:val="single" w:sz="4" w:space="0" w:color="000000"/>
            </w:tcBorders>
          </w:tcPr>
          <w:p>
            <w:pPr>
              <w:pStyle w:val="TableParagraph"/>
              <w:spacing w:line="319"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为用户营造出一个可以 提供多种通信服务的方 便、可靠、集成、协作 的办公通信系统。</w:t>
            </w:r>
          </w:p>
        </w:tc>
        <w:tc>
          <w:tcPr>
            <w:tcW w:w="66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p>
          <w:p>
            <w:pPr>
              <w:pStyle w:val="TableParagraph"/>
              <w:spacing w:line="240" w:lineRule="auto" w:before="63"/>
              <w:ind w:left="5" w:right="0"/>
              <w:jc w:val="left"/>
              <w:rPr>
                <w:rFonts w:ascii="宋体" w:hAnsi="宋体" w:cs="宋体" w:eastAsia="宋体" w:hint="default"/>
                <w:sz w:val="18"/>
                <w:szCs w:val="18"/>
              </w:rPr>
            </w:pPr>
            <w:r>
              <w:rPr>
                <w:rFonts w:ascii="宋体" w:hAnsi="宋体" w:cs="宋体" w:eastAsia="宋体" w:hint="default"/>
                <w:sz w:val="18"/>
                <w:szCs w:val="18"/>
              </w:rPr>
              <w:t>月结项</w:t>
            </w:r>
          </w:p>
        </w:tc>
        <w:tc>
          <w:tcPr>
            <w:tcW w:w="4581"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09" w:lineRule="auto"/>
              <w:ind w:left="4" w:right="5"/>
              <w:jc w:val="both"/>
              <w:rPr>
                <w:rFonts w:ascii="宋体" w:hAnsi="宋体" w:cs="宋体" w:eastAsia="宋体" w:hint="default"/>
                <w:sz w:val="18"/>
                <w:szCs w:val="18"/>
              </w:rPr>
            </w:pPr>
            <w:r>
              <w:rPr>
                <w:rFonts w:ascii="宋体" w:hAnsi="宋体" w:cs="宋体" w:eastAsia="宋体" w:hint="default"/>
                <w:spacing w:val="2"/>
                <w:sz w:val="18"/>
                <w:szCs w:val="18"/>
              </w:rPr>
              <w:t>本项目计划整合所有业务通信能力的富客户端业务，同时</w:t>
            </w:r>
            <w:r>
              <w:rPr>
                <w:rFonts w:ascii="宋体" w:hAnsi="宋体" w:cs="宋体" w:eastAsia="宋体" w:hint="default"/>
                <w:sz w:val="18"/>
                <w:szCs w:val="18"/>
              </w:rPr>
              <w:t> 为终端用户提供强大的、具有新通话、新联系的基于</w:t>
            </w:r>
            <w:r>
              <w:rPr>
                <w:rFonts w:ascii="Times New Roman" w:hAnsi="Times New Roman" w:cs="Times New Roman" w:eastAsia="Times New Roman" w:hint="default"/>
                <w:sz w:val="18"/>
                <w:szCs w:val="18"/>
              </w:rPr>
              <w:t>4G</w:t>
            </w:r>
            <w:r>
              <w:rPr>
                <w:rFonts w:ascii="宋体" w:hAnsi="宋体" w:cs="宋体" w:eastAsia="宋体" w:hint="default"/>
                <w:sz w:val="18"/>
                <w:szCs w:val="18"/>
              </w:rPr>
              <w:t>和</w:t>
            </w:r>
            <w:r>
              <w:rPr>
                <w:rFonts w:ascii="宋体" w:hAnsi="宋体" w:cs="宋体" w:eastAsia="宋体" w:hint="default"/>
                <w:spacing w:val="-73"/>
                <w:sz w:val="18"/>
                <w:szCs w:val="18"/>
              </w:rPr>
              <w:t> </w:t>
            </w:r>
            <w:r>
              <w:rPr>
                <w:rFonts w:ascii="宋体" w:hAnsi="宋体" w:cs="宋体" w:eastAsia="宋体" w:hint="default"/>
                <w:sz w:val="18"/>
                <w:szCs w:val="18"/>
              </w:rPr>
              <w:t>移动互联网的通讯交流能力。</w:t>
            </w:r>
          </w:p>
        </w:tc>
        <w:tc>
          <w:tcPr>
            <w:tcW w:w="1466" w:type="dxa"/>
            <w:vMerge/>
            <w:tcBorders>
              <w:left w:val="single" w:sz="4" w:space="0" w:color="000000"/>
              <w:bottom w:val="single" w:sz="4" w:space="0" w:color="FFFFFF"/>
              <w:right w:val="single" w:sz="4" w:space="0" w:color="000000"/>
            </w:tcBorders>
          </w:tcPr>
          <w:p>
            <w:pPr/>
          </w:p>
        </w:tc>
      </w:tr>
      <w:tr>
        <w:trPr>
          <w:trHeight w:val="654" w:hRule="exact"/>
        </w:trPr>
        <w:tc>
          <w:tcPr>
            <w:tcW w:w="1086"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316" w:lineRule="auto" w:before="21"/>
              <w:ind w:left="4" w:right="171"/>
              <w:jc w:val="left"/>
              <w:rPr>
                <w:rFonts w:ascii="宋体" w:hAnsi="宋体" w:cs="宋体" w:eastAsia="宋体" w:hint="default"/>
                <w:sz w:val="18"/>
                <w:szCs w:val="18"/>
              </w:rPr>
            </w:pPr>
            <w:r>
              <w:rPr>
                <w:rFonts w:ascii="宋体" w:hAnsi="宋体" w:cs="宋体" w:eastAsia="宋体" w:hint="default"/>
                <w:sz w:val="18"/>
                <w:szCs w:val="18"/>
              </w:rPr>
              <w:t>软件逆向分 析教学实训</w:t>
            </w:r>
          </w:p>
        </w:tc>
        <w:tc>
          <w:tcPr>
            <w:tcW w:w="1861" w:type="dxa"/>
            <w:tcBorders>
              <w:top w:val="single" w:sz="4" w:space="0" w:color="FFFFFF"/>
              <w:left w:val="single" w:sz="4" w:space="0" w:color="000000"/>
              <w:bottom w:val="single" w:sz="4" w:space="0" w:color="000000"/>
              <w:right w:val="single" w:sz="4" w:space="0" w:color="000000"/>
            </w:tcBorders>
          </w:tcPr>
          <w:p>
            <w:pPr>
              <w:pStyle w:val="TableParagraph"/>
              <w:spacing w:line="316" w:lineRule="auto" w:before="21"/>
              <w:ind w:left="4" w:right="44"/>
              <w:jc w:val="left"/>
              <w:rPr>
                <w:rFonts w:ascii="宋体" w:hAnsi="宋体" w:cs="宋体" w:eastAsia="宋体" w:hint="default"/>
                <w:sz w:val="18"/>
                <w:szCs w:val="18"/>
              </w:rPr>
            </w:pPr>
            <w:r>
              <w:rPr>
                <w:rFonts w:ascii="宋体" w:hAnsi="宋体" w:cs="宋体" w:eastAsia="宋体" w:hint="default"/>
                <w:sz w:val="18"/>
                <w:szCs w:val="18"/>
              </w:rPr>
              <w:t>为企业培训真正能用、 实用的软件逆向分析人</w:t>
            </w:r>
          </w:p>
        </w:tc>
        <w:tc>
          <w:tcPr>
            <w:tcW w:w="664" w:type="dxa"/>
            <w:tcBorders>
              <w:top w:val="single" w:sz="4" w:space="0" w:color="FFFFFF"/>
              <w:left w:val="single" w:sz="4" w:space="0" w:color="000000"/>
              <w:bottom w:val="single" w:sz="4" w:space="0" w:color="000000"/>
              <w:right w:val="single" w:sz="4" w:space="0" w:color="000000"/>
            </w:tcBorders>
          </w:tcPr>
          <w:p>
            <w:pPr>
              <w:pStyle w:val="TableParagraph"/>
              <w:spacing w:line="316" w:lineRule="auto" w:before="21"/>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FFFFFF"/>
              <w:left w:val="single" w:sz="4" w:space="0" w:color="000000"/>
              <w:bottom w:val="single" w:sz="4" w:space="0" w:color="000000"/>
              <w:right w:val="single" w:sz="4" w:space="0" w:color="000000"/>
            </w:tcBorders>
          </w:tcPr>
          <w:p>
            <w:pPr>
              <w:pStyle w:val="TableParagraph"/>
              <w:spacing w:line="316" w:lineRule="auto" w:before="21"/>
              <w:ind w:left="4" w:right="7"/>
              <w:jc w:val="left"/>
              <w:rPr>
                <w:rFonts w:ascii="宋体" w:hAnsi="宋体" w:cs="宋体" w:eastAsia="宋体" w:hint="default"/>
                <w:sz w:val="18"/>
                <w:szCs w:val="18"/>
              </w:rPr>
            </w:pPr>
            <w:r>
              <w:rPr>
                <w:rFonts w:ascii="宋体" w:hAnsi="宋体" w:cs="宋体" w:eastAsia="宋体" w:hint="default"/>
                <w:spacing w:val="2"/>
                <w:sz w:val="18"/>
                <w:szCs w:val="18"/>
              </w:rPr>
              <w:t>整合社会资源，深度推行校企合作，对专业课和专业基础</w:t>
            </w:r>
            <w:r>
              <w:rPr>
                <w:rFonts w:ascii="宋体" w:hAnsi="宋体" w:cs="宋体" w:eastAsia="宋体" w:hint="default"/>
                <w:sz w:val="18"/>
                <w:szCs w:val="18"/>
              </w:rPr>
              <w:t> </w:t>
            </w:r>
            <w:r>
              <w:rPr>
                <w:rFonts w:ascii="宋体" w:hAnsi="宋体" w:cs="宋体" w:eastAsia="宋体" w:hint="default"/>
                <w:spacing w:val="2"/>
                <w:sz w:val="18"/>
                <w:szCs w:val="18"/>
              </w:rPr>
              <w:t>课进行适当的调整，将重点培养学生在软件逆向分析岗位</w:t>
            </w:r>
          </w:p>
        </w:tc>
        <w:tc>
          <w:tcPr>
            <w:tcW w:w="1466" w:type="dxa"/>
            <w:tcBorders>
              <w:top w:val="single" w:sz="4" w:space="0" w:color="FFFFFF"/>
              <w:left w:val="single" w:sz="4" w:space="0" w:color="000000"/>
              <w:bottom w:val="single" w:sz="4" w:space="0" w:color="000000"/>
              <w:right w:val="single" w:sz="4" w:space="0" w:color="000000"/>
            </w:tcBorders>
          </w:tcPr>
          <w:p>
            <w:pPr>
              <w:pStyle w:val="TableParagraph"/>
              <w:spacing w:line="316" w:lineRule="auto" w:before="21"/>
              <w:ind w:left="5" w:right="3"/>
              <w:jc w:val="left"/>
              <w:rPr>
                <w:rFonts w:ascii="宋体" w:hAnsi="宋体" w:cs="宋体" w:eastAsia="宋体" w:hint="default"/>
                <w:sz w:val="18"/>
                <w:szCs w:val="18"/>
              </w:rPr>
            </w:pPr>
            <w:r>
              <w:rPr>
                <w:rFonts w:ascii="宋体" w:hAnsi="宋体" w:cs="宋体" w:eastAsia="宋体" w:hint="default"/>
                <w:sz w:val="18"/>
                <w:szCs w:val="18"/>
              </w:rPr>
              <w:t>拓展公司职业教育</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领域的产品，为公</w:t>
            </w:r>
          </w:p>
        </w:tc>
      </w:tr>
    </w:tbl>
    <w:p>
      <w:pPr>
        <w:rPr>
          <w:sz w:val="2"/>
          <w:szCs w:val="2"/>
        </w:rPr>
      </w:pPr>
      <w:r>
        <w:rPr/>
        <w:pict>
          <v:shape style="position:absolute;margin-left:198.617004pt;margin-top:346.045593pt;width:37.65pt;height:20.1pt;mso-position-horizontal-relative:page;mso-position-vertical-relative:page;z-index:-1193656" type="#_x0000_t202" filled="false" stroked="false">
            <v:textbox inset="0,0,0,0">
              <w:txbxContent>
                <w:p>
                  <w:pPr>
                    <w:pStyle w:val="BodyText"/>
                    <w:spacing w:line="180" w:lineRule="exact"/>
                    <w:ind w:left="0" w:right="0"/>
                    <w:jc w:val="left"/>
                  </w:pPr>
                  <w:r>
                    <w:rPr/>
                    <w:t>、</w:t>
                  </w:r>
                </w:p>
              </w:txbxContent>
            </v:textbox>
            <w10:wrap type="none"/>
          </v:shape>
        </w:pict>
      </w:r>
      <w:r>
        <w:rPr/>
        <w:pict>
          <v:shape style="position:absolute;margin-left:460.820007pt;margin-top:549.579956pt;width:78.1pt;height:41pt;mso-position-horizontal-relative:page;mso-position-vertical-relative:page;z-index:-1193632" type="#_x0000_t202" filled="false" stroked="false">
            <v:textbox inset="0,0,0,0">
              <w:txbxContent>
                <w:p>
                  <w:pPr>
                    <w:spacing w:line="240" w:lineRule="auto" w:before="5"/>
                    <w:rPr>
                      <w:rFonts w:ascii="宋体" w:hAnsi="宋体" w:cs="宋体" w:eastAsia="宋体" w:hint="default"/>
                      <w:sz w:val="25"/>
                      <w:szCs w:val="25"/>
                    </w:rPr>
                  </w:pPr>
                </w:p>
                <w:p>
                  <w:pPr>
                    <w:pStyle w:val="BodyText"/>
                    <w:spacing w:line="240" w:lineRule="auto"/>
                    <w:ind w:left="0" w:right="0"/>
                    <w:jc w:val="left"/>
                  </w:pPr>
                  <w:r>
                    <w:rPr/>
                    <w:t>，</w:t>
                  </w:r>
                </w:p>
              </w:txbxContent>
            </v:textbox>
            <w10:wrap type="none"/>
          </v:shape>
        </w:pict>
      </w:r>
      <w:r>
        <w:rPr/>
        <w:pict>
          <v:shape style="position:absolute;margin-left:198.617004pt;margin-top:648.465637pt;width:37.950pt;height:12.8pt;mso-position-horizontal-relative:page;mso-position-vertical-relative:page;z-index:-1193608" type="#_x0000_t202" filled="false" stroked="false">
            <v:textbox inset="0,0,0,0">
              <w:txbxContent>
                <w:p>
                  <w:pPr>
                    <w:pStyle w:val="BodyText"/>
                    <w:spacing w:line="180" w:lineRule="exact"/>
                    <w:ind w:left="0" w:right="0"/>
                    <w:jc w:val="left"/>
                  </w:pPr>
                  <w:r>
                    <w:rPr/>
                    <w:t>。</w:t>
                  </w:r>
                </w:p>
              </w:txbxContent>
            </v:textbox>
            <w10:wrap type="none"/>
          </v:shape>
        </w:pict>
      </w:r>
      <w:r>
        <w:rPr/>
        <w:pict>
          <v:shape style="position:absolute;margin-left:198.619995pt;margin-top:617.265625pt;width:37.65pt;height:20.1pt;mso-position-horizontal-relative:page;mso-position-vertical-relative:page;z-index:-1193584" type="#_x0000_t202" filled="false" stroked="false">
            <v:textbox inset="0,0,0,0">
              <w:txbxContent>
                <w:p>
                  <w:pPr>
                    <w:pStyle w:val="BodyText"/>
                    <w:spacing w:line="180" w:lineRule="exact"/>
                    <w:ind w:left="0" w:right="0"/>
                    <w:jc w:val="left"/>
                  </w:pPr>
                  <w:r>
                    <w:rPr/>
                    <w:t>、</w:t>
                  </w:r>
                </w:p>
              </w:txbxContent>
            </v:textbox>
            <w10:wrap type="none"/>
          </v:shape>
        </w:pict>
      </w:r>
      <w:r>
        <w:rPr/>
        <w:pict>
          <v:group style="position:absolute;margin-left:203.419998pt;margin-top:652.959961pt;width:33.6pt;height:8.3pt;mso-position-horizontal-relative:page;mso-position-vertical-relative:page;z-index:-1193560" coordorigin="4068,13059" coordsize="672,166">
            <v:group style="position:absolute;left:4077;top:13059;width:654;height:166" coordorigin="4077,13059" coordsize="654,166">
              <v:shape style="position:absolute;left:4077;top:13059;width:654;height:166" coordorigin="4077,13059" coordsize="654,166" path="m4077,13225l4731,13225,4731,13059,4077,13059,4077,13225xe" filled="true" fillcolor="#ffffff" stroked="false">
                <v:path arrowok="t"/>
                <v:fill type="solid"/>
              </v:shape>
            </v:group>
            <v:group style="position:absolute;left:4073;top:13219;width:663;height:2" coordorigin="4073,13219" coordsize="663,2">
              <v:shape style="position:absolute;left:4073;top:13219;width:663;height:2" coordorigin="4073,13219" coordsize="663,0" path="m4073,13219l4736,13219e" filled="false" stroked="true" strokeweight=".48pt" strokecolor="#ffffff">
                <v:path arrowok="t"/>
              </v:shape>
            </v:group>
            <w10:wrap type="none"/>
          </v:group>
        </w:pict>
      </w:r>
    </w:p>
    <w:p>
      <w:pPr>
        <w:spacing w:after="0"/>
        <w:rPr>
          <w:sz w:val="2"/>
          <w:szCs w:val="2"/>
        </w:rPr>
        <w:sectPr>
          <w:pgSz w:w="11910" w:h="16840"/>
          <w:pgMar w:header="851" w:footer="979" w:top="1440" w:bottom="1160" w:left="0" w:right="0"/>
        </w:sectPr>
      </w:pPr>
    </w:p>
    <w:p>
      <w:pPr>
        <w:spacing w:line="240" w:lineRule="auto" w:before="12"/>
        <w:rPr>
          <w:rFonts w:ascii="宋体" w:hAnsi="宋体" w:cs="宋体" w:eastAsia="宋体" w:hint="default"/>
          <w:sz w:val="3"/>
          <w:szCs w:val="3"/>
        </w:rPr>
      </w:pPr>
    </w:p>
    <w:tbl>
      <w:tblPr>
        <w:tblW w:w="0" w:type="auto"/>
        <w:jc w:val="left"/>
        <w:tblInd w:w="1119" w:type="dxa"/>
        <w:tblLayout w:type="fixed"/>
        <w:tblCellMar>
          <w:top w:w="0" w:type="dxa"/>
          <w:left w:w="0" w:type="dxa"/>
          <w:bottom w:w="0" w:type="dxa"/>
          <w:right w:w="0" w:type="dxa"/>
        </w:tblCellMar>
        <w:tblLook w:val="01E0"/>
      </w:tblPr>
      <w:tblGrid>
        <w:gridCol w:w="1086"/>
        <w:gridCol w:w="1861"/>
        <w:gridCol w:w="664"/>
        <w:gridCol w:w="4581"/>
        <w:gridCol w:w="1466"/>
      </w:tblGrid>
      <w:tr>
        <w:trPr>
          <w:trHeight w:val="966"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平台</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才</w:t>
            </w:r>
          </w:p>
        </w:tc>
        <w:tc>
          <w:tcPr>
            <w:tcW w:w="664" w:type="dxa"/>
            <w:tcBorders>
              <w:top w:val="single" w:sz="4" w:space="0" w:color="000000"/>
              <w:left w:val="single" w:sz="4" w:space="0" w:color="000000"/>
              <w:bottom w:val="single" w:sz="4" w:space="0" w:color="000000"/>
              <w:right w:val="single" w:sz="4" w:space="0" w:color="000000"/>
            </w:tcBorders>
          </w:tcPr>
          <w:p>
            <w:pP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2"/>
                <w:sz w:val="18"/>
                <w:szCs w:val="18"/>
              </w:rPr>
              <w:t>的强化技能，使课程更契合当前的企业用人需求，增强学</w:t>
            </w:r>
            <w:r>
              <w:rPr>
                <w:rFonts w:ascii="宋体" w:hAnsi="宋体" w:cs="宋体" w:eastAsia="宋体" w:hint="default"/>
                <w:sz w:val="18"/>
                <w:szCs w:val="18"/>
              </w:rPr>
              <w:t> </w:t>
            </w:r>
            <w:r>
              <w:rPr>
                <w:rFonts w:ascii="宋体" w:hAnsi="宋体" w:cs="宋体" w:eastAsia="宋体" w:hint="default"/>
                <w:spacing w:val="2"/>
                <w:sz w:val="18"/>
                <w:szCs w:val="18"/>
              </w:rPr>
              <w:t>生的就业竞争力，让学生今后从事本行业或类似行业能真</w:t>
            </w:r>
            <w:r>
              <w:rPr>
                <w:rFonts w:ascii="宋体" w:hAnsi="宋体" w:cs="宋体" w:eastAsia="宋体" w:hint="default"/>
                <w:sz w:val="18"/>
                <w:szCs w:val="18"/>
              </w:rPr>
              <w:t> 正做的</w:t>
            </w:r>
            <w:r>
              <w:rPr>
                <w:rFonts w:ascii="Times New Roman" w:hAnsi="Times New Roman" w:cs="Times New Roman" w:eastAsia="Times New Roman" w:hint="default"/>
                <w:sz w:val="18"/>
                <w:szCs w:val="18"/>
              </w:rPr>
              <w:t>“</w:t>
            </w:r>
            <w:r>
              <w:rPr>
                <w:rFonts w:ascii="宋体" w:hAnsi="宋体" w:cs="宋体" w:eastAsia="宋体" w:hint="default"/>
                <w:sz w:val="18"/>
                <w:szCs w:val="18"/>
              </w:rPr>
              <w:t>零距离</w:t>
            </w:r>
            <w:r>
              <w:rPr>
                <w:rFonts w:ascii="Times New Roman" w:hAnsi="Times New Roman" w:cs="Times New Roman" w:eastAsia="Times New Roman" w:hint="default"/>
                <w:sz w:val="18"/>
                <w:szCs w:val="18"/>
              </w:rPr>
              <w:t>”</w:t>
            </w:r>
            <w:r>
              <w:rPr>
                <w:rFonts w:ascii="宋体" w:hAnsi="宋体" w:cs="宋体" w:eastAsia="宋体" w:hint="default"/>
                <w:sz w:val="18"/>
                <w:szCs w:val="18"/>
              </w:rPr>
              <w:t>上岗。</w:t>
            </w:r>
          </w:p>
        </w:tc>
        <w:tc>
          <w:tcPr>
            <w:tcW w:w="14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5" w:right="3"/>
              <w:jc w:val="left"/>
              <w:rPr>
                <w:rFonts w:ascii="宋体" w:hAnsi="宋体" w:cs="宋体" w:eastAsia="宋体" w:hint="default"/>
                <w:sz w:val="18"/>
                <w:szCs w:val="18"/>
              </w:rPr>
            </w:pPr>
            <w:r>
              <w:rPr>
                <w:rFonts w:ascii="宋体" w:hAnsi="宋体" w:cs="宋体" w:eastAsia="宋体" w:hint="default"/>
                <w:sz w:val="18"/>
                <w:szCs w:val="18"/>
              </w:rPr>
              <w:t>司的创新业务贡献</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力量。</w:t>
            </w:r>
          </w:p>
        </w:tc>
      </w:tr>
      <w:tr>
        <w:trPr>
          <w:trHeight w:val="2214"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3"/>
                <w:szCs w:val="13"/>
              </w:rPr>
            </w:pPr>
          </w:p>
          <w:p>
            <w:pPr>
              <w:pStyle w:val="TableParagraph"/>
              <w:spacing w:line="316" w:lineRule="auto"/>
              <w:ind w:left="4" w:right="171"/>
              <w:jc w:val="both"/>
              <w:rPr>
                <w:rFonts w:ascii="宋体" w:hAnsi="宋体" w:cs="宋体" w:eastAsia="宋体" w:hint="default"/>
                <w:sz w:val="18"/>
                <w:szCs w:val="18"/>
              </w:rPr>
            </w:pPr>
            <w:r>
              <w:rPr>
                <w:rFonts w:ascii="宋体" w:hAnsi="宋体" w:cs="宋体" w:eastAsia="宋体" w:hint="default"/>
                <w:sz w:val="18"/>
                <w:szCs w:val="18"/>
              </w:rPr>
              <w:t>气象综合观 测业务一体 化</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4" w:lineRule="auto"/>
              <w:ind w:left="4" w:right="-4"/>
              <w:jc w:val="left"/>
              <w:rPr>
                <w:rFonts w:ascii="宋体" w:hAnsi="宋体" w:cs="宋体" w:eastAsia="宋体" w:hint="default"/>
                <w:sz w:val="18"/>
                <w:szCs w:val="18"/>
              </w:rPr>
            </w:pPr>
            <w:r>
              <w:rPr>
                <w:rFonts w:ascii="宋体" w:hAnsi="宋体" w:cs="宋体" w:eastAsia="宋体" w:hint="default"/>
                <w:sz w:val="18"/>
                <w:szCs w:val="18"/>
              </w:rPr>
              <w:t>建设集气象台站 </w:t>
            </w:r>
            <w:r>
              <w:rPr>
                <w:rFonts w:ascii="Times New Roman" w:hAnsi="Times New Roman" w:cs="Times New Roman" w:eastAsia="Times New Roman" w:hint="default"/>
                <w:sz w:val="18"/>
                <w:szCs w:val="18"/>
              </w:rPr>
              <w:t>WIGOS</w:t>
            </w:r>
            <w:r>
              <w:rPr>
                <w:rFonts w:ascii="宋体" w:hAnsi="宋体" w:cs="宋体" w:eastAsia="宋体" w:hint="default"/>
                <w:sz w:val="18"/>
                <w:szCs w:val="18"/>
              </w:rPr>
              <w:t>标准数据管理、 气象天气雷达运行监控 以及雷达数据加工处理 等功能于一身的一体化 综合观测业务平台。</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5"/>
                <w:szCs w:val="25"/>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21"/>
              <w:ind w:left="4" w:right="3"/>
              <w:jc w:val="both"/>
              <w:rPr>
                <w:rFonts w:ascii="宋体" w:hAnsi="宋体" w:cs="宋体" w:eastAsia="宋体" w:hint="default"/>
                <w:sz w:val="18"/>
                <w:szCs w:val="18"/>
              </w:rPr>
            </w:pPr>
            <w:r>
              <w:rPr>
                <w:rFonts w:ascii="宋体" w:hAnsi="宋体" w:cs="宋体" w:eastAsia="宋体" w:hint="default"/>
                <w:spacing w:val="2"/>
                <w:sz w:val="18"/>
                <w:szCs w:val="18"/>
              </w:rPr>
              <w:t>通过建设</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气象综合观测业务一体化平台</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，设计新的业务</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流程顶层框架，运用</w:t>
            </w:r>
            <w:r>
              <w:rPr>
                <w:rFonts w:ascii="Times New Roman" w:hAnsi="Times New Roman" w:cs="Times New Roman" w:eastAsia="Times New Roman" w:hint="default"/>
                <w:sz w:val="18"/>
                <w:szCs w:val="18"/>
              </w:rPr>
              <w:t>“</w:t>
            </w:r>
            <w:r>
              <w:rPr>
                <w:rFonts w:ascii="宋体" w:hAnsi="宋体" w:cs="宋体" w:eastAsia="宋体" w:hint="default"/>
                <w:sz w:val="18"/>
                <w:szCs w:val="18"/>
              </w:rPr>
              <w:t>物联网</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互联网</w:t>
            </w:r>
            <w:r>
              <w:rPr>
                <w:rFonts w:ascii="Times New Roman" w:hAnsi="Times New Roman" w:cs="Times New Roman" w:eastAsia="Times New Roman" w:hint="default"/>
                <w:sz w:val="18"/>
                <w:szCs w:val="18"/>
              </w:rPr>
              <w:t>+”</w:t>
            </w:r>
            <w:r>
              <w:rPr>
                <w:rFonts w:ascii="宋体" w:hAnsi="宋体" w:cs="宋体" w:eastAsia="宋体" w:hint="default"/>
                <w:sz w:val="18"/>
                <w:szCs w:val="18"/>
              </w:rPr>
              <w:t>技术，对原有分 </w:t>
            </w:r>
            <w:r>
              <w:rPr>
                <w:rFonts w:ascii="宋体" w:hAnsi="宋体" w:cs="宋体" w:eastAsia="宋体" w:hint="default"/>
                <w:spacing w:val="2"/>
                <w:sz w:val="18"/>
                <w:szCs w:val="18"/>
              </w:rPr>
              <w:t>散的各观测业务系统进行整合，建设一体化的综合观测业</w:t>
            </w:r>
            <w:r>
              <w:rPr>
                <w:rFonts w:ascii="宋体" w:hAnsi="宋体" w:cs="宋体" w:eastAsia="宋体" w:hint="default"/>
                <w:sz w:val="18"/>
                <w:szCs w:val="18"/>
              </w:rPr>
              <w:t> </w:t>
            </w:r>
            <w:r>
              <w:rPr>
                <w:rFonts w:ascii="宋体" w:hAnsi="宋体" w:cs="宋体" w:eastAsia="宋体" w:hint="default"/>
                <w:spacing w:val="2"/>
                <w:sz w:val="18"/>
                <w:szCs w:val="18"/>
              </w:rPr>
              <w:t>务平台，形成基于统一平台的业务系统应用，覆盖从装备</w:t>
            </w:r>
            <w:r>
              <w:rPr>
                <w:rFonts w:ascii="宋体" w:hAnsi="宋体" w:cs="宋体" w:eastAsia="宋体" w:hint="default"/>
                <w:sz w:val="18"/>
                <w:szCs w:val="18"/>
              </w:rPr>
              <w:t> </w:t>
            </w:r>
            <w:r>
              <w:rPr>
                <w:rFonts w:ascii="宋体" w:hAnsi="宋体" w:cs="宋体" w:eastAsia="宋体" w:hint="default"/>
                <w:spacing w:val="2"/>
                <w:sz w:val="18"/>
                <w:szCs w:val="18"/>
              </w:rPr>
              <w:t>研发到数据服务的全链条业务处理能力。实现各类业务操</w:t>
            </w:r>
            <w:r>
              <w:rPr>
                <w:rFonts w:ascii="宋体" w:hAnsi="宋体" w:cs="宋体" w:eastAsia="宋体" w:hint="default"/>
                <w:sz w:val="18"/>
                <w:szCs w:val="18"/>
              </w:rPr>
              <w:t> </w:t>
            </w:r>
            <w:r>
              <w:rPr>
                <w:rFonts w:ascii="宋体" w:hAnsi="宋体" w:cs="宋体" w:eastAsia="宋体" w:hint="default"/>
                <w:spacing w:val="2"/>
                <w:sz w:val="18"/>
                <w:szCs w:val="18"/>
              </w:rPr>
              <w:t>作基于共同的数据和技术支撑环境，实现国省信息充分共</w:t>
            </w:r>
            <w:r>
              <w:rPr>
                <w:rFonts w:ascii="宋体" w:hAnsi="宋体" w:cs="宋体" w:eastAsia="宋体" w:hint="default"/>
                <w:sz w:val="18"/>
                <w:szCs w:val="18"/>
              </w:rPr>
              <w:t> 享，互动能力显著增强的业务管理信息化。</w:t>
            </w:r>
          </w:p>
        </w:tc>
        <w:tc>
          <w:tcPr>
            <w:tcW w:w="146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6"/>
                <w:szCs w:val="26"/>
              </w:rPr>
            </w:pPr>
          </w:p>
          <w:p>
            <w:pPr>
              <w:pStyle w:val="TableParagraph"/>
              <w:spacing w:line="316" w:lineRule="auto"/>
              <w:ind w:left="5" w:right="3"/>
              <w:jc w:val="both"/>
              <w:rPr>
                <w:rFonts w:ascii="宋体" w:hAnsi="宋体" w:cs="宋体" w:eastAsia="宋体" w:hint="default"/>
                <w:sz w:val="18"/>
                <w:szCs w:val="18"/>
              </w:rPr>
            </w:pPr>
            <w:r>
              <w:rPr>
                <w:rFonts w:ascii="宋体" w:hAnsi="宋体" w:cs="宋体" w:eastAsia="宋体" w:hint="default"/>
                <w:sz w:val="18"/>
                <w:szCs w:val="18"/>
              </w:rPr>
              <w:t>气象业务为公司创</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新孵化业务的一部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分，该项目可为公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司在该领域的业务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发</w:t>
            </w:r>
            <w:r>
              <w:rPr>
                <w:rFonts w:ascii="宋体" w:hAnsi="宋体" w:cs="宋体" w:eastAsia="宋体" w:hint="default"/>
                <w:spacing w:val="-60"/>
                <w:sz w:val="18"/>
                <w:szCs w:val="18"/>
              </w:rPr>
              <w:t> </w:t>
            </w:r>
            <w:r>
              <w:rPr>
                <w:rFonts w:ascii="宋体" w:hAnsi="宋体" w:cs="宋体" w:eastAsia="宋体" w:hint="default"/>
                <w:sz w:val="18"/>
                <w:szCs w:val="18"/>
              </w:rPr>
              <w:t>展</w:t>
            </w:r>
            <w:r>
              <w:rPr>
                <w:rFonts w:ascii="宋体" w:hAnsi="宋体" w:cs="宋体" w:eastAsia="宋体" w:hint="default"/>
                <w:spacing w:val="-60"/>
                <w:sz w:val="18"/>
                <w:szCs w:val="18"/>
              </w:rPr>
              <w:t> </w:t>
            </w:r>
            <w:r>
              <w:rPr>
                <w:rFonts w:ascii="宋体" w:hAnsi="宋体" w:cs="宋体" w:eastAsia="宋体" w:hint="default"/>
                <w:sz w:val="18"/>
                <w:szCs w:val="18"/>
              </w:rPr>
              <w:t>提</w:t>
            </w:r>
            <w:r>
              <w:rPr>
                <w:rFonts w:ascii="宋体" w:hAnsi="宋体" w:cs="宋体" w:eastAsia="宋体" w:hint="default"/>
                <w:spacing w:val="-60"/>
                <w:sz w:val="18"/>
                <w:szCs w:val="18"/>
              </w:rPr>
              <w:t> </w:t>
            </w:r>
            <w:r>
              <w:rPr>
                <w:rFonts w:ascii="宋体" w:hAnsi="宋体" w:cs="宋体" w:eastAsia="宋体" w:hint="default"/>
                <w:sz w:val="18"/>
                <w:szCs w:val="18"/>
              </w:rPr>
              <w:t>供</w:t>
            </w:r>
            <w:r>
              <w:rPr>
                <w:rFonts w:ascii="宋体" w:hAnsi="宋体" w:cs="宋体" w:eastAsia="宋体" w:hint="default"/>
                <w:spacing w:val="-60"/>
                <w:sz w:val="18"/>
                <w:szCs w:val="18"/>
              </w:rPr>
              <w:t> </w:t>
            </w:r>
            <w:r>
              <w:rPr>
                <w:rFonts w:ascii="宋体" w:hAnsi="宋体" w:cs="宋体" w:eastAsia="宋体" w:hint="default"/>
                <w:sz w:val="18"/>
                <w:szCs w:val="18"/>
              </w:rPr>
              <w:t>技</w:t>
            </w:r>
            <w:r>
              <w:rPr>
                <w:rFonts w:ascii="宋体" w:hAnsi="宋体" w:cs="宋体" w:eastAsia="宋体" w:hint="default"/>
                <w:spacing w:val="-61"/>
                <w:sz w:val="18"/>
                <w:szCs w:val="18"/>
              </w:rPr>
              <w:t> </w:t>
            </w:r>
            <w:r>
              <w:rPr>
                <w:rFonts w:ascii="宋体" w:hAnsi="宋体" w:cs="宋体" w:eastAsia="宋体" w:hint="default"/>
                <w:sz w:val="18"/>
                <w:szCs w:val="18"/>
              </w:rPr>
              <w:t>术</w:t>
            </w:r>
            <w:r>
              <w:rPr>
                <w:rFonts w:ascii="宋体" w:hAnsi="宋体" w:cs="宋体" w:eastAsia="宋体" w:hint="default"/>
                <w:spacing w:val="-60"/>
                <w:sz w:val="18"/>
                <w:szCs w:val="18"/>
              </w:rPr>
              <w:t> </w:t>
            </w:r>
            <w:r>
              <w:rPr>
                <w:rFonts w:ascii="宋体" w:hAnsi="宋体" w:cs="宋体" w:eastAsia="宋体" w:hint="default"/>
                <w:sz w:val="18"/>
                <w:szCs w:val="18"/>
              </w:rPr>
              <w:t>基</w:t>
            </w:r>
            <w:r>
              <w:rPr>
                <w:rFonts w:ascii="宋体" w:hAnsi="宋体" w:cs="宋体" w:eastAsia="宋体" w:hint="default"/>
                <w:sz w:val="18"/>
                <w:szCs w:val="18"/>
              </w:rPr>
              <w:t> 础。</w:t>
            </w:r>
          </w:p>
        </w:tc>
      </w:tr>
      <w:tr>
        <w:trPr>
          <w:trHeight w:val="1278" w:hRule="exact"/>
        </w:trPr>
        <w:tc>
          <w:tcPr>
            <w:tcW w:w="10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38" w:lineRule="auto"/>
              <w:ind w:left="4" w:right="171"/>
              <w:jc w:val="both"/>
              <w:rPr>
                <w:rFonts w:ascii="Times New Roman" w:hAnsi="Times New Roman" w:cs="Times New Roman" w:eastAsia="Times New Roman" w:hint="default"/>
                <w:sz w:val="18"/>
                <w:szCs w:val="18"/>
              </w:rPr>
            </w:pPr>
            <w:r>
              <w:rPr>
                <w:rFonts w:ascii="宋体" w:hAnsi="宋体" w:cs="宋体" w:eastAsia="宋体" w:hint="default"/>
                <w:sz w:val="18"/>
                <w:szCs w:val="18"/>
              </w:rPr>
              <w:t>农业气象服 务产品制作 </w:t>
            </w:r>
            <w:r>
              <w:rPr>
                <w:rFonts w:ascii="Times New Roman" w:hAnsi="Times New Roman" w:cs="Times New Roman" w:eastAsia="Times New Roman" w:hint="default"/>
                <w:sz w:val="18"/>
                <w:szCs w:val="18"/>
              </w:rPr>
              <w:t>YH-2016-3</w:t>
            </w:r>
          </w:p>
        </w:tc>
        <w:tc>
          <w:tcPr>
            <w:tcW w:w="18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44"/>
              <w:jc w:val="both"/>
              <w:rPr>
                <w:rFonts w:ascii="宋体" w:hAnsi="宋体" w:cs="宋体" w:eastAsia="宋体" w:hint="default"/>
                <w:sz w:val="18"/>
                <w:szCs w:val="18"/>
              </w:rPr>
            </w:pPr>
            <w:r>
              <w:rPr>
                <w:rFonts w:ascii="宋体" w:hAnsi="宋体" w:cs="宋体" w:eastAsia="宋体" w:hint="default"/>
                <w:sz w:val="18"/>
                <w:szCs w:val="18"/>
              </w:rPr>
              <w:t>开展移动互联网渠道的 富媒体服务内容，建立 完善的农业后台支撑系 统。</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316" w:lineRule="auto"/>
              <w:ind w:left="5" w:right="2"/>
              <w:jc w:val="left"/>
              <w:rPr>
                <w:rFonts w:ascii="宋体" w:hAnsi="宋体" w:cs="宋体" w:eastAsia="宋体" w:hint="default"/>
                <w:sz w:val="18"/>
                <w:szCs w:val="18"/>
              </w:rPr>
            </w:pPr>
            <w:r>
              <w:rPr>
                <w:rFonts w:ascii="宋体" w:hAnsi="宋体" w:cs="宋体" w:eastAsia="宋体" w:hint="default"/>
                <w:spacing w:val="25"/>
                <w:sz w:val="18"/>
                <w:szCs w:val="18"/>
              </w:rPr>
              <w:t>已经</w:t>
            </w:r>
            <w:r>
              <w:rPr>
                <w:rFonts w:ascii="宋体" w:hAnsi="宋体" w:cs="宋体" w:eastAsia="宋体" w:hint="default"/>
                <w:spacing w:val="-39"/>
                <w:sz w:val="18"/>
                <w:szCs w:val="18"/>
              </w:rPr>
              <w:t> </w:t>
            </w:r>
            <w:r>
              <w:rPr>
                <w:rFonts w:ascii="宋体" w:hAnsi="宋体" w:cs="宋体" w:eastAsia="宋体" w:hint="default"/>
                <w:sz w:val="18"/>
                <w:szCs w:val="18"/>
              </w:rPr>
              <w:t>结</w:t>
            </w:r>
            <w:r>
              <w:rPr>
                <w:rFonts w:ascii="宋体" w:hAnsi="宋体" w:cs="宋体" w:eastAsia="宋体" w:hint="default"/>
                <w:sz w:val="18"/>
                <w:szCs w:val="18"/>
              </w:rPr>
              <w:t> 项</w:t>
            </w:r>
          </w:p>
        </w:tc>
        <w:tc>
          <w:tcPr>
            <w:tcW w:w="458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1"/>
              <w:ind w:left="4" w:right="7"/>
              <w:jc w:val="both"/>
              <w:rPr>
                <w:rFonts w:ascii="宋体" w:hAnsi="宋体" w:cs="宋体" w:eastAsia="宋体" w:hint="default"/>
                <w:sz w:val="18"/>
                <w:szCs w:val="18"/>
              </w:rPr>
            </w:pPr>
            <w:r>
              <w:rPr>
                <w:rFonts w:ascii="宋体" w:hAnsi="宋体" w:cs="宋体" w:eastAsia="宋体" w:hint="default"/>
                <w:spacing w:val="2"/>
                <w:sz w:val="18"/>
                <w:szCs w:val="18"/>
              </w:rPr>
              <w:t>在已经掌握的农作物种植区划、农作物气象指标及农作物</w:t>
            </w:r>
            <w:r>
              <w:rPr>
                <w:rFonts w:ascii="宋体" w:hAnsi="宋体" w:cs="宋体" w:eastAsia="宋体" w:hint="default"/>
                <w:sz w:val="18"/>
                <w:szCs w:val="18"/>
              </w:rPr>
              <w:t> </w:t>
            </w:r>
            <w:r>
              <w:rPr>
                <w:rFonts w:ascii="宋体" w:hAnsi="宋体" w:cs="宋体" w:eastAsia="宋体" w:hint="default"/>
                <w:spacing w:val="2"/>
                <w:sz w:val="18"/>
                <w:szCs w:val="18"/>
              </w:rPr>
              <w:t>种植管理文字服务内容的基础上，实现富媒体内容库、中</w:t>
            </w:r>
            <w:r>
              <w:rPr>
                <w:rFonts w:ascii="宋体" w:hAnsi="宋体" w:cs="宋体" w:eastAsia="宋体" w:hint="default"/>
                <w:sz w:val="18"/>
                <w:szCs w:val="18"/>
              </w:rPr>
              <w:t> </w:t>
            </w:r>
            <w:r>
              <w:rPr>
                <w:rFonts w:ascii="宋体" w:hAnsi="宋体" w:cs="宋体" w:eastAsia="宋体" w:hint="default"/>
                <w:spacing w:val="2"/>
                <w:sz w:val="18"/>
                <w:szCs w:val="18"/>
              </w:rPr>
              <w:t>央信息库、内容编辑平台、信息员管理平台的建设，实现</w:t>
            </w:r>
            <w:r>
              <w:rPr>
                <w:rFonts w:ascii="宋体" w:hAnsi="宋体" w:cs="宋体" w:eastAsia="宋体" w:hint="default"/>
                <w:sz w:val="18"/>
                <w:szCs w:val="18"/>
              </w:rPr>
              <w:t> 产品制作及展示渠道的全面扩展和服务。</w:t>
            </w:r>
          </w:p>
        </w:tc>
        <w:tc>
          <w:tcPr>
            <w:tcW w:w="1466" w:type="dxa"/>
            <w:vMerge/>
            <w:tcBorders>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近三年公司研发投入金额及占营业收入的比例</w:t>
      </w:r>
      <w:r>
        <w:rPr>
          <w:b w:val="0"/>
          <w:bCs w:val="0"/>
        </w:rPr>
      </w:r>
    </w:p>
    <w:p>
      <w:pPr>
        <w:spacing w:line="240" w:lineRule="auto" w:before="0"/>
        <w:rPr>
          <w:rFonts w:ascii="宋体" w:hAnsi="宋体" w:cs="宋体" w:eastAsia="宋体" w:hint="default"/>
          <w:b/>
          <w:bCs/>
          <w:sz w:val="14"/>
          <w:szCs w:val="14"/>
        </w:rPr>
      </w:pPr>
    </w:p>
    <w:tbl>
      <w:tblPr>
        <w:tblW w:w="0" w:type="auto"/>
        <w:jc w:val="left"/>
        <w:tblInd w:w="1140" w:type="dxa"/>
        <w:tblLayout w:type="fixed"/>
        <w:tblCellMar>
          <w:top w:w="0" w:type="dxa"/>
          <w:left w:w="0" w:type="dxa"/>
          <w:bottom w:w="0" w:type="dxa"/>
          <w:right w:w="0" w:type="dxa"/>
        </w:tblCellMar>
        <w:tblLook w:val="01E0"/>
      </w:tblPr>
      <w:tblGrid>
        <w:gridCol w:w="2369"/>
        <w:gridCol w:w="2405"/>
        <w:gridCol w:w="2392"/>
        <w:gridCol w:w="2392"/>
      </w:tblGrid>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1,456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1,787</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34.46%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44.61%</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204,388,448.99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196,055,419.98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217,190,807.07</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7.83%</w:t>
            </w:r>
          </w:p>
        </w:tc>
      </w:tr>
      <w:tr>
        <w:trPr>
          <w:trHeight w:val="402"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128,506,148.79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128,561,514.99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124,340,356.19</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86"/>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62.87%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65.57%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57.25%</w:t>
            </w:r>
          </w:p>
        </w:tc>
      </w:tr>
      <w:tr>
        <w:trPr>
          <w:trHeight w:val="714" w:hRule="exact"/>
        </w:trPr>
        <w:tc>
          <w:tcPr>
            <w:tcW w:w="2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86"/>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40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132.40%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27.41%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42.32%</w:t>
            </w:r>
          </w:p>
        </w:tc>
      </w:tr>
    </w:tbl>
    <w:p>
      <w:pPr>
        <w:pStyle w:val="BodyText"/>
        <w:spacing w:line="240" w:lineRule="auto" w:before="51"/>
        <w:ind w:left="1134" w:right="0"/>
        <w:jc w:val="left"/>
      </w:pPr>
      <w:r>
        <w:rPr/>
        <w:t>研发投入总额占营业收入的比重较上年发生显著变化的原因</w:t>
      </w:r>
    </w:p>
    <w:p>
      <w:pPr>
        <w:pStyle w:val="BodyText"/>
        <w:spacing w:line="338" w:lineRule="auto" w:before="117"/>
        <w:ind w:left="1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研发投入资本化率大幅变动的原因及其合理性说明</w:t>
      </w:r>
    </w:p>
    <w:p>
      <w:pPr>
        <w:spacing w:before="43"/>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5、现金流" w:id="38"/>
      <w:bookmarkEnd w:id="38"/>
      <w:r>
        <w:rPr>
          <w:b w:val="0"/>
          <w:bCs w:val="0"/>
        </w:rPr>
      </w:r>
      <w:r>
        <w:rPr>
          <w:rFonts w:ascii="Times New Roman" w:hAnsi="Times New Roman" w:cs="Times New Roman" w:eastAsia="Times New Roman" w:hint="default"/>
        </w:rPr>
        <w:t>5</w:t>
      </w:r>
      <w:r>
        <w:rPr/>
        <w:t>、现金流</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529"/>
        <w:gridCol w:w="2244"/>
        <w:gridCol w:w="2392"/>
        <w:gridCol w:w="2392"/>
      </w:tblGrid>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3,073,355,300.25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2,904,653,452.84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5.81%</w:t>
            </w: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2,532,690,497.95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2,813,362,075.29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-9.98%</w:t>
            </w: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540,664,802.30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91,291,377.55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492.24%</w:t>
            </w: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902,077,123.47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676,874,904.27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33.27%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2541"/>
        <w:gridCol w:w="2244"/>
        <w:gridCol w:w="2392"/>
        <w:gridCol w:w="2392"/>
      </w:tblGrid>
      <w:tr>
        <w:trPr>
          <w:trHeight w:val="402" w:hRule="exact"/>
        </w:trPr>
        <w:tc>
          <w:tcPr>
            <w:tcW w:w="2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1,181,855,872.77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1,585,939,505.36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-25.48%</w:t>
            </w:r>
          </w:p>
        </w:tc>
      </w:tr>
      <w:tr>
        <w:trPr>
          <w:trHeight w:val="402" w:hRule="exact"/>
        </w:trPr>
        <w:tc>
          <w:tcPr>
            <w:tcW w:w="2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-279,778,749.30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-909,064,601.09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-69.22%</w:t>
            </w:r>
          </w:p>
        </w:tc>
      </w:tr>
      <w:tr>
        <w:trPr>
          <w:trHeight w:val="402" w:hRule="exact"/>
        </w:trPr>
        <w:tc>
          <w:tcPr>
            <w:tcW w:w="2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1,264,758,475.99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1,266,704,315.97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-0.15%</w:t>
            </w:r>
          </w:p>
        </w:tc>
      </w:tr>
      <w:tr>
        <w:trPr>
          <w:trHeight w:val="402" w:hRule="exact"/>
        </w:trPr>
        <w:tc>
          <w:tcPr>
            <w:tcW w:w="2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1,576,424,144.86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302,247,779.61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421.57%</w:t>
            </w:r>
          </w:p>
        </w:tc>
      </w:tr>
      <w:tr>
        <w:trPr>
          <w:trHeight w:val="402" w:hRule="exact"/>
        </w:trPr>
        <w:tc>
          <w:tcPr>
            <w:tcW w:w="2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-311,665,668.87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964,456,536.36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-132.32%</w:t>
            </w:r>
            <w:r>
              <w:rPr>
                <w:rFonts w:ascii="Times New Roman"/>
                <w:sz w:val="18"/>
              </w:rPr>
            </w:r>
          </w:p>
        </w:tc>
      </w:tr>
      <w:tr>
        <w:trPr>
          <w:trHeight w:val="402" w:hRule="exact"/>
        </w:trPr>
        <w:tc>
          <w:tcPr>
            <w:tcW w:w="25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24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-65,675,449.01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161,238,732.74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-140.73%</w:t>
            </w:r>
            <w:r>
              <w:rPr>
                <w:rFonts w:ascii="Times New Roman"/>
                <w:sz w:val="18"/>
              </w:rPr>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相关数据同比发生重大变动的主要影响因素说明</w:t>
      </w:r>
    </w:p>
    <w:p>
      <w:pPr>
        <w:spacing w:line="240" w:lineRule="auto" w:before="12"/>
        <w:rPr>
          <w:rFonts w:ascii="宋体" w:hAnsi="宋体" w:cs="宋体" w:eastAsia="宋体" w:hint="default"/>
          <w:sz w:val="20"/>
          <w:szCs w:val="20"/>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9"/>
          <w:szCs w:val="19"/>
        </w:rPr>
      </w:pPr>
    </w:p>
    <w:p>
      <w:pPr>
        <w:pStyle w:val="BodyText"/>
        <w:spacing w:line="240" w:lineRule="auto"/>
        <w:ind w:left="1134" w:right="0"/>
        <w:jc w:val="left"/>
      </w:pPr>
      <w:r>
        <w:rPr/>
        <w:t>（</w:t>
      </w:r>
      <w:r>
        <w:rPr>
          <w:rFonts w:ascii="Times New Roman" w:hAnsi="Times New Roman" w:cs="Times New Roman" w:eastAsia="Times New Roman" w:hint="default"/>
        </w:rPr>
        <w:t>1</w:t>
      </w:r>
      <w:r>
        <w:rPr/>
        <w:t>）经营活动产生的现金流量净额较上期增长，主要系公司战略调整，收回系统集成业务应收票据及应收款项所致。</w:t>
      </w:r>
    </w:p>
    <w:p>
      <w:pPr>
        <w:spacing w:line="240" w:lineRule="auto" w:before="9"/>
        <w:rPr>
          <w:rFonts w:ascii="宋体" w:hAnsi="宋体" w:cs="宋体" w:eastAsia="宋体" w:hint="default"/>
          <w:sz w:val="16"/>
          <w:szCs w:val="16"/>
        </w:rPr>
      </w:pPr>
    </w:p>
    <w:p>
      <w:pPr>
        <w:pStyle w:val="BodyText"/>
        <w:spacing w:line="240" w:lineRule="auto"/>
        <w:ind w:right="0"/>
        <w:jc w:val="left"/>
      </w:pPr>
      <w:r>
        <w:rPr/>
        <w:t>（</w:t>
      </w:r>
      <w:r>
        <w:rPr>
          <w:rFonts w:ascii="Times New Roman" w:hAnsi="Times New Roman" w:cs="Times New Roman" w:eastAsia="Times New Roman" w:hint="default"/>
        </w:rPr>
        <w:t>2</w:t>
      </w:r>
      <w:r>
        <w:rPr/>
        <w:t>）投资活动现金流入较上期增长，主要系处置北京中清龙图网络技术有限公司的股权收回的转让款所致。</w:t>
      </w:r>
    </w:p>
    <w:p>
      <w:pPr>
        <w:spacing w:line="240" w:lineRule="auto" w:before="9"/>
        <w:rPr>
          <w:rFonts w:ascii="宋体" w:hAnsi="宋体" w:cs="宋体" w:eastAsia="宋体" w:hint="default"/>
          <w:sz w:val="16"/>
          <w:szCs w:val="16"/>
        </w:rPr>
      </w:pPr>
    </w:p>
    <w:p>
      <w:pPr>
        <w:pStyle w:val="BodyText"/>
        <w:spacing w:line="451" w:lineRule="auto"/>
        <w:ind w:left="1134" w:right="1122"/>
        <w:jc w:val="left"/>
      </w:pPr>
      <w:r>
        <w:rPr/>
        <w:t>（</w:t>
      </w:r>
      <w:r>
        <w:rPr>
          <w:rFonts w:ascii="Times New Roman" w:hAnsi="Times New Roman" w:cs="Times New Roman" w:eastAsia="Times New Roman" w:hint="default"/>
        </w:rPr>
        <w:t>3</w:t>
      </w:r>
      <w:r>
        <w:rPr/>
        <w:t>）投资活动产生的现金流量净额较上期增长，主要系上期收购中科鼎富（北京）科技发展有限公司、投资蓝鸥科技有限 公司支付款项，本期处置北京中清龙图网络技术有限公司收回款项、支付土地款所致。</w:t>
      </w:r>
    </w:p>
    <w:p>
      <w:pPr>
        <w:pStyle w:val="BodyText"/>
        <w:spacing w:line="240" w:lineRule="auto" w:before="74"/>
        <w:ind w:right="0"/>
        <w:jc w:val="left"/>
      </w:pPr>
      <w:r>
        <w:rPr/>
        <w:t>（</w:t>
      </w:r>
      <w:r>
        <w:rPr>
          <w:rFonts w:ascii="Times New Roman" w:hAnsi="Times New Roman" w:cs="Times New Roman" w:eastAsia="Times New Roman" w:hint="default"/>
        </w:rPr>
        <w:t>4</w:t>
      </w:r>
      <w:r>
        <w:rPr/>
        <w:t>）筹资活动现金流出较上期增长，主要系本期偿还短期借款及超短融债券所致。</w:t>
      </w:r>
    </w:p>
    <w:p>
      <w:pPr>
        <w:spacing w:line="240" w:lineRule="auto" w:before="9"/>
        <w:rPr>
          <w:rFonts w:ascii="宋体" w:hAnsi="宋体" w:cs="宋体" w:eastAsia="宋体" w:hint="default"/>
          <w:sz w:val="16"/>
          <w:szCs w:val="16"/>
        </w:rPr>
      </w:pPr>
    </w:p>
    <w:p>
      <w:pPr>
        <w:pStyle w:val="BodyText"/>
        <w:spacing w:line="489" w:lineRule="auto"/>
        <w:ind w:right="3283"/>
        <w:jc w:val="left"/>
      </w:pPr>
      <w:r>
        <w:rPr/>
        <w:t>（</w:t>
      </w:r>
      <w:r>
        <w:rPr>
          <w:rFonts w:ascii="Times New Roman" w:hAnsi="Times New Roman" w:cs="Times New Roman" w:eastAsia="Times New Roman" w:hint="default"/>
        </w:rPr>
        <w:t>5</w:t>
      </w:r>
      <w:r>
        <w:rPr/>
        <w:t>）筹资活动产生的现金流量净额较上期下降，主要系本期偿还短期借款及超短融债券所致。 报告期内公司经营活动产生的现金净流量与本年度净利润存在重大差异的原因说明</w:t>
      </w:r>
    </w:p>
    <w:p>
      <w:pPr>
        <w:pStyle w:val="BodyText"/>
        <w:spacing w:line="487" w:lineRule="auto" w:before="86"/>
        <w:ind w:left="1493" w:right="1118" w:hanging="360"/>
        <w:jc w:val="left"/>
      </w:pPr>
      <w:r>
        <w:rPr>
          <w:rFonts w:ascii="Times New Roman" w:hAnsi="Times New Roman" w:cs="Times New Roman" w:eastAsia="Times New Roman" w:hint="default"/>
          <w:b/>
          <w:bCs/>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不适用 </w:t>
      </w:r>
      <w:r>
        <w:rPr>
          <w:spacing w:val="-2"/>
        </w:rPr>
        <w:t>报告期内公司经营活动产生的现金净流量与本年度净利润存在重大差异的原因，主要系公司战略调整，收回系统集成业</w:t>
      </w:r>
    </w:p>
    <w:p>
      <w:pPr>
        <w:pStyle w:val="BodyText"/>
        <w:spacing w:line="240" w:lineRule="auto" w:before="47"/>
        <w:ind w:right="0"/>
        <w:jc w:val="left"/>
      </w:pPr>
      <w:r>
        <w:rPr/>
        <w:t>务应收票据及应收款项所致。</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三、非主营业务情况" w:id="39"/>
      <w:bookmarkEnd w:id="39"/>
      <w:r>
        <w:rPr>
          <w:b w:val="0"/>
          <w:bCs w:val="0"/>
        </w:rPr>
      </w:r>
      <w:r>
        <w:rPr/>
        <w:t>三、非主营业务情况</w:t>
      </w:r>
      <w:r>
        <w:rPr>
          <w:b w:val="0"/>
          <w:bCs w:val="0"/>
        </w:rPr>
      </w:r>
    </w:p>
    <w:p>
      <w:pPr>
        <w:spacing w:line="240" w:lineRule="auto" w:before="2"/>
        <w:rPr>
          <w:rFonts w:ascii="宋体" w:hAnsi="宋体" w:cs="宋体" w:eastAsia="宋体" w:hint="default"/>
          <w:b/>
          <w:bCs/>
          <w:sz w:val="23"/>
          <w:szCs w:val="23"/>
        </w:rPr>
      </w:pPr>
    </w:p>
    <w:p>
      <w:pPr>
        <w:spacing w:before="44"/>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3"/>
        <w:ind w:left="630" w:right="1130"/>
        <w:jc w:val="right"/>
      </w:pPr>
      <w:r>
        <w:rPr/>
        <w:pict>
          <v:group style="position:absolute;margin-left:427.559998pt;margin-top:91.561722pt;width:111.15pt;height:15.6pt;mso-position-horizontal-relative:page;mso-position-vertical-relative:paragraph;z-index:-1193536" coordorigin="8551,1831" coordsize="2223,312">
            <v:shape style="position:absolute;left:8551;top:1831;width:2223;height:312" coordorigin="8551,1831" coordsize="2223,312" path="m8551,2143l10774,2143,10774,1831,8551,1831,8551,2143xe" filled="true" fillcolor="#ffffff" stroked="false">
              <v:path arrowok="t"/>
              <v:fill type="solid"/>
            </v:shape>
            <w10:wrap type="none"/>
          </v:group>
        </w:pict>
      </w:r>
      <w:r>
        <w:rPr/>
        <w:t>单位：元</w:t>
      </w:r>
    </w:p>
    <w:p>
      <w:pPr>
        <w:spacing w:line="240" w:lineRule="auto" w:before="13"/>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996"/>
        <w:gridCol w:w="1283"/>
        <w:gridCol w:w="1570"/>
        <w:gridCol w:w="3568"/>
        <w:gridCol w:w="2278"/>
      </w:tblGrid>
      <w:tr>
        <w:trPr>
          <w:trHeight w:val="402" w:hRule="exact"/>
        </w:trPr>
        <w:tc>
          <w:tcPr>
            <w:tcW w:w="9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0"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3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形成原因说明</w:t>
            </w:r>
          </w:p>
        </w:tc>
        <w:tc>
          <w:tcPr>
            <w:tcW w:w="2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941" w:hRule="exact"/>
        </w:trPr>
        <w:tc>
          <w:tcPr>
            <w:tcW w:w="9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83"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55,243,912.84</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982" w:right="0"/>
              <w:jc w:val="left"/>
              <w:rPr>
                <w:rFonts w:ascii="Times New Roman" w:hAnsi="Times New Roman" w:cs="Times New Roman" w:eastAsia="Times New Roman" w:hint="default"/>
                <w:sz w:val="18"/>
                <w:szCs w:val="18"/>
              </w:rPr>
            </w:pPr>
            <w:r>
              <w:rPr>
                <w:rFonts w:ascii="Times New Roman"/>
                <w:sz w:val="18"/>
              </w:rPr>
              <w:t>46.36%</w:t>
            </w:r>
          </w:p>
        </w:tc>
        <w:tc>
          <w:tcPr>
            <w:tcW w:w="3568" w:type="dxa"/>
            <w:vMerge w:val="restart"/>
            <w:tcBorders>
              <w:top w:val="single" w:sz="4" w:space="0" w:color="000000"/>
              <w:left w:val="single" w:sz="4" w:space="0" w:color="000000"/>
              <w:right w:val="single" w:sz="9" w:space="0" w:color="FFFFFF"/>
            </w:tcBorders>
          </w:tcPr>
          <w:p>
            <w:pPr>
              <w:pStyle w:val="TableParagraph"/>
              <w:spacing w:line="304" w:lineRule="auto" w:before="51"/>
              <w:ind w:left="22" w:right="-39"/>
              <w:jc w:val="left"/>
              <w:rPr>
                <w:rFonts w:ascii="宋体" w:hAnsi="宋体" w:cs="宋体" w:eastAsia="宋体" w:hint="default"/>
                <w:sz w:val="18"/>
                <w:szCs w:val="18"/>
              </w:rPr>
            </w:pPr>
            <w:r>
              <w:rPr>
                <w:rFonts w:ascii="宋体" w:hAnsi="宋体" w:cs="宋体" w:eastAsia="宋体" w:hint="default"/>
                <w:sz w:val="18"/>
                <w:szCs w:val="18"/>
              </w:rPr>
              <w:t>主要来自于（</w:t>
            </w:r>
            <w:r>
              <w:rPr>
                <w:rFonts w:ascii="Times New Roman" w:hAnsi="Times New Roman" w:cs="Times New Roman" w:eastAsia="Times New Roman" w:hint="default"/>
                <w:sz w:val="18"/>
                <w:szCs w:val="18"/>
              </w:rPr>
              <w:t>1</w:t>
            </w:r>
            <w:r>
              <w:rPr>
                <w:rFonts w:ascii="宋体" w:hAnsi="宋体" w:cs="宋体" w:eastAsia="宋体" w:hint="default"/>
                <w:sz w:val="18"/>
                <w:szCs w:val="18"/>
              </w:rPr>
              <w:t>）处置可供出售金融资产北京 中清龙图网络技术有限公司和</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Reliance</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Jio</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Messaging Services Private Limited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的股权产 </w:t>
            </w:r>
            <w:r>
              <w:rPr>
                <w:rFonts w:ascii="宋体" w:hAnsi="宋体" w:cs="宋体" w:eastAsia="宋体" w:hint="default"/>
                <w:spacing w:val="-2"/>
                <w:sz w:val="18"/>
                <w:szCs w:val="18"/>
              </w:rPr>
              <w:t>生的收益（</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）可供出售金融资产的分红（</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w:t>
            </w:r>
            <w:r>
              <w:rPr>
                <w:rFonts w:ascii="宋体" w:hAnsi="宋体" w:cs="宋体" w:eastAsia="宋体" w:hint="default"/>
                <w:spacing w:val="-81"/>
                <w:sz w:val="18"/>
                <w:szCs w:val="18"/>
              </w:rPr>
              <w:t> </w:t>
            </w:r>
            <w:r>
              <w:rPr>
                <w:rFonts w:ascii="宋体" w:hAnsi="宋体" w:cs="宋体" w:eastAsia="宋体" w:hint="default"/>
                <w:sz w:val="18"/>
                <w:szCs w:val="18"/>
              </w:rPr>
              <w:t>按权益法核算的投资收益（</w:t>
            </w:r>
            <w:r>
              <w:rPr>
                <w:rFonts w:ascii="Times New Roman" w:hAnsi="Times New Roman" w:cs="Times New Roman" w:eastAsia="Times New Roman" w:hint="default"/>
                <w:sz w:val="18"/>
                <w:szCs w:val="18"/>
              </w:rPr>
              <w:t>4</w:t>
            </w:r>
            <w:r>
              <w:rPr>
                <w:rFonts w:ascii="宋体" w:hAnsi="宋体" w:cs="宋体" w:eastAsia="宋体" w:hint="default"/>
                <w:sz w:val="18"/>
                <w:szCs w:val="18"/>
              </w:rPr>
              <w:t>）处置长期股权 投资重庆泰岳优才科技有限公司的股权产生 的收益。</w:t>
            </w:r>
          </w:p>
        </w:tc>
        <w:tc>
          <w:tcPr>
            <w:tcW w:w="2278" w:type="dxa"/>
            <w:vMerge w:val="restart"/>
            <w:tcBorders>
              <w:top w:val="single" w:sz="4" w:space="0" w:color="000000"/>
              <w:left w:val="single" w:sz="9" w:space="0" w:color="FFFFFF"/>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16" w:right="83"/>
              <w:jc w:val="both"/>
              <w:rPr>
                <w:rFonts w:ascii="宋体" w:hAnsi="宋体" w:cs="宋体" w:eastAsia="宋体" w:hint="default"/>
                <w:sz w:val="18"/>
                <w:szCs w:val="18"/>
              </w:rPr>
            </w:pPr>
            <w:r>
              <w:rPr>
                <w:rFonts w:ascii="宋体" w:hAnsi="宋体" w:cs="宋体" w:eastAsia="宋体" w:hint="default"/>
                <w:sz w:val="18"/>
                <w:szCs w:val="18"/>
              </w:rPr>
              <w:t>可供出售金融资产的分红以 及按权益法核算的投资收益 具备持续性。</w:t>
            </w:r>
          </w:p>
        </w:tc>
      </w:tr>
      <w:tr>
        <w:trPr>
          <w:trHeight w:val="392" w:hRule="exact"/>
        </w:trPr>
        <w:tc>
          <w:tcPr>
            <w:tcW w:w="9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283" w:type="dxa"/>
            <w:vMerge/>
            <w:tcBorders>
              <w:left w:val="single" w:sz="10" w:space="0" w:color="D2D2D2"/>
              <w:right w:val="single" w:sz="4" w:space="0" w:color="000000"/>
            </w:tcBorders>
          </w:tcPr>
          <w:p>
            <w:pPr/>
          </w:p>
        </w:tc>
        <w:tc>
          <w:tcPr>
            <w:tcW w:w="1570" w:type="dxa"/>
            <w:vMerge/>
            <w:tcBorders>
              <w:left w:val="single" w:sz="4" w:space="0" w:color="000000"/>
              <w:right w:val="single" w:sz="4" w:space="0" w:color="000000"/>
            </w:tcBorders>
          </w:tcPr>
          <w:p>
            <w:pPr/>
          </w:p>
        </w:tc>
        <w:tc>
          <w:tcPr>
            <w:tcW w:w="3568" w:type="dxa"/>
            <w:vMerge/>
            <w:tcBorders>
              <w:left w:val="single" w:sz="4" w:space="0" w:color="000000"/>
              <w:right w:val="single" w:sz="9" w:space="0" w:color="FFFFFF"/>
            </w:tcBorders>
          </w:tcPr>
          <w:p>
            <w:pPr/>
          </w:p>
        </w:tc>
        <w:tc>
          <w:tcPr>
            <w:tcW w:w="2278" w:type="dxa"/>
            <w:vMerge/>
            <w:tcBorders>
              <w:left w:val="single" w:sz="9" w:space="0" w:color="FFFFFF"/>
              <w:right w:val="single" w:sz="4" w:space="0" w:color="000000"/>
            </w:tcBorders>
          </w:tcPr>
          <w:p>
            <w:pPr/>
          </w:p>
        </w:tc>
      </w:tr>
      <w:tr>
        <w:trPr>
          <w:trHeight w:val="941" w:hRule="exact"/>
        </w:trPr>
        <w:tc>
          <w:tcPr>
            <w:tcW w:w="9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3" w:type="dxa"/>
            <w:vMerge/>
            <w:tcBorders>
              <w:left w:val="single" w:sz="10" w:space="0" w:color="D2D2D2"/>
              <w:bottom w:val="single" w:sz="4" w:space="0" w:color="000000"/>
              <w:right w:val="single" w:sz="4" w:space="0" w:color="000000"/>
            </w:tcBorders>
          </w:tcPr>
          <w:p>
            <w:pPr/>
          </w:p>
        </w:tc>
        <w:tc>
          <w:tcPr>
            <w:tcW w:w="1570" w:type="dxa"/>
            <w:vMerge/>
            <w:tcBorders>
              <w:left w:val="single" w:sz="4" w:space="0" w:color="000000"/>
              <w:bottom w:val="single" w:sz="4" w:space="0" w:color="000000"/>
              <w:right w:val="single" w:sz="4" w:space="0" w:color="000000"/>
            </w:tcBorders>
          </w:tcPr>
          <w:p>
            <w:pPr/>
          </w:p>
        </w:tc>
        <w:tc>
          <w:tcPr>
            <w:tcW w:w="3568" w:type="dxa"/>
            <w:vMerge/>
            <w:tcBorders>
              <w:left w:val="single" w:sz="4" w:space="0" w:color="000000"/>
              <w:bottom w:val="single" w:sz="4" w:space="0" w:color="000000"/>
              <w:right w:val="single" w:sz="9" w:space="0" w:color="FFFFFF"/>
            </w:tcBorders>
          </w:tcPr>
          <w:p>
            <w:pPr/>
          </w:p>
        </w:tc>
        <w:tc>
          <w:tcPr>
            <w:tcW w:w="2278" w:type="dxa"/>
            <w:vMerge/>
            <w:tcBorders>
              <w:left w:val="single" w:sz="9" w:space="0" w:color="FFFFFF"/>
              <w:bottom w:val="single" w:sz="4" w:space="0" w:color="000000"/>
              <w:right w:val="single" w:sz="4" w:space="0" w:color="000000"/>
            </w:tcBorders>
          </w:tcPr>
          <w:p>
            <w:pPr/>
          </w:p>
        </w:tc>
      </w:tr>
      <w:tr>
        <w:trPr>
          <w:trHeight w:val="317" w:hRule="exact"/>
        </w:trPr>
        <w:tc>
          <w:tcPr>
            <w:tcW w:w="9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283" w:type="dxa"/>
            <w:vMerge w:val="restart"/>
            <w:tcBorders>
              <w:top w:val="single" w:sz="4" w:space="0" w:color="000000"/>
              <w:left w:val="single" w:sz="10"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8" w:right="0"/>
              <w:jc w:val="left"/>
              <w:rPr>
                <w:rFonts w:ascii="Times New Roman" w:hAnsi="Times New Roman" w:cs="Times New Roman" w:eastAsia="Times New Roman" w:hint="default"/>
                <w:sz w:val="18"/>
                <w:szCs w:val="18"/>
              </w:rPr>
            </w:pPr>
            <w:r>
              <w:rPr>
                <w:rFonts w:ascii="Times New Roman"/>
                <w:sz w:val="18"/>
              </w:rPr>
              <w:t>92,068,762.27</w:t>
            </w:r>
          </w:p>
        </w:tc>
        <w:tc>
          <w:tcPr>
            <w:tcW w:w="157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982" w:right="0"/>
              <w:jc w:val="left"/>
              <w:rPr>
                <w:rFonts w:ascii="Times New Roman" w:hAnsi="Times New Roman" w:cs="Times New Roman" w:eastAsia="Times New Roman" w:hint="default"/>
                <w:sz w:val="18"/>
                <w:szCs w:val="18"/>
              </w:rPr>
            </w:pPr>
            <w:r>
              <w:rPr>
                <w:rFonts w:ascii="Times New Roman"/>
                <w:sz w:val="18"/>
              </w:rPr>
              <w:t>77.26%</w:t>
            </w:r>
          </w:p>
        </w:tc>
        <w:tc>
          <w:tcPr>
            <w:tcW w:w="3568" w:type="dxa"/>
            <w:vMerge w:val="restart"/>
            <w:tcBorders>
              <w:top w:val="single" w:sz="4" w:space="0" w:color="000000"/>
              <w:left w:val="single" w:sz="4" w:space="0" w:color="000000"/>
              <w:right w:val="single" w:sz="4" w:space="0" w:color="000000"/>
            </w:tcBorders>
          </w:tcPr>
          <w:p>
            <w:pPr>
              <w:pStyle w:val="TableParagraph"/>
              <w:spacing w:line="319" w:lineRule="auto" w:before="51"/>
              <w:ind w:left="22" w:right="22"/>
              <w:jc w:val="both"/>
              <w:rPr>
                <w:rFonts w:ascii="宋体" w:hAnsi="宋体" w:cs="宋体" w:eastAsia="宋体" w:hint="default"/>
                <w:sz w:val="18"/>
                <w:szCs w:val="18"/>
              </w:rPr>
            </w:pPr>
            <w:r>
              <w:rPr>
                <w:rFonts w:ascii="宋体" w:hAnsi="宋体" w:cs="宋体" w:eastAsia="宋体" w:hint="default"/>
                <w:spacing w:val="-5"/>
                <w:sz w:val="18"/>
                <w:szCs w:val="18"/>
              </w:rPr>
              <w:t>主要来自于坏账计提、北京神州泰岳系统集成</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5"/>
                <w:sz w:val="18"/>
                <w:szCs w:val="18"/>
              </w:rPr>
              <w:t>有限公司商誉的减值、天津壳木软件有限责任</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公司无形资产的减值、库存的减值。</w:t>
            </w:r>
          </w:p>
        </w:tc>
        <w:tc>
          <w:tcPr>
            <w:tcW w:w="227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83"/>
              <w:jc w:val="left"/>
              <w:rPr>
                <w:rFonts w:ascii="宋体" w:hAnsi="宋体" w:cs="宋体" w:eastAsia="宋体" w:hint="default"/>
                <w:sz w:val="18"/>
                <w:szCs w:val="18"/>
              </w:rPr>
            </w:pPr>
            <w:r>
              <w:rPr>
                <w:rFonts w:ascii="宋体" w:hAnsi="宋体" w:cs="宋体" w:eastAsia="宋体" w:hint="default"/>
                <w:sz w:val="18"/>
                <w:szCs w:val="18"/>
              </w:rPr>
              <w:t>按信用风险特征组合计提的 坏账具有可持续性。</w:t>
            </w:r>
          </w:p>
        </w:tc>
      </w:tr>
      <w:tr>
        <w:trPr>
          <w:trHeight w:val="392" w:hRule="exact"/>
        </w:trPr>
        <w:tc>
          <w:tcPr>
            <w:tcW w:w="9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283" w:type="dxa"/>
            <w:vMerge/>
            <w:tcBorders>
              <w:left w:val="single" w:sz="10" w:space="0" w:color="D2D2D2"/>
              <w:right w:val="single" w:sz="4" w:space="0" w:color="000000"/>
            </w:tcBorders>
          </w:tcPr>
          <w:p>
            <w:pPr/>
          </w:p>
        </w:tc>
        <w:tc>
          <w:tcPr>
            <w:tcW w:w="1570" w:type="dxa"/>
            <w:vMerge/>
            <w:tcBorders>
              <w:left w:val="single" w:sz="4" w:space="0" w:color="000000"/>
              <w:right w:val="single" w:sz="4" w:space="0" w:color="000000"/>
            </w:tcBorders>
          </w:tcPr>
          <w:p>
            <w:pPr/>
          </w:p>
        </w:tc>
        <w:tc>
          <w:tcPr>
            <w:tcW w:w="3568" w:type="dxa"/>
            <w:vMerge/>
            <w:tcBorders>
              <w:left w:val="single" w:sz="4" w:space="0" w:color="000000"/>
              <w:right w:val="single" w:sz="4" w:space="0" w:color="000000"/>
            </w:tcBorders>
          </w:tcPr>
          <w:p>
            <w:pPr/>
          </w:p>
        </w:tc>
        <w:tc>
          <w:tcPr>
            <w:tcW w:w="2278" w:type="dxa"/>
            <w:vMerge/>
            <w:tcBorders>
              <w:left w:val="single" w:sz="4" w:space="0" w:color="000000"/>
              <w:right w:val="single" w:sz="4" w:space="0" w:color="000000"/>
            </w:tcBorders>
          </w:tcPr>
          <w:p>
            <w:pPr/>
          </w:p>
        </w:tc>
      </w:tr>
      <w:tr>
        <w:trPr>
          <w:trHeight w:val="317" w:hRule="exact"/>
        </w:trPr>
        <w:tc>
          <w:tcPr>
            <w:tcW w:w="9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283" w:type="dxa"/>
            <w:vMerge/>
            <w:tcBorders>
              <w:left w:val="single" w:sz="10" w:space="0" w:color="D2D2D2"/>
              <w:bottom w:val="single" w:sz="4" w:space="0" w:color="000000"/>
              <w:right w:val="single" w:sz="4" w:space="0" w:color="000000"/>
            </w:tcBorders>
          </w:tcPr>
          <w:p>
            <w:pPr/>
          </w:p>
        </w:tc>
        <w:tc>
          <w:tcPr>
            <w:tcW w:w="1570" w:type="dxa"/>
            <w:vMerge/>
            <w:tcBorders>
              <w:left w:val="single" w:sz="4" w:space="0" w:color="000000"/>
              <w:bottom w:val="single" w:sz="4" w:space="0" w:color="000000"/>
              <w:right w:val="single" w:sz="4" w:space="0" w:color="000000"/>
            </w:tcBorders>
          </w:tcPr>
          <w:p>
            <w:pPr/>
          </w:p>
        </w:tc>
        <w:tc>
          <w:tcPr>
            <w:tcW w:w="3568" w:type="dxa"/>
            <w:vMerge/>
            <w:tcBorders>
              <w:left w:val="single" w:sz="4" w:space="0" w:color="000000"/>
              <w:bottom w:val="single" w:sz="4" w:space="0" w:color="000000"/>
              <w:right w:val="single" w:sz="4" w:space="0" w:color="000000"/>
            </w:tcBorders>
          </w:tcPr>
          <w:p>
            <w:pPr/>
          </w:p>
        </w:tc>
        <w:tc>
          <w:tcPr>
            <w:tcW w:w="2278"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380" w:bottom="1160" w:left="0" w:right="0"/>
        </w:sectPr>
      </w:pPr>
    </w:p>
    <w:p>
      <w:pPr>
        <w:spacing w:line="240" w:lineRule="auto" w:before="12"/>
        <w:rPr>
          <w:rFonts w:ascii="宋体" w:hAnsi="宋体" w:cs="宋体" w:eastAsia="宋体" w:hint="default"/>
          <w:sz w:val="3"/>
          <w:szCs w:val="3"/>
        </w:rPr>
      </w:pPr>
    </w:p>
    <w:tbl>
      <w:tblPr>
        <w:tblW w:w="0" w:type="auto"/>
        <w:jc w:val="left"/>
        <w:tblInd w:w="1101" w:type="dxa"/>
        <w:tblLayout w:type="fixed"/>
        <w:tblCellMar>
          <w:top w:w="0" w:type="dxa"/>
          <w:left w:w="0" w:type="dxa"/>
          <w:bottom w:w="0" w:type="dxa"/>
          <w:right w:w="0" w:type="dxa"/>
        </w:tblCellMar>
        <w:tblLook w:val="01E0"/>
      </w:tblPr>
      <w:tblGrid>
        <w:gridCol w:w="996"/>
        <w:gridCol w:w="1283"/>
        <w:gridCol w:w="1570"/>
        <w:gridCol w:w="3568"/>
        <w:gridCol w:w="2278"/>
      </w:tblGrid>
      <w:tr>
        <w:trPr>
          <w:trHeight w:val="1026" w:hRule="exact"/>
        </w:trPr>
        <w:tc>
          <w:tcPr>
            <w:tcW w:w="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13,323,713.08</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11.18%</w:t>
            </w:r>
          </w:p>
        </w:tc>
        <w:tc>
          <w:tcPr>
            <w:tcW w:w="35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3"/>
              <w:jc w:val="both"/>
              <w:rPr>
                <w:rFonts w:ascii="宋体" w:hAnsi="宋体" w:cs="宋体" w:eastAsia="宋体" w:hint="default"/>
                <w:sz w:val="18"/>
                <w:szCs w:val="18"/>
              </w:rPr>
            </w:pPr>
            <w:r>
              <w:rPr>
                <w:rFonts w:ascii="宋体" w:hAnsi="宋体" w:cs="宋体" w:eastAsia="宋体" w:hint="default"/>
                <w:sz w:val="18"/>
                <w:szCs w:val="18"/>
              </w:rPr>
              <w:t>主要来自北京广通神州网络技术有限公司因 业务承诺未实现而无需支付的股权转让款和 业绩补偿款。</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不具有可持续性。</w:t>
            </w:r>
          </w:p>
        </w:tc>
      </w:tr>
      <w:tr>
        <w:trPr>
          <w:trHeight w:val="402" w:hRule="exact"/>
        </w:trPr>
        <w:tc>
          <w:tcPr>
            <w:tcW w:w="9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633,992.99</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0.53%</w:t>
            </w:r>
          </w:p>
        </w:tc>
        <w:tc>
          <w:tcPr>
            <w:tcW w:w="3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主要系处置固定资产的损失。</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不具有可持续性。</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四、资产及负债状况" w:id="40"/>
      <w:bookmarkEnd w:id="40"/>
      <w:r>
        <w:rPr>
          <w:b w:val="0"/>
          <w:bCs w:val="0"/>
        </w:rPr>
      </w:r>
      <w:r>
        <w:rPr/>
        <w:t>四、资产及负债状况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资产构成重大变动情况" w:id="41"/>
      <w:bookmarkEnd w:id="41"/>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276"/>
        <w:gridCol w:w="1418"/>
        <w:gridCol w:w="901"/>
        <w:gridCol w:w="1196"/>
        <w:gridCol w:w="1063"/>
        <w:gridCol w:w="798"/>
        <w:gridCol w:w="2918"/>
      </w:tblGrid>
      <w:tr>
        <w:trPr>
          <w:trHeight w:val="385" w:hRule="exact"/>
        </w:trPr>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2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2918"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78" w:hRule="exact"/>
        </w:trPr>
        <w:tc>
          <w:tcPr>
            <w:tcW w:w="1276" w:type="dxa"/>
            <w:vMerge w:val="restart"/>
            <w:tcBorders>
              <w:top w:val="nil" w:sz="6" w:space="0" w:color="auto"/>
              <w:left w:val="single" w:sz="4" w:space="0" w:color="000000"/>
              <w:right w:val="single" w:sz="4" w:space="0" w:color="000000"/>
            </w:tcBorders>
            <w:shd w:val="clear" w:color="auto" w:fill="D2D2D2"/>
          </w:tcPr>
          <w:p>
            <w:pPr/>
          </w:p>
        </w:tc>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90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8"/>
              <w:ind w:left="265" w:right="8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68"/>
              <w:ind w:left="435" w:right="77" w:hanging="360"/>
              <w:jc w:val="left"/>
              <w:rPr>
                <w:rFonts w:ascii="宋体" w:hAnsi="宋体" w:cs="宋体" w:eastAsia="宋体" w:hint="default"/>
                <w:sz w:val="18"/>
                <w:szCs w:val="18"/>
              </w:rPr>
            </w:pPr>
            <w:r>
              <w:rPr>
                <w:rFonts w:ascii="宋体" w:hAnsi="宋体" w:cs="宋体" w:eastAsia="宋体" w:hint="default"/>
                <w:sz w:val="18"/>
                <w:szCs w:val="18"/>
              </w:rPr>
              <w:t>占总资产比 例</w:t>
            </w: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33"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9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29"/>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191" w:hRule="exact"/>
        </w:trPr>
        <w:tc>
          <w:tcPr>
            <w:tcW w:w="1276" w:type="dxa"/>
            <w:vMerge/>
            <w:tcBorders>
              <w:left w:val="single" w:sz="4" w:space="0" w:color="000000"/>
              <w:bottom w:val="nil" w:sz="6" w:space="0" w:color="auto"/>
              <w:right w:val="single" w:sz="4" w:space="0" w:color="000000"/>
            </w:tcBorders>
            <w:shd w:val="clear" w:color="auto" w:fill="D2D2D2"/>
          </w:tcPr>
          <w:p>
            <w:pPr/>
          </w:p>
        </w:tc>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01"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2918"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276" w:type="dxa"/>
            <w:vMerge w:val="restart"/>
            <w:tcBorders>
              <w:top w:val="nil" w:sz="6" w:space="0" w:color="auto"/>
              <w:left w:val="single" w:sz="4" w:space="0" w:color="000000"/>
              <w:right w:val="single" w:sz="4" w:space="0" w:color="000000"/>
            </w:tcBorders>
            <w:shd w:val="clear" w:color="auto" w:fill="D2D2D2"/>
          </w:tcPr>
          <w:p>
            <w:pPr/>
          </w:p>
        </w:tc>
        <w:tc>
          <w:tcPr>
            <w:tcW w:w="1418" w:type="dxa"/>
            <w:vMerge/>
            <w:tcBorders>
              <w:left w:val="single" w:sz="4" w:space="0" w:color="000000"/>
              <w:bottom w:val="nil" w:sz="6" w:space="0" w:color="auto"/>
              <w:right w:val="single" w:sz="4" w:space="0" w:color="000000"/>
            </w:tcBorders>
            <w:shd w:val="clear" w:color="auto" w:fill="D2D2D2"/>
          </w:tcPr>
          <w:p>
            <w:pPr/>
          </w:p>
        </w:tc>
        <w:tc>
          <w:tcPr>
            <w:tcW w:w="901"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
        </w:tc>
        <w:tc>
          <w:tcPr>
            <w:tcW w:w="2918"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276" w:type="dxa"/>
            <w:vMerge/>
            <w:tcBorders>
              <w:left w:val="single" w:sz="4" w:space="0" w:color="000000"/>
              <w:bottom w:val="single" w:sz="4" w:space="0" w:color="000000"/>
              <w:right w:val="single" w:sz="4" w:space="0" w:color="000000"/>
            </w:tcBorders>
            <w:shd w:val="clear" w:color="auto" w:fill="D2D2D2"/>
          </w:tcPr>
          <w:p>
            <w:pPr/>
          </w:p>
        </w:tc>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901"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3"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789,487,325.40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11.40%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855,390,068.14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-0.77%</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418"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1,124,147,742.37</w:t>
            </w:r>
          </w:p>
        </w:tc>
        <w:tc>
          <w:tcPr>
            <w:tcW w:w="90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13" w:right="0"/>
              <w:jc w:val="left"/>
              <w:rPr>
                <w:rFonts w:ascii="Times New Roman" w:hAnsi="Times New Roman" w:cs="Times New Roman" w:eastAsia="Times New Roman" w:hint="default"/>
                <w:sz w:val="18"/>
                <w:szCs w:val="18"/>
              </w:rPr>
            </w:pPr>
            <w:r>
              <w:rPr>
                <w:rFonts w:ascii="Times New Roman"/>
                <w:sz w:val="18"/>
              </w:rPr>
              <w:t>16.23%</w:t>
            </w:r>
          </w:p>
        </w:tc>
        <w:tc>
          <w:tcPr>
            <w:tcW w:w="1196"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1,116,607,697.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35</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5" w:right="0"/>
              <w:jc w:val="left"/>
              <w:rPr>
                <w:rFonts w:ascii="Times New Roman" w:hAnsi="Times New Roman" w:cs="Times New Roman" w:eastAsia="Times New Roman" w:hint="default"/>
                <w:sz w:val="18"/>
                <w:szCs w:val="18"/>
              </w:rPr>
            </w:pPr>
            <w:r>
              <w:rPr>
                <w:rFonts w:ascii="Times New Roman"/>
                <w:sz w:val="18"/>
              </w:rPr>
              <w:t>15.88%</w:t>
            </w: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0" w:right="0"/>
              <w:jc w:val="left"/>
              <w:rPr>
                <w:rFonts w:ascii="Times New Roman" w:hAnsi="Times New Roman" w:cs="Times New Roman" w:eastAsia="Times New Roman" w:hint="default"/>
                <w:sz w:val="18"/>
                <w:szCs w:val="18"/>
              </w:rPr>
            </w:pPr>
            <w:r>
              <w:rPr>
                <w:rFonts w:ascii="Times New Roman"/>
                <w:sz w:val="18"/>
              </w:rPr>
              <w:t>0.35%</w:t>
            </w:r>
          </w:p>
        </w:tc>
        <w:tc>
          <w:tcPr>
            <w:tcW w:w="2918" w:type="dxa"/>
            <w:vMerge w:val="restart"/>
            <w:tcBorders>
              <w:top w:val="single" w:sz="4" w:space="0" w:color="000000"/>
              <w:left w:val="single" w:sz="4" w:space="0" w:color="000000"/>
              <w:right w:val="single" w:sz="4" w:space="0" w:color="000000"/>
            </w:tcBorders>
          </w:tcPr>
          <w:p>
            <w:pPr/>
          </w:p>
        </w:tc>
      </w:tr>
      <w:tr>
        <w:trPr>
          <w:trHeight w:val="392" w:hRule="exact"/>
        </w:trPr>
        <w:tc>
          <w:tcPr>
            <w:tcW w:w="127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8" w:type="dxa"/>
            <w:vMerge/>
            <w:tcBorders>
              <w:left w:val="single" w:sz="9" w:space="0" w:color="D2D2D2"/>
              <w:right w:val="single" w:sz="4" w:space="0" w:color="000000"/>
            </w:tcBorders>
          </w:tcPr>
          <w:p>
            <w:pPr/>
          </w:p>
        </w:tc>
        <w:tc>
          <w:tcPr>
            <w:tcW w:w="901"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063"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2918" w:type="dxa"/>
            <w:vMerge/>
            <w:tcBorders>
              <w:left w:val="single" w:sz="4" w:space="0" w:color="000000"/>
              <w:right w:val="single" w:sz="4" w:space="0" w:color="000000"/>
            </w:tcBorders>
          </w:tcPr>
          <w:p>
            <w:pPr/>
          </w:p>
        </w:tc>
      </w:tr>
      <w:tr>
        <w:trPr>
          <w:trHeight w:val="161" w:hRule="exact"/>
        </w:trPr>
        <w:tc>
          <w:tcPr>
            <w:tcW w:w="1276" w:type="dxa"/>
            <w:tcBorders>
              <w:top w:val="nil" w:sz="6" w:space="0" w:color="auto"/>
              <w:left w:val="single" w:sz="4" w:space="0" w:color="000000"/>
              <w:bottom w:val="single" w:sz="4" w:space="0" w:color="000000"/>
              <w:right w:val="single" w:sz="4" w:space="0" w:color="000000"/>
            </w:tcBorders>
            <w:shd w:val="clear" w:color="auto" w:fill="D2D2D2"/>
          </w:tcPr>
          <w:p>
            <w:pPr/>
          </w:p>
        </w:tc>
        <w:tc>
          <w:tcPr>
            <w:tcW w:w="1418" w:type="dxa"/>
            <w:vMerge/>
            <w:tcBorders>
              <w:left w:val="single" w:sz="9" w:space="0" w:color="D2D2D2"/>
              <w:bottom w:val="single" w:sz="4" w:space="0" w:color="000000"/>
              <w:right w:val="single" w:sz="4" w:space="0" w:color="000000"/>
            </w:tcBorders>
          </w:tcPr>
          <w:p>
            <w:pPr/>
          </w:p>
        </w:tc>
        <w:tc>
          <w:tcPr>
            <w:tcW w:w="901"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063"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2918" w:type="dxa"/>
            <w:vMerge/>
            <w:tcBorders>
              <w:left w:val="single" w:sz="4" w:space="0" w:color="000000"/>
              <w:bottom w:val="single" w:sz="4" w:space="0" w:color="000000"/>
              <w:right w:val="single" w:sz="4" w:space="0" w:color="000000"/>
            </w:tcBorders>
          </w:tcPr>
          <w:p>
            <w:pP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225,711,685.55</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326,386,971.29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主要系系统集成业务库存减少所致。</w:t>
            </w: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159,980,567.72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164,062,029.92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305,366,447.10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333,597,917.93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-0.33%</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423,187,880.87</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6.11%</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431,072,690.73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6.13%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120,021.25</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1,612,887.96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-0.02%</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301,445,999.00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414,686,106.00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5.90%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w:t>
            </w:r>
          </w:p>
        </w:tc>
        <w:tc>
          <w:tcPr>
            <w:tcW w:w="291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以公允价值计量的资产和负债" w:id="42"/>
      <w:bookmarkEnd w:id="42"/>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3、截至报告期末的资产权利受限情况" w:id="43"/>
      <w:bookmarkEnd w:id="43"/>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五、投资状况分析" w:id="44"/>
      <w:bookmarkEnd w:id="44"/>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总体情况" w:id="45"/>
      <w:bookmarkEnd w:id="45"/>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7"/>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12"/>
          <w:szCs w:val="12"/>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2" w:right="0"/>
              <w:jc w:val="left"/>
              <w:rPr>
                <w:rFonts w:ascii="Times New Roman" w:hAnsi="Times New Roman" w:cs="Times New Roman" w:eastAsia="Times New Roman" w:hint="default"/>
                <w:sz w:val="18"/>
                <w:szCs w:val="18"/>
              </w:rPr>
            </w:pPr>
            <w:r>
              <w:rPr>
                <w:rFonts w:ascii="Times New Roman"/>
                <w:sz w:val="18"/>
              </w:rPr>
              <w:t>444,642,000.00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3" w:right="0"/>
              <w:jc w:val="left"/>
              <w:rPr>
                <w:rFonts w:ascii="Times New Roman" w:hAnsi="Times New Roman" w:cs="Times New Roman" w:eastAsia="Times New Roman" w:hint="default"/>
                <w:sz w:val="18"/>
                <w:szCs w:val="18"/>
              </w:rPr>
            </w:pPr>
            <w:r>
              <w:rPr>
                <w:rFonts w:ascii="Times New Roman"/>
                <w:sz w:val="18"/>
              </w:rPr>
              <w:t>850,609,836.88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-47.73%</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8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2、报告期内获取的重大的股权投资情况" w:id="46"/>
      <w:bookmarkEnd w:id="46"/>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2"/>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694"/>
        <w:gridCol w:w="694"/>
        <w:gridCol w:w="662"/>
        <w:gridCol w:w="661"/>
        <w:gridCol w:w="662"/>
        <w:gridCol w:w="663"/>
        <w:gridCol w:w="658"/>
        <w:gridCol w:w="655"/>
        <w:gridCol w:w="658"/>
        <w:gridCol w:w="629"/>
        <w:gridCol w:w="740"/>
        <w:gridCol w:w="734"/>
        <w:gridCol w:w="733"/>
        <w:gridCol w:w="724"/>
      </w:tblGrid>
      <w:tr>
        <w:trPr>
          <w:trHeight w:val="1026" w:hRule="exact"/>
        </w:trPr>
        <w:tc>
          <w:tcPr>
            <w:tcW w:w="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1" w:right="70"/>
              <w:jc w:val="center"/>
              <w:rPr>
                <w:rFonts w:ascii="宋体" w:hAnsi="宋体" w:cs="宋体" w:eastAsia="宋体" w:hint="default"/>
                <w:sz w:val="18"/>
                <w:szCs w:val="18"/>
              </w:rPr>
            </w:pPr>
            <w:r>
              <w:rPr>
                <w:rFonts w:ascii="宋体" w:hAnsi="宋体" w:cs="宋体" w:eastAsia="宋体" w:hint="default"/>
                <w:sz w:val="18"/>
                <w:szCs w:val="18"/>
              </w:rPr>
              <w:t>被投资 公司名 称</w:t>
            </w:r>
          </w:p>
        </w:tc>
        <w:tc>
          <w:tcPr>
            <w:tcW w:w="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1" w:right="71" w:hanging="180"/>
              <w:jc w:val="left"/>
              <w:rPr>
                <w:rFonts w:ascii="宋体" w:hAnsi="宋体" w:cs="宋体" w:eastAsia="宋体" w:hint="default"/>
                <w:sz w:val="18"/>
                <w:szCs w:val="18"/>
              </w:rPr>
            </w:pPr>
            <w:r>
              <w:rPr>
                <w:rFonts w:ascii="宋体" w:hAnsi="宋体" w:cs="宋体" w:eastAsia="宋体" w:hint="default"/>
                <w:sz w:val="18"/>
                <w:szCs w:val="18"/>
              </w:rPr>
              <w:t>主要业 务</w:t>
            </w:r>
          </w:p>
        </w:tc>
        <w:tc>
          <w:tcPr>
            <w:tcW w:w="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5" w:right="55" w:hanging="180"/>
              <w:jc w:val="left"/>
              <w:rPr>
                <w:rFonts w:ascii="宋体" w:hAnsi="宋体" w:cs="宋体" w:eastAsia="宋体" w:hint="default"/>
                <w:sz w:val="18"/>
                <w:szCs w:val="18"/>
              </w:rPr>
            </w:pPr>
            <w:r>
              <w:rPr>
                <w:rFonts w:ascii="宋体" w:hAnsi="宋体" w:cs="宋体" w:eastAsia="宋体" w:hint="default"/>
                <w:sz w:val="18"/>
                <w:szCs w:val="18"/>
              </w:rPr>
              <w:t>投资方 式</w:t>
            </w:r>
          </w:p>
        </w:tc>
        <w:tc>
          <w:tcPr>
            <w:tcW w:w="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5" w:right="54" w:hanging="180"/>
              <w:jc w:val="left"/>
              <w:rPr>
                <w:rFonts w:ascii="宋体" w:hAnsi="宋体" w:cs="宋体" w:eastAsia="宋体" w:hint="default"/>
                <w:sz w:val="18"/>
                <w:szCs w:val="18"/>
              </w:rPr>
            </w:pPr>
            <w:r>
              <w:rPr>
                <w:rFonts w:ascii="宋体" w:hAnsi="宋体" w:cs="宋体" w:eastAsia="宋体" w:hint="default"/>
                <w:sz w:val="18"/>
                <w:szCs w:val="18"/>
              </w:rPr>
              <w:t>投资金 额</w:t>
            </w:r>
          </w:p>
        </w:tc>
        <w:tc>
          <w:tcPr>
            <w:tcW w:w="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5" w:right="55"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6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5" w:right="57" w:hanging="180"/>
              <w:jc w:val="left"/>
              <w:rPr>
                <w:rFonts w:ascii="宋体" w:hAnsi="宋体" w:cs="宋体" w:eastAsia="宋体" w:hint="default"/>
                <w:sz w:val="18"/>
                <w:szCs w:val="18"/>
              </w:rPr>
            </w:pPr>
            <w:r>
              <w:rPr>
                <w:rFonts w:ascii="宋体" w:hAnsi="宋体" w:cs="宋体" w:eastAsia="宋体" w:hint="default"/>
                <w:sz w:val="18"/>
                <w:szCs w:val="18"/>
              </w:rPr>
              <w:t>资金来 源</w:t>
            </w:r>
          </w:p>
        </w:tc>
        <w:tc>
          <w:tcPr>
            <w:tcW w:w="6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5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6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1" w:right="53" w:hanging="180"/>
              <w:jc w:val="left"/>
              <w:rPr>
                <w:rFonts w:ascii="宋体" w:hAnsi="宋体" w:cs="宋体" w:eastAsia="宋体" w:hint="default"/>
                <w:sz w:val="18"/>
                <w:szCs w:val="18"/>
              </w:rPr>
            </w:pPr>
            <w:r>
              <w:rPr>
                <w:rFonts w:ascii="宋体" w:hAnsi="宋体" w:cs="宋体" w:eastAsia="宋体" w:hint="default"/>
                <w:sz w:val="18"/>
                <w:szCs w:val="18"/>
              </w:rPr>
              <w:t>投资期 限</w:t>
            </w:r>
          </w:p>
        </w:tc>
        <w:tc>
          <w:tcPr>
            <w:tcW w:w="6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3" w:right="53"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6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8" w:right="38" w:hanging="180"/>
              <w:jc w:val="left"/>
              <w:rPr>
                <w:rFonts w:ascii="宋体" w:hAnsi="宋体" w:cs="宋体" w:eastAsia="宋体" w:hint="default"/>
                <w:sz w:val="18"/>
                <w:szCs w:val="18"/>
              </w:rPr>
            </w:pPr>
            <w:r>
              <w:rPr>
                <w:rFonts w:ascii="宋体" w:hAnsi="宋体" w:cs="宋体" w:eastAsia="宋体" w:hint="default"/>
                <w:sz w:val="18"/>
                <w:szCs w:val="18"/>
              </w:rPr>
              <w:t>预计收 益</w:t>
            </w: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3" w:right="94"/>
              <w:jc w:val="left"/>
              <w:rPr>
                <w:rFonts w:ascii="宋体" w:hAnsi="宋体" w:cs="宋体" w:eastAsia="宋体" w:hint="default"/>
                <w:sz w:val="18"/>
                <w:szCs w:val="18"/>
              </w:rPr>
            </w:pPr>
            <w:r>
              <w:rPr>
                <w:rFonts w:ascii="宋体" w:hAnsi="宋体" w:cs="宋体" w:eastAsia="宋体" w:hint="default"/>
                <w:sz w:val="18"/>
                <w:szCs w:val="18"/>
              </w:rPr>
              <w:t>本期投 资盈亏</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71" w:right="91" w:hanging="180"/>
              <w:jc w:val="left"/>
              <w:rPr>
                <w:rFonts w:ascii="宋体" w:hAnsi="宋体" w:cs="宋体" w:eastAsia="宋体" w:hint="default"/>
                <w:sz w:val="18"/>
                <w:szCs w:val="18"/>
              </w:rPr>
            </w:pPr>
            <w:r>
              <w:rPr>
                <w:rFonts w:ascii="宋体" w:hAnsi="宋体" w:cs="宋体" w:eastAsia="宋体" w:hint="default"/>
                <w:sz w:val="18"/>
                <w:szCs w:val="18"/>
              </w:rPr>
              <w:t>是否涉 诉</w:t>
            </w:r>
          </w:p>
        </w:tc>
        <w:tc>
          <w:tcPr>
            <w:tcW w:w="7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1" w:right="90"/>
              <w:jc w:val="both"/>
              <w:rPr>
                <w:rFonts w:ascii="宋体" w:hAnsi="宋体" w:cs="宋体" w:eastAsia="宋体" w:hint="default"/>
                <w:sz w:val="18"/>
                <w:szCs w:val="18"/>
              </w:rPr>
            </w:pPr>
            <w:r>
              <w:rPr>
                <w:rFonts w:ascii="宋体" w:hAnsi="宋体" w:cs="宋体" w:eastAsia="宋体" w:hint="default"/>
                <w:sz w:val="18"/>
                <w:szCs w:val="18"/>
              </w:rPr>
              <w:t>披露日 期（如 有）</w:t>
            </w:r>
          </w:p>
        </w:tc>
        <w:tc>
          <w:tcPr>
            <w:tcW w:w="7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7" w:right="84"/>
              <w:jc w:val="both"/>
              <w:rPr>
                <w:rFonts w:ascii="宋体" w:hAnsi="宋体" w:cs="宋体" w:eastAsia="宋体" w:hint="default"/>
                <w:sz w:val="18"/>
                <w:szCs w:val="18"/>
              </w:rPr>
            </w:pPr>
            <w:r>
              <w:rPr>
                <w:rFonts w:ascii="宋体" w:hAnsi="宋体" w:cs="宋体" w:eastAsia="宋体" w:hint="default"/>
                <w:sz w:val="18"/>
                <w:szCs w:val="18"/>
              </w:rPr>
              <w:t>披露索 引（如 有）</w:t>
            </w:r>
          </w:p>
        </w:tc>
      </w:tr>
      <w:tr>
        <w:trPr>
          <w:trHeight w:val="1338" w:hRule="exact"/>
        </w:trPr>
        <w:tc>
          <w:tcPr>
            <w:tcW w:w="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19"/>
              <w:jc w:val="both"/>
              <w:rPr>
                <w:rFonts w:ascii="宋体" w:hAnsi="宋体" w:cs="宋体" w:eastAsia="宋体" w:hint="default"/>
                <w:sz w:val="18"/>
                <w:szCs w:val="18"/>
              </w:rPr>
            </w:pPr>
            <w:r>
              <w:rPr>
                <w:rFonts w:ascii="宋体" w:hAnsi="宋体" w:cs="宋体" w:eastAsia="宋体" w:hint="default"/>
                <w:sz w:val="18"/>
                <w:szCs w:val="18"/>
              </w:rPr>
              <w:t>北京泰 岳阳光 科技有 限公司</w:t>
            </w:r>
          </w:p>
        </w:tc>
        <w:tc>
          <w:tcPr>
            <w:tcW w:w="694"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2" w:right="119"/>
              <w:jc w:val="both"/>
              <w:rPr>
                <w:rFonts w:ascii="宋体" w:hAnsi="宋体" w:cs="宋体" w:eastAsia="宋体" w:hint="default"/>
                <w:sz w:val="18"/>
                <w:szCs w:val="18"/>
              </w:rPr>
            </w:pPr>
            <w:r>
              <w:rPr>
                <w:rFonts w:ascii="宋体" w:hAnsi="宋体" w:cs="宋体" w:eastAsia="宋体" w:hint="default"/>
                <w:sz w:val="18"/>
                <w:szCs w:val="18"/>
              </w:rPr>
              <w:t>计算机 应用服 务业</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新设</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390,420</w:t>
            </w:r>
          </w:p>
          <w:p>
            <w:pPr>
              <w:pStyle w:val="TableParagraph"/>
              <w:spacing w:line="240" w:lineRule="auto" w:before="105"/>
              <w:ind w:left="88" w:right="0"/>
              <w:jc w:val="left"/>
              <w:rPr>
                <w:rFonts w:ascii="Times New Roman" w:hAnsi="Times New Roman" w:cs="Times New Roman" w:eastAsia="Times New Roman" w:hint="default"/>
                <w:sz w:val="18"/>
                <w:szCs w:val="18"/>
              </w:rPr>
            </w:pPr>
            <w:r>
              <w:rPr>
                <w:rFonts w:ascii="Times New Roman"/>
                <w:sz w:val="18"/>
              </w:rPr>
              <w:t>,000.00</w:t>
            </w:r>
          </w:p>
        </w:tc>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88"/>
              <w:jc w:val="left"/>
              <w:rPr>
                <w:rFonts w:ascii="宋体" w:hAnsi="宋体" w:cs="宋体" w:eastAsia="宋体" w:hint="default"/>
                <w:sz w:val="18"/>
                <w:szCs w:val="18"/>
              </w:rPr>
            </w:pPr>
            <w:r>
              <w:rPr>
                <w:rFonts w:ascii="宋体" w:hAnsi="宋体" w:cs="宋体" w:eastAsia="宋体" w:hint="default"/>
                <w:sz w:val="18"/>
                <w:szCs w:val="18"/>
              </w:rPr>
              <w:t>自有资 金</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6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6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83"/>
              <w:jc w:val="both"/>
              <w:rPr>
                <w:rFonts w:ascii="宋体" w:hAnsi="宋体" w:cs="宋体" w:eastAsia="宋体" w:hint="default"/>
                <w:sz w:val="18"/>
                <w:szCs w:val="18"/>
              </w:rPr>
            </w:pPr>
            <w:r>
              <w:rPr>
                <w:rFonts w:ascii="宋体" w:hAnsi="宋体" w:cs="宋体" w:eastAsia="宋体" w:hint="default"/>
                <w:sz w:val="18"/>
                <w:szCs w:val="18"/>
              </w:rPr>
              <w:t>研发办 公用房 建设</w:t>
            </w:r>
          </w:p>
        </w:tc>
        <w:tc>
          <w:tcPr>
            <w:tcW w:w="629" w:type="dxa"/>
            <w:tcBorders>
              <w:top w:val="single" w:sz="4" w:space="0" w:color="000000"/>
              <w:left w:val="single" w:sz="4" w:space="0" w:color="000000"/>
              <w:bottom w:val="single" w:sz="4" w:space="0" w:color="000000"/>
              <w:right w:val="single" w:sz="4" w:space="0" w:color="000000"/>
            </w:tcBorders>
          </w:tcPr>
          <w:p>
            <w:pP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1" w:right="0"/>
              <w:jc w:val="left"/>
              <w:rPr>
                <w:rFonts w:ascii="Times New Roman" w:hAnsi="Times New Roman" w:cs="Times New Roman" w:eastAsia="Times New Roman" w:hint="default"/>
                <w:sz w:val="18"/>
                <w:szCs w:val="18"/>
              </w:rPr>
            </w:pPr>
            <w:r>
              <w:rPr>
                <w:rFonts w:ascii="Times New Roman"/>
                <w:sz w:val="18"/>
              </w:rPr>
              <w:t>-379,915</w:t>
            </w:r>
          </w:p>
          <w:p>
            <w:pPr>
              <w:pStyle w:val="TableParagraph"/>
              <w:spacing w:line="240" w:lineRule="auto" w:before="105"/>
              <w:ind w:left="481" w:right="0"/>
              <w:jc w:val="left"/>
              <w:rPr>
                <w:rFonts w:ascii="Times New Roman" w:hAnsi="Times New Roman" w:cs="Times New Roman" w:eastAsia="Times New Roman" w:hint="default"/>
                <w:sz w:val="18"/>
                <w:szCs w:val="18"/>
              </w:rPr>
            </w:pPr>
            <w:r>
              <w:rPr>
                <w:rFonts w:ascii="Times New Roman"/>
                <w:sz w:val="18"/>
              </w:rPr>
              <w:t>.50</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33" w:type="dxa"/>
            <w:tcBorders>
              <w:top w:val="single" w:sz="4" w:space="0" w:color="000000"/>
              <w:left w:val="single" w:sz="4" w:space="0" w:color="000000"/>
              <w:bottom w:val="single" w:sz="4" w:space="0" w:color="000000"/>
              <w:right w:val="single" w:sz="4" w:space="0" w:color="000000"/>
            </w:tcBorders>
          </w:tcPr>
          <w:p>
            <w:pPr/>
          </w:p>
        </w:tc>
        <w:tc>
          <w:tcPr>
            <w:tcW w:w="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报告期内正在进行的重大的非股权投资情况" w:id="47"/>
      <w:bookmarkEnd w:id="47"/>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4、以公允价值计量的金融资产" w:id="48"/>
      <w:bookmarkEnd w:id="48"/>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5、募集资金使用情况" w:id="49"/>
      <w:bookmarkEnd w:id="49"/>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1）募集资金总体使用情况" w:id="50"/>
      <w:bookmarkEnd w:id="50"/>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3"/>
        <w:rPr>
          <w:rFonts w:ascii="宋体" w:hAnsi="宋体" w:cs="宋体" w:eastAsia="宋体" w:hint="default"/>
          <w:b/>
          <w:bCs/>
          <w:sz w:val="23"/>
          <w:szCs w:val="23"/>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3"/>
        <w:ind w:left="63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866"/>
        <w:gridCol w:w="870"/>
        <w:gridCol w:w="870"/>
        <w:gridCol w:w="870"/>
        <w:gridCol w:w="870"/>
        <w:gridCol w:w="869"/>
        <w:gridCol w:w="870"/>
        <w:gridCol w:w="870"/>
        <w:gridCol w:w="870"/>
        <w:gridCol w:w="870"/>
        <w:gridCol w:w="869"/>
      </w:tblGrid>
      <w:tr>
        <w:trPr>
          <w:trHeight w:val="1338"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9" w:right="68"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9" w:right="6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 w:right="68"/>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 w:right="68"/>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70"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用途及去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8" w:right="68"/>
              <w:jc w:val="both"/>
              <w:rPr>
                <w:rFonts w:ascii="宋体" w:hAnsi="宋体" w:cs="宋体" w:eastAsia="宋体" w:hint="default"/>
                <w:sz w:val="18"/>
                <w:szCs w:val="18"/>
              </w:rPr>
            </w:pPr>
            <w:r>
              <w:rPr>
                <w:rFonts w:ascii="宋体" w:hAnsi="宋体" w:cs="宋体" w:eastAsia="宋体" w:hint="default"/>
                <w:sz w:val="18"/>
                <w:szCs w:val="18"/>
              </w:rPr>
              <w:t>闲置两年 以上募集 资金金额</w:t>
            </w:r>
          </w:p>
        </w:tc>
      </w:tr>
      <w:tr>
        <w:trPr>
          <w:trHeight w:val="714"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5"/>
              <w:jc w:val="left"/>
              <w:rPr>
                <w:rFonts w:ascii="宋体" w:hAnsi="宋体" w:cs="宋体" w:eastAsia="宋体" w:hint="default"/>
                <w:sz w:val="18"/>
                <w:szCs w:val="18"/>
              </w:rPr>
            </w:pPr>
            <w:r>
              <w:rPr>
                <w:rFonts w:ascii="宋体" w:hAnsi="宋体" w:cs="宋体" w:eastAsia="宋体" w:hint="default"/>
                <w:sz w:val="18"/>
                <w:szCs w:val="18"/>
              </w:rPr>
              <w:t>公开发行 股份</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170,336.31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7,416.02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182,827.54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5"/>
              <w:jc w:val="left"/>
              <w:rPr>
                <w:rFonts w:ascii="宋体" w:hAnsi="宋体" w:cs="宋体" w:eastAsia="宋体" w:hint="default"/>
                <w:sz w:val="18"/>
                <w:szCs w:val="18"/>
              </w:rPr>
            </w:pPr>
            <w:r>
              <w:rPr>
                <w:rFonts w:ascii="宋体" w:hAnsi="宋体" w:cs="宋体" w:eastAsia="宋体" w:hint="default"/>
                <w:sz w:val="18"/>
                <w:szCs w:val="18"/>
              </w:rPr>
              <w:t>已经全部 规划完毕</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4" w:right="0"/>
              <w:jc w:val="left"/>
              <w:rPr>
                <w:rFonts w:ascii="Times New Roman" w:hAnsi="Times New Roman" w:cs="Times New Roman" w:eastAsia="Times New Roman" w:hint="default"/>
                <w:sz w:val="18"/>
                <w:szCs w:val="18"/>
              </w:rPr>
            </w:pPr>
            <w:r>
              <w:rPr>
                <w:rFonts w:ascii="Times New Roman"/>
                <w:sz w:val="18"/>
              </w:rPr>
              <w:t>170,336.31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7,416.02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182,827.54</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56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1338" w:hRule="exact"/>
        </w:trPr>
        <w:tc>
          <w:tcPr>
            <w:tcW w:w="9564"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公司募集资金净额为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170,336.31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万元，其中：招股说明书所列的六个募集资金适用项目计划金额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50,252.80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万元、超募资</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金总额为</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120,083.51</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万元。总体使用情况如下：</w:t>
            </w:r>
            <w:r>
              <w:rPr>
                <w:rFonts w:ascii="Times New Roman" w:hAnsi="Times New Roman" w:cs="Times New Roman" w:eastAsia="Times New Roman" w:hint="default"/>
                <w:sz w:val="18"/>
                <w:szCs w:val="18"/>
              </w:rPr>
              <w:t>1</w:t>
            </w:r>
            <w:r>
              <w:rPr>
                <w:rFonts w:ascii="宋体" w:hAnsi="宋体" w:cs="宋体" w:eastAsia="宋体" w:hint="default"/>
                <w:sz w:val="18"/>
                <w:szCs w:val="18"/>
              </w:rPr>
              <w:t>、截止</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年末，招股说明书所列募集资金项目已经实施完毕，实际使</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用</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29,521.39</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万元，节余</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20,731.41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w:t>
            </w:r>
            <w:r>
              <w:rPr>
                <w:rFonts w:ascii="宋体" w:hAnsi="宋体" w:cs="宋体" w:eastAsia="宋体" w:hint="default"/>
                <w:sz w:val="18"/>
                <w:szCs w:val="18"/>
              </w:rPr>
              <w:t>、超募资金全部规划完毕，截止报告期末已经使用</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112,162.35</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3</w:t>
            </w:r>
            <w:r>
              <w:rPr>
                <w:rFonts w:ascii="宋体" w:hAnsi="宋体" w:cs="宋体" w:eastAsia="宋体" w:hint="default"/>
                <w:sz w:val="18"/>
                <w:szCs w:val="18"/>
              </w:rPr>
              <w:t>、募集及</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超募资金节余实际使用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41,143.80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2）募集资金承诺项目情况" w:id="51"/>
      <w:bookmarkEnd w:id="51"/>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3"/>
        <w:rPr>
          <w:rFonts w:ascii="宋体" w:hAnsi="宋体" w:cs="宋体" w:eastAsia="宋体" w:hint="default"/>
          <w:b/>
          <w:bCs/>
          <w:sz w:val="23"/>
          <w:szCs w:val="23"/>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2"/>
        <w:ind w:left="630" w:right="1130"/>
        <w:jc w:val="right"/>
      </w:pPr>
      <w:r>
        <w:rPr/>
        <w:t>单位：万元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763"/>
        <w:gridCol w:w="786"/>
        <w:gridCol w:w="780"/>
        <w:gridCol w:w="780"/>
        <w:gridCol w:w="779"/>
        <w:gridCol w:w="780"/>
        <w:gridCol w:w="780"/>
        <w:gridCol w:w="780"/>
        <w:gridCol w:w="780"/>
        <w:gridCol w:w="780"/>
        <w:gridCol w:w="780"/>
      </w:tblGrid>
      <w:tr>
        <w:trPr>
          <w:trHeight w:val="317" w:hRule="exact"/>
        </w:trPr>
        <w:tc>
          <w:tcPr>
            <w:tcW w:w="1763" w:type="dxa"/>
            <w:tcBorders>
              <w:top w:val="single" w:sz="4" w:space="0" w:color="000000"/>
              <w:left w:val="single" w:sz="4" w:space="0" w:color="000000"/>
              <w:bottom w:val="nil" w:sz="6" w:space="0" w:color="auto"/>
              <w:right w:val="single" w:sz="4" w:space="0" w:color="000000"/>
            </w:tcBorders>
            <w:shd w:val="clear" w:color="auto" w:fill="D9D9D9"/>
          </w:tcPr>
          <w:p>
            <w:pPr/>
          </w:p>
        </w:tc>
        <w:tc>
          <w:tcPr>
            <w:tcW w:w="786" w:type="dxa"/>
            <w:vMerge w:val="restart"/>
            <w:tcBorders>
              <w:top w:val="single" w:sz="4" w:space="0" w:color="000000"/>
              <w:left w:val="single" w:sz="9" w:space="0" w:color="D9D9D9"/>
              <w:right w:val="single" w:sz="4" w:space="0" w:color="000000"/>
            </w:tcBorders>
            <w:shd w:val="clear" w:color="auto" w:fill="D2D2D2"/>
          </w:tcPr>
          <w:p>
            <w:pPr>
              <w:pStyle w:val="TableParagraph"/>
              <w:spacing w:line="312" w:lineRule="auto" w:before="51"/>
              <w:ind w:left="25"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是否已变 更项目 </w:t>
            </w:r>
            <w:r>
              <w:rPr>
                <w:rFonts w:ascii="Times New Roman" w:hAnsi="Times New Roman" w:cs="Times New Roman" w:eastAsia="Times New Roman" w:hint="default"/>
                <w:sz w:val="18"/>
                <w:szCs w:val="18"/>
              </w:rPr>
              <w:t>(</w:t>
            </w:r>
            <w:r>
              <w:rPr>
                <w:rFonts w:ascii="宋体" w:hAnsi="宋体" w:cs="宋体" w:eastAsia="宋体" w:hint="default"/>
                <w:sz w:val="18"/>
                <w:szCs w:val="18"/>
              </w:rPr>
              <w:t>含部分 变更</w:t>
            </w:r>
            <w:r>
              <w:rPr>
                <w:rFonts w:ascii="Times New Roman" w:hAnsi="Times New Roman" w:cs="Times New Roman" w:eastAsia="Times New Roman" w:hint="default"/>
                <w:sz w:val="18"/>
                <w:szCs w:val="18"/>
              </w:rPr>
              <w:t>)</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 w:right="24"/>
              <w:jc w:val="center"/>
              <w:rPr>
                <w:rFonts w:ascii="宋体" w:hAnsi="宋体" w:cs="宋体" w:eastAsia="宋体" w:hint="default"/>
                <w:sz w:val="18"/>
                <w:szCs w:val="18"/>
              </w:rPr>
            </w:pPr>
            <w:r>
              <w:rPr>
                <w:rFonts w:ascii="宋体" w:hAnsi="宋体" w:cs="宋体" w:eastAsia="宋体" w:hint="default"/>
                <w:sz w:val="18"/>
                <w:szCs w:val="18"/>
              </w:rPr>
              <w:t>募集资金 承诺投资 总额</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38" w:lineRule="auto"/>
              <w:ind w:left="24" w:right="24"/>
              <w:jc w:val="center"/>
              <w:rPr>
                <w:rFonts w:ascii="Times New Roman" w:hAnsi="Times New Roman" w:cs="Times New Roman" w:eastAsia="Times New Roman" w:hint="default"/>
                <w:sz w:val="18"/>
                <w:szCs w:val="18"/>
              </w:rPr>
            </w:pPr>
            <w:r>
              <w:rPr>
                <w:rFonts w:ascii="宋体" w:hAnsi="宋体" w:cs="宋体" w:eastAsia="宋体" w:hint="default"/>
                <w:sz w:val="18"/>
                <w:szCs w:val="18"/>
              </w:rPr>
              <w:t>调整后投 资总额 </w:t>
            </w:r>
            <w:r>
              <w:rPr>
                <w:rFonts w:ascii="Times New Roman" w:hAnsi="Times New Roman" w:cs="Times New Roman" w:eastAsia="Times New Roman" w:hint="default"/>
                <w:sz w:val="18"/>
                <w:szCs w:val="18"/>
              </w:rPr>
              <w:t>(1)</w:t>
            </w:r>
          </w:p>
        </w:tc>
        <w:tc>
          <w:tcPr>
            <w:tcW w:w="7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 w:right="23"/>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 w:right="23"/>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截至期末 累计投入 金额</w:t>
            </w:r>
            <w:r>
              <w:rPr>
                <w:rFonts w:ascii="Times New Roman" w:hAnsi="Times New Roman" w:cs="Times New Roman" w:eastAsia="Times New Roman" w:hint="default"/>
                <w:sz w:val="18"/>
                <w:szCs w:val="18"/>
              </w:rPr>
              <w:t>(2)</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24" w:lineRule="auto" w:before="51"/>
              <w:ind w:left="25" w:right="23"/>
              <w:jc w:val="center"/>
              <w:rPr>
                <w:rFonts w:ascii="Times New Roman" w:hAnsi="Times New Roman" w:cs="Times New Roman" w:eastAsia="Times New Roman" w:hint="default"/>
                <w:sz w:val="18"/>
                <w:szCs w:val="18"/>
              </w:rPr>
            </w:pPr>
            <w:r>
              <w:rPr>
                <w:rFonts w:ascii="宋体" w:hAnsi="宋体" w:cs="宋体" w:eastAsia="宋体" w:hint="default"/>
                <w:sz w:val="18"/>
                <w:szCs w:val="18"/>
              </w:rPr>
              <w:t>截至期末 投资进度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5" w:right="23"/>
              <w:jc w:val="center"/>
              <w:rPr>
                <w:rFonts w:ascii="宋体" w:hAnsi="宋体" w:cs="宋体" w:eastAsia="宋体" w:hint="default"/>
                <w:sz w:val="18"/>
                <w:szCs w:val="18"/>
              </w:rPr>
            </w:pPr>
            <w:r>
              <w:rPr>
                <w:rFonts w:ascii="宋体" w:hAnsi="宋体" w:cs="宋体" w:eastAsia="宋体" w:hint="default"/>
                <w:sz w:val="18"/>
                <w:szCs w:val="18"/>
              </w:rPr>
              <w:t>项目达到 预定可使 用状态日 期</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 w:right="23"/>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5" w:right="23"/>
              <w:jc w:val="left"/>
              <w:rPr>
                <w:rFonts w:ascii="宋体" w:hAnsi="宋体" w:cs="宋体" w:eastAsia="宋体" w:hint="default"/>
                <w:sz w:val="18"/>
                <w:szCs w:val="18"/>
              </w:rPr>
            </w:pPr>
            <w:r>
              <w:rPr>
                <w:rFonts w:ascii="宋体" w:hAnsi="宋体" w:cs="宋体" w:eastAsia="宋体" w:hint="default"/>
                <w:sz w:val="18"/>
                <w:szCs w:val="18"/>
              </w:rPr>
              <w:t>是否达到 预计效益</w:t>
            </w:r>
          </w:p>
        </w:tc>
        <w:tc>
          <w:tcPr>
            <w:tcW w:w="78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5" w:right="23"/>
              <w:jc w:val="center"/>
              <w:rPr>
                <w:rFonts w:ascii="宋体" w:hAnsi="宋体" w:cs="宋体" w:eastAsia="宋体" w:hint="default"/>
                <w:sz w:val="18"/>
                <w:szCs w:val="18"/>
              </w:rPr>
            </w:pPr>
            <w:r>
              <w:rPr>
                <w:rFonts w:ascii="宋体" w:hAnsi="宋体" w:cs="宋体" w:eastAsia="宋体" w:hint="default"/>
                <w:sz w:val="18"/>
                <w:szCs w:val="18"/>
              </w:rPr>
              <w:t>项目可行 性是否发 生重大变 化</w:t>
            </w:r>
          </w:p>
        </w:tc>
      </w:tr>
      <w:tr>
        <w:trPr>
          <w:trHeight w:val="704" w:hRule="exact"/>
        </w:trPr>
        <w:tc>
          <w:tcPr>
            <w:tcW w:w="176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6" w:lineRule="auto" w:before="51"/>
              <w:ind w:left="520" w:right="61" w:hanging="451"/>
              <w:jc w:val="left"/>
              <w:rPr>
                <w:rFonts w:ascii="宋体" w:hAnsi="宋体" w:cs="宋体" w:eastAsia="宋体" w:hint="default"/>
                <w:sz w:val="18"/>
                <w:szCs w:val="18"/>
              </w:rPr>
            </w:pPr>
            <w:r>
              <w:rPr>
                <w:rFonts w:ascii="宋体" w:hAnsi="宋体" w:cs="宋体" w:eastAsia="宋体" w:hint="default"/>
                <w:sz w:val="18"/>
                <w:szCs w:val="18"/>
              </w:rPr>
              <w:t>承诺投资项目和超募 资金投向</w:t>
            </w:r>
          </w:p>
        </w:tc>
        <w:tc>
          <w:tcPr>
            <w:tcW w:w="786" w:type="dxa"/>
            <w:vMerge/>
            <w:tcBorders>
              <w:left w:val="single" w:sz="9" w:space="0" w:color="D9D9D9"/>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79"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c>
          <w:tcPr>
            <w:tcW w:w="780" w:type="dxa"/>
            <w:vMerge/>
            <w:tcBorders>
              <w:left w:val="single" w:sz="4" w:space="0" w:color="000000"/>
              <w:right w:val="single" w:sz="4" w:space="0" w:color="000000"/>
            </w:tcBorders>
            <w:shd w:val="clear" w:color="auto" w:fill="D2D2D2"/>
          </w:tcPr>
          <w:p>
            <w:pPr/>
          </w:p>
        </w:tc>
      </w:tr>
      <w:tr>
        <w:trPr>
          <w:trHeight w:val="317" w:hRule="exact"/>
        </w:trPr>
        <w:tc>
          <w:tcPr>
            <w:tcW w:w="1763" w:type="dxa"/>
            <w:tcBorders>
              <w:top w:val="nil" w:sz="6" w:space="0" w:color="auto"/>
              <w:left w:val="single" w:sz="4" w:space="0" w:color="000000"/>
              <w:bottom w:val="single" w:sz="4" w:space="0" w:color="000000"/>
              <w:right w:val="single" w:sz="4" w:space="0" w:color="000000"/>
            </w:tcBorders>
            <w:shd w:val="clear" w:color="auto" w:fill="D9D9D9"/>
          </w:tcPr>
          <w:p>
            <w:pPr/>
          </w:p>
        </w:tc>
        <w:tc>
          <w:tcPr>
            <w:tcW w:w="786" w:type="dxa"/>
            <w:vMerge/>
            <w:tcBorders>
              <w:left w:val="single" w:sz="9" w:space="0" w:color="D9D9D9"/>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79"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c>
          <w:tcPr>
            <w:tcW w:w="78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61" w:hRule="exact"/>
        </w:trPr>
        <w:tc>
          <w:tcPr>
            <w:tcW w:w="1763" w:type="dxa"/>
            <w:tcBorders>
              <w:top w:val="single" w:sz="4" w:space="0" w:color="000000"/>
              <w:left w:val="single" w:sz="4" w:space="0" w:color="000000"/>
              <w:bottom w:val="nil" w:sz="6" w:space="0" w:color="auto"/>
              <w:right w:val="single" w:sz="4" w:space="0" w:color="000000"/>
            </w:tcBorders>
            <w:shd w:val="clear" w:color="auto" w:fill="D9D9D9"/>
          </w:tcPr>
          <w:p>
            <w:pPr/>
          </w:p>
        </w:tc>
        <w:tc>
          <w:tcPr>
            <w:tcW w:w="786" w:type="dxa"/>
            <w:vMerge w:val="restart"/>
            <w:tcBorders>
              <w:top w:val="single" w:sz="4" w:space="0" w:color="000000"/>
              <w:left w:val="single" w:sz="9" w:space="0" w:color="D9D9D9"/>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16,840.38</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16,840.38</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14,365.27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85.30%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-1,802.1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04" w:hRule="exact"/>
        </w:trPr>
        <w:tc>
          <w:tcPr>
            <w:tcW w:w="176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00" w:lineRule="auto" w:before="51"/>
              <w:ind w:left="22"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、飞信平台大规模改 造升级</w:t>
            </w:r>
          </w:p>
        </w:tc>
        <w:tc>
          <w:tcPr>
            <w:tcW w:w="786" w:type="dxa"/>
            <w:vMerge/>
            <w:tcBorders>
              <w:left w:val="single" w:sz="9" w:space="0" w:color="D9D9D9"/>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763" w:type="dxa"/>
            <w:tcBorders>
              <w:top w:val="nil" w:sz="6" w:space="0" w:color="auto"/>
              <w:left w:val="single" w:sz="4" w:space="0" w:color="000000"/>
              <w:bottom w:val="single" w:sz="4" w:space="0" w:color="000000"/>
              <w:right w:val="single" w:sz="4" w:space="0" w:color="000000"/>
            </w:tcBorders>
            <w:shd w:val="clear" w:color="auto" w:fill="D9D9D9"/>
          </w:tcPr>
          <w:p>
            <w:pPr/>
          </w:p>
        </w:tc>
        <w:tc>
          <w:tcPr>
            <w:tcW w:w="786" w:type="dxa"/>
            <w:vMerge/>
            <w:tcBorders>
              <w:left w:val="single" w:sz="9" w:space="0" w:color="D9D9D9"/>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1" w:hRule="exact"/>
        </w:trPr>
        <w:tc>
          <w:tcPr>
            <w:tcW w:w="1763" w:type="dxa"/>
            <w:tcBorders>
              <w:top w:val="single" w:sz="4" w:space="0" w:color="000000"/>
              <w:left w:val="single" w:sz="4" w:space="0" w:color="000000"/>
              <w:bottom w:val="nil" w:sz="6" w:space="0" w:color="auto"/>
              <w:right w:val="single" w:sz="4" w:space="0" w:color="000000"/>
            </w:tcBorders>
            <w:shd w:val="clear" w:color="auto" w:fill="D9D9D9"/>
          </w:tcPr>
          <w:p>
            <w:pPr/>
          </w:p>
        </w:tc>
        <w:tc>
          <w:tcPr>
            <w:tcW w:w="786" w:type="dxa"/>
            <w:vMerge w:val="restart"/>
            <w:tcBorders>
              <w:top w:val="single" w:sz="4" w:space="0" w:color="000000"/>
              <w:left w:val="single" w:sz="9" w:space="0" w:color="D9D9D9"/>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8,813.7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6" w:right="0"/>
              <w:jc w:val="left"/>
              <w:rPr>
                <w:rFonts w:ascii="Times New Roman" w:hAnsi="Times New Roman" w:cs="Times New Roman" w:eastAsia="Times New Roman" w:hint="default"/>
                <w:sz w:val="18"/>
                <w:szCs w:val="18"/>
              </w:rPr>
            </w:pPr>
            <w:r>
              <w:rPr>
                <w:rFonts w:ascii="Times New Roman"/>
                <w:sz w:val="18"/>
              </w:rPr>
              <w:t>8,813.7</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7" w:right="0"/>
              <w:jc w:val="left"/>
              <w:rPr>
                <w:rFonts w:ascii="Times New Roman" w:hAnsi="Times New Roman" w:cs="Times New Roman" w:eastAsia="Times New Roman" w:hint="default"/>
                <w:sz w:val="18"/>
                <w:szCs w:val="18"/>
              </w:rPr>
            </w:pPr>
            <w:r>
              <w:rPr>
                <w:rFonts w:ascii="Times New Roman"/>
                <w:sz w:val="18"/>
              </w:rPr>
              <w:t>3,772.6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42.80%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53" w:right="0"/>
              <w:jc w:val="left"/>
              <w:rPr>
                <w:rFonts w:ascii="Times New Roman" w:hAnsi="Times New Roman" w:cs="Times New Roman" w:eastAsia="Times New Roman" w:hint="default"/>
                <w:sz w:val="18"/>
                <w:szCs w:val="18"/>
              </w:rPr>
            </w:pPr>
            <w:r>
              <w:rPr>
                <w:rFonts w:ascii="Times New Roman"/>
                <w:sz w:val="18"/>
              </w:rPr>
              <w:t>139.75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04" w:hRule="exact"/>
        </w:trPr>
        <w:tc>
          <w:tcPr>
            <w:tcW w:w="176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38" w:lineRule="auto" w:before="51"/>
              <w:ind w:left="22" w:right="18"/>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、电信综合网管产品 </w:t>
            </w:r>
            <w:r>
              <w:rPr>
                <w:rFonts w:ascii="Times New Roman" w:hAnsi="Times New Roman" w:cs="Times New Roman" w:eastAsia="Times New Roman" w:hint="default"/>
                <w:sz w:val="18"/>
                <w:szCs w:val="18"/>
              </w:rPr>
              <w:t>Ultra-TIMP</w:t>
            </w:r>
          </w:p>
        </w:tc>
        <w:tc>
          <w:tcPr>
            <w:tcW w:w="786" w:type="dxa"/>
            <w:vMerge/>
            <w:tcBorders>
              <w:left w:val="single" w:sz="9" w:space="0" w:color="D9D9D9"/>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763" w:type="dxa"/>
            <w:tcBorders>
              <w:top w:val="nil" w:sz="6" w:space="0" w:color="auto"/>
              <w:left w:val="single" w:sz="4" w:space="0" w:color="000000"/>
              <w:bottom w:val="single" w:sz="4" w:space="0" w:color="000000"/>
              <w:right w:val="single" w:sz="4" w:space="0" w:color="000000"/>
            </w:tcBorders>
            <w:shd w:val="clear" w:color="auto" w:fill="D9D9D9"/>
          </w:tcPr>
          <w:p>
            <w:pPr/>
          </w:p>
        </w:tc>
        <w:tc>
          <w:tcPr>
            <w:tcW w:w="786" w:type="dxa"/>
            <w:vMerge/>
            <w:tcBorders>
              <w:left w:val="single" w:sz="9" w:space="0" w:color="D9D9D9"/>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1" w:hRule="exact"/>
        </w:trPr>
        <w:tc>
          <w:tcPr>
            <w:tcW w:w="1763" w:type="dxa"/>
            <w:tcBorders>
              <w:top w:val="single" w:sz="4" w:space="0" w:color="000000"/>
              <w:left w:val="single" w:sz="4" w:space="0" w:color="000000"/>
              <w:bottom w:val="nil" w:sz="6" w:space="0" w:color="auto"/>
              <w:right w:val="single" w:sz="4" w:space="0" w:color="000000"/>
            </w:tcBorders>
            <w:shd w:val="clear" w:color="auto" w:fill="D9D9D9"/>
          </w:tcPr>
          <w:p>
            <w:pPr/>
          </w:p>
        </w:tc>
        <w:tc>
          <w:tcPr>
            <w:tcW w:w="786" w:type="dxa"/>
            <w:vMerge w:val="restart"/>
            <w:tcBorders>
              <w:top w:val="single" w:sz="4" w:space="0" w:color="000000"/>
              <w:left w:val="single" w:sz="9" w:space="0" w:color="D9D9D9"/>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6,422.94</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6,422.94</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07" w:right="0"/>
              <w:jc w:val="left"/>
              <w:rPr>
                <w:rFonts w:ascii="Times New Roman" w:hAnsi="Times New Roman" w:cs="Times New Roman" w:eastAsia="Times New Roman" w:hint="default"/>
                <w:sz w:val="18"/>
                <w:szCs w:val="18"/>
              </w:rPr>
            </w:pPr>
            <w:r>
              <w:rPr>
                <w:rFonts w:ascii="Times New Roman"/>
                <w:sz w:val="18"/>
              </w:rPr>
              <w:t>3,102.9</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48.31%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3" w:right="0"/>
              <w:jc w:val="left"/>
              <w:rPr>
                <w:rFonts w:ascii="Times New Roman" w:hAnsi="Times New Roman" w:cs="Times New Roman" w:eastAsia="Times New Roman" w:hint="default"/>
                <w:sz w:val="18"/>
                <w:szCs w:val="18"/>
              </w:rPr>
            </w:pPr>
            <w:r>
              <w:rPr>
                <w:rFonts w:ascii="Times New Roman"/>
                <w:sz w:val="18"/>
              </w:rPr>
              <w:t>92.76</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04" w:hRule="exact"/>
        </w:trPr>
        <w:tc>
          <w:tcPr>
            <w:tcW w:w="176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38" w:lineRule="auto" w:before="51"/>
              <w:ind w:left="22" w:right="18"/>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、无线网络优化平台 </w:t>
            </w:r>
            <w:r>
              <w:rPr>
                <w:rFonts w:ascii="Times New Roman" w:hAnsi="Times New Roman" w:cs="Times New Roman" w:eastAsia="Times New Roman" w:hint="default"/>
                <w:sz w:val="18"/>
                <w:szCs w:val="18"/>
              </w:rPr>
              <w:t>Ultra-WOSS</w:t>
            </w:r>
          </w:p>
        </w:tc>
        <w:tc>
          <w:tcPr>
            <w:tcW w:w="786" w:type="dxa"/>
            <w:vMerge/>
            <w:tcBorders>
              <w:left w:val="single" w:sz="9" w:space="0" w:color="D9D9D9"/>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763" w:type="dxa"/>
            <w:tcBorders>
              <w:top w:val="nil" w:sz="6" w:space="0" w:color="auto"/>
              <w:left w:val="single" w:sz="4" w:space="0" w:color="000000"/>
              <w:bottom w:val="single" w:sz="4" w:space="0" w:color="000000"/>
              <w:right w:val="single" w:sz="4" w:space="0" w:color="000000"/>
            </w:tcBorders>
            <w:shd w:val="clear" w:color="auto" w:fill="D9D9D9"/>
          </w:tcPr>
          <w:p>
            <w:pPr/>
          </w:p>
        </w:tc>
        <w:tc>
          <w:tcPr>
            <w:tcW w:w="786" w:type="dxa"/>
            <w:vMerge/>
            <w:tcBorders>
              <w:left w:val="single" w:sz="9" w:space="0" w:color="D9D9D9"/>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1" w:hRule="exact"/>
        </w:trPr>
        <w:tc>
          <w:tcPr>
            <w:tcW w:w="1763" w:type="dxa"/>
            <w:tcBorders>
              <w:top w:val="single" w:sz="4" w:space="0" w:color="000000"/>
              <w:left w:val="single" w:sz="4" w:space="0" w:color="000000"/>
              <w:bottom w:val="nil" w:sz="6" w:space="0" w:color="auto"/>
              <w:right w:val="single" w:sz="4" w:space="0" w:color="000000"/>
            </w:tcBorders>
            <w:shd w:val="clear" w:color="auto" w:fill="D9D9D9"/>
          </w:tcPr>
          <w:p>
            <w:pPr/>
          </w:p>
        </w:tc>
        <w:tc>
          <w:tcPr>
            <w:tcW w:w="786" w:type="dxa"/>
            <w:vMerge w:val="restart"/>
            <w:tcBorders>
              <w:top w:val="single" w:sz="4" w:space="0" w:color="000000"/>
              <w:left w:val="single" w:sz="9" w:space="0" w:color="D9D9D9"/>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7,149.65</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7,149.65</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3,177.09</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44.44%</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53" w:right="0"/>
              <w:jc w:val="left"/>
              <w:rPr>
                <w:rFonts w:ascii="Times New Roman" w:hAnsi="Times New Roman" w:cs="Times New Roman" w:eastAsia="Times New Roman" w:hint="default"/>
                <w:sz w:val="18"/>
                <w:szCs w:val="18"/>
              </w:rPr>
            </w:pPr>
            <w:r>
              <w:rPr>
                <w:rFonts w:ascii="Times New Roman"/>
                <w:sz w:val="18"/>
              </w:rPr>
              <w:t>358.87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05" w:hRule="exact"/>
        </w:trPr>
        <w:tc>
          <w:tcPr>
            <w:tcW w:w="176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IT </w:t>
            </w:r>
            <w:r>
              <w:rPr>
                <w:rFonts w:ascii="宋体" w:hAnsi="宋体" w:cs="宋体" w:eastAsia="宋体" w:hint="default"/>
                <w:sz w:val="18"/>
                <w:szCs w:val="18"/>
              </w:rPr>
              <w:t>监控管理平台</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Ultra-</w:t>
            </w:r>
            <w:r>
              <w:rPr>
                <w:rFonts w:ascii="Times New Roman" w:hAnsi="Times New Roman" w:cs="Times New Roman" w:eastAsia="Times New Roman" w:hint="default"/>
                <w:sz w:val="18"/>
                <w:szCs w:val="18"/>
              </w:rPr>
              <w:t>ΣM</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系列软件</w:t>
            </w:r>
          </w:p>
        </w:tc>
        <w:tc>
          <w:tcPr>
            <w:tcW w:w="786" w:type="dxa"/>
            <w:vMerge/>
            <w:tcBorders>
              <w:left w:val="single" w:sz="9" w:space="0" w:color="D9D9D9"/>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763" w:type="dxa"/>
            <w:tcBorders>
              <w:top w:val="nil" w:sz="6" w:space="0" w:color="auto"/>
              <w:left w:val="single" w:sz="4" w:space="0" w:color="000000"/>
              <w:bottom w:val="single" w:sz="4" w:space="0" w:color="000000"/>
              <w:right w:val="single" w:sz="4" w:space="0" w:color="000000"/>
            </w:tcBorders>
            <w:shd w:val="clear" w:color="auto" w:fill="D9D9D9"/>
          </w:tcPr>
          <w:p>
            <w:pPr/>
          </w:p>
        </w:tc>
        <w:tc>
          <w:tcPr>
            <w:tcW w:w="786" w:type="dxa"/>
            <w:vMerge/>
            <w:tcBorders>
              <w:left w:val="single" w:sz="9" w:space="0" w:color="D9D9D9"/>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61" w:hRule="exact"/>
        </w:trPr>
        <w:tc>
          <w:tcPr>
            <w:tcW w:w="1763" w:type="dxa"/>
            <w:tcBorders>
              <w:top w:val="single" w:sz="4" w:space="0" w:color="000000"/>
              <w:left w:val="single" w:sz="4" w:space="0" w:color="000000"/>
              <w:bottom w:val="nil" w:sz="6" w:space="0" w:color="auto"/>
              <w:right w:val="single" w:sz="4" w:space="0" w:color="000000"/>
            </w:tcBorders>
            <w:shd w:val="clear" w:color="auto" w:fill="D9D9D9"/>
          </w:tcPr>
          <w:p>
            <w:pPr/>
          </w:p>
        </w:tc>
        <w:tc>
          <w:tcPr>
            <w:tcW w:w="786" w:type="dxa"/>
            <w:vMerge w:val="restart"/>
            <w:tcBorders>
              <w:top w:val="single" w:sz="4" w:space="0" w:color="000000"/>
              <w:left w:val="single" w:sz="9" w:space="0" w:color="D9D9D9"/>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5,994.23</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6" w:right="0"/>
              <w:jc w:val="left"/>
              <w:rPr>
                <w:rFonts w:ascii="Times New Roman" w:hAnsi="Times New Roman" w:cs="Times New Roman" w:eastAsia="Times New Roman" w:hint="default"/>
                <w:sz w:val="18"/>
                <w:szCs w:val="18"/>
              </w:rPr>
            </w:pPr>
            <w:r>
              <w:rPr>
                <w:rFonts w:ascii="Times New Roman"/>
                <w:sz w:val="18"/>
              </w:rPr>
              <w:t>5,994.23</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17" w:right="0"/>
              <w:jc w:val="left"/>
              <w:rPr>
                <w:rFonts w:ascii="Times New Roman" w:hAnsi="Times New Roman" w:cs="Times New Roman" w:eastAsia="Times New Roman" w:hint="default"/>
                <w:sz w:val="18"/>
                <w:szCs w:val="18"/>
              </w:rPr>
            </w:pPr>
            <w:r>
              <w:rPr>
                <w:rFonts w:ascii="Times New Roman"/>
                <w:sz w:val="18"/>
              </w:rPr>
              <w:t>2,543.71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93" w:right="0"/>
              <w:jc w:val="left"/>
              <w:rPr>
                <w:rFonts w:ascii="Times New Roman" w:hAnsi="Times New Roman" w:cs="Times New Roman" w:eastAsia="Times New Roman" w:hint="default"/>
                <w:sz w:val="18"/>
                <w:szCs w:val="18"/>
              </w:rPr>
            </w:pPr>
            <w:r>
              <w:rPr>
                <w:rFonts w:ascii="Times New Roman"/>
                <w:sz w:val="18"/>
              </w:rPr>
              <w:t>42.44%</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53" w:right="0"/>
              <w:jc w:val="left"/>
              <w:rPr>
                <w:rFonts w:ascii="Times New Roman" w:hAnsi="Times New Roman" w:cs="Times New Roman" w:eastAsia="Times New Roman" w:hint="default"/>
                <w:sz w:val="18"/>
                <w:szCs w:val="18"/>
              </w:rPr>
            </w:pPr>
            <w:r>
              <w:rPr>
                <w:rFonts w:ascii="Times New Roman"/>
                <w:sz w:val="18"/>
              </w:rPr>
              <w:t>178.02</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04" w:hRule="exact"/>
        </w:trPr>
        <w:tc>
          <w:tcPr>
            <w:tcW w:w="1763"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00" w:lineRule="auto" w:before="51"/>
              <w:ind w:left="22"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、运维服务流程管理 系统</w:t>
            </w:r>
          </w:p>
        </w:tc>
        <w:tc>
          <w:tcPr>
            <w:tcW w:w="786" w:type="dxa"/>
            <w:vMerge/>
            <w:tcBorders>
              <w:left w:val="single" w:sz="9" w:space="0" w:color="D9D9D9"/>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161" w:hRule="exact"/>
        </w:trPr>
        <w:tc>
          <w:tcPr>
            <w:tcW w:w="1763" w:type="dxa"/>
            <w:tcBorders>
              <w:top w:val="nil" w:sz="6" w:space="0" w:color="auto"/>
              <w:left w:val="single" w:sz="4" w:space="0" w:color="000000"/>
              <w:bottom w:val="single" w:sz="4" w:space="0" w:color="000000"/>
              <w:right w:val="single" w:sz="4" w:space="0" w:color="000000"/>
            </w:tcBorders>
            <w:shd w:val="clear" w:color="auto" w:fill="D9D9D9"/>
          </w:tcPr>
          <w:p>
            <w:pPr/>
          </w:p>
        </w:tc>
        <w:tc>
          <w:tcPr>
            <w:tcW w:w="786" w:type="dxa"/>
            <w:vMerge/>
            <w:tcBorders>
              <w:left w:val="single" w:sz="9" w:space="0" w:color="D9D9D9"/>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1026" w:hRule="exact"/>
        </w:trPr>
        <w:tc>
          <w:tcPr>
            <w:tcW w:w="1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、新一代安全运行管 理中心</w:t>
            </w:r>
          </w:p>
          <w:p>
            <w:pPr>
              <w:pStyle w:val="TableParagraph"/>
              <w:spacing w:line="240" w:lineRule="auto" w:before="72"/>
              <w:ind w:left="22" w:right="0"/>
              <w:jc w:val="left"/>
              <w:rPr>
                <w:rFonts w:ascii="Times New Roman" w:hAnsi="Times New Roman" w:cs="Times New Roman" w:eastAsia="Times New Roman" w:hint="default"/>
                <w:sz w:val="18"/>
                <w:szCs w:val="18"/>
              </w:rPr>
            </w:pPr>
            <w:r>
              <w:rPr>
                <w:rFonts w:ascii="Times New Roman"/>
                <w:sz w:val="18"/>
              </w:rPr>
              <w:t>Ultra-SOMC3.0</w:t>
            </w:r>
          </w:p>
        </w:tc>
        <w:tc>
          <w:tcPr>
            <w:tcW w:w="78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5,031.9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5,031.9</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2,559.82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1" w:right="0"/>
              <w:jc w:val="center"/>
              <w:rPr>
                <w:rFonts w:ascii="Times New Roman" w:hAnsi="Times New Roman" w:cs="Times New Roman" w:eastAsia="Times New Roman" w:hint="default"/>
                <w:sz w:val="18"/>
                <w:szCs w:val="18"/>
              </w:rPr>
            </w:pPr>
            <w:r>
              <w:rPr>
                <w:rFonts w:ascii="Times New Roman"/>
                <w:sz w:val="18"/>
              </w:rPr>
              <w:t>50.87%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203.07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7" w:hRule="exact"/>
        </w:trPr>
        <w:tc>
          <w:tcPr>
            <w:tcW w:w="1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承诺投资项目小计</w:t>
            </w:r>
          </w:p>
        </w:tc>
        <w:tc>
          <w:tcPr>
            <w:tcW w:w="786" w:type="dxa"/>
            <w:tcBorders>
              <w:top w:val="single" w:sz="4" w:space="0" w:color="000000"/>
              <w:left w:val="single" w:sz="9" w:space="0" w:color="D9D9D9"/>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50,252.8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50,252.8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29,521.39</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-829.63</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397" w:hRule="exact"/>
        </w:trPr>
        <w:tc>
          <w:tcPr>
            <w:tcW w:w="9569" w:type="dxa"/>
            <w:gridSpan w:val="11"/>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1026" w:hRule="exact"/>
        </w:trPr>
        <w:tc>
          <w:tcPr>
            <w:tcW w:w="1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51"/>
              <w:ind w:left="22" w:right="14"/>
              <w:jc w:val="both"/>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1</w:t>
            </w:r>
            <w:r>
              <w:rPr>
                <w:rFonts w:ascii="宋体" w:hAnsi="宋体" w:cs="宋体" w:eastAsia="宋体" w:hint="default"/>
                <w:sz w:val="18"/>
                <w:szCs w:val="18"/>
              </w:rPr>
              <w:t>、研发及办公 </w:t>
            </w:r>
            <w:r>
              <w:rPr>
                <w:rFonts w:ascii="宋体" w:hAnsi="宋体" w:cs="宋体" w:eastAsia="宋体" w:hint="default"/>
                <w:spacing w:val="-9"/>
                <w:sz w:val="18"/>
                <w:szCs w:val="18"/>
              </w:rPr>
              <w:t>用房的建设（北辰首作</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大厦</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7</w:t>
            </w:r>
            <w:r>
              <w:rPr>
                <w:rFonts w:ascii="宋体" w:hAnsi="宋体" w:cs="宋体" w:eastAsia="宋体" w:hint="default"/>
                <w:sz w:val="18"/>
                <w:szCs w:val="18"/>
              </w:rPr>
              <w:t>－</w:t>
            </w:r>
            <w:r>
              <w:rPr>
                <w:rFonts w:ascii="Times New Roman" w:hAnsi="Times New Roman" w:cs="Times New Roman" w:eastAsia="Times New Roman" w:hint="default"/>
                <w:sz w:val="18"/>
                <w:szCs w:val="18"/>
              </w:rPr>
              <w:t>14 </w:t>
            </w:r>
            <w:r>
              <w:rPr>
                <w:rFonts w:ascii="宋体" w:hAnsi="宋体" w:cs="宋体" w:eastAsia="宋体" w:hint="default"/>
                <w:sz w:val="18"/>
                <w:szCs w:val="18"/>
              </w:rPr>
              <w:t>层）</w:t>
            </w:r>
          </w:p>
        </w:tc>
        <w:tc>
          <w:tcPr>
            <w:tcW w:w="78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25,453.85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25,453.85</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24,077.12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1" w:right="0"/>
              <w:jc w:val="center"/>
              <w:rPr>
                <w:rFonts w:ascii="Times New Roman" w:hAnsi="Times New Roman" w:cs="Times New Roman" w:eastAsia="Times New Roman" w:hint="default"/>
                <w:sz w:val="18"/>
                <w:szCs w:val="18"/>
              </w:rPr>
            </w:pPr>
            <w:r>
              <w:rPr>
                <w:rFonts w:ascii="Times New Roman"/>
                <w:sz w:val="18"/>
              </w:rPr>
              <w:t>94.59%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51"/>
              <w:ind w:left="22" w:right="19"/>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2</w:t>
            </w:r>
            <w:r>
              <w:rPr>
                <w:rFonts w:ascii="宋体" w:hAnsi="宋体" w:cs="宋体" w:eastAsia="宋体" w:hint="default"/>
                <w:sz w:val="18"/>
                <w:szCs w:val="18"/>
              </w:rPr>
              <w:t>、收购大连华 信计算机技术股份有 限公司部分股权</w:t>
            </w:r>
          </w:p>
        </w:tc>
        <w:tc>
          <w:tcPr>
            <w:tcW w:w="78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7,230.38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7,230.38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7,230.38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1,574.54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51"/>
              <w:ind w:left="22" w:right="19"/>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3</w:t>
            </w:r>
            <w:r>
              <w:rPr>
                <w:rFonts w:ascii="宋体" w:hAnsi="宋体" w:cs="宋体" w:eastAsia="宋体" w:hint="default"/>
                <w:sz w:val="18"/>
                <w:szCs w:val="18"/>
              </w:rPr>
              <w:t>、对外投资设 立重庆新媒农信科技 有限公司</w:t>
            </w:r>
          </w:p>
        </w:tc>
        <w:tc>
          <w:tcPr>
            <w:tcW w:w="78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10,330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10,330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8,958.15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1" w:right="0"/>
              <w:jc w:val="center"/>
              <w:rPr>
                <w:rFonts w:ascii="Times New Roman" w:hAnsi="Times New Roman" w:cs="Times New Roman" w:eastAsia="Times New Roman" w:hint="default"/>
                <w:sz w:val="18"/>
                <w:szCs w:val="18"/>
              </w:rPr>
            </w:pPr>
            <w:r>
              <w:rPr>
                <w:rFonts w:ascii="Times New Roman"/>
                <w:sz w:val="18"/>
              </w:rPr>
              <w:t>86.72%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674" w:hRule="exact"/>
        </w:trPr>
        <w:tc>
          <w:tcPr>
            <w:tcW w:w="17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9"/>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4</w:t>
            </w:r>
            <w:r>
              <w:rPr>
                <w:rFonts w:ascii="宋体" w:hAnsi="宋体" w:cs="宋体" w:eastAsia="宋体" w:hint="default"/>
                <w:sz w:val="18"/>
                <w:szCs w:val="18"/>
              </w:rPr>
              <w:t>、收购友联创 新（</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年更名为北</w:t>
            </w:r>
          </w:p>
        </w:tc>
        <w:tc>
          <w:tcPr>
            <w:tcW w:w="78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5,900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81" w:right="0"/>
              <w:jc w:val="center"/>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4"/>
        <w:rPr>
          <w:rFonts w:ascii="Times New Roman" w:hAnsi="Times New Roman" w:cs="Times New Roman" w:eastAsia="Times New Roman" w:hint="default"/>
          <w:sz w:val="3"/>
          <w:szCs w:val="3"/>
        </w:rPr>
      </w:pPr>
    </w:p>
    <w:p>
      <w:pPr>
        <w:spacing w:line="20" w:lineRule="exact"/>
        <w:ind w:left="109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4"/>
          <w:szCs w:val="4"/>
        </w:rPr>
      </w:pPr>
    </w:p>
    <w:tbl>
      <w:tblPr>
        <w:tblW w:w="0" w:type="auto"/>
        <w:jc w:val="left"/>
        <w:tblInd w:w="1129" w:type="dxa"/>
        <w:tblLayout w:type="fixed"/>
        <w:tblCellMar>
          <w:top w:w="0" w:type="dxa"/>
          <w:left w:w="0" w:type="dxa"/>
          <w:bottom w:w="0" w:type="dxa"/>
          <w:right w:w="0" w:type="dxa"/>
        </w:tblCellMar>
        <w:tblLook w:val="01E0"/>
      </w:tblPr>
      <w:tblGrid>
        <w:gridCol w:w="1770"/>
        <w:gridCol w:w="779"/>
        <w:gridCol w:w="780"/>
        <w:gridCol w:w="780"/>
        <w:gridCol w:w="779"/>
        <w:gridCol w:w="780"/>
        <w:gridCol w:w="780"/>
        <w:gridCol w:w="780"/>
        <w:gridCol w:w="780"/>
        <w:gridCol w:w="780"/>
        <w:gridCol w:w="780"/>
      </w:tblGrid>
      <w:tr>
        <w:trPr>
          <w:trHeight w:val="674"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10"/>
              <w:ind w:left="22" w:right="117"/>
              <w:jc w:val="left"/>
              <w:rPr>
                <w:rFonts w:ascii="宋体" w:hAnsi="宋体" w:cs="宋体" w:eastAsia="宋体" w:hint="default"/>
                <w:sz w:val="18"/>
                <w:szCs w:val="18"/>
              </w:rPr>
            </w:pPr>
            <w:r>
              <w:rPr>
                <w:rFonts w:ascii="宋体" w:hAnsi="宋体" w:cs="宋体" w:eastAsia="宋体" w:hint="default"/>
                <w:sz w:val="18"/>
                <w:szCs w:val="18"/>
              </w:rPr>
              <w:t>京神州泰岳系统集成 有限公司）</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25"/>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5</w:t>
            </w:r>
            <w:r>
              <w:rPr>
                <w:rFonts w:ascii="宋体" w:hAnsi="宋体" w:cs="宋体" w:eastAsia="宋体" w:hint="default"/>
                <w:sz w:val="18"/>
                <w:szCs w:val="18"/>
              </w:rPr>
              <w:t>、收购及增资 奇点新源</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2,050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-1,422.76</w:t>
            </w:r>
            <w:r>
              <w:rPr>
                <w:rFonts w:ascii="Times New Roman"/>
                <w:sz w:val="18"/>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25"/>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6</w:t>
            </w:r>
            <w:r>
              <w:rPr>
                <w:rFonts w:ascii="宋体" w:hAnsi="宋体" w:cs="宋体" w:eastAsia="宋体" w:hint="default"/>
                <w:sz w:val="18"/>
                <w:szCs w:val="18"/>
              </w:rPr>
              <w:t>、收购宁波普 天通信技术有限公司</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24,000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24,000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-226.02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25"/>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7</w:t>
            </w:r>
            <w:r>
              <w:rPr>
                <w:rFonts w:ascii="宋体" w:hAnsi="宋体" w:cs="宋体" w:eastAsia="宋体" w:hint="default"/>
                <w:sz w:val="18"/>
                <w:szCs w:val="18"/>
              </w:rPr>
              <w:t>、设立香港全 资子公司</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3,550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191.58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5.40%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444.33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51"/>
              <w:ind w:left="22" w:right="25"/>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8</w:t>
            </w:r>
            <w:r>
              <w:rPr>
                <w:rFonts w:ascii="宋体" w:hAnsi="宋体" w:cs="宋体" w:eastAsia="宋体" w:hint="default"/>
                <w:sz w:val="18"/>
                <w:szCs w:val="18"/>
              </w:rPr>
              <w:t>、对外投资设 立北京神州泰岳良品 电子商务有限公司</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8,400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8,400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-567.55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9" w:lineRule="auto" w:before="51"/>
              <w:ind w:left="22" w:right="25"/>
              <w:jc w:val="left"/>
              <w:rPr>
                <w:rFonts w:ascii="宋体" w:hAnsi="宋体" w:cs="宋体" w:eastAsia="宋体" w:hint="default"/>
                <w:sz w:val="18"/>
                <w:szCs w:val="18"/>
              </w:rPr>
            </w:pPr>
            <w:r>
              <w:rPr>
                <w:rFonts w:ascii="宋体" w:hAnsi="宋体" w:cs="宋体" w:eastAsia="宋体" w:hint="default"/>
                <w:sz w:val="18"/>
                <w:szCs w:val="18"/>
              </w:rPr>
              <w:t>超募－</w:t>
            </w:r>
            <w:r>
              <w:rPr>
                <w:rFonts w:ascii="Times New Roman" w:hAnsi="Times New Roman" w:cs="Times New Roman" w:eastAsia="Times New Roman" w:hint="default"/>
                <w:sz w:val="18"/>
                <w:szCs w:val="18"/>
              </w:rPr>
              <w:t>9</w:t>
            </w:r>
            <w:r>
              <w:rPr>
                <w:rFonts w:ascii="宋体" w:hAnsi="宋体" w:cs="宋体" w:eastAsia="宋体" w:hint="default"/>
                <w:sz w:val="18"/>
                <w:szCs w:val="18"/>
              </w:rPr>
              <w:t>、收购北京广 通神州网络技术股份 有限公司</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3,750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68.18%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-868.14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26" w:lineRule="auto" w:before="51"/>
              <w:ind w:left="22" w:right="21"/>
              <w:jc w:val="left"/>
              <w:rPr>
                <w:rFonts w:ascii="宋体" w:hAnsi="宋体" w:cs="宋体" w:eastAsia="宋体" w:hint="default"/>
                <w:sz w:val="18"/>
                <w:szCs w:val="18"/>
              </w:rPr>
            </w:pPr>
            <w:r>
              <w:rPr>
                <w:rFonts w:ascii="宋体" w:hAnsi="宋体" w:cs="宋体" w:eastAsia="宋体" w:hint="default"/>
                <w:spacing w:val="-11"/>
                <w:sz w:val="18"/>
                <w:szCs w:val="18"/>
              </w:rPr>
              <w:t>超募－</w:t>
            </w:r>
            <w:r>
              <w:rPr>
                <w:rFonts w:ascii="Times New Roman" w:hAnsi="Times New Roman" w:cs="Times New Roman" w:eastAsia="Times New Roman" w:hint="default"/>
                <w:spacing w:val="-11"/>
                <w:sz w:val="18"/>
                <w:szCs w:val="18"/>
              </w:rPr>
              <w:t>10</w:t>
            </w:r>
            <w:r>
              <w:rPr>
                <w:rFonts w:ascii="宋体" w:hAnsi="宋体" w:cs="宋体" w:eastAsia="宋体" w:hint="default"/>
                <w:spacing w:val="-11"/>
                <w:sz w:val="18"/>
                <w:szCs w:val="18"/>
              </w:rPr>
              <w:t>、收购</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Bridge Minds Consulting</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Pte</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Ltd</w:t>
            </w:r>
            <w:r>
              <w:rPr>
                <w:rFonts w:ascii="宋体" w:hAnsi="宋体" w:cs="宋体" w:eastAsia="宋体" w:hint="default"/>
                <w:sz w:val="18"/>
                <w:szCs w:val="18"/>
              </w:rPr>
              <w:t>（智桥资讯公司）</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5,935.84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98.93%</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-50.88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00" w:lineRule="auto"/>
              <w:ind w:left="22" w:right="23"/>
              <w:jc w:val="left"/>
              <w:rPr>
                <w:rFonts w:ascii="宋体" w:hAnsi="宋体" w:cs="宋体" w:eastAsia="宋体" w:hint="default"/>
                <w:sz w:val="18"/>
                <w:szCs w:val="18"/>
              </w:rPr>
            </w:pPr>
            <w:r>
              <w:rPr>
                <w:rFonts w:ascii="宋体" w:hAnsi="宋体" w:cs="宋体" w:eastAsia="宋体" w:hint="default"/>
                <w:spacing w:val="-8"/>
                <w:sz w:val="18"/>
                <w:szCs w:val="18"/>
              </w:rPr>
              <w:t>超募－</w:t>
            </w:r>
            <w:r>
              <w:rPr>
                <w:rFonts w:ascii="Times New Roman" w:hAnsi="Times New Roman" w:cs="Times New Roman" w:eastAsia="Times New Roman" w:hint="default"/>
                <w:spacing w:val="-8"/>
                <w:sz w:val="18"/>
                <w:szCs w:val="18"/>
              </w:rPr>
              <w:t>11</w:t>
            </w:r>
            <w:r>
              <w:rPr>
                <w:rFonts w:ascii="宋体" w:hAnsi="宋体" w:cs="宋体" w:eastAsia="宋体" w:hint="default"/>
                <w:spacing w:val="-8"/>
                <w:sz w:val="18"/>
                <w:szCs w:val="18"/>
              </w:rPr>
              <w:t>、收购天津壳</w:t>
            </w:r>
            <w:r>
              <w:rPr>
                <w:rFonts w:ascii="宋体" w:hAnsi="宋体" w:cs="宋体" w:eastAsia="宋体" w:hint="default"/>
                <w:sz w:val="18"/>
                <w:szCs w:val="18"/>
              </w:rPr>
              <w:t> 木软件有限责任公司</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21,669.28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21,669.28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21,669.28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13,037.27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节余募集资金投向</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770" w:type="dxa"/>
            <w:tcBorders>
              <w:top w:val="single" w:sz="4" w:space="0" w:color="000000"/>
              <w:left w:val="single" w:sz="4" w:space="0" w:color="000000"/>
              <w:bottom w:val="single" w:sz="4" w:space="0" w:color="000000"/>
              <w:right w:val="single" w:sz="13" w:space="0" w:color="FFFFFF"/>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22"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、收购天津壳木软件 有限责任公司（注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w:t>
            </w:r>
          </w:p>
        </w:tc>
        <w:tc>
          <w:tcPr>
            <w:tcW w:w="779"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21,080.72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21,080.72</w:t>
            </w:r>
          </w:p>
        </w:tc>
        <w:tc>
          <w:tcPr>
            <w:tcW w:w="77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21,080.72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补充流动资金（如有</w:t>
            </w:r>
          </w:p>
        </w:tc>
        <w:tc>
          <w:tcPr>
            <w:tcW w:w="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323" w:val="left" w:leader="none"/>
              </w:tabs>
              <w:spacing w:line="240" w:lineRule="auto" w:before="51"/>
              <w:ind w:left="-128" w:right="323"/>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w:t>
            </w:r>
          </w:p>
        </w:tc>
        <w:tc>
          <w:tcPr>
            <w:tcW w:w="780"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20,063.08</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20,063.08</w:t>
            </w:r>
          </w:p>
        </w:tc>
        <w:tc>
          <w:tcPr>
            <w:tcW w:w="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7,416.02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20,063.08</w:t>
            </w:r>
          </w:p>
        </w:tc>
        <w:tc>
          <w:tcPr>
            <w:tcW w:w="78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7"/>
              <w:jc w:val="right"/>
              <w:rPr>
                <w:rFonts w:ascii="Times New Roman" w:hAnsi="Times New Roman" w:cs="Times New Roman" w:eastAsia="Times New Roman" w:hint="default"/>
                <w:sz w:val="18"/>
                <w:szCs w:val="18"/>
              </w:rPr>
            </w:pPr>
            <w:r>
              <w:rPr>
                <w:rFonts w:ascii="Times New Roman"/>
                <w:sz w:val="18"/>
              </w:rPr>
              <w:t>100.00%</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9" w:space="0" w:color="D2D2D2"/>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161,227.3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161,227.3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7,416.02</w:t>
            </w:r>
          </w:p>
        </w:tc>
        <w:tc>
          <w:tcPr>
            <w:tcW w:w="780" w:type="dxa"/>
            <w:vMerge w:val="restart"/>
            <w:tcBorders>
              <w:top w:val="single" w:sz="4" w:space="0" w:color="000000"/>
              <w:left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z w:val="18"/>
              </w:rPr>
              <w:t>153,306.1</w:t>
            </w:r>
          </w:p>
          <w:p>
            <w:pPr>
              <w:pStyle w:val="TableParagraph"/>
              <w:spacing w:line="240" w:lineRule="auto" w:before="105"/>
              <w:ind w:right="13"/>
              <w:jc w:val="right"/>
              <w:rPr>
                <w:rFonts w:ascii="Times New Roman" w:hAnsi="Times New Roman" w:cs="Times New Roman" w:eastAsia="Times New Roman" w:hint="default"/>
                <w:sz w:val="18"/>
                <w:szCs w:val="18"/>
              </w:rPr>
            </w:pPr>
            <w:r>
              <w:rPr>
                <w:rFonts w:ascii="Times New Roman"/>
                <w:sz w:val="18"/>
              </w:rPr>
              <w:t>5</w:t>
            </w: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9" w:space="0" w:color="D2D2D2"/>
              <w:right w:val="single" w:sz="10"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1" w:right="0"/>
              <w:jc w:val="left"/>
              <w:rPr>
                <w:rFonts w:ascii="Times New Roman" w:hAnsi="Times New Roman" w:cs="Times New Roman" w:eastAsia="Times New Roman" w:hint="default"/>
                <w:sz w:val="18"/>
                <w:szCs w:val="18"/>
              </w:rPr>
            </w:pPr>
            <w:r>
              <w:rPr>
                <w:rFonts w:ascii="Times New Roman"/>
                <w:sz w:val="18"/>
              </w:rPr>
              <w:t>9,943.12</w:t>
            </w: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7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超募资金投向小计</w:t>
            </w:r>
          </w:p>
        </w:tc>
        <w:tc>
          <w:tcPr>
            <w:tcW w:w="7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9" w:space="0" w:color="D2D2D2"/>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10" w:space="0" w:color="D2D2D2"/>
            </w:tcBorders>
          </w:tcPr>
          <w:p>
            <w:pP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9" w:space="0" w:color="D2D2D2"/>
              <w:right w:val="single" w:sz="10" w:space="0" w:color="D2D2D2"/>
            </w:tcBorders>
          </w:tcPr>
          <w:p>
            <w:pP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vMerge/>
            <w:tcBorders>
              <w:left w:val="single" w:sz="9" w:space="0" w:color="D2D2D2"/>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10" w:space="0" w:color="D2D2D2"/>
            </w:tcBorders>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vMerge/>
            <w:tcBorders>
              <w:left w:val="single" w:sz="9" w:space="0" w:color="D2D2D2"/>
              <w:bottom w:val="single" w:sz="4" w:space="0" w:color="000000"/>
              <w:right w:val="single" w:sz="10" w:space="0" w:color="D2D2D2"/>
            </w:tcBorders>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1"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9" w:space="0" w:color="D2D2D2"/>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211,480.1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91"/>
              <w:ind w:right="15"/>
              <w:jc w:val="right"/>
              <w:rPr>
                <w:rFonts w:ascii="Times New Roman" w:hAnsi="Times New Roman" w:cs="Times New Roman" w:eastAsia="Times New Roman" w:hint="default"/>
                <w:sz w:val="18"/>
                <w:szCs w:val="18"/>
              </w:rPr>
            </w:pPr>
            <w:r>
              <w:rPr>
                <w:rFonts w:ascii="Times New Roman"/>
                <w:spacing w:val="-1"/>
                <w:sz w:val="18"/>
              </w:rPr>
              <w:t>211,480.1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79"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7,416.02</w:t>
            </w:r>
          </w:p>
        </w:tc>
        <w:tc>
          <w:tcPr>
            <w:tcW w:w="780" w:type="dxa"/>
            <w:vMerge w:val="restart"/>
            <w:tcBorders>
              <w:top w:val="single" w:sz="4" w:space="0" w:color="000000"/>
              <w:left w:val="single" w:sz="4" w:space="0" w:color="000000"/>
              <w:right w:val="single" w:sz="10" w:space="0" w:color="D2D2D2"/>
            </w:tcBorders>
          </w:tcPr>
          <w:p>
            <w:pPr>
              <w:pStyle w:val="TableParagraph"/>
              <w:spacing w:line="240" w:lineRule="auto" w:before="91"/>
              <w:ind w:right="12"/>
              <w:jc w:val="right"/>
              <w:rPr>
                <w:rFonts w:ascii="Times New Roman" w:hAnsi="Times New Roman" w:cs="Times New Roman" w:eastAsia="Times New Roman" w:hint="default"/>
                <w:sz w:val="18"/>
                <w:szCs w:val="18"/>
              </w:rPr>
            </w:pPr>
            <w:r>
              <w:rPr>
                <w:rFonts w:ascii="Times New Roman"/>
                <w:sz w:val="18"/>
              </w:rPr>
              <w:t>182,827.5</w:t>
            </w:r>
          </w:p>
          <w:p>
            <w:pPr>
              <w:pStyle w:val="TableParagraph"/>
              <w:spacing w:line="240" w:lineRule="auto" w:before="105"/>
              <w:ind w:right="13"/>
              <w:jc w:val="right"/>
              <w:rPr>
                <w:rFonts w:ascii="Times New Roman" w:hAnsi="Times New Roman" w:cs="Times New Roman" w:eastAsia="Times New Roman" w:hint="default"/>
                <w:sz w:val="18"/>
                <w:szCs w:val="18"/>
              </w:rPr>
            </w:pPr>
            <w:r>
              <w:rPr>
                <w:rFonts w:ascii="Times New Roman"/>
                <w:sz w:val="18"/>
              </w:rPr>
              <w:t>4</w:t>
            </w: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vMerge w:val="restart"/>
            <w:tcBorders>
              <w:top w:val="single" w:sz="4" w:space="0" w:color="000000"/>
              <w:left w:val="single" w:sz="9" w:space="0" w:color="D2D2D2"/>
              <w:right w:val="single" w:sz="10" w:space="0" w:color="D2D2D2"/>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8" w:right="0"/>
              <w:jc w:val="left"/>
              <w:rPr>
                <w:rFonts w:ascii="Times New Roman" w:hAnsi="Times New Roman" w:cs="Times New Roman" w:eastAsia="Times New Roman" w:hint="default"/>
                <w:sz w:val="18"/>
                <w:szCs w:val="18"/>
              </w:rPr>
            </w:pPr>
            <w:r>
              <w:rPr>
                <w:rFonts w:ascii="Times New Roman"/>
                <w:sz w:val="18"/>
              </w:rPr>
              <w:t>9,113.49</w:t>
            </w: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17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9" w:space="0" w:color="D2D2D2"/>
              <w:right w:val="single" w:sz="4" w:space="0" w:color="000000"/>
            </w:tcBorders>
          </w:tcPr>
          <w:p>
            <w:pPr/>
          </w:p>
        </w:tc>
        <w:tc>
          <w:tcPr>
            <w:tcW w:w="780" w:type="dxa"/>
            <w:vMerge/>
            <w:tcBorders>
              <w:left w:val="single" w:sz="4" w:space="0" w:color="000000"/>
              <w:right w:val="single" w:sz="4" w:space="0" w:color="000000"/>
            </w:tcBorders>
          </w:tcPr>
          <w:p>
            <w:pPr/>
          </w:p>
        </w:tc>
        <w:tc>
          <w:tcPr>
            <w:tcW w:w="779" w:type="dxa"/>
            <w:vMerge/>
            <w:tcBorders>
              <w:left w:val="single" w:sz="4" w:space="0" w:color="000000"/>
              <w:right w:val="single" w:sz="4" w:space="0" w:color="000000"/>
            </w:tcBorders>
          </w:tcPr>
          <w:p>
            <w:pPr/>
          </w:p>
        </w:tc>
        <w:tc>
          <w:tcPr>
            <w:tcW w:w="780" w:type="dxa"/>
            <w:vMerge/>
            <w:tcBorders>
              <w:left w:val="single" w:sz="4" w:space="0" w:color="000000"/>
              <w:right w:val="single" w:sz="10" w:space="0" w:color="D2D2D2"/>
            </w:tcBorders>
          </w:tcPr>
          <w:p>
            <w:pP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323"/>
              <w:jc w:val="right"/>
              <w:rPr>
                <w:rFonts w:ascii="Times New Roman" w:hAnsi="Times New Roman" w:cs="Times New Roman" w:eastAsia="Times New Roman" w:hint="default"/>
                <w:sz w:val="18"/>
                <w:szCs w:val="18"/>
              </w:rPr>
            </w:pPr>
            <w:r>
              <w:rPr>
                <w:rFonts w:ascii="Times New Roman"/>
                <w:sz w:val="18"/>
              </w:rPr>
              <w:t>--</w:t>
            </w:r>
          </w:p>
        </w:tc>
        <w:tc>
          <w:tcPr>
            <w:tcW w:w="780" w:type="dxa"/>
            <w:vMerge/>
            <w:tcBorders>
              <w:left w:val="single" w:sz="9" w:space="0" w:color="D2D2D2"/>
              <w:right w:val="single" w:sz="10" w:space="0" w:color="D2D2D2"/>
            </w:tcBorders>
          </w:tcPr>
          <w:p>
            <w:pP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78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vMerge/>
            <w:tcBorders>
              <w:left w:val="single" w:sz="9" w:space="0" w:color="D2D2D2"/>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79"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10" w:space="0" w:color="D2D2D2"/>
            </w:tcBorders>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vMerge/>
            <w:tcBorders>
              <w:left w:val="single" w:sz="9" w:space="0" w:color="D2D2D2"/>
              <w:bottom w:val="single" w:sz="4" w:space="0" w:color="000000"/>
              <w:right w:val="single" w:sz="10" w:space="0" w:color="D2D2D2"/>
            </w:tcBorders>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805" w:hRule="exact"/>
        </w:trPr>
        <w:tc>
          <w:tcPr>
            <w:tcW w:w="1770" w:type="dxa"/>
            <w:tcBorders>
              <w:top w:val="single" w:sz="4" w:space="0" w:color="000000"/>
              <w:left w:val="single" w:sz="4" w:space="0" w:color="000000"/>
              <w:bottom w:val="nil" w:sz="6" w:space="0" w:color="auto"/>
              <w:right w:val="single" w:sz="4" w:space="0" w:color="000000"/>
            </w:tcBorders>
            <w:shd w:val="clear" w:color="auto" w:fill="D2D2D2"/>
          </w:tcPr>
          <w:p>
            <w:pPr/>
          </w:p>
        </w:tc>
        <w:tc>
          <w:tcPr>
            <w:tcW w:w="7798" w:type="dxa"/>
            <w:gridSpan w:val="10"/>
            <w:vMerge w:val="restart"/>
            <w:tcBorders>
              <w:top w:val="single" w:sz="4" w:space="0" w:color="000000"/>
              <w:left w:val="single" w:sz="9" w:space="0" w:color="D2D2D2"/>
              <w:right w:val="single" w:sz="4" w:space="0" w:color="000000"/>
            </w:tcBorders>
          </w:tcPr>
          <w:p>
            <w:pPr>
              <w:pStyle w:val="TableParagraph"/>
              <w:spacing w:line="300" w:lineRule="auto" w:before="51"/>
              <w:ind w:left="16" w:right="19"/>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、公司外投资设立北京神州泰岳良品电子商务有限公司，该公司积极探索新的业务模式，但暂未达</w:t>
            </w:r>
            <w:r>
              <w:rPr>
                <w:rFonts w:ascii="宋体" w:hAnsi="宋体" w:cs="宋体" w:eastAsia="宋体" w:hint="default"/>
                <w:sz w:val="18"/>
                <w:szCs w:val="18"/>
              </w:rPr>
              <w:t> 到预期效果。</w:t>
            </w:r>
            <w:r>
              <w:rPr>
                <w:rFonts w:ascii="Times New Roman" w:hAnsi="Times New Roman" w:cs="Times New Roman" w:eastAsia="Times New Roman" w:hint="default"/>
                <w:sz w:val="18"/>
                <w:szCs w:val="18"/>
              </w:rPr>
              <w:t>15 </w:t>
            </w:r>
            <w:r>
              <w:rPr>
                <w:rFonts w:ascii="宋体" w:hAnsi="宋体" w:cs="宋体" w:eastAsia="宋体" w:hint="default"/>
                <w:sz w:val="18"/>
                <w:szCs w:val="18"/>
              </w:rPr>
              <w:t>年引入外部投资者，实现股权增值，截至报告期末，公司持股比例为</w:t>
            </w:r>
            <w:r>
              <w:rPr>
                <w:rFonts w:ascii="宋体" w:hAnsi="宋体" w:cs="宋体" w:eastAsia="宋体" w:hint="default"/>
                <w:spacing w:val="-12"/>
                <w:sz w:val="18"/>
                <w:szCs w:val="18"/>
              </w:rPr>
              <w:t> </w:t>
            </w:r>
            <w:r>
              <w:rPr>
                <w:rFonts w:ascii="Times New Roman" w:hAnsi="Times New Roman" w:cs="Times New Roman" w:eastAsia="Times New Roman" w:hint="default"/>
                <w:sz w:val="18"/>
                <w:szCs w:val="18"/>
              </w:rPr>
              <w:t>41.6729%</w:t>
            </w:r>
            <w:r>
              <w:rPr>
                <w:rFonts w:ascii="宋体" w:hAnsi="宋体" w:cs="宋体" w:eastAsia="宋体" w:hint="default"/>
                <w:sz w:val="18"/>
                <w:szCs w:val="18"/>
              </w:rPr>
              <w:t>， 计入长期股权投资核算，账面价值为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5,266.92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pStyle w:val="TableParagraph"/>
              <w:spacing w:line="240" w:lineRule="auto" w:before="52"/>
              <w:ind w:left="16"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、公司对外投资取得北京广通神州网络技术有限公司</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股权，原股东与公司于</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月签</w:t>
            </w:r>
          </w:p>
          <w:p>
            <w:pPr>
              <w:pStyle w:val="TableParagraph"/>
              <w:spacing w:line="300" w:lineRule="auto" w:before="63"/>
              <w:ind w:left="16" w:right="21"/>
              <w:jc w:val="both"/>
              <w:rPr>
                <w:rFonts w:ascii="宋体" w:hAnsi="宋体" w:cs="宋体" w:eastAsia="宋体" w:hint="default"/>
                <w:sz w:val="18"/>
                <w:szCs w:val="18"/>
              </w:rPr>
            </w:pPr>
            <w:r>
              <w:rPr>
                <w:rFonts w:ascii="宋体" w:hAnsi="宋体" w:cs="宋体" w:eastAsia="宋体" w:hint="default"/>
                <w:spacing w:val="-3"/>
                <w:sz w:val="18"/>
                <w:szCs w:val="18"/>
              </w:rPr>
              <w:t>订补充协议，承诺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年度、</w:t>
            </w:r>
            <w:r>
              <w:rPr>
                <w:rFonts w:ascii="Times New Roman" w:hAnsi="Times New Roman" w:cs="Times New Roman" w:eastAsia="Times New Roman" w:hint="default"/>
                <w:spacing w:val="-3"/>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年度及</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年度实现的归属于广通神州母公司股东的合并净利 润分别不得低于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900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万元、</w:t>
            </w:r>
            <w:r>
              <w:rPr>
                <w:rFonts w:ascii="Times New Roman" w:hAnsi="Times New Roman" w:cs="Times New Roman" w:eastAsia="Times New Roman" w:hint="default"/>
                <w:spacing w:val="-3"/>
                <w:sz w:val="18"/>
                <w:szCs w:val="18"/>
              </w:rPr>
              <w:t>1000</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万元、</w:t>
            </w:r>
            <w:r>
              <w:rPr>
                <w:rFonts w:ascii="Times New Roman" w:hAnsi="Times New Roman" w:cs="Times New Roman" w:eastAsia="Times New Roman" w:hint="default"/>
                <w:spacing w:val="-4"/>
                <w:sz w:val="18"/>
                <w:szCs w:val="18"/>
              </w:rPr>
              <w:t>1100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万元；鉴于广通神州</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年未完成 利润指标，相应的款项不再支付。</w:t>
            </w:r>
          </w:p>
          <w:p>
            <w:pPr>
              <w:pStyle w:val="TableParagraph"/>
              <w:spacing w:line="240" w:lineRule="auto" w:before="70"/>
              <w:ind w:left="16" w:right="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、泰岳（香港）有限公司主要作为母公司对海外公司的投资平台及运营载体之一，进行海外布局和</w:t>
            </w:r>
          </w:p>
        </w:tc>
      </w:tr>
      <w:tr>
        <w:trPr>
          <w:trHeight w:val="1016" w:hRule="exact"/>
        </w:trPr>
        <w:tc>
          <w:tcPr>
            <w:tcW w:w="17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798" w:type="dxa"/>
            <w:gridSpan w:val="10"/>
            <w:vMerge/>
            <w:tcBorders>
              <w:left w:val="single" w:sz="9" w:space="0" w:color="D2D2D2"/>
              <w:right w:val="single" w:sz="4" w:space="0" w:color="000000"/>
            </w:tcBorders>
          </w:tcPr>
          <w:p>
            <w:pPr/>
          </w:p>
        </w:tc>
      </w:tr>
      <w:tr>
        <w:trPr>
          <w:trHeight w:val="805" w:hRule="exact"/>
        </w:trPr>
        <w:tc>
          <w:tcPr>
            <w:tcW w:w="1770" w:type="dxa"/>
            <w:tcBorders>
              <w:top w:val="nil" w:sz="6" w:space="0" w:color="auto"/>
              <w:left w:val="single" w:sz="4" w:space="0" w:color="000000"/>
              <w:bottom w:val="single" w:sz="4" w:space="0" w:color="000000"/>
              <w:right w:val="single" w:sz="4" w:space="0" w:color="000000"/>
            </w:tcBorders>
            <w:shd w:val="clear" w:color="auto" w:fill="D2D2D2"/>
          </w:tcPr>
          <w:p>
            <w:pPr/>
          </w:p>
        </w:tc>
        <w:tc>
          <w:tcPr>
            <w:tcW w:w="7798" w:type="dxa"/>
            <w:gridSpan w:val="10"/>
            <w:vMerge/>
            <w:tcBorders>
              <w:left w:val="single" w:sz="9" w:space="0" w:color="D2D2D2"/>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0"/>
        <w:rPr>
          <w:rFonts w:ascii="Times New Roman" w:hAnsi="Times New Roman" w:cs="Times New Roman" w:eastAsia="Times New Roman" w:hint="default"/>
          <w:sz w:val="20"/>
          <w:szCs w:val="20"/>
        </w:rPr>
      </w:pPr>
      <w:r>
        <w:rPr/>
        <w:pict>
          <v:shape style="position:absolute;margin-left:56.459999pt;margin-top:71.999985pt;width:479.2pt;height:687.8pt;mso-position-horizontal-relative:page;mso-position-vertical-relative:page;z-index:1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70"/>
                    <w:gridCol w:w="7798"/>
                  </w:tblGrid>
                  <w:tr>
                    <w:trPr>
                      <w:trHeight w:val="1338"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both"/>
                          <w:rPr>
                            <w:rFonts w:ascii="宋体" w:hAnsi="宋体" w:cs="宋体" w:eastAsia="宋体" w:hint="default"/>
                            <w:sz w:val="18"/>
                            <w:szCs w:val="18"/>
                          </w:rPr>
                        </w:pPr>
                        <w:r>
                          <w:rPr>
                            <w:rFonts w:ascii="宋体" w:hAnsi="宋体" w:cs="宋体" w:eastAsia="宋体" w:hint="default"/>
                            <w:sz w:val="18"/>
                            <w:szCs w:val="18"/>
                          </w:rPr>
                          <w:t>调整，下设多家公司，总体上暂未达到预期效果。</w:t>
                        </w:r>
                      </w:p>
                      <w:p>
                        <w:pPr>
                          <w:pStyle w:val="TableParagraph"/>
                          <w:spacing w:line="300" w:lineRule="auto" w:before="116"/>
                          <w:ind w:left="22" w:right="25"/>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Bridge Minds Consulting Pte</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Ltd</w:t>
                        </w:r>
                        <w:r>
                          <w:rPr>
                            <w:rFonts w:ascii="宋体" w:hAnsi="宋体" w:cs="宋体" w:eastAsia="宋体" w:hint="default"/>
                            <w:sz w:val="18"/>
                            <w:szCs w:val="18"/>
                          </w:rPr>
                          <w:t>（智桥资讯公司）拓展海外融合通信业务，旗下公司以软件许可 权作价人民币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1,468.15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万元对外投资成立合资公司，本期已经处置了持有合资公司的全部股权实现 增值。但是旗下合资公司的游戏发行业务发生亏损，导致整体上暂未达到盈利预期。</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3"/>
                          <w:ind w:left="22" w:right="22"/>
                          <w:jc w:val="left"/>
                          <w:rPr>
                            <w:rFonts w:ascii="宋体" w:hAnsi="宋体" w:cs="宋体" w:eastAsia="宋体" w:hint="default"/>
                            <w:sz w:val="18"/>
                            <w:szCs w:val="18"/>
                          </w:rPr>
                        </w:pPr>
                        <w:r>
                          <w:rPr>
                            <w:rFonts w:ascii="宋体" w:hAnsi="宋体" w:cs="宋体" w:eastAsia="宋体" w:hint="default"/>
                            <w:spacing w:val="-9"/>
                            <w:sz w:val="18"/>
                            <w:szCs w:val="18"/>
                          </w:rPr>
                          <w:t>超募资金的金额、用途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及使用进展情况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129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公司募集资金净额为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170,336.31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万元，其中超募资金总额为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120,083.51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万元。具体使用如下：</w:t>
                        </w:r>
                      </w:p>
                      <w:p>
                        <w:pPr>
                          <w:pStyle w:val="TableParagraph"/>
                          <w:spacing w:line="240" w:lineRule="auto" w:before="102"/>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pacing w:val="-75"/>
                            <w:sz w:val="18"/>
                            <w:szCs w:val="18"/>
                          </w:rPr>
                          <w:t>、</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r>
                          <w:rPr>
                            <w:rFonts w:ascii="宋体" w:hAnsi="宋体" w:cs="宋体" w:eastAsia="宋体" w:hint="default"/>
                            <w:spacing w:val="-75"/>
                            <w:sz w:val="18"/>
                            <w:szCs w:val="18"/>
                          </w:rPr>
                          <w:t>，</w:t>
                        </w: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0</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年度股东大会审议通过</w:t>
                        </w:r>
                        <w:r>
                          <w:rPr>
                            <w:rFonts w:ascii="宋体" w:hAnsi="宋体" w:cs="宋体" w:eastAsia="宋体" w:hint="default"/>
                            <w:spacing w:val="-75"/>
                            <w:sz w:val="18"/>
                            <w:szCs w:val="18"/>
                          </w:rPr>
                          <w:t>了</w:t>
                        </w:r>
                        <w:r>
                          <w:rPr>
                            <w:rFonts w:ascii="宋体" w:hAnsi="宋体" w:cs="宋体" w:eastAsia="宋体" w:hint="default"/>
                            <w:sz w:val="18"/>
                            <w:szCs w:val="18"/>
                          </w:rPr>
                          <w:t>《关于超募资金使用计划及其实施的议案</w:t>
                        </w:r>
                        <w:r>
                          <w:rPr>
                            <w:rFonts w:ascii="宋体" w:hAnsi="宋体" w:cs="宋体" w:eastAsia="宋体" w:hint="default"/>
                            <w:spacing w:val="-90"/>
                            <w:sz w:val="18"/>
                            <w:szCs w:val="18"/>
                          </w:rPr>
                          <w:t>》</w:t>
                        </w:r>
                        <w:r>
                          <w:rPr>
                            <w:rFonts w:ascii="宋体" w:hAnsi="宋体" w:cs="宋体" w:eastAsia="宋体" w:hint="default"/>
                            <w:sz w:val="18"/>
                            <w:szCs w:val="18"/>
                          </w:rPr>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第一批超募资金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25,453.85 </w:t>
                        </w:r>
                        <w:r>
                          <w:rPr>
                            <w:rFonts w:ascii="宋体" w:hAnsi="宋体" w:cs="宋体" w:eastAsia="宋体" w:hint="default"/>
                            <w:sz w:val="18"/>
                            <w:szCs w:val="18"/>
                          </w:rPr>
                          <w:t>万元用于研发及办公用房的购置与建设</w:t>
                        </w:r>
                        <w:r>
                          <w:rPr>
                            <w:rFonts w:ascii="宋体" w:hAnsi="宋体" w:cs="宋体" w:eastAsia="宋体" w:hint="default"/>
                            <w:spacing w:val="-88"/>
                            <w:sz w:val="18"/>
                            <w:szCs w:val="18"/>
                          </w:rPr>
                          <w:t>，</w:t>
                        </w:r>
                        <w:r>
                          <w:rPr>
                            <w:rFonts w:ascii="宋体" w:hAnsi="宋体" w:cs="宋体" w:eastAsia="宋体" w:hint="default"/>
                            <w:sz w:val="18"/>
                            <w:szCs w:val="18"/>
                          </w:rPr>
                          <w:t>至报告期末实际投入项目金额为</w:t>
                        </w:r>
                      </w:p>
                      <w:p>
                        <w:pPr>
                          <w:pStyle w:val="TableParagraph"/>
                          <w:spacing w:line="240" w:lineRule="auto" w:before="64"/>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24,077.12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万元。</w:t>
                        </w:r>
                      </w:p>
                      <w:p>
                        <w:pPr>
                          <w:pStyle w:val="TableParagraph"/>
                          <w:spacing w:line="309" w:lineRule="auto" w:before="101"/>
                          <w:ind w:left="22" w:right="20"/>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日，公司第三届董事会第二十三次会议审议通过了《关于超募资金使用计划及其 </w:t>
                        </w:r>
                        <w:r>
                          <w:rPr>
                            <w:rFonts w:ascii="宋体" w:hAnsi="宋体" w:cs="宋体" w:eastAsia="宋体" w:hint="default"/>
                            <w:spacing w:val="-5"/>
                            <w:sz w:val="18"/>
                            <w:szCs w:val="18"/>
                          </w:rPr>
                          <w:t>实施的议案》，第二批超募资金计划用于如下两个项目：收购微软中国投资控股有限公司持有的大连</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华信计算机技术股份有限公司</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12,000,000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股股份（占其总股本的</w:t>
                        </w:r>
                        <w:r>
                          <w:rPr>
                            <w:rFonts w:ascii="宋体" w:hAnsi="宋体" w:cs="宋体" w:eastAsia="宋体" w:hint="default"/>
                            <w:spacing w:val="-38"/>
                            <w:sz w:val="18"/>
                            <w:szCs w:val="18"/>
                          </w:rPr>
                          <w:t> </w:t>
                        </w:r>
                        <w:r>
                          <w:rPr>
                            <w:rFonts w:ascii="Times New Roman" w:hAnsi="Times New Roman" w:cs="Times New Roman" w:eastAsia="Times New Roman" w:hint="default"/>
                            <w:spacing w:val="-12"/>
                            <w:sz w:val="18"/>
                            <w:szCs w:val="18"/>
                          </w:rPr>
                          <w:t>8%</w:t>
                        </w:r>
                        <w:r>
                          <w:rPr>
                            <w:rFonts w:ascii="宋体" w:hAnsi="宋体" w:cs="宋体" w:eastAsia="宋体" w:hint="default"/>
                            <w:spacing w:val="-12"/>
                            <w:sz w:val="18"/>
                            <w:szCs w:val="18"/>
                          </w:rPr>
                          <w:t>），总价款为</w:t>
                        </w:r>
                        <w:r>
                          <w:rPr>
                            <w:rFonts w:ascii="宋体" w:hAnsi="宋体" w:cs="宋体" w:eastAsia="宋体" w:hint="default"/>
                            <w:spacing w:val="-38"/>
                            <w:sz w:val="18"/>
                            <w:szCs w:val="18"/>
                          </w:rPr>
                          <w:t> </w:t>
                        </w:r>
                        <w:r>
                          <w:rPr>
                            <w:rFonts w:ascii="Times New Roman" w:hAnsi="Times New Roman" w:cs="Times New Roman" w:eastAsia="Times New Roman" w:hint="default"/>
                            <w:spacing w:val="-1"/>
                            <w:sz w:val="18"/>
                            <w:szCs w:val="18"/>
                          </w:rPr>
                          <w:t>1,080</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万美元，至</w:t>
                        </w:r>
                      </w:p>
                      <w:p>
                        <w:pPr>
                          <w:pStyle w:val="TableParagraph"/>
                          <w:spacing w:line="240" w:lineRule="auto" w:before="5"/>
                          <w:ind w:left="22" w:right="0"/>
                          <w:jc w:val="both"/>
                          <w:rPr>
                            <w:rFonts w:ascii="宋体" w:hAnsi="宋体" w:cs="宋体" w:eastAsia="宋体" w:hint="default"/>
                            <w:sz w:val="18"/>
                            <w:szCs w:val="18"/>
                          </w:rPr>
                        </w:pPr>
                        <w:r>
                          <w:rPr>
                            <w:rFonts w:ascii="宋体" w:hAnsi="宋体" w:cs="宋体" w:eastAsia="宋体" w:hint="default"/>
                            <w:sz w:val="18"/>
                            <w:szCs w:val="18"/>
                          </w:rPr>
                          <w:t>报告期末实际投入项目金额为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7,230.38</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万元；使用超募资金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10,330 </w:t>
                        </w:r>
                        <w:r>
                          <w:rPr>
                            <w:rFonts w:ascii="宋体" w:hAnsi="宋体" w:cs="宋体" w:eastAsia="宋体" w:hint="default"/>
                            <w:sz w:val="18"/>
                            <w:szCs w:val="18"/>
                          </w:rPr>
                          <w:t>万元在重庆高新区设立全资子公</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司重庆新媒农信科技有限公司，至报告期末实际投入使用金额为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8,958.15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p>
                      <w:p>
                        <w:pPr>
                          <w:pStyle w:val="TableParagraph"/>
                          <w:spacing w:line="240" w:lineRule="auto" w:before="102"/>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年</w:t>
                        </w:r>
                        <w:r>
                          <w:rPr>
                            <w:rFonts w:ascii="宋体" w:hAnsi="宋体" w:cs="宋体" w:eastAsia="宋体" w:hint="default"/>
                            <w:spacing w:val="-35"/>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35"/>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日，公司第四届董事会第八次会议审议通过了《关于使用部分超募资金收购北</w:t>
                        </w:r>
                      </w:p>
                      <w:p>
                        <w:pPr>
                          <w:pStyle w:val="TableParagraph"/>
                          <w:spacing w:line="300" w:lineRule="auto" w:before="63"/>
                          <w:ind w:left="22" w:right="21"/>
                          <w:jc w:val="both"/>
                          <w:rPr>
                            <w:rFonts w:ascii="宋体" w:hAnsi="宋体" w:cs="宋体" w:eastAsia="宋体" w:hint="default"/>
                            <w:sz w:val="18"/>
                            <w:szCs w:val="18"/>
                          </w:rPr>
                        </w:pPr>
                        <w:r>
                          <w:rPr>
                            <w:rFonts w:ascii="宋体" w:hAnsi="宋体" w:cs="宋体" w:eastAsia="宋体" w:hint="default"/>
                            <w:spacing w:val="-4"/>
                            <w:sz w:val="18"/>
                            <w:szCs w:val="18"/>
                          </w:rPr>
                          <w:t>京友联创新系统集成有限公司的议案》，计划使用第三批超募资金</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5,900</w:t>
                        </w:r>
                        <w:r>
                          <w:rPr>
                            <w:rFonts w:ascii="Times New Roman" w:hAnsi="Times New Roman" w:cs="Times New Roman" w:eastAsia="Times New Roman" w:hint="default"/>
                            <w:spacing w:val="7"/>
                            <w:sz w:val="18"/>
                            <w:szCs w:val="18"/>
                          </w:rPr>
                          <w:t> </w:t>
                        </w:r>
                        <w:r>
                          <w:rPr>
                            <w:rFonts w:ascii="宋体" w:hAnsi="宋体" w:cs="宋体" w:eastAsia="宋体" w:hint="default"/>
                            <w:spacing w:val="-3"/>
                            <w:sz w:val="18"/>
                            <w:szCs w:val="18"/>
                          </w:rPr>
                          <w:t>万元收购徐伟、徐秀华、聂</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小平、赵朝华所持有的友联创新</w:t>
                        </w:r>
                        <w:r>
                          <w:rPr>
                            <w:rFonts w:ascii="宋体" w:hAnsi="宋体" w:cs="宋体" w:eastAsia="宋体" w:hint="default"/>
                            <w:spacing w:val="23"/>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的股权，使其成为公司的全资子公司，至报告期末实际投入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项目金额为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5,900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年北京友联创新系统集成有限公司已更名为北京神州泰岳系统集成有 限公司。</w:t>
                        </w:r>
                      </w:p>
                      <w:p>
                        <w:pPr>
                          <w:pStyle w:val="TableParagraph"/>
                          <w:spacing w:line="240" w:lineRule="auto" w:before="70"/>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r>
                          <w:rPr>
                            <w:rFonts w:ascii="宋体" w:hAnsi="宋体" w:cs="宋体" w:eastAsia="宋体" w:hint="default"/>
                            <w:spacing w:val="-3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日，公司第四届董事会第十次会议审议通过了《关于使用部分超募资金收购及增</w:t>
                        </w:r>
                      </w:p>
                      <w:p>
                        <w:pPr>
                          <w:pStyle w:val="TableParagraph"/>
                          <w:spacing w:line="309" w:lineRule="auto" w:before="63"/>
                          <w:ind w:left="22" w:right="23"/>
                          <w:jc w:val="both"/>
                          <w:rPr>
                            <w:rFonts w:ascii="宋体" w:hAnsi="宋体" w:cs="宋体" w:eastAsia="宋体" w:hint="default"/>
                            <w:sz w:val="18"/>
                            <w:szCs w:val="18"/>
                          </w:rPr>
                        </w:pPr>
                        <w:r>
                          <w:rPr>
                            <w:rFonts w:ascii="宋体" w:hAnsi="宋体" w:cs="宋体" w:eastAsia="宋体" w:hint="default"/>
                            <w:spacing w:val="-4"/>
                            <w:sz w:val="18"/>
                            <w:szCs w:val="18"/>
                          </w:rPr>
                          <w:t>资奇点新源国际技术开发（北京）有限公司的议案》，计划使用第四批超募资金</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2,050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万元对奇点新 源国际技术开发（北京）有限公司进行收购及增资，该收购及增资手续已经办理完毕，至报告期末 实际投入项目金额为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2,050 </w:t>
                        </w:r>
                        <w:r>
                          <w:rPr>
                            <w:rFonts w:ascii="宋体" w:hAnsi="宋体" w:cs="宋体" w:eastAsia="宋体" w:hint="default"/>
                            <w:sz w:val="18"/>
                            <w:szCs w:val="18"/>
                          </w:rPr>
                          <w:t>万元。</w:t>
                        </w:r>
                      </w:p>
                      <w:p>
                        <w:pPr>
                          <w:pStyle w:val="TableParagraph"/>
                          <w:spacing w:line="240" w:lineRule="auto" w:before="43"/>
                          <w:ind w:left="22" w:right="0"/>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日，公司第四届董事会第十四次会议审议通过了《关于使用部分超募资金收购宁</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波普天通信技术有限公司的议案</w:t>
                        </w:r>
                        <w:r>
                          <w:rPr>
                            <w:rFonts w:ascii="宋体" w:hAnsi="宋体" w:cs="宋体" w:eastAsia="宋体" w:hint="default"/>
                            <w:spacing w:val="-90"/>
                            <w:sz w:val="18"/>
                            <w:szCs w:val="18"/>
                          </w:rPr>
                          <w:t>》</w:t>
                        </w:r>
                        <w:r>
                          <w:rPr>
                            <w:rFonts w:ascii="宋体" w:hAnsi="宋体" w:cs="宋体" w:eastAsia="宋体" w:hint="default"/>
                            <w:sz w:val="18"/>
                            <w:szCs w:val="18"/>
                          </w:rPr>
                          <w:t>，计划第五批超募资金不超过</w:t>
                        </w:r>
                        <w:r>
                          <w:rPr>
                            <w:rFonts w:ascii="宋体" w:hAnsi="宋体" w:cs="宋体" w:eastAsia="宋体" w:hint="default"/>
                            <w:spacing w:val="-22"/>
                            <w:sz w:val="18"/>
                            <w:szCs w:val="18"/>
                          </w:rPr>
                          <w:t> </w:t>
                        </w:r>
                        <w:r>
                          <w:rPr>
                            <w:rFonts w:ascii="Times New Roman" w:hAnsi="Times New Roman" w:cs="Times New Roman" w:eastAsia="Times New Roman" w:hint="default"/>
                            <w:sz w:val="18"/>
                            <w:szCs w:val="18"/>
                          </w:rPr>
                          <w:t>24,000 </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万元用于收购孙海粟等自然</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人持有的宁波普天通信技术有限公司全部股权，至报告期末实际投入项目金额为</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24,000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2"/>
                          <w:ind w:left="22" w:right="0"/>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6</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日，公司第四届董事会第十六次会议审议通过了《关于使用部分超募资金设立香</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港全资子公司的议案</w:t>
                        </w:r>
                        <w:r>
                          <w:rPr>
                            <w:rFonts w:ascii="宋体" w:hAnsi="宋体" w:cs="宋体" w:eastAsia="宋体" w:hint="default"/>
                            <w:spacing w:val="-90"/>
                            <w:sz w:val="18"/>
                            <w:szCs w:val="18"/>
                          </w:rPr>
                          <w:t>》</w:t>
                        </w:r>
                        <w:r>
                          <w:rPr>
                            <w:rFonts w:ascii="宋体" w:hAnsi="宋体" w:cs="宋体" w:eastAsia="宋体" w:hint="default"/>
                            <w:spacing w:val="-44"/>
                            <w:sz w:val="18"/>
                            <w:szCs w:val="18"/>
                          </w:rPr>
                          <w:t>，</w:t>
                        </w:r>
                        <w:r>
                          <w:rPr>
                            <w:rFonts w:ascii="宋体" w:hAnsi="宋体" w:cs="宋体" w:eastAsia="宋体" w:hint="default"/>
                            <w:sz w:val="18"/>
                            <w:szCs w:val="18"/>
                          </w:rPr>
                          <w:t>计划以第六批超募资金出资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万元在中华人民共和国香港特别行政区设</w:t>
                        </w:r>
                      </w:p>
                      <w:p>
                        <w:pPr>
                          <w:pStyle w:val="TableParagraph"/>
                          <w:spacing w:line="300" w:lineRule="auto" w:before="63"/>
                          <w:ind w:left="22" w:right="20"/>
                          <w:jc w:val="both"/>
                          <w:rPr>
                            <w:rFonts w:ascii="宋体" w:hAnsi="宋体" w:cs="宋体" w:eastAsia="宋体" w:hint="default"/>
                            <w:sz w:val="18"/>
                            <w:szCs w:val="18"/>
                          </w:rPr>
                        </w:pPr>
                        <w:r>
                          <w:rPr>
                            <w:rFonts w:ascii="宋体" w:hAnsi="宋体" w:cs="宋体" w:eastAsia="宋体" w:hint="default"/>
                            <w:spacing w:val="-3"/>
                            <w:sz w:val="18"/>
                            <w:szCs w:val="18"/>
                          </w:rPr>
                          <w:t>立全资子公司，用于海外市场销售网络建设及海外市场开拓，该公司于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 </w:t>
                        </w:r>
                        <w:r>
                          <w:rPr>
                            <w:rFonts w:ascii="宋体" w:hAnsi="宋体" w:cs="宋体" w:eastAsia="宋体" w:hint="default"/>
                            <w:sz w:val="18"/>
                            <w:szCs w:val="18"/>
                          </w:rPr>
                          <w:t>年境内外注册事宜已办 </w:t>
                        </w:r>
                        <w:r>
                          <w:rPr>
                            <w:rFonts w:ascii="宋体" w:hAnsi="宋体" w:cs="宋体" w:eastAsia="宋体" w:hint="default"/>
                            <w:spacing w:val="-1"/>
                            <w:sz w:val="18"/>
                            <w:szCs w:val="18"/>
                          </w:rPr>
                          <w:t>理完成，公司名称为神州泰岳（香港）有限公司。</w:t>
                        </w:r>
                        <w:r>
                          <w:rPr>
                            <w:rFonts w:ascii="Times New Roman" w:hAnsi="Times New Roman" w:cs="Times New Roman" w:eastAsia="Times New Roman" w:hint="default"/>
                            <w:spacing w:val="-1"/>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pacing w:val="-1"/>
                            <w:sz w:val="18"/>
                            <w:szCs w:val="18"/>
                          </w:rPr>
                          <w:t>年，神州泰岳（香港）有限公司以北京神州</w:t>
                        </w:r>
                        <w:r>
                          <w:rPr>
                            <w:rFonts w:ascii="宋体" w:hAnsi="宋体" w:cs="宋体" w:eastAsia="宋体" w:hint="default"/>
                            <w:sz w:val="18"/>
                            <w:szCs w:val="18"/>
                          </w:rPr>
                          <w:t> 泰岳软件股份有限公司名义在平安银行北京花园路支行设立募集资金专户，将 </w:t>
                        </w:r>
                        <w:r>
                          <w:rPr>
                            <w:rFonts w:ascii="Times New Roman" w:hAnsi="Times New Roman" w:cs="Times New Roman" w:eastAsia="Times New Roman" w:hint="default"/>
                            <w:sz w:val="18"/>
                            <w:szCs w:val="18"/>
                          </w:rPr>
                          <w:t>3,550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万元出资额单</w:t>
                        </w:r>
                      </w:p>
                      <w:p>
                        <w:pPr>
                          <w:pStyle w:val="TableParagraph"/>
                          <w:spacing w:line="240" w:lineRule="auto" w:before="14"/>
                          <w:ind w:left="22" w:right="0"/>
                          <w:jc w:val="both"/>
                          <w:rPr>
                            <w:rFonts w:ascii="宋体" w:hAnsi="宋体" w:cs="宋体" w:eastAsia="宋体" w:hint="default"/>
                            <w:sz w:val="18"/>
                            <w:szCs w:val="18"/>
                          </w:rPr>
                        </w:pPr>
                        <w:r>
                          <w:rPr>
                            <w:rFonts w:ascii="宋体" w:hAnsi="宋体" w:cs="宋体" w:eastAsia="宋体" w:hint="default"/>
                            <w:sz w:val="18"/>
                            <w:szCs w:val="18"/>
                          </w:rPr>
                          <w:t>独存放于该账户中，至报告期末实际投入项目金额为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191.58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1"/>
                          <w:ind w:left="22" w:right="0"/>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7</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2011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日，公司第四届董事会第十九次会议审议通过了《关于对外投资设立合资公司的</w:t>
                        </w:r>
                      </w:p>
                      <w:p>
                        <w:pPr>
                          <w:pStyle w:val="TableParagraph"/>
                          <w:spacing w:line="309" w:lineRule="auto" w:before="63"/>
                          <w:ind w:left="22" w:right="20"/>
                          <w:jc w:val="left"/>
                          <w:rPr>
                            <w:rFonts w:ascii="宋体" w:hAnsi="宋体" w:cs="宋体" w:eastAsia="宋体" w:hint="default"/>
                            <w:sz w:val="18"/>
                            <w:szCs w:val="18"/>
                          </w:rPr>
                        </w:pPr>
                        <w:r>
                          <w:rPr>
                            <w:rFonts w:ascii="宋体" w:hAnsi="宋体" w:cs="宋体" w:eastAsia="宋体" w:hint="default"/>
                            <w:spacing w:val="-8"/>
                            <w:sz w:val="18"/>
                            <w:szCs w:val="18"/>
                          </w:rPr>
                          <w:t>议案》，计划以第七批超募资金</w:t>
                        </w:r>
                        <w:r>
                          <w:rPr>
                            <w:rFonts w:ascii="宋体" w:hAnsi="宋体" w:cs="宋体" w:eastAsia="宋体" w:hint="default"/>
                            <w:spacing w:val="-33"/>
                            <w:sz w:val="18"/>
                            <w:szCs w:val="18"/>
                          </w:rPr>
                          <w:t> </w:t>
                        </w:r>
                        <w:r>
                          <w:rPr>
                            <w:rFonts w:ascii="Times New Roman" w:hAnsi="Times New Roman" w:cs="Times New Roman" w:eastAsia="Times New Roman" w:hint="default"/>
                            <w:sz w:val="18"/>
                            <w:szCs w:val="18"/>
                          </w:rPr>
                          <w:t>8,400</w:t>
                        </w:r>
                        <w:r>
                          <w:rPr>
                            <w:rFonts w:ascii="Times New Roman" w:hAnsi="Times New Roman" w:cs="Times New Roman" w:eastAsia="Times New Roman" w:hint="default"/>
                            <w:spacing w:val="12"/>
                            <w:sz w:val="18"/>
                            <w:szCs w:val="18"/>
                          </w:rPr>
                          <w:t> </w:t>
                        </w:r>
                        <w:r>
                          <w:rPr>
                            <w:rFonts w:ascii="宋体" w:hAnsi="宋体" w:cs="宋体" w:eastAsia="宋体" w:hint="default"/>
                            <w:spacing w:val="-2"/>
                            <w:sz w:val="18"/>
                            <w:szCs w:val="18"/>
                          </w:rPr>
                          <w:t>万元与奇点新源国际技术开发（北京）有限公司、北京中利丰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3"/>
                            <w:sz w:val="18"/>
                            <w:szCs w:val="18"/>
                          </w:rPr>
                          <w:t>贸易发展有限公司、北京中秀明天科技有限公司共同出资设立北京神州泰岳良品电子商务有限公司</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奇点新源国际技术开发（北京）有限公司投入的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500 </w:t>
                        </w:r>
                        <w:r>
                          <w:rPr>
                            <w:rFonts w:ascii="宋体" w:hAnsi="宋体" w:cs="宋体" w:eastAsia="宋体" w:hint="default"/>
                            <w:sz w:val="18"/>
                            <w:szCs w:val="18"/>
                          </w:rPr>
                          <w:t>万元也属于公司超募资金，至报告期末公司及</w:t>
                        </w:r>
                      </w:p>
                      <w:p>
                        <w:pPr>
                          <w:pStyle w:val="TableParagraph"/>
                          <w:spacing w:line="240" w:lineRule="auto" w:before="5"/>
                          <w:ind w:left="22" w:right="0"/>
                          <w:jc w:val="both"/>
                          <w:rPr>
                            <w:rFonts w:ascii="宋体" w:hAnsi="宋体" w:cs="宋体" w:eastAsia="宋体" w:hint="default"/>
                            <w:sz w:val="18"/>
                            <w:szCs w:val="18"/>
                          </w:rPr>
                        </w:pPr>
                        <w:r>
                          <w:rPr>
                            <w:rFonts w:ascii="宋体" w:hAnsi="宋体" w:cs="宋体" w:eastAsia="宋体" w:hint="default"/>
                            <w:sz w:val="18"/>
                            <w:szCs w:val="18"/>
                          </w:rPr>
                          <w:t>奇点新源国际技术开发（北京）有限公司实际投入超募资金共计 </w:t>
                        </w:r>
                        <w:r>
                          <w:rPr>
                            <w:rFonts w:ascii="Times New Roman" w:hAnsi="Times New Roman" w:cs="Times New Roman" w:eastAsia="Times New Roman" w:hint="default"/>
                            <w:sz w:val="18"/>
                            <w:szCs w:val="18"/>
                          </w:rPr>
                          <w:t>8,900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万元（其中北京神州泰岳软</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件股份有限公司实际投入超募资金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8,400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90"/>
                            <w:sz w:val="18"/>
                            <w:szCs w:val="18"/>
                          </w:rPr>
                          <w:t>）</w:t>
                        </w:r>
                        <w:r>
                          <w:rPr>
                            <w:rFonts w:ascii="宋体" w:hAnsi="宋体" w:cs="宋体" w:eastAsia="宋体" w:hint="default"/>
                            <w:sz w:val="18"/>
                            <w:szCs w:val="18"/>
                          </w:rPr>
                          <w:t>。</w:t>
                        </w:r>
                      </w:p>
                      <w:p>
                        <w:pPr>
                          <w:pStyle w:val="TableParagraph"/>
                          <w:spacing w:line="240" w:lineRule="auto" w:before="101"/>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w:t>
                        </w: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日，公司第五届董事会第五次会议审议通过了《关于使用部分超募资金收购北</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京广通神州网络技术有限公司的议案</w:t>
                        </w:r>
                        <w:r>
                          <w:rPr>
                            <w:rFonts w:ascii="宋体" w:hAnsi="宋体" w:cs="宋体" w:eastAsia="宋体" w:hint="default"/>
                            <w:spacing w:val="-90"/>
                            <w:sz w:val="18"/>
                            <w:szCs w:val="18"/>
                          </w:rPr>
                          <w:t>》</w:t>
                        </w:r>
                        <w:r>
                          <w:rPr>
                            <w:rFonts w:ascii="宋体" w:hAnsi="宋体" w:cs="宋体" w:eastAsia="宋体" w:hint="default"/>
                            <w:spacing w:val="-44"/>
                            <w:sz w:val="18"/>
                            <w:szCs w:val="18"/>
                          </w:rPr>
                          <w:t>，</w:t>
                        </w:r>
                        <w:r>
                          <w:rPr>
                            <w:rFonts w:ascii="宋体" w:hAnsi="宋体" w:cs="宋体" w:eastAsia="宋体" w:hint="default"/>
                            <w:sz w:val="18"/>
                            <w:szCs w:val="18"/>
                          </w:rPr>
                          <w:t>计划以第八批超募资金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5,500 </w:t>
                        </w:r>
                        <w:r>
                          <w:rPr>
                            <w:rFonts w:ascii="宋体" w:hAnsi="宋体" w:cs="宋体" w:eastAsia="宋体" w:hint="default"/>
                            <w:sz w:val="18"/>
                            <w:szCs w:val="18"/>
                          </w:rPr>
                          <w:t>万元全资收购北京广通神州网</w:t>
                        </w:r>
                      </w:p>
                    </w:tc>
                  </w:tr>
                </w:tbl>
                <w:p>
                  <w:pPr/>
                </w:p>
              </w:txbxContent>
            </v:textbox>
            <w10:wrap type="non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pStyle w:val="BodyText"/>
        <w:spacing w:line="240" w:lineRule="auto"/>
        <w:ind w:left="630" w:right="1140"/>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pStyle w:val="BodyText"/>
        <w:spacing w:line="240" w:lineRule="auto" w:before="44"/>
        <w:ind w:left="630" w:right="1140"/>
        <w:jc w:val="right"/>
      </w:pPr>
      <w:r>
        <w:rPr/>
        <w:t>。</w:t>
      </w:r>
    </w:p>
    <w:p>
      <w:pPr>
        <w:spacing w:after="0" w:line="240" w:lineRule="auto"/>
        <w:jc w:val="right"/>
        <w:sectPr>
          <w:pgSz w:w="11910" w:h="16840"/>
          <w:pgMar w:header="851" w:footer="979" w:top="1320" w:bottom="1160" w:left="0" w:right="0"/>
        </w:sectPr>
      </w:pPr>
    </w:p>
    <w:p>
      <w:pPr>
        <w:spacing w:line="240" w:lineRule="auto" w:before="0"/>
        <w:rPr>
          <w:rFonts w:ascii="宋体" w:hAnsi="宋体" w:cs="宋体" w:eastAsia="宋体" w:hint="default"/>
          <w:sz w:val="20"/>
          <w:szCs w:val="20"/>
        </w:rPr>
      </w:pPr>
      <w:r>
        <w:rPr/>
        <w:pict>
          <v:shape style="position:absolute;margin-left:56.459999pt;margin-top:71.999985pt;width:479.2pt;height:687.1pt;mso-position-horizontal-relative:page;mso-position-vertical-relative:page;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70"/>
                    <w:gridCol w:w="7798"/>
                  </w:tblGrid>
                  <w:tr>
                    <w:trPr>
                      <w:trHeight w:val="7699"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0"/>
                          <w:jc w:val="both"/>
                          <w:rPr>
                            <w:rFonts w:ascii="宋体" w:hAnsi="宋体" w:cs="宋体" w:eastAsia="宋体" w:hint="default"/>
                            <w:sz w:val="18"/>
                            <w:szCs w:val="18"/>
                          </w:rPr>
                        </w:pPr>
                        <w:r>
                          <w:rPr>
                            <w:rFonts w:ascii="宋体" w:hAnsi="宋体" w:cs="宋体" w:eastAsia="宋体" w:hint="default"/>
                            <w:spacing w:val="-5"/>
                            <w:sz w:val="18"/>
                            <w:szCs w:val="18"/>
                          </w:rPr>
                          <w:t>络技术有限公司，苏州优峰通信科技有限公司、苏州东方九胜创业投资企业（有限合伙）、北京泛亚</w:t>
                        </w:r>
                        <w:r>
                          <w:rPr>
                            <w:rFonts w:ascii="宋体" w:hAnsi="宋体" w:cs="宋体" w:eastAsia="宋体" w:hint="default"/>
                            <w:spacing w:val="-48"/>
                            <w:sz w:val="18"/>
                            <w:szCs w:val="18"/>
                          </w:rPr>
                          <w:t> </w:t>
                        </w:r>
                        <w:r>
                          <w:rPr>
                            <w:rFonts w:ascii="宋体" w:hAnsi="宋体" w:cs="宋体" w:eastAsia="宋体" w:hint="default"/>
                            <w:spacing w:val="-48"/>
                            <w:sz w:val="18"/>
                            <w:szCs w:val="18"/>
                          </w:rPr>
                        </w:r>
                        <w:r>
                          <w:rPr>
                            <w:rFonts w:ascii="宋体" w:hAnsi="宋体" w:cs="宋体" w:eastAsia="宋体" w:hint="default"/>
                            <w:spacing w:val="-5"/>
                            <w:sz w:val="18"/>
                            <w:szCs w:val="18"/>
                          </w:rPr>
                          <w:t>太信息技术研究所（普通合伙）、倪健中、陈硕等股东持有的北京广通神州网络技术有限公司（简称</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Times New Roman" w:hAnsi="Times New Roman" w:cs="Times New Roman" w:eastAsia="Times New Roman" w:hint="default"/>
                            <w:sz w:val="18"/>
                            <w:szCs w:val="18"/>
                          </w:rPr>
                          <w:t>“</w:t>
                        </w:r>
                        <w:r>
                          <w:rPr>
                            <w:rFonts w:ascii="宋体" w:hAnsi="宋体" w:cs="宋体" w:eastAsia="宋体" w:hint="default"/>
                            <w:sz w:val="18"/>
                            <w:szCs w:val="18"/>
                          </w:rPr>
                          <w:t>广通神州</w:t>
                        </w:r>
                        <w:r>
                          <w:rPr>
                            <w:rFonts w:ascii="Times New Roman" w:hAnsi="Times New Roman" w:cs="Times New Roman" w:eastAsia="Times New Roman" w:hint="default"/>
                            <w:sz w:val="18"/>
                            <w:szCs w:val="18"/>
                          </w:rPr>
                          <w:t>”</w:t>
                        </w:r>
                        <w:r>
                          <w:rPr>
                            <w:rFonts w:ascii="宋体" w:hAnsi="宋体" w:cs="宋体" w:eastAsia="宋体" w:hint="default"/>
                            <w:sz w:val="18"/>
                            <w:szCs w:val="18"/>
                          </w:rPr>
                          <w:t>）全部股权，使其成为公司的全资子公司，至报告期末实际投入项目金额为</w:t>
                        </w:r>
                        <w:r>
                          <w:rPr>
                            <w:rFonts w:ascii="宋体" w:hAnsi="宋体" w:cs="宋体" w:eastAsia="宋体" w:hint="default"/>
                            <w:spacing w:val="-58"/>
                            <w:sz w:val="18"/>
                            <w:szCs w:val="18"/>
                          </w:rPr>
                          <w:t> </w:t>
                        </w:r>
                        <w:r>
                          <w:rPr>
                            <w:rFonts w:ascii="Times New Roman" w:hAnsi="Times New Roman" w:cs="Times New Roman" w:eastAsia="Times New Roman" w:hint="default"/>
                            <w:sz w:val="18"/>
                            <w:szCs w:val="18"/>
                          </w:rPr>
                          <w:t>3,750</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万元</w:t>
                        </w:r>
                      </w:p>
                      <w:p>
                        <w:pPr>
                          <w:pStyle w:val="TableParagraph"/>
                          <w:spacing w:line="300" w:lineRule="auto" w:before="36"/>
                          <w:ind w:left="22" w:right="2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w:t>
                        </w:r>
                        <w:r>
                          <w:rPr>
                            <w:rFonts w:ascii="Times New Roman" w:hAnsi="Times New Roman" w:cs="Times New Roman" w:eastAsia="Times New Roman" w:hint="default"/>
                            <w:sz w:val="18"/>
                            <w:szCs w:val="18"/>
                          </w:rPr>
                          <w:t>2013 </w:t>
                        </w:r>
                        <w:r>
                          <w:rPr>
                            <w:rFonts w:ascii="宋体" w:hAnsi="宋体" w:cs="宋体" w:eastAsia="宋体" w:hint="default"/>
                            <w:sz w:val="18"/>
                            <w:szCs w:val="18"/>
                          </w:rPr>
                          <w:t>年 </w:t>
                        </w:r>
                        <w:r>
                          <w:rPr>
                            <w:rFonts w:ascii="Times New Roman" w:hAnsi="Times New Roman" w:cs="Times New Roman" w:eastAsia="Times New Roman" w:hint="default"/>
                            <w:sz w:val="18"/>
                            <w:szCs w:val="18"/>
                          </w:rPr>
                          <w:t>8 </w:t>
                        </w:r>
                        <w:r>
                          <w:rPr>
                            <w:rFonts w:ascii="宋体" w:hAnsi="宋体" w:cs="宋体" w:eastAsia="宋体" w:hint="default"/>
                            <w:sz w:val="18"/>
                            <w:szCs w:val="18"/>
                          </w:rPr>
                          <w:t>月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日，公司第五届董事会第八次会议审议通过了《关于使用部分超募资金收购及 增资 </w:t>
                        </w:r>
                        <w:r>
                          <w:rPr>
                            <w:rFonts w:ascii="Times New Roman" w:hAnsi="Times New Roman" w:cs="Times New Roman" w:eastAsia="Times New Roman" w:hint="default"/>
                            <w:sz w:val="18"/>
                            <w:szCs w:val="18"/>
                          </w:rPr>
                          <w:t>Bridge </w:t>
                        </w:r>
                        <w:r>
                          <w:rPr>
                            <w:rFonts w:ascii="Times New Roman" w:hAnsi="Times New Roman" w:cs="Times New Roman" w:eastAsia="Times New Roman" w:hint="default"/>
                            <w:spacing w:val="-1"/>
                            <w:w w:val="99"/>
                            <w:sz w:val="18"/>
                            <w:szCs w:val="18"/>
                          </w:rPr>
                          <w:t>Minds</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Consulting </w:t>
                        </w:r>
                        <w:r>
                          <w:rPr>
                            <w:rFonts w:ascii="Times New Roman" w:hAnsi="Times New Roman" w:cs="Times New Roman" w:eastAsia="Times New Roman" w:hint="default"/>
                            <w:w w:val="99"/>
                            <w:sz w:val="18"/>
                            <w:szCs w:val="18"/>
                          </w:rPr>
                          <w:t>Pte </w:t>
                        </w:r>
                        <w:r>
                          <w:rPr>
                            <w:rFonts w:ascii="Times New Roman" w:hAnsi="Times New Roman" w:cs="Times New Roman" w:eastAsia="Times New Roman" w:hint="default"/>
                            <w:spacing w:val="-5"/>
                            <w:sz w:val="18"/>
                            <w:szCs w:val="18"/>
                          </w:rPr>
                          <w:t>Ltd</w:t>
                        </w:r>
                        <w:r>
                          <w:rPr>
                            <w:rFonts w:ascii="宋体" w:hAnsi="宋体" w:cs="宋体" w:eastAsia="宋体" w:hint="default"/>
                            <w:spacing w:val="-5"/>
                            <w:sz w:val="18"/>
                            <w:szCs w:val="18"/>
                          </w:rPr>
                          <w:t>（智桥资讯公司）的议案》，计划以第九批超募资金</w:t>
                        </w:r>
                        <w:r>
                          <w:rPr>
                            <w:rFonts w:ascii="宋体" w:hAnsi="宋体" w:cs="宋体" w:eastAsia="宋体" w:hint="default"/>
                            <w:sz w:val="18"/>
                            <w:szCs w:val="18"/>
                          </w:rPr>
                          <w:t> </w:t>
                        </w:r>
                        <w:r>
                          <w:rPr>
                            <w:rFonts w:ascii="Times New Roman" w:hAnsi="Times New Roman" w:cs="Times New Roman" w:eastAsia="Times New Roman" w:hint="default"/>
                            <w:sz w:val="18"/>
                            <w:szCs w:val="18"/>
                          </w:rPr>
                          <w:t>6,000</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万元 对神 </w:t>
                        </w:r>
                        <w:r>
                          <w:rPr>
                            <w:rFonts w:ascii="宋体" w:hAnsi="宋体" w:cs="宋体" w:eastAsia="宋体" w:hint="default"/>
                            <w:spacing w:val="-6"/>
                            <w:w w:val="100"/>
                            <w:sz w:val="18"/>
                            <w:szCs w:val="18"/>
                          </w:rPr>
                          <w:t>州泰岳（香港）有限公司（以下简称</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泰岳香港</w:t>
                        </w:r>
                        <w:r>
                          <w:rPr>
                            <w:rFonts w:ascii="Times New Roman" w:hAnsi="Times New Roman" w:cs="Times New Roman" w:eastAsia="Times New Roman" w:hint="default"/>
                            <w:spacing w:val="-6"/>
                            <w:w w:val="100"/>
                            <w:sz w:val="18"/>
                            <w:szCs w:val="18"/>
                          </w:rPr>
                          <w:t>”</w:t>
                        </w:r>
                        <w:r>
                          <w:rPr>
                            <w:rFonts w:ascii="宋体" w:hAnsi="宋体" w:cs="宋体" w:eastAsia="宋体" w:hint="default"/>
                            <w:spacing w:val="-6"/>
                            <w:w w:val="100"/>
                            <w:sz w:val="18"/>
                            <w:szCs w:val="18"/>
                          </w:rPr>
                          <w:t>）进行收购及增资，该等款项的用途包括：（</w:t>
                        </w:r>
                        <w:r>
                          <w:rPr>
                            <w:rFonts w:ascii="Times New Roman" w:hAnsi="Times New Roman" w:cs="Times New Roman" w:eastAsia="Times New Roman" w:hint="default"/>
                            <w:spacing w:val="-6"/>
                            <w:w w:val="100"/>
                            <w:sz w:val="18"/>
                            <w:szCs w:val="18"/>
                          </w:rPr>
                          <w:t>1</w:t>
                        </w:r>
                        <w:r>
                          <w:rPr>
                            <w:rFonts w:ascii="Times New Roman" w:hAnsi="Times New Roman" w:cs="Times New Roman" w:eastAsia="Times New Roman" w:hint="default"/>
                            <w:spacing w:val="-39"/>
                            <w:w w:val="100"/>
                            <w:sz w:val="18"/>
                            <w:szCs w:val="18"/>
                          </w:rPr>
                          <w:t> </w:t>
                        </w:r>
                        <w:r>
                          <w:rPr>
                            <w:rFonts w:ascii="宋体" w:hAnsi="宋体" w:cs="宋体" w:eastAsia="宋体" w:hint="default"/>
                            <w:sz w:val="18"/>
                            <w:szCs w:val="18"/>
                          </w:rPr>
                          <w:t>由泰 岳香港使用 </w:t>
                        </w:r>
                        <w:r>
                          <w:rPr>
                            <w:rFonts w:ascii="Times New Roman" w:hAnsi="Times New Roman" w:cs="Times New Roman" w:eastAsia="Times New Roman" w:hint="default"/>
                            <w:sz w:val="18"/>
                            <w:szCs w:val="18"/>
                          </w:rPr>
                          <w:t>4,400.00  </w:t>
                        </w:r>
                        <w:r>
                          <w:rPr>
                            <w:rFonts w:ascii="宋体" w:hAnsi="宋体" w:cs="宋体" w:eastAsia="宋体" w:hint="default"/>
                            <w:sz w:val="18"/>
                            <w:szCs w:val="18"/>
                          </w:rPr>
                          <w:t>万元收购 </w:t>
                        </w:r>
                        <w:r>
                          <w:rPr>
                            <w:rFonts w:ascii="Times New Roman" w:hAnsi="Times New Roman" w:cs="Times New Roman" w:eastAsia="Times New Roman" w:hint="default"/>
                            <w:sz w:val="18"/>
                            <w:szCs w:val="18"/>
                          </w:rPr>
                          <w:t>CHEN BIN</w:t>
                        </w:r>
                        <w:r>
                          <w:rPr>
                            <w:rFonts w:ascii="宋体" w:hAnsi="宋体" w:cs="宋体" w:eastAsia="宋体" w:hint="default"/>
                            <w:sz w:val="18"/>
                            <w:szCs w:val="18"/>
                          </w:rPr>
                          <w:t>（陈斌）持有的 </w:t>
                        </w:r>
                        <w:r>
                          <w:rPr>
                            <w:rFonts w:ascii="Times New Roman" w:hAnsi="Times New Roman" w:cs="Times New Roman" w:eastAsia="Times New Roman" w:hint="default"/>
                            <w:sz w:val="18"/>
                            <w:szCs w:val="18"/>
                          </w:rPr>
                          <w:t>Bridge Minds Consulting Pte  </w:t>
                        </w:r>
                        <w:r>
                          <w:rPr>
                            <w:rFonts w:ascii="Times New Roman" w:hAnsi="Times New Roman" w:cs="Times New Roman" w:eastAsia="Times New Roman" w:hint="default"/>
                            <w:spacing w:val="34"/>
                            <w:sz w:val="18"/>
                            <w:szCs w:val="18"/>
                          </w:rPr>
                          <w:t> </w:t>
                        </w:r>
                        <w:r>
                          <w:rPr>
                            <w:rFonts w:ascii="Times New Roman" w:hAnsi="Times New Roman" w:cs="Times New Roman" w:eastAsia="Times New Roman" w:hint="default"/>
                            <w:sz w:val="18"/>
                            <w:szCs w:val="18"/>
                          </w:rPr>
                          <w:t>Ltd.</w:t>
                        </w:r>
                      </w:p>
                      <w:p>
                        <w:pPr>
                          <w:pStyle w:val="TableParagraph"/>
                          <w:spacing w:line="300" w:lineRule="auto" w:before="13"/>
                          <w:ind w:left="22" w:right="20"/>
                          <w:jc w:val="left"/>
                          <w:rPr>
                            <w:rFonts w:ascii="宋体" w:hAnsi="宋体" w:cs="宋体" w:eastAsia="宋体" w:hint="default"/>
                            <w:sz w:val="18"/>
                            <w:szCs w:val="18"/>
                          </w:rPr>
                        </w:pPr>
                        <w:r>
                          <w:rPr>
                            <w:rFonts w:ascii="宋体" w:hAnsi="宋体" w:cs="宋体" w:eastAsia="宋体" w:hint="default"/>
                            <w:spacing w:val="-5"/>
                            <w:sz w:val="18"/>
                            <w:szCs w:val="18"/>
                          </w:rPr>
                          <w:t>（智桥资讯公司）</w:t>
                        </w:r>
                        <w:r>
                          <w:rPr>
                            <w:rFonts w:ascii="Times New Roman" w:hAnsi="Times New Roman" w:cs="Times New Roman" w:eastAsia="Times New Roman" w:hint="default"/>
                            <w:spacing w:val="-5"/>
                            <w:sz w:val="18"/>
                            <w:szCs w:val="18"/>
                          </w:rPr>
                          <w:t>55%</w:t>
                        </w:r>
                        <w:r>
                          <w:rPr>
                            <w:rFonts w:ascii="宋体" w:hAnsi="宋体" w:cs="宋体" w:eastAsia="宋体" w:hint="default"/>
                            <w:spacing w:val="-5"/>
                            <w:sz w:val="18"/>
                            <w:szCs w:val="18"/>
                          </w:rPr>
                          <w:t>的股权，收购完成后泰岳香港持有智桥资讯公司的股权比例从</w:t>
                        </w:r>
                        <w:r>
                          <w:rPr>
                            <w:rFonts w:ascii="宋体" w:hAnsi="宋体" w:cs="宋体" w:eastAsia="宋体" w:hint="default"/>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增至 </w:t>
                        </w:r>
                        <w:r>
                          <w:rPr>
                            <w:rFonts w:ascii="Times New Roman" w:hAnsi="Times New Roman" w:cs="Times New Roman" w:eastAsia="Times New Roman" w:hint="default"/>
                            <w:sz w:val="18"/>
                            <w:szCs w:val="18"/>
                          </w:rPr>
                          <w:t>80%</w:t>
                        </w:r>
                        <w:r>
                          <w:rPr>
                            <w:rFonts w:ascii="Times New Roman" w:hAnsi="Times New Roman" w:cs="Times New Roman" w:eastAsia="Times New Roman" w:hint="default"/>
                            <w:spacing w:val="-33"/>
                            <w:sz w:val="18"/>
                            <w:szCs w:val="18"/>
                          </w:rPr>
                          <w:t> </w:t>
                        </w:r>
                        <w:r>
                          <w:rPr>
                            <w:rFonts w:ascii="宋体" w:hAnsi="宋体" w:cs="宋体" w:eastAsia="宋体" w:hint="default"/>
                            <w:spacing w:val="-6"/>
                            <w:sz w:val="18"/>
                            <w:szCs w:val="18"/>
                          </w:rPr>
                          <w:t>成为智桥资讯公司的控股公司；（</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）泰岳香港与</w:t>
                        </w:r>
                        <w:r>
                          <w:rPr>
                            <w:rFonts w:ascii="宋体" w:hAnsi="宋体" w:cs="宋体" w:eastAsia="宋体" w:hint="default"/>
                            <w:spacing w:val="12"/>
                            <w:sz w:val="18"/>
                            <w:szCs w:val="18"/>
                          </w:rPr>
                          <w:t> </w:t>
                        </w:r>
                        <w:r>
                          <w:rPr>
                            <w:rFonts w:ascii="Times New Roman" w:hAnsi="Times New Roman" w:cs="Times New Roman" w:eastAsia="Times New Roman" w:hint="default"/>
                            <w:w w:val="99"/>
                            <w:sz w:val="18"/>
                            <w:szCs w:val="18"/>
                          </w:rPr>
                          <w:t>CHEN</w:t>
                        </w:r>
                        <w:r>
                          <w:rPr>
                            <w:rFonts w:ascii="Times New Roman" w:hAnsi="Times New Roman" w:cs="Times New Roman" w:eastAsia="Times New Roman" w:hint="default"/>
                            <w:spacing w:val="6"/>
                            <w:w w:val="99"/>
                            <w:sz w:val="18"/>
                            <w:szCs w:val="18"/>
                          </w:rPr>
                          <w:t> </w:t>
                        </w:r>
                        <w:r>
                          <w:rPr>
                            <w:rFonts w:ascii="Times New Roman" w:hAnsi="Times New Roman" w:cs="Times New Roman" w:eastAsia="Times New Roman" w:hint="default"/>
                            <w:spacing w:val="-4"/>
                            <w:w w:val="99"/>
                            <w:sz w:val="18"/>
                            <w:szCs w:val="18"/>
                          </w:rPr>
                          <w:t>BIN</w:t>
                        </w:r>
                        <w:r>
                          <w:rPr>
                            <w:rFonts w:ascii="宋体" w:hAnsi="宋体" w:cs="宋体" w:eastAsia="宋体" w:hint="default"/>
                            <w:spacing w:val="-4"/>
                            <w:w w:val="99"/>
                            <w:sz w:val="18"/>
                            <w:szCs w:val="18"/>
                          </w:rPr>
                          <w:t>（陈斌）按照</w:t>
                        </w:r>
                        <w:r>
                          <w:rPr>
                            <w:rFonts w:ascii="宋体" w:hAnsi="宋体" w:cs="宋体" w:eastAsia="宋体" w:hint="default"/>
                            <w:spacing w:val="12"/>
                            <w:w w:val="99"/>
                            <w:sz w:val="18"/>
                            <w:szCs w:val="18"/>
                          </w:rPr>
                          <w:t> </w:t>
                        </w:r>
                        <w:r>
                          <w:rPr>
                            <w:rFonts w:ascii="Times New Roman" w:hAnsi="Times New Roman" w:cs="Times New Roman" w:eastAsia="Times New Roman" w:hint="default"/>
                            <w:spacing w:val="-2"/>
                            <w:sz w:val="18"/>
                            <w:szCs w:val="18"/>
                          </w:rPr>
                          <w:t>80%</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w:t>
                        </w:r>
                        <w:r>
                          <w:rPr>
                            <w:rFonts w:ascii="宋体" w:hAnsi="宋体" w:cs="宋体" w:eastAsia="宋体" w:hint="default"/>
                            <w:spacing w:val="-2"/>
                            <w:sz w:val="18"/>
                            <w:szCs w:val="18"/>
                          </w:rPr>
                          <w:t>的比例共同对</w:t>
                        </w:r>
                        <w:r>
                          <w:rPr>
                            <w:rFonts w:ascii="宋体" w:hAnsi="宋体" w:cs="宋体" w:eastAsia="宋体" w:hint="default"/>
                            <w:spacing w:val="-87"/>
                            <w:sz w:val="18"/>
                            <w:szCs w:val="18"/>
                          </w:rPr>
                          <w:t> </w:t>
                        </w:r>
                        <w:r>
                          <w:rPr>
                            <w:rFonts w:ascii="宋体" w:hAnsi="宋体" w:cs="宋体" w:eastAsia="宋体" w:hint="default"/>
                            <w:sz w:val="18"/>
                            <w:szCs w:val="18"/>
                          </w:rPr>
                          <w:t>智桥资讯公司进行增资，增资金额合计</w:t>
                        </w:r>
                        <w:r>
                          <w:rPr>
                            <w:rFonts w:ascii="宋体" w:hAnsi="宋体" w:cs="宋体" w:eastAsia="宋体" w:hint="default"/>
                            <w:spacing w:val="-8"/>
                            <w:sz w:val="18"/>
                            <w:szCs w:val="18"/>
                          </w:rPr>
                          <w:t> </w:t>
                        </w:r>
                        <w:r>
                          <w:rPr>
                            <w:rFonts w:ascii="Times New Roman" w:hAnsi="Times New Roman" w:cs="Times New Roman" w:eastAsia="Times New Roman" w:hint="default"/>
                            <w:sz w:val="18"/>
                            <w:szCs w:val="18"/>
                          </w:rPr>
                          <w:t>2,000.00</w:t>
                        </w:r>
                        <w:r>
                          <w:rPr>
                            <w:rFonts w:ascii="Times New Roman" w:hAnsi="Times New Roman" w:cs="Times New Roman" w:eastAsia="Times New Roman" w:hint="default"/>
                            <w:spacing w:val="-5"/>
                            <w:sz w:val="18"/>
                            <w:szCs w:val="18"/>
                          </w:rPr>
                          <w:t> </w:t>
                        </w:r>
                        <w:r>
                          <w:rPr>
                            <w:rFonts w:ascii="宋体" w:hAnsi="宋体" w:cs="宋体" w:eastAsia="宋体" w:hint="default"/>
                            <w:spacing w:val="-3"/>
                            <w:sz w:val="18"/>
                            <w:szCs w:val="18"/>
                          </w:rPr>
                          <w:t>万元，其中泰岳香港增资</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600.00</w:t>
                        </w:r>
                        <w:r>
                          <w:rPr>
                            <w:rFonts w:ascii="Times New Roman" w:hAnsi="Times New Roman" w:cs="Times New Roman" w:eastAsia="Times New Roman" w:hint="default"/>
                            <w:spacing w:val="-4"/>
                            <w:sz w:val="18"/>
                            <w:szCs w:val="18"/>
                          </w:rPr>
                          <w:t> </w:t>
                        </w:r>
                        <w:r>
                          <w:rPr>
                            <w:rFonts w:ascii="宋体" w:hAnsi="宋体" w:cs="宋体" w:eastAsia="宋体" w:hint="default"/>
                            <w:spacing w:val="-5"/>
                            <w:sz w:val="18"/>
                            <w:szCs w:val="18"/>
                          </w:rPr>
                          <w:t>万元。至报告期</w:t>
                        </w:r>
                      </w:p>
                      <w:p>
                        <w:pPr>
                          <w:pStyle w:val="TableParagraph"/>
                          <w:spacing w:line="240" w:lineRule="auto" w:before="14"/>
                          <w:ind w:left="22" w:right="0"/>
                          <w:jc w:val="both"/>
                          <w:rPr>
                            <w:rFonts w:ascii="宋体" w:hAnsi="宋体" w:cs="宋体" w:eastAsia="宋体" w:hint="default"/>
                            <w:sz w:val="18"/>
                            <w:szCs w:val="18"/>
                          </w:rPr>
                        </w:pPr>
                        <w:r>
                          <w:rPr>
                            <w:rFonts w:ascii="宋体" w:hAnsi="宋体" w:cs="宋体" w:eastAsia="宋体" w:hint="default"/>
                            <w:sz w:val="18"/>
                            <w:szCs w:val="18"/>
                          </w:rPr>
                          <w:t>末，上述事项全部完成，鉴于汇率因素公司实际投入项目金额为 </w:t>
                        </w:r>
                        <w:r>
                          <w:rPr>
                            <w:rFonts w:ascii="Times New Roman" w:hAnsi="Times New Roman" w:cs="Times New Roman" w:eastAsia="Times New Roman" w:hint="default"/>
                            <w:sz w:val="18"/>
                            <w:szCs w:val="18"/>
                          </w:rPr>
                          <w:t>5,935.84</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万元。</w:t>
                        </w:r>
                      </w:p>
                      <w:p>
                        <w:pPr>
                          <w:pStyle w:val="TableParagraph"/>
                          <w:spacing w:line="240" w:lineRule="auto" w:before="101"/>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9"/>
                            <w:sz w:val="18"/>
                            <w:szCs w:val="18"/>
                          </w:rPr>
                          <w:t>10</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2013 </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6 </w:t>
                        </w:r>
                        <w:r>
                          <w:rPr>
                            <w:rFonts w:ascii="宋体" w:hAnsi="宋体" w:cs="宋体" w:eastAsia="宋体" w:hint="default"/>
                            <w:spacing w:val="-4"/>
                            <w:sz w:val="18"/>
                            <w:szCs w:val="18"/>
                          </w:rPr>
                          <w:t>日，公司第五届董事会第九次会议审议通过了《关于公司使用超募资金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21,669.28</w:t>
                        </w:r>
                      </w:p>
                      <w:p>
                        <w:pPr>
                          <w:pStyle w:val="TableParagraph"/>
                          <w:spacing w:line="240" w:lineRule="auto" w:before="63"/>
                          <w:ind w:left="22" w:right="0"/>
                          <w:jc w:val="both"/>
                          <w:rPr>
                            <w:rFonts w:ascii="Times New Roman" w:hAnsi="Times New Roman" w:cs="Times New Roman" w:eastAsia="Times New Roman" w:hint="default"/>
                            <w:sz w:val="18"/>
                            <w:szCs w:val="18"/>
                          </w:rPr>
                        </w:pPr>
                        <w:r>
                          <w:rPr>
                            <w:rFonts w:ascii="宋体" w:hAnsi="宋体" w:cs="宋体" w:eastAsia="宋体" w:hint="default"/>
                            <w:spacing w:val="2"/>
                            <w:sz w:val="18"/>
                            <w:szCs w:val="18"/>
                          </w:rPr>
                          <w:t>万元支付收购天津壳木软件有限责任公司的现金对价的议案</w:t>
                        </w:r>
                        <w:r>
                          <w:rPr>
                            <w:rFonts w:ascii="宋体" w:hAnsi="宋体" w:cs="宋体" w:eastAsia="宋体" w:hint="default"/>
                            <w:spacing w:val="-88"/>
                            <w:sz w:val="18"/>
                            <w:szCs w:val="18"/>
                          </w:rPr>
                          <w:t>》、</w:t>
                        </w:r>
                        <w:r>
                          <w:rPr>
                            <w:rFonts w:ascii="宋体" w:hAnsi="宋体" w:cs="宋体" w:eastAsia="宋体" w:hint="default"/>
                            <w:spacing w:val="2"/>
                            <w:sz w:val="18"/>
                            <w:szCs w:val="18"/>
                          </w:rPr>
                          <w:t>《关于使用节余募集资</w:t>
                        </w:r>
                        <w:r>
                          <w:rPr>
                            <w:rFonts w:ascii="宋体" w:hAnsi="宋体" w:cs="宋体" w:eastAsia="宋体" w:hint="default"/>
                            <w:sz w:val="18"/>
                            <w:szCs w:val="18"/>
                          </w:rPr>
                          <w:t>金</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21,080.72</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万元支付收购天津壳木软件有限责任公司的现金对价的议案</w:t>
                        </w:r>
                        <w:r>
                          <w:rPr>
                            <w:rFonts w:ascii="宋体" w:hAnsi="宋体" w:cs="宋体" w:eastAsia="宋体" w:hint="default"/>
                            <w:spacing w:val="-90"/>
                            <w:sz w:val="18"/>
                            <w:szCs w:val="18"/>
                          </w:rPr>
                          <w:t>》</w:t>
                        </w:r>
                        <w:r>
                          <w:rPr>
                            <w:rFonts w:ascii="宋体" w:hAnsi="宋体" w:cs="宋体" w:eastAsia="宋体" w:hint="default"/>
                            <w:spacing w:val="-44"/>
                            <w:sz w:val="18"/>
                            <w:szCs w:val="18"/>
                          </w:rPr>
                          <w:t>，</w:t>
                        </w:r>
                        <w:r>
                          <w:rPr>
                            <w:rFonts w:ascii="宋体" w:hAnsi="宋体" w:cs="宋体" w:eastAsia="宋体" w:hint="default"/>
                            <w:sz w:val="18"/>
                            <w:szCs w:val="18"/>
                          </w:rPr>
                          <w:t>计划以第十批募集资金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42,750.00  </w:t>
                        </w:r>
                        <w:r>
                          <w:rPr>
                            <w:rFonts w:ascii="宋体" w:hAnsi="宋体" w:cs="宋体" w:eastAsia="宋体" w:hint="default"/>
                            <w:sz w:val="18"/>
                            <w:szCs w:val="18"/>
                          </w:rPr>
                          <w:t>万</w:t>
                        </w:r>
                      </w:p>
                      <w:p>
                        <w:pPr>
                          <w:pStyle w:val="TableParagraph"/>
                          <w:spacing w:line="300" w:lineRule="auto" w:before="63"/>
                          <w:ind w:left="22" w:right="21"/>
                          <w:jc w:val="both"/>
                          <w:rPr>
                            <w:rFonts w:ascii="宋体" w:hAnsi="宋体" w:cs="宋体" w:eastAsia="宋体" w:hint="default"/>
                            <w:sz w:val="18"/>
                            <w:szCs w:val="18"/>
                          </w:rPr>
                        </w:pPr>
                        <w:r>
                          <w:rPr>
                            <w:rFonts w:ascii="宋体" w:hAnsi="宋体" w:cs="宋体" w:eastAsia="宋体" w:hint="default"/>
                            <w:sz w:val="18"/>
                            <w:szCs w:val="18"/>
                          </w:rPr>
                          <w:t>元（包括超募资金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21,669.28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万元和节余募集资金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21,080.72 </w:t>
                        </w:r>
                        <w:r>
                          <w:rPr>
                            <w:rFonts w:ascii="宋体" w:hAnsi="宋体" w:cs="宋体" w:eastAsia="宋体" w:hint="default"/>
                            <w:sz w:val="18"/>
                            <w:szCs w:val="18"/>
                          </w:rPr>
                          <w:t>万元）作为收购天津壳木软件有限责任 公司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股权的现金对价部分，至报告期末实际投入项目金额为 </w:t>
                        </w:r>
                        <w:r>
                          <w:rPr>
                            <w:rFonts w:ascii="Times New Roman" w:hAnsi="Times New Roman" w:cs="Times New Roman" w:eastAsia="Times New Roman" w:hint="default"/>
                            <w:sz w:val="18"/>
                            <w:szCs w:val="18"/>
                          </w:rPr>
                          <w:t>42,750.00</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万元（包括超募资金 </w:t>
                        </w:r>
                        <w:r>
                          <w:rPr>
                            <w:rFonts w:ascii="Times New Roman" w:hAnsi="Times New Roman" w:cs="Times New Roman" w:eastAsia="Times New Roman" w:hint="default"/>
                            <w:sz w:val="18"/>
                            <w:szCs w:val="18"/>
                          </w:rPr>
                          <w:t>21,669.28</w:t>
                        </w:r>
                        <w:r>
                          <w:rPr>
                            <w:rFonts w:ascii="Times New Roman" w:hAnsi="Times New Roman" w:cs="Times New Roman" w:eastAsia="Times New Roman" w:hint="default"/>
                            <w:spacing w:val="2"/>
                            <w:sz w:val="18"/>
                            <w:szCs w:val="18"/>
                          </w:rPr>
                          <w:t> </w:t>
                        </w:r>
                        <w:r>
                          <w:rPr>
                            <w:rFonts w:ascii="宋体" w:hAnsi="宋体" w:cs="宋体" w:eastAsia="宋体" w:hint="default"/>
                            <w:spacing w:val="-1"/>
                            <w:sz w:val="18"/>
                            <w:szCs w:val="18"/>
                          </w:rPr>
                          <w:t>万元和节余募集资金</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21,080.72</w:t>
                        </w:r>
                        <w:r>
                          <w:rPr>
                            <w:rFonts w:ascii="Times New Roman" w:hAnsi="Times New Roman" w:cs="Times New Roman" w:eastAsia="Times New Roman" w:hint="default"/>
                            <w:spacing w:val="2"/>
                            <w:sz w:val="18"/>
                            <w:szCs w:val="18"/>
                          </w:rPr>
                          <w:t> </w:t>
                        </w:r>
                        <w:r>
                          <w:rPr>
                            <w:rFonts w:ascii="宋体" w:hAnsi="宋体" w:cs="宋体" w:eastAsia="宋体" w:hint="default"/>
                            <w:spacing w:val="-23"/>
                            <w:sz w:val="18"/>
                            <w:szCs w:val="18"/>
                          </w:rPr>
                          <w:t>万元）。</w:t>
                        </w:r>
                      </w:p>
                      <w:p>
                        <w:pPr>
                          <w:pStyle w:val="TableParagraph"/>
                          <w:spacing w:line="240" w:lineRule="auto" w:before="51"/>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2014  </w:t>
                        </w:r>
                        <w:r>
                          <w:rPr>
                            <w:rFonts w:ascii="宋体" w:hAnsi="宋体" w:cs="宋体" w:eastAsia="宋体" w:hint="default"/>
                            <w:sz w:val="18"/>
                            <w:szCs w:val="18"/>
                          </w:rPr>
                          <w:t>年 </w:t>
                        </w:r>
                        <w:r>
                          <w:rPr>
                            <w:rFonts w:ascii="Times New Roman" w:hAnsi="Times New Roman" w:cs="Times New Roman" w:eastAsia="Times New Roman" w:hint="default"/>
                            <w:sz w:val="18"/>
                            <w:szCs w:val="18"/>
                          </w:rPr>
                          <w:t>10 </w:t>
                        </w:r>
                        <w:r>
                          <w:rPr>
                            <w:rFonts w:ascii="宋体" w:hAnsi="宋体" w:cs="宋体" w:eastAsia="宋体" w:hint="default"/>
                            <w:sz w:val="18"/>
                            <w:szCs w:val="18"/>
                          </w:rPr>
                          <w:t>月 </w:t>
                        </w:r>
                        <w:r>
                          <w:rPr>
                            <w:rFonts w:ascii="Times New Roman" w:hAnsi="Times New Roman" w:cs="Times New Roman" w:eastAsia="Times New Roman" w:hint="default"/>
                            <w:sz w:val="18"/>
                            <w:szCs w:val="18"/>
                          </w:rPr>
                          <w:t>17 </w:t>
                        </w:r>
                        <w:r>
                          <w:rPr>
                            <w:rFonts w:ascii="宋体" w:hAnsi="宋体" w:cs="宋体" w:eastAsia="宋体" w:hint="default"/>
                            <w:sz w:val="18"/>
                            <w:szCs w:val="18"/>
                          </w:rPr>
                          <w:t>日，公司第五届董事会第三十四次会议审议通过了《关于使用节余募集资金</w:t>
                        </w:r>
                      </w:p>
                      <w:p>
                        <w:pPr>
                          <w:pStyle w:val="TableParagraph"/>
                          <w:spacing w:line="240" w:lineRule="auto" w:before="63"/>
                          <w:ind w:left="22" w:right="0"/>
                          <w:jc w:val="both"/>
                          <w:rPr>
                            <w:rFonts w:ascii="宋体" w:hAnsi="宋体" w:cs="宋体" w:eastAsia="宋体" w:hint="default"/>
                            <w:sz w:val="18"/>
                            <w:szCs w:val="18"/>
                          </w:rPr>
                        </w:pPr>
                        <w:r>
                          <w:rPr>
                            <w:rFonts w:ascii="宋体" w:hAnsi="宋体" w:cs="宋体" w:eastAsia="宋体" w:hint="default"/>
                            <w:sz w:val="18"/>
                            <w:szCs w:val="18"/>
                          </w:rPr>
                          <w:t>永久性补充流动资金的议案</w:t>
                        </w:r>
                        <w:r>
                          <w:rPr>
                            <w:rFonts w:ascii="宋体" w:hAnsi="宋体" w:cs="宋体" w:eastAsia="宋体" w:hint="default"/>
                            <w:spacing w:val="-90"/>
                            <w:sz w:val="18"/>
                            <w:szCs w:val="18"/>
                          </w:rPr>
                          <w:t>》</w:t>
                        </w:r>
                        <w:r>
                          <w:rPr>
                            <w:rFonts w:ascii="宋体" w:hAnsi="宋体" w:cs="宋体" w:eastAsia="宋体" w:hint="default"/>
                            <w:spacing w:val="-29"/>
                            <w:sz w:val="18"/>
                            <w:szCs w:val="18"/>
                          </w:rPr>
                          <w:t>，</w:t>
                        </w:r>
                        <w:r>
                          <w:rPr>
                            <w:rFonts w:ascii="宋体" w:hAnsi="宋体" w:cs="宋体" w:eastAsia="宋体" w:hint="default"/>
                            <w:sz w:val="18"/>
                            <w:szCs w:val="18"/>
                          </w:rPr>
                          <w:t>计划将节余募集资金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12,339.60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r>
                          <w:rPr>
                            <w:rFonts w:ascii="宋体" w:hAnsi="宋体" w:cs="宋体" w:eastAsia="宋体" w:hint="default"/>
                            <w:spacing w:val="-29"/>
                            <w:sz w:val="18"/>
                            <w:szCs w:val="18"/>
                          </w:rPr>
                          <w:t>元</w:t>
                        </w:r>
                        <w:r>
                          <w:rPr>
                            <w:rFonts w:ascii="宋体" w:hAnsi="宋体" w:cs="宋体" w:eastAsia="宋体" w:hint="default"/>
                            <w:sz w:val="18"/>
                            <w:szCs w:val="18"/>
                          </w:rPr>
                          <w:t>（包括利息收入</w:t>
                        </w:r>
                        <w:r>
                          <w:rPr>
                            <w:rFonts w:ascii="宋体" w:hAnsi="宋体" w:cs="宋体" w:eastAsia="宋体" w:hint="default"/>
                            <w:spacing w:val="-119"/>
                            <w:sz w:val="18"/>
                            <w:szCs w:val="18"/>
                          </w:rPr>
                          <w:t>）</w:t>
                        </w:r>
                        <w:r>
                          <w:rPr>
                            <w:rFonts w:ascii="宋体" w:hAnsi="宋体" w:cs="宋体" w:eastAsia="宋体" w:hint="default"/>
                            <w:sz w:val="18"/>
                            <w:szCs w:val="18"/>
                          </w:rPr>
                          <w:t>（具体以转账日</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金额为准，转账日金额为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12,647.06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万元）永久性补充流动资金，用于公司日常生产经营活动。</w:t>
                        </w:r>
                      </w:p>
                      <w:p>
                        <w:pPr>
                          <w:pStyle w:val="TableParagraph"/>
                          <w:spacing w:line="300" w:lineRule="auto" w:before="102"/>
                          <w:ind w:left="22" w:right="21"/>
                          <w:jc w:val="both"/>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宋体" w:hAnsi="宋体" w:cs="宋体" w:eastAsia="宋体" w:hint="default"/>
                            <w:sz w:val="18"/>
                            <w:szCs w:val="18"/>
                          </w:rPr>
                          <w:t>、</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日，公司第六届董事会第十九次会议审议通过了《关于使用节余超募资金永久 </w:t>
                        </w:r>
                        <w:r>
                          <w:rPr>
                            <w:rFonts w:ascii="宋体" w:hAnsi="宋体" w:cs="宋体" w:eastAsia="宋体" w:hint="default"/>
                            <w:spacing w:val="-5"/>
                            <w:sz w:val="18"/>
                            <w:szCs w:val="18"/>
                          </w:rPr>
                          <w:t>性补充流动资金的议案》，计划将节余超募资金</w:t>
                        </w:r>
                        <w:r>
                          <w:rPr>
                            <w:rFonts w:ascii="宋体" w:hAnsi="宋体" w:cs="宋体" w:eastAsia="宋体" w:hint="default"/>
                            <w:sz w:val="18"/>
                            <w:szCs w:val="18"/>
                          </w:rPr>
                          <w:t> 金 </w:t>
                        </w:r>
                        <w:r>
                          <w:rPr>
                            <w:rFonts w:ascii="Times New Roman" w:hAnsi="Times New Roman" w:cs="Times New Roman" w:eastAsia="Times New Roman" w:hint="default"/>
                            <w:spacing w:val="-1"/>
                            <w:sz w:val="18"/>
                            <w:szCs w:val="18"/>
                          </w:rPr>
                          <w:t>7,362.87</w:t>
                        </w:r>
                        <w:r>
                          <w:rPr>
                            <w:rFonts w:ascii="Times New Roman" w:hAnsi="Times New Roman" w:cs="Times New Roman" w:eastAsia="Times New Roman" w:hint="default"/>
                            <w:spacing w:val="-25"/>
                            <w:sz w:val="18"/>
                            <w:szCs w:val="18"/>
                          </w:rPr>
                          <w:t> </w:t>
                        </w:r>
                        <w:r>
                          <w:rPr>
                            <w:rFonts w:ascii="宋体" w:hAnsi="宋体" w:cs="宋体" w:eastAsia="宋体" w:hint="default"/>
                            <w:sz w:val="18"/>
                            <w:szCs w:val="18"/>
                          </w:rPr>
                          <w:t>万元（包括利息收入，具体以转账日金 </w:t>
                        </w:r>
                        <w:r>
                          <w:rPr>
                            <w:rFonts w:ascii="宋体" w:hAnsi="宋体" w:cs="宋体" w:eastAsia="宋体" w:hint="default"/>
                            <w:spacing w:val="-3"/>
                            <w:sz w:val="18"/>
                            <w:szCs w:val="18"/>
                          </w:rPr>
                          <w:t>额为准，转账日金额为</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7,416.02</w:t>
                        </w:r>
                        <w:r>
                          <w:rPr>
                            <w:rFonts w:ascii="Times New Roman" w:hAnsi="Times New Roman" w:cs="Times New Roman" w:eastAsia="Times New Roman" w:hint="default"/>
                            <w:spacing w:val="11"/>
                            <w:sz w:val="18"/>
                            <w:szCs w:val="18"/>
                          </w:rPr>
                          <w:t> </w:t>
                        </w:r>
                        <w:r>
                          <w:rPr>
                            <w:rFonts w:ascii="宋体" w:hAnsi="宋体" w:cs="宋体" w:eastAsia="宋体" w:hint="default"/>
                            <w:spacing w:val="-3"/>
                            <w:sz w:val="18"/>
                            <w:szCs w:val="18"/>
                          </w:rPr>
                          <w:t>万元）永久性补充流动资金，用于公司日常生产经营活动。截止报</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告期末，资金已划转完成，所有募集资金账户已销户。</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9" w:lineRule="auto"/>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2"/>
                            <w:szCs w:val="22"/>
                          </w:rPr>
                        </w:pPr>
                      </w:p>
                      <w:p>
                        <w:pPr>
                          <w:pStyle w:val="TableParagraph"/>
                          <w:spacing w:line="319" w:lineRule="auto"/>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770" w:type="dxa"/>
                        <w:vMerge/>
                        <w:tcBorders>
                          <w:left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22" w:right="117"/>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026"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日，公司第三届董事会第二十次会议审议通过了《关于用募集资金置换预先投入募</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投项目的自筹资金的议案</w:t>
                        </w:r>
                        <w:r>
                          <w:rPr>
                            <w:rFonts w:ascii="宋体" w:hAnsi="宋体" w:cs="宋体" w:eastAsia="宋体" w:hint="default"/>
                            <w:spacing w:val="-90"/>
                            <w:sz w:val="18"/>
                            <w:szCs w:val="18"/>
                          </w:rPr>
                          <w:t>》</w:t>
                        </w:r>
                        <w:r>
                          <w:rPr>
                            <w:rFonts w:ascii="宋体" w:hAnsi="宋体" w:cs="宋体" w:eastAsia="宋体" w:hint="default"/>
                            <w:spacing w:val="-45"/>
                            <w:sz w:val="18"/>
                            <w:szCs w:val="18"/>
                          </w:rPr>
                          <w:t>：</w:t>
                        </w:r>
                        <w:r>
                          <w:rPr>
                            <w:rFonts w:ascii="宋体" w:hAnsi="宋体" w:cs="宋体" w:eastAsia="宋体" w:hint="default"/>
                            <w:sz w:val="18"/>
                            <w:szCs w:val="18"/>
                          </w:rPr>
                          <w:t>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日募集资金到账前</w:t>
                        </w:r>
                        <w:r>
                          <w:rPr>
                            <w:rFonts w:ascii="宋体" w:hAnsi="宋体" w:cs="宋体" w:eastAsia="宋体" w:hint="default"/>
                            <w:spacing w:val="-45"/>
                            <w:sz w:val="18"/>
                            <w:szCs w:val="18"/>
                          </w:rPr>
                          <w:t>，</w:t>
                        </w:r>
                        <w:r>
                          <w:rPr>
                            <w:rFonts w:ascii="宋体" w:hAnsi="宋体" w:cs="宋体" w:eastAsia="宋体" w:hint="default"/>
                            <w:sz w:val="18"/>
                            <w:szCs w:val="18"/>
                          </w:rPr>
                          <w:t>公司以自有资金预先投入募</w:t>
                        </w:r>
                        <w:r>
                          <w:rPr>
                            <w:rFonts w:ascii="宋体" w:hAnsi="宋体" w:cs="宋体" w:eastAsia="宋体" w:hint="default"/>
                            <w:spacing w:val="1"/>
                            <w:sz w:val="18"/>
                            <w:szCs w:val="18"/>
                          </w:rPr>
                          <w:t>集</w:t>
                        </w:r>
                        <w:r>
                          <w:rPr>
                            <w:rFonts w:ascii="宋体" w:hAnsi="宋体" w:cs="宋体" w:eastAsia="宋体" w:hint="default"/>
                            <w:sz w:val="18"/>
                            <w:szCs w:val="18"/>
                          </w:rPr>
                          <w:t>资</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金项目共计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9,572,485.57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元，该款项已于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月以募集资金予以置换。</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22" w:right="117"/>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1026"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pacing w:val="-3"/>
                            <w:sz w:val="18"/>
                            <w:szCs w:val="18"/>
                          </w:rPr>
                          <w:t>11 </w:t>
                        </w:r>
                        <w:r>
                          <w:rPr>
                            <w:rFonts w:ascii="Times New Roman" w:hAnsi="Times New Roman" w:cs="Times New Roman" w:eastAsia="Times New Roman" w:hint="default"/>
                            <w:spacing w:val="8"/>
                            <w:sz w:val="18"/>
                            <w:szCs w:val="18"/>
                          </w:rPr>
                          <w:t> </w:t>
                        </w:r>
                        <w:r>
                          <w:rPr>
                            <w:rFonts w:ascii="宋体" w:hAnsi="宋体" w:cs="宋体" w:eastAsia="宋体" w:hint="default"/>
                            <w:spacing w:val="-3"/>
                            <w:sz w:val="18"/>
                            <w:szCs w:val="18"/>
                          </w:rPr>
                          <w:t>日，公司第五届董事会第二十四次会议审议通过了《关于公司使用节余募集资金暂</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时补充流动资金的议案</w:t>
                        </w:r>
                        <w:r>
                          <w:rPr>
                            <w:rFonts w:ascii="宋体" w:hAnsi="宋体" w:cs="宋体" w:eastAsia="宋体" w:hint="default"/>
                            <w:spacing w:val="-90"/>
                            <w:sz w:val="18"/>
                            <w:szCs w:val="18"/>
                          </w:rPr>
                          <w:t>》</w:t>
                        </w:r>
                        <w:r>
                          <w:rPr>
                            <w:rFonts w:ascii="宋体" w:hAnsi="宋体" w:cs="宋体" w:eastAsia="宋体" w:hint="default"/>
                            <w:spacing w:val="-45"/>
                            <w:sz w:val="18"/>
                            <w:szCs w:val="18"/>
                          </w:rPr>
                          <w:t>，</w:t>
                        </w:r>
                        <w:r>
                          <w:rPr>
                            <w:rFonts w:ascii="宋体" w:hAnsi="宋体" w:cs="宋体" w:eastAsia="宋体" w:hint="default"/>
                            <w:sz w:val="18"/>
                            <w:szCs w:val="18"/>
                          </w:rPr>
                          <w:t>计划从节余募集资金中使用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万元暂时补充流动资金</w:t>
                        </w:r>
                        <w:r>
                          <w:rPr>
                            <w:rFonts w:ascii="宋体" w:hAnsi="宋体" w:cs="宋体" w:eastAsia="宋体" w:hint="default"/>
                            <w:spacing w:val="-45"/>
                            <w:sz w:val="18"/>
                            <w:szCs w:val="18"/>
                          </w:rPr>
                          <w:t>，</w:t>
                        </w:r>
                        <w:r>
                          <w:rPr>
                            <w:rFonts w:ascii="宋体" w:hAnsi="宋体" w:cs="宋体" w:eastAsia="宋体" w:hint="default"/>
                            <w:sz w:val="18"/>
                            <w:szCs w:val="18"/>
                          </w:rPr>
                          <w:t>使用期限为</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个月，用于公司日常生产经营活动。</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日，上述资金已全部归还至募集资金专户。</w:t>
                        </w:r>
                      </w:p>
                    </w:tc>
                  </w:tr>
                  <w:tr>
                    <w:trPr>
                      <w:trHeight w:val="402" w:hRule="exact"/>
                    </w:trPr>
                    <w:tc>
                      <w:tcPr>
                        <w:tcW w:w="17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6"/>
                          <w:ind w:left="22" w:right="117"/>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362" w:hRule="exact"/>
                    </w:trPr>
                    <w:tc>
                      <w:tcPr>
                        <w:tcW w:w="1770" w:type="dxa"/>
                        <w:vMerge/>
                        <w:tcBorders>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公司加快软件系统开发进度，调整设备配置、降低设备投入款，采用</w:t>
                        </w:r>
                        <w:r>
                          <w:rPr>
                            <w:rFonts w:ascii="Times New Roman" w:hAnsi="Times New Roman" w:cs="Times New Roman" w:eastAsia="Times New Roman" w:hint="default"/>
                            <w:sz w:val="18"/>
                            <w:szCs w:val="18"/>
                          </w:rPr>
                          <w:t>“</w:t>
                        </w:r>
                        <w:r>
                          <w:rPr>
                            <w:rFonts w:ascii="宋体" w:hAnsi="宋体" w:cs="宋体" w:eastAsia="宋体" w:hint="default"/>
                            <w:sz w:val="18"/>
                            <w:szCs w:val="18"/>
                          </w:rPr>
                          <w:t>边开发、边上线、边销售</w:t>
                        </w:r>
                        <w:r>
                          <w:rPr>
                            <w:rFonts w:ascii="Times New Roman" w:hAnsi="Times New Roman" w:cs="Times New Roman" w:eastAsia="Times New Roman" w:hint="default"/>
                            <w:sz w:val="18"/>
                            <w:szCs w:val="18"/>
                          </w:rPr>
                          <w:t>”</w:t>
                        </w:r>
                        <w:r>
                          <w:rPr>
                            <w:rFonts w:ascii="宋体" w:hAnsi="宋体" w:cs="宋体" w:eastAsia="宋体" w:hint="default"/>
                            <w:sz w:val="18"/>
                            <w:szCs w:val="18"/>
                          </w:rPr>
                          <w:t>的</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before="44"/>
        <w:ind w:left="630" w:right="1139"/>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6"/>
          <w:szCs w:val="16"/>
        </w:rPr>
      </w:pPr>
    </w:p>
    <w:p>
      <w:pPr>
        <w:pStyle w:val="BodyText"/>
        <w:spacing w:line="240" w:lineRule="auto"/>
        <w:ind w:left="630" w:right="1139"/>
        <w:jc w:val="right"/>
      </w:pPr>
      <w:r>
        <w:rPr/>
        <w:t>）</w:t>
      </w:r>
    </w:p>
    <w:p>
      <w:pPr>
        <w:spacing w:line="240" w:lineRule="auto" w:before="4"/>
        <w:rPr>
          <w:rFonts w:ascii="宋体" w:hAnsi="宋体" w:cs="宋体" w:eastAsia="宋体" w:hint="default"/>
          <w:sz w:val="26"/>
          <w:szCs w:val="26"/>
        </w:rPr>
      </w:pPr>
    </w:p>
    <w:p>
      <w:pPr>
        <w:pStyle w:val="BodyText"/>
        <w:spacing w:line="240" w:lineRule="auto" w:before="44"/>
        <w:ind w:left="630" w:right="1139"/>
        <w:jc w:val="right"/>
      </w:pPr>
      <w:r>
        <w:rPr/>
        <w:t>，</w:t>
      </w:r>
    </w:p>
    <w:p>
      <w:pPr>
        <w:spacing w:after="0" w:line="240" w:lineRule="auto"/>
        <w:jc w:val="right"/>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770"/>
        <w:gridCol w:w="7798"/>
      </w:tblGrid>
      <w:tr>
        <w:trPr>
          <w:trHeight w:val="7707"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2" w:right="0"/>
              <w:jc w:val="both"/>
              <w:rPr>
                <w:rFonts w:ascii="宋体" w:hAnsi="宋体" w:cs="宋体" w:eastAsia="宋体" w:hint="default"/>
                <w:sz w:val="18"/>
                <w:szCs w:val="18"/>
              </w:rPr>
            </w:pPr>
            <w:r>
              <w:rPr>
                <w:rFonts w:ascii="宋体" w:hAnsi="宋体" w:cs="宋体" w:eastAsia="宋体" w:hint="default"/>
                <w:sz w:val="18"/>
                <w:szCs w:val="18"/>
              </w:rPr>
              <w:t>方 式加速销售实现与回款，减少流动资金投入，这些因素使募集资金项目的总投资额减少了</w:t>
            </w:r>
          </w:p>
          <w:p>
            <w:pPr>
              <w:pStyle w:val="TableParagraph"/>
              <w:spacing w:line="240" w:lineRule="auto" w:before="77"/>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20,731.41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万元，其中：</w:t>
            </w:r>
          </w:p>
          <w:p>
            <w:pPr>
              <w:pStyle w:val="TableParagraph"/>
              <w:spacing w:line="240" w:lineRule="auto" w:before="103"/>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、飞信平台大规模改造升级减少 </w:t>
            </w:r>
            <w:r>
              <w:rPr>
                <w:rFonts w:ascii="Times New Roman" w:hAnsi="Times New Roman" w:cs="Times New Roman" w:eastAsia="Times New Roman" w:hint="default"/>
                <w:sz w:val="18"/>
                <w:szCs w:val="18"/>
              </w:rPr>
              <w:t>2,475.11</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万元；</w:t>
            </w:r>
          </w:p>
          <w:p>
            <w:pPr>
              <w:pStyle w:val="TableParagraph"/>
              <w:spacing w:line="240" w:lineRule="auto" w:before="102"/>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、电信综合网管产品 </w:t>
            </w:r>
            <w:r>
              <w:rPr>
                <w:rFonts w:ascii="Times New Roman" w:hAnsi="Times New Roman" w:cs="Times New Roman" w:eastAsia="Times New Roman" w:hint="default"/>
                <w:sz w:val="18"/>
                <w:szCs w:val="18"/>
              </w:rPr>
              <w:t>Ultra-TIMP  </w:t>
            </w:r>
            <w:r>
              <w:rPr>
                <w:rFonts w:ascii="宋体" w:hAnsi="宋体" w:cs="宋体" w:eastAsia="宋体" w:hint="default"/>
                <w:sz w:val="18"/>
                <w:szCs w:val="18"/>
              </w:rPr>
              <w:t>减少 </w:t>
            </w:r>
            <w:r>
              <w:rPr>
                <w:rFonts w:ascii="Times New Roman" w:hAnsi="Times New Roman" w:cs="Times New Roman" w:eastAsia="Times New Roman" w:hint="default"/>
                <w:sz w:val="18"/>
                <w:szCs w:val="18"/>
              </w:rPr>
              <w:t>5,041.10</w:t>
            </w:r>
            <w:r>
              <w:rPr>
                <w:rFonts w:ascii="Times New Roman" w:hAnsi="Times New Roman" w:cs="Times New Roman" w:eastAsia="Times New Roman" w:hint="default"/>
                <w:spacing w:val="36"/>
                <w:sz w:val="18"/>
                <w:szCs w:val="18"/>
              </w:rPr>
              <w:t> </w:t>
            </w:r>
            <w:r>
              <w:rPr>
                <w:rFonts w:ascii="宋体" w:hAnsi="宋体" w:cs="宋体" w:eastAsia="宋体" w:hint="default"/>
                <w:sz w:val="18"/>
                <w:szCs w:val="18"/>
              </w:rPr>
              <w:t>万元；</w:t>
            </w:r>
          </w:p>
          <w:p>
            <w:pPr>
              <w:pStyle w:val="TableParagraph"/>
              <w:spacing w:line="240" w:lineRule="auto" w:before="103"/>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、无线网络优化平台 </w:t>
            </w:r>
            <w:r>
              <w:rPr>
                <w:rFonts w:ascii="Times New Roman" w:hAnsi="Times New Roman" w:cs="Times New Roman" w:eastAsia="Times New Roman" w:hint="default"/>
                <w:sz w:val="18"/>
                <w:szCs w:val="18"/>
              </w:rPr>
              <w:t>Ultra-WOSS  </w:t>
            </w:r>
            <w:r>
              <w:rPr>
                <w:rFonts w:ascii="宋体" w:hAnsi="宋体" w:cs="宋体" w:eastAsia="宋体" w:hint="default"/>
                <w:sz w:val="18"/>
                <w:szCs w:val="18"/>
              </w:rPr>
              <w:t>减少 </w:t>
            </w:r>
            <w:r>
              <w:rPr>
                <w:rFonts w:ascii="Times New Roman" w:hAnsi="Times New Roman" w:cs="Times New Roman" w:eastAsia="Times New Roman" w:hint="default"/>
                <w:sz w:val="18"/>
                <w:szCs w:val="18"/>
              </w:rPr>
              <w:t>3,320.04</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万元；</w:t>
            </w:r>
          </w:p>
          <w:p>
            <w:pPr>
              <w:pStyle w:val="TableParagraph"/>
              <w:spacing w:line="240" w:lineRule="auto" w:before="103"/>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IT  </w:t>
            </w:r>
            <w:r>
              <w:rPr>
                <w:rFonts w:ascii="宋体" w:hAnsi="宋体" w:cs="宋体" w:eastAsia="宋体" w:hint="default"/>
                <w:sz w:val="18"/>
                <w:szCs w:val="18"/>
              </w:rPr>
              <w:t>监控管理平台 </w:t>
            </w:r>
            <w:r>
              <w:rPr>
                <w:rFonts w:ascii="Times New Roman" w:hAnsi="Times New Roman" w:cs="Times New Roman" w:eastAsia="Times New Roman" w:hint="default"/>
                <w:sz w:val="18"/>
                <w:szCs w:val="18"/>
              </w:rPr>
              <w:t>Ultra-</w:t>
            </w:r>
            <w:r>
              <w:rPr>
                <w:rFonts w:ascii="Times New Roman" w:hAnsi="Times New Roman" w:cs="Times New Roman" w:eastAsia="Times New Roman" w:hint="default"/>
                <w:sz w:val="18"/>
                <w:szCs w:val="18"/>
              </w:rPr>
              <w:t>ΣM  </w:t>
            </w:r>
            <w:r>
              <w:rPr>
                <w:rFonts w:ascii="宋体" w:hAnsi="宋体" w:cs="宋体" w:eastAsia="宋体" w:hint="default"/>
                <w:sz w:val="18"/>
                <w:szCs w:val="18"/>
              </w:rPr>
              <w:t>系列软件减少 </w:t>
            </w:r>
            <w:r>
              <w:rPr>
                <w:rFonts w:ascii="Times New Roman" w:hAnsi="Times New Roman" w:cs="Times New Roman" w:eastAsia="Times New Roman" w:hint="default"/>
                <w:sz w:val="18"/>
                <w:szCs w:val="18"/>
              </w:rPr>
              <w:t>3,972.56</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万元；</w:t>
            </w:r>
          </w:p>
          <w:p>
            <w:pPr>
              <w:pStyle w:val="TableParagraph"/>
              <w:spacing w:line="240" w:lineRule="auto" w:before="102"/>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、运维服务流程管理系统减少 </w:t>
            </w:r>
            <w:r>
              <w:rPr>
                <w:rFonts w:ascii="Times New Roman" w:hAnsi="Times New Roman" w:cs="Times New Roman" w:eastAsia="Times New Roman" w:hint="default"/>
                <w:sz w:val="18"/>
                <w:szCs w:val="18"/>
              </w:rPr>
              <w:t>3,450.52</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万元；</w:t>
            </w:r>
          </w:p>
          <w:p>
            <w:pPr>
              <w:pStyle w:val="TableParagraph"/>
              <w:spacing w:line="340" w:lineRule="auto" w:before="102"/>
              <w:ind w:left="22" w:right="2368"/>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、新一代安全运行管理 中心 </w:t>
            </w:r>
            <w:r>
              <w:rPr>
                <w:rFonts w:ascii="Times New Roman" w:hAnsi="Times New Roman" w:cs="Times New Roman" w:eastAsia="Times New Roman" w:hint="default"/>
                <w:sz w:val="18"/>
                <w:szCs w:val="18"/>
              </w:rPr>
              <w:t>Ultra-SOMC3.0 </w:t>
            </w:r>
            <w:r>
              <w:rPr>
                <w:rFonts w:ascii="宋体" w:hAnsi="宋体" w:cs="宋体" w:eastAsia="宋体" w:hint="default"/>
                <w:sz w:val="18"/>
                <w:szCs w:val="18"/>
              </w:rPr>
              <w:t>减少 </w:t>
            </w:r>
            <w:r>
              <w:rPr>
                <w:rFonts w:ascii="Times New Roman" w:hAnsi="Times New Roman" w:cs="Times New Roman" w:eastAsia="Times New Roman" w:hint="default"/>
                <w:sz w:val="18"/>
                <w:szCs w:val="18"/>
              </w:rPr>
              <w:t>2,472.08</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万元。</w:t>
            </w:r>
            <w:r>
              <w:rPr>
                <w:rFonts w:ascii="宋体" w:hAnsi="宋体" w:cs="宋体" w:eastAsia="宋体" w:hint="default"/>
                <w:w w:val="99"/>
                <w:sz w:val="18"/>
                <w:szCs w:val="18"/>
              </w:rPr>
              <w:t> </w:t>
            </w:r>
            <w:r>
              <w:rPr>
                <w:rFonts w:ascii="宋体" w:hAnsi="宋体" w:cs="宋体" w:eastAsia="宋体" w:hint="default"/>
                <w:sz w:val="18"/>
                <w:szCs w:val="18"/>
              </w:rPr>
              <w:t>超募资金使用节余情况：</w:t>
            </w:r>
          </w:p>
          <w:p>
            <w:pPr>
              <w:pStyle w:val="TableParagraph"/>
              <w:spacing w:line="240" w:lineRule="auto" w:before="39"/>
              <w:ind w:left="22"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、公司计划使用超募资金 </w:t>
            </w:r>
            <w:r>
              <w:rPr>
                <w:rFonts w:ascii="Times New Roman" w:hAnsi="Times New Roman" w:cs="Times New Roman" w:eastAsia="Times New Roman" w:hint="default"/>
                <w:sz w:val="18"/>
                <w:szCs w:val="18"/>
              </w:rPr>
              <w:t>25,453.85 </w:t>
            </w:r>
            <w:r>
              <w:rPr>
                <w:rFonts w:ascii="宋体" w:hAnsi="宋体" w:cs="宋体" w:eastAsia="宋体" w:hint="default"/>
                <w:spacing w:val="-3"/>
                <w:sz w:val="18"/>
                <w:szCs w:val="18"/>
              </w:rPr>
              <w:t>万元购置与建设研发及办公用房，截至年末实际投入</w:t>
            </w:r>
            <w:r>
              <w:rPr>
                <w:rFonts w:ascii="宋体" w:hAnsi="宋体" w:cs="宋体" w:eastAsia="宋体" w:hint="default"/>
                <w:spacing w:val="11"/>
                <w:sz w:val="18"/>
                <w:szCs w:val="18"/>
              </w:rPr>
              <w:t> </w:t>
            </w:r>
            <w:r>
              <w:rPr>
                <w:rFonts w:ascii="Times New Roman" w:hAnsi="Times New Roman" w:cs="Times New Roman" w:eastAsia="Times New Roman" w:hint="default"/>
                <w:sz w:val="18"/>
                <w:szCs w:val="18"/>
              </w:rPr>
              <w:t>24,077.12</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万元，该项目均已支付完毕，该项目节余 </w:t>
            </w:r>
            <w:r>
              <w:rPr>
                <w:rFonts w:ascii="Times New Roman" w:hAnsi="Times New Roman" w:cs="Times New Roman" w:eastAsia="Times New Roman" w:hint="default"/>
                <w:sz w:val="18"/>
                <w:szCs w:val="18"/>
              </w:rPr>
              <w:t>1,376.73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1"/>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、公司计划使用超募资金 </w:t>
            </w:r>
            <w:r>
              <w:rPr>
                <w:rFonts w:ascii="Times New Roman" w:hAnsi="Times New Roman" w:cs="Times New Roman" w:eastAsia="Times New Roman" w:hint="default"/>
                <w:sz w:val="18"/>
                <w:szCs w:val="18"/>
              </w:rPr>
              <w:t>6,000  </w:t>
            </w:r>
            <w:r>
              <w:rPr>
                <w:rFonts w:ascii="宋体" w:hAnsi="宋体" w:cs="宋体" w:eastAsia="宋体" w:hint="default"/>
                <w:sz w:val="18"/>
                <w:szCs w:val="18"/>
              </w:rPr>
              <w:t>万元，收购及增资智桥资讯公司，截止 </w:t>
            </w:r>
            <w:r>
              <w:rPr>
                <w:rFonts w:ascii="Times New Roman" w:hAnsi="Times New Roman" w:cs="Times New Roman" w:eastAsia="Times New Roman" w:hint="default"/>
                <w:sz w:val="18"/>
                <w:szCs w:val="18"/>
              </w:rPr>
              <w:t>2013  </w:t>
            </w:r>
            <w:r>
              <w:rPr>
                <w:rFonts w:ascii="宋体" w:hAnsi="宋体" w:cs="宋体" w:eastAsia="宋体" w:hint="default"/>
                <w:sz w:val="18"/>
                <w:szCs w:val="18"/>
              </w:rPr>
              <w:t>年 </w:t>
            </w:r>
            <w:r>
              <w:rPr>
                <w:rFonts w:ascii="Times New Roman" w:hAnsi="Times New Roman" w:cs="Times New Roman" w:eastAsia="Times New Roman" w:hint="default"/>
                <w:sz w:val="18"/>
                <w:szCs w:val="18"/>
              </w:rPr>
              <w:t>12  </w:t>
            </w:r>
            <w:r>
              <w:rPr>
                <w:rFonts w:ascii="宋体" w:hAnsi="宋体" w:cs="宋体" w:eastAsia="宋体" w:hint="default"/>
                <w:sz w:val="18"/>
                <w:szCs w:val="18"/>
              </w:rPr>
              <w:t>月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日由</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于汇率因素实际投入 </w:t>
            </w:r>
            <w:r>
              <w:rPr>
                <w:rFonts w:ascii="Times New Roman" w:hAnsi="Times New Roman" w:cs="Times New Roman" w:eastAsia="Times New Roman" w:hint="default"/>
                <w:sz w:val="18"/>
                <w:szCs w:val="18"/>
              </w:rPr>
              <w:t>5,935.84  </w:t>
            </w:r>
            <w:r>
              <w:rPr>
                <w:rFonts w:ascii="宋体" w:hAnsi="宋体" w:cs="宋体" w:eastAsia="宋体" w:hint="default"/>
                <w:sz w:val="18"/>
                <w:szCs w:val="18"/>
              </w:rPr>
              <w:t>万元，该项目已支付完成，该项目节余 </w:t>
            </w:r>
            <w:r>
              <w:rPr>
                <w:rFonts w:ascii="Times New Roman" w:hAnsi="Times New Roman" w:cs="Times New Roman" w:eastAsia="Times New Roman" w:hint="default"/>
                <w:sz w:val="18"/>
                <w:szCs w:val="18"/>
              </w:rPr>
              <w:t>64.16</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万元；</w:t>
            </w:r>
          </w:p>
          <w:p>
            <w:pPr>
              <w:pStyle w:val="TableParagraph"/>
              <w:spacing w:line="240" w:lineRule="auto" w:before="102"/>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、公司计划使用超募资金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10,330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万元，设立全资子公司重庆新媒农信科技有限公司，截止报告期</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末实际投入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8,958.15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万元，该项目均已支付完毕，节余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1,371.85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p>
            <w:pPr>
              <w:pStyle w:val="TableParagraph"/>
              <w:spacing w:line="240" w:lineRule="auto" w:before="101"/>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、公司计划使用超募资金</w:t>
            </w:r>
            <w:r>
              <w:rPr>
                <w:rFonts w:ascii="宋体" w:hAnsi="宋体" w:cs="宋体" w:eastAsia="宋体" w:hint="default"/>
                <w:spacing w:val="-68"/>
                <w:sz w:val="18"/>
                <w:szCs w:val="18"/>
              </w:rPr>
              <w:t> </w:t>
            </w:r>
            <w:r>
              <w:rPr>
                <w:rFonts w:ascii="Times New Roman" w:hAnsi="Times New Roman" w:cs="Times New Roman" w:eastAsia="Times New Roman" w:hint="default"/>
                <w:sz w:val="18"/>
                <w:szCs w:val="18"/>
              </w:rPr>
              <w:t>3,550</w:t>
            </w:r>
            <w:r>
              <w:rPr>
                <w:rFonts w:ascii="Times New Roman" w:hAnsi="Times New Roman" w:cs="Times New Roman" w:eastAsia="Times New Roman" w:hint="default"/>
                <w:spacing w:val="-23"/>
                <w:sz w:val="18"/>
                <w:szCs w:val="18"/>
              </w:rPr>
              <w:t> </w:t>
            </w:r>
            <w:r>
              <w:rPr>
                <w:rFonts w:ascii="宋体" w:hAnsi="宋体" w:cs="宋体" w:eastAsia="宋体" w:hint="default"/>
                <w:sz w:val="18"/>
                <w:szCs w:val="18"/>
              </w:rPr>
              <w:t>万元，设立全资子公司神州泰岳（香港）有限公司用于海外市场销</w:t>
            </w:r>
          </w:p>
          <w:p>
            <w:pPr>
              <w:pStyle w:val="TableParagraph"/>
              <w:spacing w:line="240" w:lineRule="auto" w:before="63"/>
              <w:ind w:left="22" w:right="0"/>
              <w:jc w:val="both"/>
              <w:rPr>
                <w:rFonts w:ascii="Times New Roman" w:hAnsi="Times New Roman" w:cs="Times New Roman" w:eastAsia="Times New Roman" w:hint="default"/>
                <w:sz w:val="18"/>
                <w:szCs w:val="18"/>
              </w:rPr>
            </w:pPr>
            <w:r>
              <w:rPr>
                <w:rFonts w:ascii="宋体" w:hAnsi="宋体" w:cs="宋体" w:eastAsia="宋体" w:hint="default"/>
                <w:spacing w:val="-3"/>
                <w:sz w:val="18"/>
                <w:szCs w:val="18"/>
              </w:rPr>
              <w:t>售网络建设及海外市场开拓，截止报告期末实际投入 </w:t>
            </w:r>
            <w:r>
              <w:rPr>
                <w:rFonts w:ascii="Times New Roman" w:hAnsi="Times New Roman" w:cs="Times New Roman" w:eastAsia="Times New Roman" w:hint="default"/>
                <w:sz w:val="18"/>
                <w:szCs w:val="18"/>
              </w:rPr>
              <w:t>191.58 </w:t>
            </w:r>
            <w:r>
              <w:rPr>
                <w:rFonts w:ascii="宋体" w:hAnsi="宋体" w:cs="宋体" w:eastAsia="宋体" w:hint="default"/>
                <w:spacing w:val="-9"/>
                <w:sz w:val="18"/>
                <w:szCs w:val="18"/>
              </w:rPr>
              <w:t>万元，该项目已支付完毕，节余</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3,358.42</w:t>
            </w:r>
          </w:p>
          <w:p>
            <w:pPr>
              <w:pStyle w:val="TableParagraph"/>
              <w:spacing w:line="240" w:lineRule="auto" w:before="64"/>
              <w:ind w:left="22" w:right="0"/>
              <w:jc w:val="both"/>
              <w:rPr>
                <w:rFonts w:ascii="宋体" w:hAnsi="宋体" w:cs="宋体" w:eastAsia="宋体" w:hint="default"/>
                <w:sz w:val="18"/>
                <w:szCs w:val="18"/>
              </w:rPr>
            </w:pPr>
            <w:r>
              <w:rPr>
                <w:rFonts w:ascii="宋体" w:hAnsi="宋体" w:cs="宋体" w:eastAsia="宋体" w:hint="default"/>
                <w:sz w:val="18"/>
                <w:szCs w:val="18"/>
              </w:rPr>
              <w:t>万元；</w:t>
            </w:r>
          </w:p>
          <w:p>
            <w:pPr>
              <w:pStyle w:val="TableParagraph"/>
              <w:spacing w:line="240" w:lineRule="auto" w:before="115"/>
              <w:ind w:left="2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pacing w:val="-68"/>
                <w:sz w:val="18"/>
                <w:szCs w:val="18"/>
              </w:rPr>
              <w:t>、</w:t>
            </w:r>
            <w:r>
              <w:rPr>
                <w:rFonts w:ascii="宋体" w:hAnsi="宋体" w:cs="宋体" w:eastAsia="宋体" w:hint="default"/>
                <w:sz w:val="18"/>
                <w:szCs w:val="18"/>
              </w:rPr>
              <w:t>公司计划使用超募资金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宋体" w:hAnsi="宋体" w:cs="宋体" w:eastAsia="宋体" w:hint="default"/>
                <w:spacing w:val="-68"/>
                <w:sz w:val="18"/>
                <w:szCs w:val="18"/>
              </w:rPr>
              <w:t>，</w:t>
            </w:r>
            <w:r>
              <w:rPr>
                <w:rFonts w:ascii="宋体" w:hAnsi="宋体" w:cs="宋体" w:eastAsia="宋体" w:hint="default"/>
                <w:sz w:val="18"/>
                <w:szCs w:val="18"/>
              </w:rPr>
              <w:t>全资收购北京广通神州网络技术有限公</w:t>
            </w:r>
            <w:r>
              <w:rPr>
                <w:rFonts w:ascii="宋体" w:hAnsi="宋体" w:cs="宋体" w:eastAsia="宋体" w:hint="default"/>
                <w:spacing w:val="-68"/>
                <w:sz w:val="18"/>
                <w:szCs w:val="18"/>
              </w:rPr>
              <w:t>司</w:t>
            </w:r>
            <w:r>
              <w:rPr>
                <w:rFonts w:ascii="宋体" w:hAnsi="宋体" w:cs="宋体" w:eastAsia="宋体" w:hint="default"/>
                <w:sz w:val="18"/>
                <w:szCs w:val="18"/>
              </w:rPr>
              <w:t>（简称</w:t>
            </w:r>
            <w:r>
              <w:rPr>
                <w:rFonts w:ascii="Times New Roman" w:hAnsi="Times New Roman" w:cs="Times New Roman" w:eastAsia="Times New Roman" w:hint="default"/>
                <w:spacing w:val="-1"/>
                <w:w w:val="100"/>
                <w:sz w:val="18"/>
                <w:szCs w:val="18"/>
              </w:rPr>
              <w:t>“</w:t>
            </w:r>
            <w:r>
              <w:rPr>
                <w:rFonts w:ascii="宋体" w:hAnsi="宋体" w:cs="宋体" w:eastAsia="宋体" w:hint="default"/>
                <w:sz w:val="18"/>
                <w:szCs w:val="18"/>
              </w:rPr>
              <w:t>广通神州</w:t>
            </w:r>
            <w:r>
              <w:rPr>
                <w:rFonts w:ascii="Times New Roman" w:hAnsi="Times New Roman" w:cs="Times New Roman" w:eastAsia="Times New Roman" w:hint="default"/>
                <w:w w:val="100"/>
                <w:sz w:val="18"/>
                <w:szCs w:val="18"/>
              </w:rPr>
              <w:t>”</w:t>
            </w:r>
            <w:r>
              <w:rPr>
                <w:rFonts w:ascii="宋体" w:hAnsi="宋体" w:cs="宋体" w:eastAsia="宋体" w:hint="default"/>
                <w:spacing w:val="-90"/>
                <w:sz w:val="18"/>
                <w:szCs w:val="18"/>
              </w:rPr>
              <w:t>），</w:t>
            </w:r>
            <w:r>
              <w:rPr>
                <w:rFonts w:ascii="宋体" w:hAnsi="宋体" w:cs="宋体" w:eastAsia="宋体" w:hint="default"/>
                <w:sz w:val="18"/>
                <w:szCs w:val="18"/>
              </w:rPr>
            </w:r>
          </w:p>
          <w:p>
            <w:pPr>
              <w:pStyle w:val="TableParagraph"/>
              <w:spacing w:line="300" w:lineRule="auto" w:before="63"/>
              <w:ind w:left="22" w:right="23"/>
              <w:jc w:val="both"/>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年公司与广通神州原股东签订补充协议，广通神州原股东承诺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3"/>
                <w:sz w:val="18"/>
                <w:szCs w:val="18"/>
              </w:rPr>
              <w:t> </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2015 </w:t>
            </w:r>
            <w:r>
              <w:rPr>
                <w:rFonts w:ascii="宋体" w:hAnsi="宋体" w:cs="宋体" w:eastAsia="宋体" w:hint="default"/>
                <w:spacing w:val="-3"/>
                <w:sz w:val="18"/>
                <w:szCs w:val="18"/>
              </w:rPr>
              <w:t>年、</w:t>
            </w:r>
            <w:r>
              <w:rPr>
                <w:rFonts w:ascii="Times New Roman" w:hAnsi="Times New Roman" w:cs="Times New Roman" w:eastAsia="Times New Roman" w:hint="default"/>
                <w:spacing w:val="-3"/>
                <w:sz w:val="18"/>
                <w:szCs w:val="18"/>
              </w:rPr>
              <w:t>2016 </w:t>
            </w:r>
            <w:r>
              <w:rPr>
                <w:rFonts w:ascii="宋体" w:hAnsi="宋体" w:cs="宋体" w:eastAsia="宋体" w:hint="default"/>
                <w:sz w:val="18"/>
                <w:szCs w:val="18"/>
              </w:rPr>
              <w:t>年实现 的归属于广通神州母公司股东的合并净利润分别不低于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万元。截止报 告期末实际投入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3,750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万元，鉴于广通神州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年未完成利润指标，相应的款 项不再支付，节余</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714"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17"/>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截止报告期末，募集资金均已使用完毕，无尚未使用的募集资金。</w:t>
            </w:r>
          </w:p>
        </w:tc>
      </w:tr>
      <w:tr>
        <w:trPr>
          <w:trHeight w:val="1026" w:hRule="exact"/>
        </w:trPr>
        <w:tc>
          <w:tcPr>
            <w:tcW w:w="17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17"/>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募集资金变更项目情况" w:id="52"/>
      <w:bookmarkEnd w:id="52"/>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7"/>
        <w:rPr>
          <w:rFonts w:ascii="宋体" w:hAnsi="宋体" w:cs="宋体" w:eastAsia="宋体" w:hint="default"/>
          <w:b/>
          <w:bCs/>
          <w:sz w:val="32"/>
          <w:szCs w:val="32"/>
        </w:rPr>
      </w:pPr>
    </w:p>
    <w:p>
      <w:pPr>
        <w:pStyle w:val="BodyText"/>
        <w:spacing w:line="489" w:lineRule="auto"/>
        <w:ind w:left="1134" w:right="73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公司报告期不存在募集资金变更项目情况。</w:t>
      </w:r>
    </w:p>
    <w:p>
      <w:pPr>
        <w:spacing w:line="240" w:lineRule="auto" w:before="9"/>
        <w:rPr>
          <w:rFonts w:ascii="宋体" w:hAnsi="宋体" w:cs="宋体" w:eastAsia="宋体" w:hint="default"/>
          <w:sz w:val="16"/>
          <w:szCs w:val="16"/>
        </w:rPr>
      </w:pPr>
    </w:p>
    <w:p>
      <w:pPr>
        <w:pStyle w:val="Heading2"/>
        <w:spacing w:line="240" w:lineRule="auto"/>
        <w:ind w:right="0"/>
        <w:jc w:val="left"/>
        <w:rPr>
          <w:b w:val="0"/>
          <w:bCs w:val="0"/>
        </w:rPr>
      </w:pPr>
      <w:bookmarkStart w:name="六、重大资产和股权出售" w:id="53"/>
      <w:bookmarkEnd w:id="53"/>
      <w:r>
        <w:rPr>
          <w:b w:val="0"/>
          <w:bCs w:val="0"/>
        </w:rPr>
      </w:r>
      <w:r>
        <w:rPr/>
        <w:t>六、重大资产和股权出售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出售重大资产情况" w:id="54"/>
      <w:bookmarkEnd w:id="54"/>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32"/>
          <w:szCs w:val="32"/>
        </w:rPr>
      </w:pPr>
    </w:p>
    <w:p>
      <w:pPr>
        <w:spacing w:line="489" w:lineRule="auto" w:before="0"/>
        <w:ind w:left="113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公司报告期未出售重大资产。</w:t>
      </w:r>
    </w:p>
    <w:p>
      <w:pPr>
        <w:spacing w:after="0" w:line="489"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2、出售重大股权情况" w:id="55"/>
      <w:bookmarkEnd w:id="55"/>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101" w:type="dxa"/>
        <w:tblLayout w:type="fixed"/>
        <w:tblCellMar>
          <w:top w:w="0" w:type="dxa"/>
          <w:left w:w="0" w:type="dxa"/>
          <w:bottom w:w="0" w:type="dxa"/>
          <w:right w:w="0" w:type="dxa"/>
        </w:tblCellMar>
        <w:tblLook w:val="01E0"/>
      </w:tblPr>
      <w:tblGrid>
        <w:gridCol w:w="766"/>
        <w:gridCol w:w="836"/>
        <w:gridCol w:w="674"/>
        <w:gridCol w:w="686"/>
        <w:gridCol w:w="664"/>
        <w:gridCol w:w="675"/>
        <w:gridCol w:w="674"/>
        <w:gridCol w:w="678"/>
        <w:gridCol w:w="676"/>
        <w:gridCol w:w="676"/>
        <w:gridCol w:w="677"/>
        <w:gridCol w:w="676"/>
        <w:gridCol w:w="676"/>
        <w:gridCol w:w="661"/>
      </w:tblGrid>
      <w:tr>
        <w:trPr>
          <w:trHeight w:val="3834" w:hRule="exact"/>
        </w:trPr>
        <w:tc>
          <w:tcPr>
            <w:tcW w:w="7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287" w:right="106" w:hanging="180"/>
              <w:jc w:val="left"/>
              <w:rPr>
                <w:rFonts w:ascii="宋体" w:hAnsi="宋体" w:cs="宋体" w:eastAsia="宋体" w:hint="default"/>
                <w:sz w:val="18"/>
                <w:szCs w:val="18"/>
              </w:rPr>
            </w:pPr>
            <w:r>
              <w:rPr>
                <w:rFonts w:ascii="宋体" w:hAnsi="宋体" w:cs="宋体" w:eastAsia="宋体" w:hint="default"/>
                <w:sz w:val="18"/>
                <w:szCs w:val="18"/>
              </w:rPr>
              <w:t>交易对 方</w:t>
            </w:r>
          </w:p>
        </w:tc>
        <w:tc>
          <w:tcPr>
            <w:tcW w:w="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322" w:right="53" w:hanging="270"/>
              <w:jc w:val="left"/>
              <w:rPr>
                <w:rFonts w:ascii="宋体" w:hAnsi="宋体" w:cs="宋体" w:eastAsia="宋体" w:hint="default"/>
                <w:sz w:val="18"/>
                <w:szCs w:val="18"/>
              </w:rPr>
            </w:pPr>
            <w:r>
              <w:rPr>
                <w:rFonts w:ascii="宋体" w:hAnsi="宋体" w:cs="宋体" w:eastAsia="宋体" w:hint="default"/>
                <w:sz w:val="18"/>
                <w:szCs w:val="18"/>
              </w:rPr>
              <w:t>被出售股 权</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9"/>
              <w:ind w:left="62" w:right="0"/>
              <w:jc w:val="left"/>
              <w:rPr>
                <w:rFonts w:ascii="宋体" w:hAnsi="宋体" w:cs="宋体" w:eastAsia="宋体" w:hint="default"/>
                <w:sz w:val="18"/>
                <w:szCs w:val="18"/>
              </w:rPr>
            </w:pPr>
            <w:r>
              <w:rPr>
                <w:rFonts w:ascii="宋体" w:hAnsi="宋体" w:cs="宋体" w:eastAsia="宋体" w:hint="default"/>
                <w:sz w:val="18"/>
                <w:szCs w:val="18"/>
              </w:rPr>
              <w:t>出售日</w:t>
            </w:r>
          </w:p>
        </w:tc>
        <w:tc>
          <w:tcPr>
            <w:tcW w:w="6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67" w:right="67"/>
              <w:jc w:val="both"/>
              <w:rPr>
                <w:rFonts w:ascii="宋体" w:hAnsi="宋体" w:cs="宋体" w:eastAsia="宋体" w:hint="default"/>
                <w:sz w:val="18"/>
                <w:szCs w:val="18"/>
              </w:rPr>
            </w:pPr>
            <w:r>
              <w:rPr>
                <w:rFonts w:ascii="宋体" w:hAnsi="宋体" w:cs="宋体" w:eastAsia="宋体" w:hint="default"/>
                <w:sz w:val="18"/>
                <w:szCs w:val="18"/>
              </w:rPr>
              <w:t>交易价 格（万 元）</w:t>
            </w:r>
          </w:p>
        </w:tc>
        <w:tc>
          <w:tcPr>
            <w:tcW w:w="6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56" w:right="55"/>
              <w:jc w:val="both"/>
              <w:rPr>
                <w:rFonts w:ascii="宋体" w:hAnsi="宋体" w:cs="宋体" w:eastAsia="宋体" w:hint="default"/>
                <w:sz w:val="18"/>
                <w:szCs w:val="18"/>
              </w:rPr>
            </w:pPr>
            <w:r>
              <w:rPr>
                <w:rFonts w:ascii="宋体" w:hAnsi="宋体" w:cs="宋体" w:eastAsia="宋体" w:hint="default"/>
                <w:sz w:val="18"/>
                <w:szCs w:val="18"/>
              </w:rPr>
              <w:t>本期初 起至出 售日该 股权为 上市公 司贡献 的净利 润（万 元）</w:t>
            </w:r>
          </w:p>
        </w:tc>
        <w:tc>
          <w:tcPr>
            <w:tcW w:w="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61" w:right="63"/>
              <w:jc w:val="both"/>
              <w:rPr>
                <w:rFonts w:ascii="宋体" w:hAnsi="宋体" w:cs="宋体" w:eastAsia="宋体" w:hint="default"/>
                <w:sz w:val="18"/>
                <w:szCs w:val="18"/>
              </w:rPr>
            </w:pPr>
            <w:r>
              <w:rPr>
                <w:rFonts w:ascii="宋体" w:hAnsi="宋体" w:cs="宋体" w:eastAsia="宋体" w:hint="default"/>
                <w:sz w:val="18"/>
                <w:szCs w:val="18"/>
              </w:rPr>
              <w:t>出售对 公司的 影响</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61" w:right="61"/>
              <w:jc w:val="both"/>
              <w:rPr>
                <w:rFonts w:ascii="宋体" w:hAnsi="宋体" w:cs="宋体" w:eastAsia="宋体" w:hint="default"/>
                <w:sz w:val="18"/>
                <w:szCs w:val="18"/>
              </w:rPr>
            </w:pPr>
            <w:r>
              <w:rPr>
                <w:rFonts w:ascii="宋体" w:hAnsi="宋体" w:cs="宋体" w:eastAsia="宋体" w:hint="default"/>
                <w:sz w:val="18"/>
                <w:szCs w:val="18"/>
              </w:rPr>
              <w:t>股权出 售为上 市公司 贡献的 净利润 占净利 润总额 的比例</w:t>
            </w:r>
          </w:p>
        </w:tc>
        <w:tc>
          <w:tcPr>
            <w:tcW w:w="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63" w:right="62"/>
              <w:jc w:val="both"/>
              <w:rPr>
                <w:rFonts w:ascii="宋体" w:hAnsi="宋体" w:cs="宋体" w:eastAsia="宋体" w:hint="default"/>
                <w:sz w:val="18"/>
                <w:szCs w:val="18"/>
              </w:rPr>
            </w:pPr>
            <w:r>
              <w:rPr>
                <w:rFonts w:ascii="宋体" w:hAnsi="宋体" w:cs="宋体" w:eastAsia="宋体" w:hint="default"/>
                <w:sz w:val="18"/>
                <w:szCs w:val="18"/>
              </w:rPr>
              <w:t>股权出 售定价 原则</w:t>
            </w:r>
          </w:p>
        </w:tc>
        <w:tc>
          <w:tcPr>
            <w:tcW w:w="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1"/>
                <w:szCs w:val="21"/>
              </w:rPr>
            </w:pPr>
          </w:p>
          <w:p>
            <w:pPr>
              <w:pStyle w:val="TableParagraph"/>
              <w:spacing w:line="316" w:lineRule="auto"/>
              <w:ind w:left="62" w:right="61"/>
              <w:jc w:val="center"/>
              <w:rPr>
                <w:rFonts w:ascii="宋体" w:hAnsi="宋体" w:cs="宋体" w:eastAsia="宋体" w:hint="default"/>
                <w:sz w:val="18"/>
                <w:szCs w:val="18"/>
              </w:rPr>
            </w:pPr>
            <w:r>
              <w:rPr>
                <w:rFonts w:ascii="宋体" w:hAnsi="宋体" w:cs="宋体" w:eastAsia="宋体" w:hint="default"/>
                <w:sz w:val="18"/>
                <w:szCs w:val="18"/>
              </w:rPr>
              <w:t>是否为 关联交 易</w:t>
            </w:r>
          </w:p>
        </w:tc>
        <w:tc>
          <w:tcPr>
            <w:tcW w:w="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2"/>
              <w:ind w:left="62" w:right="61"/>
              <w:jc w:val="center"/>
              <w:rPr>
                <w:rFonts w:ascii="宋体" w:hAnsi="宋体" w:cs="宋体" w:eastAsia="宋体" w:hint="default"/>
                <w:sz w:val="18"/>
                <w:szCs w:val="18"/>
              </w:rPr>
            </w:pPr>
            <w:r>
              <w:rPr>
                <w:rFonts w:ascii="宋体" w:hAnsi="宋体" w:cs="宋体" w:eastAsia="宋体" w:hint="default"/>
                <w:sz w:val="18"/>
                <w:szCs w:val="18"/>
              </w:rPr>
              <w:t>与交易 对方的 关联关 系</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6" w:lineRule="auto"/>
              <w:ind w:left="62" w:right="62"/>
              <w:jc w:val="center"/>
              <w:rPr>
                <w:rFonts w:ascii="宋体" w:hAnsi="宋体" w:cs="宋体" w:eastAsia="宋体" w:hint="default"/>
                <w:sz w:val="18"/>
                <w:szCs w:val="18"/>
              </w:rPr>
            </w:pPr>
            <w:r>
              <w:rPr>
                <w:rFonts w:ascii="宋体" w:hAnsi="宋体" w:cs="宋体" w:eastAsia="宋体" w:hint="default"/>
                <w:sz w:val="18"/>
                <w:szCs w:val="18"/>
              </w:rPr>
              <w:t>所涉及 的股权 是否已 全部过 户</w:t>
            </w:r>
          </w:p>
        </w:tc>
        <w:tc>
          <w:tcPr>
            <w:tcW w:w="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2" w:right="61"/>
              <w:jc w:val="center"/>
              <w:rPr>
                <w:rFonts w:ascii="宋体" w:hAnsi="宋体" w:cs="宋体" w:eastAsia="宋体" w:hint="default"/>
                <w:sz w:val="18"/>
                <w:szCs w:val="18"/>
              </w:rPr>
            </w:pPr>
            <w:r>
              <w:rPr>
                <w:rFonts w:ascii="宋体" w:hAnsi="宋体" w:cs="宋体" w:eastAsia="宋体" w:hint="default"/>
                <w:sz w:val="18"/>
                <w:szCs w:val="18"/>
              </w:rPr>
              <w:t>是否按 计划如 期实 施，如 未按计 划实 施，应 当说明 原因及 公司已 采取的 措施</w:t>
            </w:r>
          </w:p>
        </w:tc>
        <w:tc>
          <w:tcPr>
            <w:tcW w:w="6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242" w:right="61"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316" w:lineRule="auto"/>
              <w:ind w:left="235" w:right="54" w:hanging="180"/>
              <w:jc w:val="left"/>
              <w:rPr>
                <w:rFonts w:ascii="宋体" w:hAnsi="宋体" w:cs="宋体" w:eastAsia="宋体" w:hint="default"/>
                <w:sz w:val="18"/>
                <w:szCs w:val="18"/>
              </w:rPr>
            </w:pPr>
            <w:r>
              <w:rPr>
                <w:rFonts w:ascii="宋体" w:hAnsi="宋体" w:cs="宋体" w:eastAsia="宋体" w:hint="default"/>
                <w:sz w:val="18"/>
                <w:szCs w:val="18"/>
              </w:rPr>
              <w:t>披露索 引</w:t>
            </w:r>
          </w:p>
        </w:tc>
      </w:tr>
      <w:tr>
        <w:trPr>
          <w:trHeight w:val="1962" w:hRule="exact"/>
        </w:trPr>
        <w:tc>
          <w:tcPr>
            <w:tcW w:w="7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1" w:hanging="10"/>
              <w:jc w:val="center"/>
              <w:rPr>
                <w:rFonts w:ascii="宋体" w:hAnsi="宋体" w:cs="宋体" w:eastAsia="宋体" w:hint="default"/>
                <w:sz w:val="18"/>
                <w:szCs w:val="18"/>
              </w:rPr>
            </w:pPr>
            <w:r>
              <w:rPr>
                <w:rFonts w:ascii="宋体" w:hAnsi="宋体" w:cs="宋体" w:eastAsia="宋体" w:hint="default"/>
                <w:sz w:val="18"/>
                <w:szCs w:val="18"/>
              </w:rPr>
              <w:t>上海润 良泰物 联网科 技合伙 </w:t>
            </w:r>
            <w:r>
              <w:rPr>
                <w:rFonts w:ascii="宋体" w:hAnsi="宋体" w:cs="宋体" w:eastAsia="宋体" w:hint="default"/>
                <w:spacing w:val="-3"/>
                <w:sz w:val="18"/>
                <w:szCs w:val="18"/>
              </w:rPr>
              <w:t>企业（有</w:t>
            </w:r>
            <w:r>
              <w:rPr>
                <w:rFonts w:ascii="宋体" w:hAnsi="宋体" w:cs="宋体" w:eastAsia="宋体" w:hint="default"/>
                <w:sz w:val="18"/>
                <w:szCs w:val="18"/>
              </w:rPr>
              <w:t> 限合伙）</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52" w:right="53"/>
              <w:jc w:val="center"/>
              <w:rPr>
                <w:rFonts w:ascii="宋体" w:hAnsi="宋体" w:cs="宋体" w:eastAsia="宋体" w:hint="default"/>
                <w:sz w:val="18"/>
                <w:szCs w:val="18"/>
              </w:rPr>
            </w:pPr>
            <w:r>
              <w:rPr>
                <w:rFonts w:ascii="宋体" w:hAnsi="宋体" w:cs="宋体" w:eastAsia="宋体" w:hint="default"/>
                <w:sz w:val="18"/>
                <w:szCs w:val="18"/>
              </w:rPr>
              <w:t>北京中清 龙图网络 技术有限 公司</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0" w:right="0"/>
              <w:jc w:val="left"/>
              <w:rPr>
                <w:rFonts w:ascii="Times New Roman" w:hAnsi="Times New Roman" w:cs="Times New Roman" w:eastAsia="Times New Roman" w:hint="default"/>
                <w:sz w:val="18"/>
                <w:szCs w:val="18"/>
              </w:rPr>
            </w:pPr>
            <w:r>
              <w:rPr>
                <w:rFonts w:ascii="Times New Roman"/>
                <w:sz w:val="18"/>
              </w:rPr>
              <w:t>32,300</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1" w:right="63" w:hanging="181"/>
              <w:jc w:val="left"/>
              <w:rPr>
                <w:rFonts w:ascii="宋体" w:hAnsi="宋体" w:cs="宋体" w:eastAsia="宋体" w:hint="default"/>
                <w:sz w:val="18"/>
                <w:szCs w:val="18"/>
              </w:rPr>
            </w:pPr>
            <w:r>
              <w:rPr>
                <w:rFonts w:ascii="宋体" w:hAnsi="宋体" w:cs="宋体" w:eastAsia="宋体" w:hint="default"/>
                <w:sz w:val="18"/>
                <w:szCs w:val="18"/>
              </w:rPr>
              <w:t>影响较 大</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3" w:right="0"/>
              <w:jc w:val="left"/>
              <w:rPr>
                <w:rFonts w:ascii="Times New Roman" w:hAnsi="Times New Roman" w:cs="Times New Roman" w:eastAsia="Times New Roman" w:hint="default"/>
                <w:sz w:val="18"/>
                <w:szCs w:val="18"/>
              </w:rPr>
            </w:pPr>
            <w:r>
              <w:rPr>
                <w:rFonts w:ascii="Times New Roman"/>
                <w:sz w:val="18"/>
              </w:rPr>
              <w:t>24.60%</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43" w:right="62" w:hanging="180"/>
              <w:jc w:val="left"/>
              <w:rPr>
                <w:rFonts w:ascii="宋体" w:hAnsi="宋体" w:cs="宋体" w:eastAsia="宋体" w:hint="default"/>
                <w:sz w:val="18"/>
                <w:szCs w:val="18"/>
              </w:rPr>
            </w:pPr>
            <w:r>
              <w:rPr>
                <w:rFonts w:ascii="宋体" w:hAnsi="宋体" w:cs="宋体" w:eastAsia="宋体" w:hint="default"/>
                <w:sz w:val="18"/>
                <w:szCs w:val="18"/>
              </w:rPr>
              <w:t>市场原 则</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无</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不适用</w:t>
            </w:r>
          </w:p>
        </w:tc>
      </w:tr>
      <w:tr>
        <w:trPr>
          <w:trHeight w:val="1964" w:hRule="exact"/>
        </w:trPr>
        <w:tc>
          <w:tcPr>
            <w:tcW w:w="76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362" w:lineRule="auto"/>
              <w:ind w:left="22" w:right="20" w:firstLine="39"/>
              <w:jc w:val="both"/>
              <w:rPr>
                <w:rFonts w:ascii="Times New Roman" w:hAnsi="Times New Roman" w:cs="Times New Roman" w:eastAsia="Times New Roman" w:hint="default"/>
                <w:sz w:val="18"/>
                <w:szCs w:val="18"/>
              </w:rPr>
            </w:pPr>
            <w:r>
              <w:rPr>
                <w:rFonts w:ascii="Times New Roman"/>
                <w:sz w:val="18"/>
              </w:rPr>
              <w:t>Reliance Industries</w:t>
            </w:r>
            <w:r>
              <w:rPr>
                <w:rFonts w:ascii="Times New Roman"/>
                <w:w w:val="99"/>
                <w:sz w:val="18"/>
              </w:rPr>
              <w:t> </w:t>
            </w:r>
            <w:r>
              <w:rPr>
                <w:rFonts w:ascii="Times New Roman"/>
                <w:sz w:val="18"/>
              </w:rPr>
              <w:t>Limited</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2"/>
              <w:ind w:left="22" w:right="22" w:hanging="2"/>
              <w:jc w:val="center"/>
              <w:rPr>
                <w:rFonts w:ascii="Times New Roman" w:hAnsi="Times New Roman" w:cs="Times New Roman" w:eastAsia="Times New Roman" w:hint="default"/>
                <w:sz w:val="18"/>
                <w:szCs w:val="18"/>
              </w:rPr>
            </w:pPr>
            <w:r>
              <w:rPr>
                <w:rFonts w:ascii="Times New Roman"/>
                <w:sz w:val="18"/>
              </w:rPr>
              <w:t>Reliance Jio</w:t>
            </w:r>
            <w:r>
              <w:rPr>
                <w:rFonts w:ascii="Times New Roman"/>
                <w:w w:val="99"/>
                <w:sz w:val="18"/>
              </w:rPr>
              <w:t> </w:t>
            </w:r>
            <w:r>
              <w:rPr>
                <w:rFonts w:ascii="Times New Roman"/>
                <w:sz w:val="18"/>
              </w:rPr>
              <w:t>Messaging</w:t>
            </w:r>
            <w:r>
              <w:rPr>
                <w:rFonts w:ascii="Times New Roman"/>
                <w:sz w:val="18"/>
              </w:rPr>
              <w:t> Services</w:t>
            </w:r>
            <w:r>
              <w:rPr>
                <w:rFonts w:ascii="Times New Roman"/>
                <w:w w:val="99"/>
                <w:sz w:val="18"/>
              </w:rPr>
              <w:t> </w:t>
            </w:r>
            <w:r>
              <w:rPr>
                <w:rFonts w:ascii="Times New Roman"/>
                <w:sz w:val="18"/>
              </w:rPr>
              <w:t>Private</w:t>
            </w:r>
            <w:r>
              <w:rPr>
                <w:rFonts w:ascii="Times New Roman"/>
                <w:w w:val="99"/>
                <w:sz w:val="18"/>
              </w:rPr>
              <w:t> </w:t>
            </w:r>
            <w:r>
              <w:rPr>
                <w:rFonts w:ascii="Times New Roman"/>
                <w:sz w:val="18"/>
              </w:rPr>
              <w:t>Limited</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right="0"/>
              <w:jc w:val="center"/>
              <w:rPr>
                <w:rFonts w:ascii="宋体" w:hAnsi="宋体" w:cs="宋体" w:eastAsia="宋体" w:hint="default"/>
                <w:sz w:val="18"/>
                <w:szCs w:val="18"/>
              </w:rPr>
            </w:pPr>
            <w:r>
              <w:rPr>
                <w:rFonts w:ascii="宋体" w:hAnsi="宋体" w:cs="宋体" w:eastAsia="宋体" w:hint="default"/>
                <w:sz w:val="18"/>
                <w:szCs w:val="18"/>
              </w:rPr>
              <w:t>日</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2,320.28</w:t>
            </w: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41" w:right="63" w:hanging="181"/>
              <w:jc w:val="left"/>
              <w:rPr>
                <w:rFonts w:ascii="宋体" w:hAnsi="宋体" w:cs="宋体" w:eastAsia="宋体" w:hint="default"/>
                <w:sz w:val="18"/>
                <w:szCs w:val="18"/>
              </w:rPr>
            </w:pPr>
            <w:r>
              <w:rPr>
                <w:rFonts w:ascii="宋体" w:hAnsi="宋体" w:cs="宋体" w:eastAsia="宋体" w:hint="default"/>
                <w:sz w:val="18"/>
                <w:szCs w:val="18"/>
              </w:rPr>
              <w:t>影响较 小</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5.23%</w:t>
            </w: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316" w:lineRule="auto"/>
              <w:ind w:left="243" w:right="62" w:hanging="180"/>
              <w:jc w:val="left"/>
              <w:rPr>
                <w:rFonts w:ascii="宋体" w:hAnsi="宋体" w:cs="宋体" w:eastAsia="宋体" w:hint="default"/>
                <w:sz w:val="18"/>
                <w:szCs w:val="18"/>
              </w:rPr>
            </w:pPr>
            <w:r>
              <w:rPr>
                <w:rFonts w:ascii="宋体" w:hAnsi="宋体" w:cs="宋体" w:eastAsia="宋体" w:hint="default"/>
                <w:sz w:val="18"/>
                <w:szCs w:val="18"/>
              </w:rPr>
              <w:t>市场原 则</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无</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是</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1"/>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七、主要控股参股公司分析" w:id="56"/>
      <w:bookmarkEnd w:id="56"/>
      <w:r>
        <w:rPr>
          <w:b w:val="0"/>
          <w:bCs w:val="0"/>
        </w:rPr>
      </w:r>
      <w:r>
        <w:rPr/>
        <w:t>七、主要控股参股公司分析</w:t>
      </w:r>
      <w:r>
        <w:rPr>
          <w:b w:val="0"/>
          <w:bCs w:val="0"/>
        </w:rPr>
      </w:r>
    </w:p>
    <w:p>
      <w:pPr>
        <w:spacing w:line="240" w:lineRule="auto" w:before="7"/>
        <w:rPr>
          <w:rFonts w:ascii="宋体" w:hAnsi="宋体" w:cs="宋体" w:eastAsia="宋体" w:hint="default"/>
          <w:b/>
          <w:bCs/>
          <w:sz w:val="32"/>
          <w:szCs w:val="32"/>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9"/>
          <w:szCs w:val="19"/>
        </w:rPr>
      </w:pPr>
    </w:p>
    <w:p>
      <w:pPr>
        <w:pStyle w:val="Heading4"/>
        <w:spacing w:line="240" w:lineRule="auto"/>
        <w:ind w:left="1134" w:right="0"/>
        <w:jc w:val="left"/>
        <w:rPr>
          <w:b w:val="0"/>
          <w:bCs w:val="0"/>
        </w:rPr>
      </w:pPr>
      <w:r>
        <w:rPr/>
        <w:t>主要子公司及对公司净利润影响达</w:t>
      </w:r>
      <w:r>
        <w:rPr>
          <w:spacing w:val="-50"/>
        </w:rPr>
        <w:t> </w:t>
      </w:r>
      <w:r>
        <w:rPr>
          <w:rFonts w:ascii="Times New Roman" w:hAnsi="Times New Roman" w:cs="Times New Roman" w:eastAsia="Times New Roman" w:hint="default"/>
        </w:rPr>
        <w:t>10%</w:t>
      </w:r>
      <w:r>
        <w:rPr/>
        <w:t>以上的参股公司情况</w:t>
      </w:r>
      <w:r>
        <w:rPr>
          <w:b w:val="0"/>
          <w:bCs w:val="0"/>
        </w:rPr>
      </w:r>
    </w:p>
    <w:p>
      <w:pPr>
        <w:spacing w:line="240" w:lineRule="auto" w:before="5"/>
        <w:rPr>
          <w:rFonts w:ascii="宋体" w:hAnsi="宋体" w:cs="宋体" w:eastAsia="宋体" w:hint="default"/>
          <w:b/>
          <w:bCs/>
          <w:sz w:val="10"/>
          <w:szCs w:val="10"/>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068" w:type="dxa"/>
        <w:tblLayout w:type="fixed"/>
        <w:tblCellMar>
          <w:top w:w="0" w:type="dxa"/>
          <w:left w:w="0" w:type="dxa"/>
          <w:bottom w:w="0" w:type="dxa"/>
          <w:right w:w="0" w:type="dxa"/>
        </w:tblCellMar>
        <w:tblLook w:val="01E0"/>
      </w:tblPr>
      <w:tblGrid>
        <w:gridCol w:w="819"/>
        <w:gridCol w:w="566"/>
        <w:gridCol w:w="992"/>
        <w:gridCol w:w="1276"/>
        <w:gridCol w:w="1277"/>
        <w:gridCol w:w="1274"/>
        <w:gridCol w:w="1272"/>
        <w:gridCol w:w="1280"/>
        <w:gridCol w:w="1195"/>
      </w:tblGrid>
      <w:tr>
        <w:trPr>
          <w:trHeight w:val="714" w:hRule="exact"/>
        </w:trPr>
        <w:tc>
          <w:tcPr>
            <w:tcW w:w="819" w:type="dxa"/>
            <w:tcBorders>
              <w:top w:val="single" w:sz="4" w:space="0" w:color="000000"/>
              <w:left w:val="single" w:sz="4" w:space="0" w:color="000000"/>
              <w:bottom w:val="single" w:sz="4" w:space="0" w:color="000000"/>
              <w:right w:val="single" w:sz="9" w:space="0" w:color="D2D2D2"/>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8" w:right="96"/>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62"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2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2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4"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1338" w:hRule="exact"/>
        </w:trPr>
        <w:tc>
          <w:tcPr>
            <w:tcW w:w="8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64"/>
              <w:jc w:val="both"/>
              <w:rPr>
                <w:rFonts w:ascii="宋体" w:hAnsi="宋体" w:cs="宋体" w:eastAsia="宋体" w:hint="default"/>
                <w:sz w:val="18"/>
                <w:szCs w:val="18"/>
              </w:rPr>
            </w:pPr>
            <w:r>
              <w:rPr>
                <w:rFonts w:ascii="宋体" w:hAnsi="宋体" w:cs="宋体" w:eastAsia="宋体" w:hint="default"/>
                <w:sz w:val="18"/>
                <w:szCs w:val="18"/>
              </w:rPr>
              <w:t>北京新媒 传信科技 有限公司</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56"/>
              <w:jc w:val="both"/>
              <w:rPr>
                <w:rFonts w:ascii="宋体" w:hAnsi="宋体" w:cs="宋体" w:eastAsia="宋体" w:hint="default"/>
                <w:sz w:val="18"/>
                <w:szCs w:val="18"/>
              </w:rPr>
            </w:pPr>
            <w:r>
              <w:rPr>
                <w:rFonts w:ascii="宋体" w:hAnsi="宋体" w:cs="宋体" w:eastAsia="宋体" w:hint="default"/>
                <w:sz w:val="18"/>
                <w:szCs w:val="18"/>
              </w:rPr>
              <w:t>飞信开发及 运营、融合 通信解决方 案等</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03" w:right="0"/>
              <w:jc w:val="center"/>
              <w:rPr>
                <w:rFonts w:ascii="Times New Roman" w:hAnsi="Times New Roman" w:cs="Times New Roman" w:eastAsia="Times New Roman" w:hint="default"/>
                <w:sz w:val="18"/>
                <w:szCs w:val="18"/>
              </w:rPr>
            </w:pPr>
            <w:r>
              <w:rPr>
                <w:rFonts w:ascii="Times New Roman"/>
                <w:sz w:val="18"/>
              </w:rPr>
              <w:t>790,611,459.14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759,023,545.23</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90" w:right="0"/>
              <w:jc w:val="center"/>
              <w:rPr>
                <w:rFonts w:ascii="Times New Roman" w:hAnsi="Times New Roman" w:cs="Times New Roman" w:eastAsia="Times New Roman" w:hint="default"/>
                <w:sz w:val="18"/>
                <w:szCs w:val="18"/>
              </w:rPr>
            </w:pPr>
            <w:r>
              <w:rPr>
                <w:rFonts w:ascii="Times New Roman"/>
                <w:sz w:val="18"/>
              </w:rPr>
              <w:t>123,540,605.92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-37,260,663.25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-33,737,629.53</w:t>
            </w:r>
          </w:p>
        </w:tc>
      </w:tr>
      <w:tr>
        <w:trPr>
          <w:trHeight w:val="714" w:hRule="exact"/>
        </w:trPr>
        <w:tc>
          <w:tcPr>
            <w:tcW w:w="8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71"/>
              <w:ind w:left="22" w:right="64"/>
              <w:jc w:val="left"/>
              <w:rPr>
                <w:rFonts w:ascii="宋体" w:hAnsi="宋体" w:cs="宋体" w:eastAsia="宋体" w:hint="default"/>
                <w:sz w:val="18"/>
                <w:szCs w:val="18"/>
              </w:rPr>
            </w:pPr>
            <w:r>
              <w:rPr>
                <w:rFonts w:ascii="宋体" w:hAnsi="宋体" w:cs="宋体" w:eastAsia="宋体" w:hint="default"/>
                <w:sz w:val="18"/>
                <w:szCs w:val="18"/>
              </w:rPr>
              <w:t>北京神州 泰岳系统</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56"/>
              <w:jc w:val="left"/>
              <w:rPr>
                <w:rFonts w:ascii="宋体" w:hAnsi="宋体" w:cs="宋体" w:eastAsia="宋体" w:hint="default"/>
                <w:sz w:val="18"/>
                <w:szCs w:val="18"/>
              </w:rPr>
            </w:pPr>
            <w:r>
              <w:rPr>
                <w:rFonts w:ascii="宋体" w:hAnsi="宋体" w:cs="宋体" w:eastAsia="宋体" w:hint="default"/>
                <w:sz w:val="18"/>
                <w:szCs w:val="18"/>
              </w:rPr>
              <w:t>计算机系统 集成业务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7" w:right="0"/>
              <w:jc w:val="center"/>
              <w:rPr>
                <w:rFonts w:ascii="Times New Roman" w:hAnsi="Times New Roman" w:cs="Times New Roman" w:eastAsia="Times New Roman" w:hint="default"/>
                <w:sz w:val="18"/>
                <w:szCs w:val="18"/>
              </w:rPr>
            </w:pPr>
            <w:r>
              <w:rPr>
                <w:rFonts w:ascii="Times New Roman"/>
                <w:sz w:val="18"/>
              </w:rPr>
              <w:t>545,546,480.74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36,921,857.01</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0" w:right="0"/>
              <w:jc w:val="center"/>
              <w:rPr>
                <w:rFonts w:ascii="Times New Roman" w:hAnsi="Times New Roman" w:cs="Times New Roman" w:eastAsia="Times New Roman" w:hint="default"/>
                <w:sz w:val="18"/>
                <w:szCs w:val="18"/>
              </w:rPr>
            </w:pPr>
            <w:r>
              <w:rPr>
                <w:rFonts w:ascii="Times New Roman"/>
                <w:sz w:val="18"/>
              </w:rPr>
              <w:t>251,663,158.76</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-59,821,510.64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 w:right="0"/>
              <w:jc w:val="center"/>
              <w:rPr>
                <w:rFonts w:ascii="Times New Roman" w:hAnsi="Times New Roman" w:cs="Times New Roman" w:eastAsia="Times New Roman" w:hint="default"/>
                <w:sz w:val="18"/>
                <w:szCs w:val="18"/>
              </w:rPr>
            </w:pPr>
            <w:r>
              <w:rPr>
                <w:rFonts w:ascii="Times New Roman"/>
                <w:sz w:val="18"/>
              </w:rPr>
              <w:t>-58,126,631.12</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068" w:type="dxa"/>
        <w:tblLayout w:type="fixed"/>
        <w:tblCellMar>
          <w:top w:w="0" w:type="dxa"/>
          <w:left w:w="0" w:type="dxa"/>
          <w:bottom w:w="0" w:type="dxa"/>
          <w:right w:w="0" w:type="dxa"/>
        </w:tblCellMar>
        <w:tblLook w:val="01E0"/>
      </w:tblPr>
      <w:tblGrid>
        <w:gridCol w:w="807"/>
        <w:gridCol w:w="578"/>
        <w:gridCol w:w="992"/>
        <w:gridCol w:w="1276"/>
        <w:gridCol w:w="1277"/>
        <w:gridCol w:w="1274"/>
        <w:gridCol w:w="1272"/>
        <w:gridCol w:w="1280"/>
        <w:gridCol w:w="1195"/>
      </w:tblGrid>
      <w:tr>
        <w:trPr>
          <w:trHeight w:val="674"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10"/>
              <w:ind w:left="22" w:right="52"/>
              <w:jc w:val="left"/>
              <w:rPr>
                <w:rFonts w:ascii="宋体" w:hAnsi="宋体" w:cs="宋体" w:eastAsia="宋体" w:hint="default"/>
                <w:sz w:val="18"/>
                <w:szCs w:val="18"/>
              </w:rPr>
            </w:pPr>
            <w:r>
              <w:rPr>
                <w:rFonts w:ascii="宋体" w:hAnsi="宋体" w:cs="宋体" w:eastAsia="宋体" w:hint="default"/>
                <w:sz w:val="18"/>
                <w:szCs w:val="18"/>
              </w:rPr>
              <w:t>集成有限 公司</w:t>
            </w:r>
          </w:p>
        </w:tc>
        <w:tc>
          <w:tcPr>
            <w:tcW w:w="578" w:type="dxa"/>
            <w:tcBorders>
              <w:top w:val="single" w:sz="4" w:space="0" w:color="000000"/>
              <w:left w:val="single" w:sz="13" w:space="0" w:color="D9D9D9"/>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1272" w:type="dxa"/>
            <w:tcBorders>
              <w:top w:val="single" w:sz="4" w:space="0" w:color="000000"/>
              <w:left w:val="single" w:sz="4" w:space="0" w:color="000000"/>
              <w:bottom w:val="single" w:sz="4" w:space="0" w:color="000000"/>
              <w:right w:val="single" w:sz="4" w:space="0" w:color="000000"/>
            </w:tcBorders>
          </w:tcPr>
          <w:p>
            <w:pPr/>
          </w:p>
        </w:tc>
        <w:tc>
          <w:tcPr>
            <w:tcW w:w="1280"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天津壳木 软件有限 责任公司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3" w:right="56"/>
              <w:jc w:val="both"/>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War&amp;Ord</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er</w:t>
            </w:r>
            <w:r>
              <w:rPr>
                <w:rFonts w:ascii="宋体" w:hAnsi="宋体" w:cs="宋体" w:eastAsia="宋体" w:hint="default"/>
                <w:sz w:val="18"/>
                <w:szCs w:val="18"/>
              </w:rPr>
              <w:t>》等手游</w:t>
            </w:r>
            <w:r>
              <w:rPr>
                <w:rFonts w:ascii="宋体" w:hAnsi="宋体" w:cs="宋体" w:eastAsia="宋体" w:hint="default"/>
                <w:w w:val="99"/>
                <w:sz w:val="18"/>
                <w:szCs w:val="18"/>
              </w:rPr>
              <w:t> </w:t>
            </w:r>
            <w:r>
              <w:rPr>
                <w:rFonts w:ascii="宋体" w:hAnsi="宋体" w:cs="宋体" w:eastAsia="宋体" w:hint="default"/>
                <w:sz w:val="18"/>
                <w:szCs w:val="18"/>
              </w:rPr>
              <w:t>开发与运营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685,300,236.39</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593,091,064.67</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584,650,782.32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130,132,617.56</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130,639,137.23</w:t>
            </w:r>
          </w:p>
        </w:tc>
      </w:tr>
      <w:tr>
        <w:trPr>
          <w:trHeight w:val="1026"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神州泰岳</w:t>
            </w:r>
          </w:p>
          <w:p>
            <w:pPr>
              <w:pStyle w:val="TableParagraph"/>
              <w:spacing w:line="319" w:lineRule="auto" w:before="75"/>
              <w:ind w:left="22" w:right="52"/>
              <w:jc w:val="left"/>
              <w:rPr>
                <w:rFonts w:ascii="宋体" w:hAnsi="宋体" w:cs="宋体" w:eastAsia="宋体" w:hint="default"/>
                <w:sz w:val="18"/>
                <w:szCs w:val="18"/>
              </w:rPr>
            </w:pPr>
            <w:r>
              <w:rPr>
                <w:rFonts w:ascii="宋体" w:hAnsi="宋体" w:cs="宋体" w:eastAsia="宋体" w:hint="default"/>
                <w:sz w:val="18"/>
                <w:szCs w:val="18"/>
              </w:rPr>
              <w:t>（香港） 有限公司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56"/>
              <w:jc w:val="left"/>
              <w:rPr>
                <w:rFonts w:ascii="宋体" w:hAnsi="宋体" w:cs="宋体" w:eastAsia="宋体" w:hint="default"/>
                <w:sz w:val="18"/>
                <w:szCs w:val="18"/>
              </w:rPr>
            </w:pPr>
            <w:r>
              <w:rPr>
                <w:rFonts w:ascii="宋体" w:hAnsi="宋体" w:cs="宋体" w:eastAsia="宋体" w:hint="default"/>
                <w:sz w:val="18"/>
                <w:szCs w:val="18"/>
              </w:rPr>
              <w:t>海外业务投 资平台</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万（港币）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123,110,348.22</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-60,790,154.36</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55,864,300.62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-17,697,807.85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-13,243,950.09</w:t>
            </w:r>
          </w:p>
        </w:tc>
      </w:tr>
      <w:tr>
        <w:trPr>
          <w:trHeight w:val="1026"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北京神州 祥升软件 有限公司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56"/>
              <w:jc w:val="left"/>
              <w:rPr>
                <w:rFonts w:ascii="宋体" w:hAnsi="宋体" w:cs="宋体" w:eastAsia="宋体" w:hint="default"/>
                <w:sz w:val="18"/>
                <w:szCs w:val="18"/>
              </w:rPr>
            </w:pPr>
            <w:r>
              <w:rPr>
                <w:rFonts w:ascii="宋体" w:hAnsi="宋体" w:cs="宋体" w:eastAsia="宋体" w:hint="default"/>
                <w:sz w:val="18"/>
                <w:szCs w:val="18"/>
              </w:rPr>
              <w:t>职前教育类 产品</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144,722,189.34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127,582,852.66</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91,375,552.25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45,412,518.13</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39,875,975.10</w:t>
            </w:r>
          </w:p>
        </w:tc>
      </w:tr>
      <w:tr>
        <w:trPr>
          <w:trHeight w:val="1338"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北京神州 泰岳信息 安全技术 有限公司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 w:right="56"/>
              <w:jc w:val="left"/>
              <w:rPr>
                <w:rFonts w:ascii="宋体" w:hAnsi="宋体" w:cs="宋体" w:eastAsia="宋体" w:hint="default"/>
                <w:sz w:val="18"/>
                <w:szCs w:val="18"/>
              </w:rPr>
            </w:pPr>
            <w:r>
              <w:rPr>
                <w:rFonts w:ascii="宋体" w:hAnsi="宋体" w:cs="宋体" w:eastAsia="宋体" w:hint="default"/>
                <w:sz w:val="18"/>
                <w:szCs w:val="18"/>
              </w:rPr>
              <w:t>信息安全解 决方案</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115,625,509.10</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112,341,440.91</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22,395,113.35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18,223,660.25</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17,038,481.82</w:t>
            </w:r>
          </w:p>
        </w:tc>
      </w:tr>
      <w:tr>
        <w:trPr>
          <w:trHeight w:val="1650"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奇点新源 国际技术 开发（北 京）有限 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3" w:right="56"/>
              <w:jc w:val="left"/>
              <w:rPr>
                <w:rFonts w:ascii="宋体" w:hAnsi="宋体" w:cs="宋体" w:eastAsia="宋体" w:hint="default"/>
                <w:sz w:val="18"/>
                <w:szCs w:val="18"/>
              </w:rPr>
            </w:pPr>
            <w:r>
              <w:rPr>
                <w:rFonts w:ascii="宋体" w:hAnsi="宋体" w:cs="宋体" w:eastAsia="宋体" w:hint="default"/>
                <w:sz w:val="18"/>
                <w:szCs w:val="18"/>
              </w:rPr>
              <w:t>物联网通信 及安防系统</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10,989,010.00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78,955,786.55</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-24,466,357.79</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13,993,285.35</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-19,325,501.68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-19,338,154.58</w:t>
            </w:r>
          </w:p>
        </w:tc>
      </w:tr>
      <w:tr>
        <w:trPr>
          <w:trHeight w:val="1338"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北京神州 泰岳智能 数据技术 有限公司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大数据</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90,000,000.00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49,733,153.74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23,186,980.23</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50,545,385.73</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-11,479,933.80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-11,480,333.62</w:t>
            </w:r>
          </w:p>
        </w:tc>
      </w:tr>
      <w:tr>
        <w:trPr>
          <w:trHeight w:val="1026"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重庆新媒 农信科技 有限公司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子公 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3" w:right="56"/>
              <w:jc w:val="left"/>
              <w:rPr>
                <w:rFonts w:ascii="宋体" w:hAnsi="宋体" w:cs="宋体" w:eastAsia="宋体" w:hint="default"/>
                <w:sz w:val="18"/>
                <w:szCs w:val="18"/>
              </w:rPr>
            </w:pPr>
            <w:r>
              <w:rPr>
                <w:rFonts w:ascii="宋体" w:hAnsi="宋体" w:cs="宋体" w:eastAsia="宋体" w:hint="default"/>
                <w:sz w:val="18"/>
                <w:szCs w:val="18"/>
              </w:rPr>
              <w:t>移动互联网 运维支撑</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103,300,000.00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170,542,798.37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166,318,228.21</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10,742,631.32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-18,318,930.62</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-20,000,022.72</w:t>
            </w:r>
          </w:p>
        </w:tc>
      </w:tr>
      <w:tr>
        <w:trPr>
          <w:trHeight w:val="1338"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both"/>
              <w:rPr>
                <w:rFonts w:ascii="宋体" w:hAnsi="宋体" w:cs="宋体" w:eastAsia="宋体" w:hint="default"/>
                <w:sz w:val="18"/>
                <w:szCs w:val="18"/>
              </w:rPr>
            </w:pPr>
            <w:r>
              <w:rPr>
                <w:rFonts w:ascii="宋体" w:hAnsi="宋体" w:cs="宋体" w:eastAsia="宋体" w:hint="default"/>
                <w:sz w:val="18"/>
                <w:szCs w:val="18"/>
              </w:rPr>
              <w:t>大连华信 计算机技 术股份有 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73"/>
              <w:jc w:val="left"/>
              <w:rPr>
                <w:rFonts w:ascii="宋体" w:hAnsi="宋体" w:cs="宋体" w:eastAsia="宋体" w:hint="default"/>
                <w:sz w:val="18"/>
                <w:szCs w:val="18"/>
              </w:rPr>
            </w:pPr>
            <w:r>
              <w:rPr>
                <w:rFonts w:ascii="宋体" w:hAnsi="宋体" w:cs="宋体" w:eastAsia="宋体" w:hint="default"/>
                <w:sz w:val="18"/>
                <w:szCs w:val="18"/>
              </w:rPr>
              <w:t>参股 公司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 w:right="56"/>
              <w:jc w:val="left"/>
              <w:rPr>
                <w:rFonts w:ascii="宋体" w:hAnsi="宋体" w:cs="宋体" w:eastAsia="宋体" w:hint="default"/>
                <w:sz w:val="18"/>
                <w:szCs w:val="18"/>
              </w:rPr>
            </w:pPr>
            <w:r>
              <w:rPr>
                <w:rFonts w:ascii="宋体" w:hAnsi="宋体" w:cs="宋体" w:eastAsia="宋体" w:hint="default"/>
                <w:sz w:val="18"/>
                <w:szCs w:val="18"/>
              </w:rPr>
              <w:t>软件服务外 包</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134,705,000.00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2,433,409,150.5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1,386,218,329.9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2,041,113,909.5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173,637,982.49</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189,863,986.52</w:t>
            </w:r>
          </w:p>
        </w:tc>
      </w:tr>
      <w:tr>
        <w:trPr>
          <w:trHeight w:val="714" w:hRule="exact"/>
        </w:trPr>
        <w:tc>
          <w:tcPr>
            <w:tcW w:w="8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蓝鸥科技 有限公司</w:t>
            </w:r>
          </w:p>
        </w:tc>
        <w:tc>
          <w:tcPr>
            <w:tcW w:w="578" w:type="dxa"/>
            <w:tcBorders>
              <w:top w:val="single" w:sz="4" w:space="0" w:color="000000"/>
              <w:left w:val="single" w:sz="13" w:space="0" w:color="D9D9D9"/>
              <w:bottom w:val="single" w:sz="4" w:space="0" w:color="000000"/>
              <w:right w:val="single" w:sz="4" w:space="0" w:color="000000"/>
            </w:tcBorders>
          </w:tcPr>
          <w:p>
            <w:pPr>
              <w:pStyle w:val="TableParagraph"/>
              <w:spacing w:line="316" w:lineRule="auto" w:before="51"/>
              <w:ind w:left="22" w:right="173"/>
              <w:jc w:val="left"/>
              <w:rPr>
                <w:rFonts w:ascii="宋体" w:hAnsi="宋体" w:cs="宋体" w:eastAsia="宋体" w:hint="default"/>
                <w:sz w:val="18"/>
                <w:szCs w:val="18"/>
              </w:rPr>
            </w:pPr>
            <w:r>
              <w:rPr>
                <w:rFonts w:ascii="宋体" w:hAnsi="宋体" w:cs="宋体" w:eastAsia="宋体" w:hint="default"/>
                <w:sz w:val="18"/>
                <w:szCs w:val="18"/>
              </w:rPr>
              <w:t>参股 公司</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职业教育</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66,666,700.00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128,685,721.87</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97,293,883.84</w:t>
            </w:r>
          </w:p>
        </w:tc>
        <w:tc>
          <w:tcPr>
            <w:tcW w:w="12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54,054,325.42</w:t>
            </w:r>
          </w:p>
        </w:tc>
        <w:tc>
          <w:tcPr>
            <w:tcW w:w="1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-65,061,504.58</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-65,112,670.08</w:t>
            </w: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报告期内取得和处置子公司的情况</w:t>
      </w:r>
      <w:r>
        <w:rPr>
          <w:b w:val="0"/>
          <w:bCs w:val="0"/>
        </w:rPr>
      </w:r>
    </w:p>
    <w:p>
      <w:pPr>
        <w:spacing w:line="240" w:lineRule="auto" w:before="12"/>
        <w:rPr>
          <w:rFonts w:ascii="宋体" w:hAnsi="宋体" w:cs="宋体" w:eastAsia="宋体" w:hint="default"/>
          <w:b/>
          <w:bCs/>
          <w:sz w:val="14"/>
          <w:szCs w:val="14"/>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6"/>
          <w:szCs w:val="6"/>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0"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与团队共同成立公司，助推物联网业务 快速发展。</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与团队共同成立公司，助推物联网业务 快速发展。</w:t>
            </w:r>
          </w:p>
        </w:tc>
      </w:tr>
    </w:tbl>
    <w:p>
      <w:pPr>
        <w:spacing w:after="0" w:line="319"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与团队共同成立公司，助推物联网业务 快速发展。</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与团队共同成立公司，助推物联网业务 快速发展。</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横琴神州泰奇互动科技有限公司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神州泰岳（香港）发展有限公司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新设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北京觉莲软件有限公司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清算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转让全部股权</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对公司整体业绩影响较小</w:t>
            </w: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主要控股参股公司情况说明</w:t>
      </w:r>
      <w:r>
        <w:rPr>
          <w:b w:val="0"/>
          <w:bCs w:val="0"/>
        </w:rPr>
      </w:r>
    </w:p>
    <w:p>
      <w:pPr>
        <w:spacing w:line="240" w:lineRule="auto" w:before="10"/>
        <w:rPr>
          <w:rFonts w:ascii="宋体" w:hAnsi="宋体" w:cs="宋体" w:eastAsia="宋体" w:hint="default"/>
          <w:b/>
          <w:bCs/>
          <w:sz w:val="20"/>
          <w:szCs w:val="20"/>
        </w:rPr>
      </w:pPr>
    </w:p>
    <w:p>
      <w:pPr>
        <w:pStyle w:val="BodyText"/>
        <w:spacing w:line="458" w:lineRule="auto"/>
        <w:ind w:right="1123"/>
        <w:jc w:val="left"/>
      </w:pPr>
      <w:r>
        <w:rPr>
          <w:rFonts w:ascii="Times New Roman" w:hAnsi="Times New Roman" w:cs="Times New Roman" w:eastAsia="Times New Roman" w:hint="default"/>
        </w:rPr>
        <w:t>1</w:t>
      </w:r>
      <w:r>
        <w:rPr/>
        <w:t>、公司受大客户业务管理体系调整等因素影响，北京新媒传信科技有限公司相关业务签约和项目验收延迟，导致本期业绩 较上期有所下滑；但截止报告期末，未确认合同较期初有所增长。 </w:t>
      </w:r>
      <w:r>
        <w:rPr>
          <w:rFonts w:ascii="Times New Roman" w:hAnsi="Times New Roman" w:cs="Times New Roman" w:eastAsia="Times New Roman" w:hint="default"/>
        </w:rPr>
        <w:t>2</w:t>
      </w:r>
      <w:r>
        <w:rPr/>
        <w:t>、结合公司战略调整，北京神州泰岳系统集成有限公司相关业务大规模缩减，毛利大幅下降，同时受应收款项计提减值准 备的影响，导致本期业绩较上期有所下滑。</w:t>
      </w:r>
    </w:p>
    <w:p>
      <w:pPr>
        <w:pStyle w:val="BodyText"/>
        <w:spacing w:line="451" w:lineRule="auto" w:before="110"/>
        <w:ind w:right="1186"/>
        <w:jc w:val="left"/>
      </w:pPr>
      <w:r>
        <w:rPr>
          <w:rFonts w:ascii="Times New Roman" w:hAnsi="Times New Roman" w:cs="Times New Roman" w:eastAsia="Times New Roman" w:hint="default"/>
        </w:rPr>
        <w:t>3</w:t>
      </w:r>
      <w:r>
        <w:rPr/>
        <w:t>、报告期内，天津壳木软件有限责任公司主要运营的游戏为《</w:t>
      </w:r>
      <w:r>
        <w:rPr>
          <w:rFonts w:ascii="Times New Roman" w:hAnsi="Times New Roman" w:cs="Times New Roman" w:eastAsia="Times New Roman" w:hint="default"/>
        </w:rPr>
        <w:t>War and</w:t>
      </w:r>
      <w:r>
        <w:rPr>
          <w:rFonts w:ascii="Times New Roman" w:hAnsi="Times New Roman" w:cs="Times New Roman" w:eastAsia="Times New Roman" w:hint="default"/>
          <w:spacing w:val="-2"/>
        </w:rPr>
        <w:t> </w:t>
      </w:r>
      <w:r>
        <w:rPr>
          <w:rFonts w:ascii="Times New Roman" w:hAnsi="Times New Roman" w:cs="Times New Roman" w:eastAsia="Times New Roman" w:hint="default"/>
        </w:rPr>
        <w:t>Order</w:t>
      </w:r>
      <w:r>
        <w:rPr/>
        <w:t>》</w:t>
      </w:r>
      <w:r>
        <w:rPr>
          <w:rFonts w:ascii="Times New Roman" w:hAnsi="Times New Roman" w:cs="Times New Roman" w:eastAsia="Times New Roman" w:hint="default"/>
        </w:rPr>
        <w:t>(</w:t>
      </w:r>
      <w:r>
        <w:rPr/>
        <w:t>战火与秩序</w:t>
      </w:r>
      <w:r>
        <w:rPr>
          <w:rFonts w:ascii="Times New Roman" w:hAnsi="Times New Roman" w:cs="Times New Roman" w:eastAsia="Times New Roman" w:hint="default"/>
        </w:rPr>
        <w:t>)</w:t>
      </w:r>
      <w:r>
        <w:rPr/>
        <w:t>，该游戏进入第二年，公司加 大推广力度，推广费较上期大幅上升，导致本期业绩较上期有所下滑。</w:t>
      </w:r>
    </w:p>
    <w:p>
      <w:pPr>
        <w:spacing w:line="240" w:lineRule="auto" w:before="12"/>
        <w:rPr>
          <w:rFonts w:ascii="宋体" w:hAnsi="宋体" w:cs="宋体" w:eastAsia="宋体" w:hint="default"/>
          <w:sz w:val="18"/>
          <w:szCs w:val="18"/>
        </w:rPr>
      </w:pPr>
    </w:p>
    <w:p>
      <w:pPr>
        <w:pStyle w:val="Heading2"/>
        <w:spacing w:line="240" w:lineRule="auto"/>
        <w:ind w:left="1133" w:right="0"/>
        <w:jc w:val="left"/>
        <w:rPr>
          <w:b w:val="0"/>
          <w:bCs w:val="0"/>
        </w:rPr>
      </w:pPr>
      <w:bookmarkStart w:name="八、公司控制的结构化主体情况" w:id="57"/>
      <w:bookmarkEnd w:id="57"/>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九、公司未来发展的展望" w:id="58"/>
      <w:bookmarkEnd w:id="58"/>
      <w:r>
        <w:rPr>
          <w:b w:val="0"/>
          <w:bCs w:val="0"/>
        </w:rPr>
      </w:r>
      <w:r>
        <w:rPr/>
        <w:t>九、公司未来发展的展望</w:t>
      </w:r>
      <w:r>
        <w:rPr>
          <w:b w:val="0"/>
          <w:bCs w:val="0"/>
        </w:rPr>
      </w:r>
    </w:p>
    <w:p>
      <w:pPr>
        <w:spacing w:line="240" w:lineRule="auto" w:before="6"/>
        <w:rPr>
          <w:rFonts w:ascii="宋体" w:hAnsi="宋体" w:cs="宋体" w:eastAsia="宋体" w:hint="default"/>
          <w:b/>
          <w:bCs/>
          <w:sz w:val="32"/>
          <w:szCs w:val="32"/>
        </w:rPr>
      </w:pPr>
    </w:p>
    <w:p>
      <w:pPr>
        <w:pStyle w:val="Heading4"/>
        <w:spacing w:line="240" w:lineRule="auto"/>
        <w:ind w:right="0"/>
        <w:jc w:val="left"/>
        <w:rPr>
          <w:b w:val="0"/>
          <w:bCs w:val="0"/>
        </w:rPr>
      </w:pPr>
      <w:r>
        <w:rPr/>
        <w:t>（一）公司所处行业的发展趋势</w:t>
      </w:r>
      <w:r>
        <w:rPr>
          <w:b w:val="0"/>
          <w:bCs w:val="0"/>
        </w:rPr>
      </w:r>
    </w:p>
    <w:p>
      <w:pPr>
        <w:spacing w:line="240" w:lineRule="auto" w:before="10"/>
        <w:rPr>
          <w:rFonts w:ascii="宋体" w:hAnsi="宋体" w:cs="宋体" w:eastAsia="宋体" w:hint="default"/>
          <w:b/>
          <w:bCs/>
          <w:sz w:val="17"/>
          <w:szCs w:val="17"/>
        </w:rPr>
      </w:pPr>
    </w:p>
    <w:p>
      <w:pPr>
        <w:spacing w:line="470" w:lineRule="auto" w:before="0"/>
        <w:ind w:left="1133" w:right="1033" w:firstLine="36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2017</w:t>
      </w:r>
      <w:r>
        <w:rPr>
          <w:rFonts w:ascii="宋体" w:hAnsi="宋体" w:cs="宋体" w:eastAsia="宋体" w:hint="default"/>
          <w:spacing w:val="-4"/>
          <w:sz w:val="18"/>
          <w:szCs w:val="18"/>
        </w:rPr>
        <w:t>年</w:t>
      </w:r>
      <w:r>
        <w:rPr>
          <w:rFonts w:ascii="Times New Roman" w:hAnsi="Times New Roman" w:cs="Times New Roman" w:eastAsia="Times New Roman" w:hint="default"/>
          <w:spacing w:val="-4"/>
          <w:sz w:val="18"/>
          <w:szCs w:val="18"/>
        </w:rPr>
        <w:t>12</w:t>
      </w:r>
      <w:r>
        <w:rPr>
          <w:rFonts w:ascii="宋体" w:hAnsi="宋体" w:cs="宋体" w:eastAsia="宋体" w:hint="default"/>
          <w:spacing w:val="-4"/>
          <w:sz w:val="18"/>
          <w:szCs w:val="18"/>
        </w:rPr>
        <w:t>月中共中央政治局第二次集体学习时，国家主席习近平发表重要讲话强调，集中优势资源突破大数据核心技术，</w:t>
      </w:r>
      <w:r>
        <w:rPr>
          <w:rFonts w:ascii="宋体" w:hAnsi="宋体" w:cs="宋体" w:eastAsia="宋体" w:hint="default"/>
          <w:sz w:val="18"/>
          <w:szCs w:val="18"/>
        </w:rPr>
        <w:t> </w:t>
      </w:r>
      <w:r>
        <w:rPr>
          <w:rFonts w:ascii="宋体" w:hAnsi="宋体" w:cs="宋体" w:eastAsia="宋体" w:hint="default"/>
          <w:spacing w:val="-2"/>
          <w:sz w:val="18"/>
          <w:szCs w:val="18"/>
        </w:rPr>
        <w:t>加快构建自主可控的大数据产业链、价值链和生态系统。要加快构建高速、移动、安全、泛在的新一代信息基础设施，统筹</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规划政务数据资源和社会数据资源，完善基础信息资源和重要领域信息资源建设，形成万物互联、人机交互、天地一体的网</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络空间。要加快发展数字经济，推动实体经济和数字经济融合发展，推动互联网、大数据、人工智能同实体经济深度融合，</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继续做好信息化和工业化深度融合这篇大文章，推动制造业加速向数字化、网络化、智能化发展。要深入实施工业互联网创</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新发展战略，系统推进工业互联网基础设施和数据资源管理体系建设，发挥数据的基础资源作用和创新引擎作用，加快形成</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以创新为主要引领和支撑的数字经济。</w:t>
      </w:r>
      <w:r>
        <w:rPr>
          <w:rFonts w:ascii="宋体" w:hAnsi="宋体" w:cs="宋体" w:eastAsia="宋体" w:hint="default"/>
          <w:b/>
          <w:bCs/>
          <w:sz w:val="18"/>
          <w:szCs w:val="18"/>
        </w:rPr>
        <w:t>主席讲话里的内容，与公司整体战略布局的各大板块息息相关。公司自</w:t>
      </w:r>
      <w:r>
        <w:rPr>
          <w:rFonts w:ascii="Times New Roman" w:hAnsi="Times New Roman" w:cs="Times New Roman" w:eastAsia="Times New Roman" w:hint="default"/>
          <w:b/>
          <w:bCs/>
          <w:sz w:val="18"/>
          <w:szCs w:val="18"/>
        </w:rPr>
        <w:t>2016</w:t>
      </w:r>
      <w:r>
        <w:rPr>
          <w:rFonts w:ascii="宋体" w:hAnsi="宋体" w:cs="宋体" w:eastAsia="宋体" w:hint="default"/>
          <w:b/>
          <w:bCs/>
          <w:sz w:val="18"/>
          <w:szCs w:val="18"/>
        </w:rPr>
        <w:t>年正式</w:t>
      </w:r>
      <w:r>
        <w:rPr>
          <w:rFonts w:ascii="宋体" w:hAnsi="宋体" w:cs="宋体" w:eastAsia="宋体" w:hint="default"/>
          <w:b/>
          <w:bCs/>
          <w:spacing w:val="-23"/>
          <w:sz w:val="18"/>
          <w:szCs w:val="18"/>
        </w:rPr>
        <w:t> </w:t>
      </w:r>
      <w:r>
        <w:rPr>
          <w:rFonts w:ascii="宋体" w:hAnsi="宋体" w:cs="宋体" w:eastAsia="宋体" w:hint="default"/>
          <w:b/>
          <w:bCs/>
          <w:sz w:val="18"/>
          <w:szCs w:val="18"/>
        </w:rPr>
        <w:t>发布</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运营管理、手机游戏、人工智能大数据、物联网通信技术四大业务板块的战略布局，从原有的</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运营管理向未来</w:t>
      </w:r>
      <w:r>
        <w:rPr>
          <w:rFonts w:ascii="宋体" w:hAnsi="宋体" w:cs="宋体" w:eastAsia="宋体" w:hint="default"/>
          <w:sz w:val="18"/>
          <w:szCs w:val="18"/>
        </w:rPr>
      </w:r>
    </w:p>
    <w:p>
      <w:pPr>
        <w:spacing w:after="0" w:line="47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4"/>
        <w:rPr>
          <w:rFonts w:ascii="宋体" w:hAnsi="宋体" w:cs="宋体" w:eastAsia="宋体" w:hint="default"/>
          <w:b/>
          <w:bCs/>
          <w:sz w:val="11"/>
          <w:szCs w:val="11"/>
        </w:rPr>
      </w:pPr>
    </w:p>
    <w:p>
      <w:pPr>
        <w:spacing w:line="477" w:lineRule="auto" w:before="44"/>
        <w:ind w:left="1493" w:right="0" w:hanging="360"/>
        <w:jc w:val="left"/>
        <w:rPr>
          <w:rFonts w:ascii="宋体" w:hAnsi="宋体" w:cs="宋体" w:eastAsia="宋体" w:hint="default"/>
          <w:sz w:val="18"/>
          <w:szCs w:val="18"/>
        </w:rPr>
      </w:pPr>
      <w:r>
        <w:rPr>
          <w:rFonts w:ascii="宋体" w:hAnsi="宋体" w:cs="宋体" w:eastAsia="宋体" w:hint="default"/>
          <w:b/>
          <w:bCs/>
          <w:sz w:val="18"/>
          <w:szCs w:val="18"/>
        </w:rPr>
        <w:t>最具前景的人工智能与物联网等创新业务领域快速转型。</w:t>
      </w:r>
      <w:r>
        <w:rPr>
          <w:rFonts w:ascii="宋体" w:hAnsi="宋体" w:cs="宋体" w:eastAsia="宋体" w:hint="default"/>
          <w:b/>
          <w:bCs/>
          <w:w w:val="99"/>
          <w:sz w:val="18"/>
          <w:szCs w:val="18"/>
        </w:rPr>
        <w:t> </w:t>
      </w:r>
      <w:r>
        <w:rPr>
          <w:rFonts w:ascii="宋体" w:hAnsi="宋体" w:cs="宋体" w:eastAsia="宋体" w:hint="default"/>
          <w:sz w:val="18"/>
          <w:szCs w:val="18"/>
        </w:rPr>
        <w:t>全球知名的</w:t>
      </w:r>
      <w:r>
        <w:rPr>
          <w:rFonts w:ascii="Times New Roman" w:hAnsi="Times New Roman" w:cs="Times New Roman" w:eastAsia="Times New Roman" w:hint="default"/>
          <w:sz w:val="18"/>
          <w:szCs w:val="18"/>
        </w:rPr>
        <w:t>IT</w:t>
      </w:r>
      <w:r>
        <w:rPr>
          <w:rFonts w:ascii="宋体" w:hAnsi="宋体" w:cs="宋体" w:eastAsia="宋体" w:hint="default"/>
          <w:sz w:val="18"/>
          <w:szCs w:val="18"/>
        </w:rPr>
        <w:t>研究与顾问咨询公司</w:t>
      </w:r>
      <w:r>
        <w:rPr>
          <w:rFonts w:ascii="Times New Roman" w:hAnsi="Times New Roman" w:cs="Times New Roman" w:eastAsia="Times New Roman" w:hint="default"/>
          <w:sz w:val="18"/>
          <w:szCs w:val="18"/>
        </w:rPr>
        <w:t>Gartner</w:t>
      </w:r>
      <w:r>
        <w:rPr>
          <w:rFonts w:ascii="宋体" w:hAnsi="宋体" w:cs="宋体" w:eastAsia="宋体" w:hint="default"/>
          <w:sz w:val="18"/>
          <w:szCs w:val="18"/>
        </w:rPr>
        <w:t>在最新的</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月份的报告中分析阐述，人工智能（</w:t>
      </w:r>
      <w:r>
        <w:rPr>
          <w:rFonts w:ascii="Times New Roman" w:hAnsi="Times New Roman" w:cs="Times New Roman" w:eastAsia="Times New Roman" w:hint="default"/>
          <w:sz w:val="18"/>
          <w:szCs w:val="18"/>
        </w:rPr>
        <w:t>AI</w:t>
      </w:r>
      <w:r>
        <w:rPr>
          <w:rFonts w:ascii="宋体" w:hAnsi="宋体" w:cs="宋体" w:eastAsia="宋体" w:hint="default"/>
          <w:sz w:val="18"/>
          <w:szCs w:val="18"/>
        </w:rPr>
        <w:t>）和物联网（</w:t>
      </w:r>
      <w:r>
        <w:rPr>
          <w:rFonts w:ascii="Times New Roman" w:hAnsi="Times New Roman" w:cs="Times New Roman" w:eastAsia="Times New Roman" w:hint="default"/>
          <w:sz w:val="18"/>
          <w:szCs w:val="18"/>
        </w:rPr>
        <w:t>IOT</w:t>
      </w:r>
      <w:r>
        <w:rPr>
          <w:rFonts w:ascii="宋体" w:hAnsi="宋体" w:cs="宋体" w:eastAsia="宋体" w:hint="default"/>
          <w:sz w:val="18"/>
          <w:szCs w:val="18"/>
        </w:rPr>
        <w:t>）</w:t>
      </w:r>
    </w:p>
    <w:p>
      <w:pPr>
        <w:pStyle w:val="BodyText"/>
        <w:spacing w:line="456" w:lineRule="auto" w:before="21"/>
        <w:ind w:left="1134" w:right="1130"/>
        <w:jc w:val="both"/>
      </w:pPr>
      <w:r>
        <w:rPr>
          <w:spacing w:val="-1"/>
        </w:rPr>
        <w:t>这两个技术领域本身具有天然的互补性，相互发掘并激发彼此的价值和潜能。机器学习需要大量数据进行学习和训练，</w:t>
      </w:r>
      <w:r>
        <w:rPr>
          <w:rFonts w:ascii="Times New Roman" w:hAnsi="Times New Roman" w:cs="Times New Roman" w:eastAsia="Times New Roman" w:hint="default"/>
          <w:spacing w:val="-1"/>
        </w:rPr>
        <w:t>IOT</w:t>
      </w:r>
      <w:r>
        <w:rPr>
          <w:rFonts w:ascii="Times New Roman" w:hAnsi="Times New Roman" w:cs="Times New Roman" w:eastAsia="Times New Roman" w:hint="default"/>
          <w:spacing w:val="-12"/>
        </w:rPr>
        <w:t> </w:t>
      </w:r>
      <w:r>
        <w:rPr>
          <w:spacing w:val="-2"/>
        </w:rPr>
        <w:t>终端所生成的呈指数级增长的数据能够帮助机器学习算法不断改进，从而使其变得更加准确。与此同时，通过机器学习实现</w:t>
      </w:r>
      <w:r>
        <w:rPr>
          <w:spacing w:val="-65"/>
        </w:rPr>
        <w:t> </w:t>
      </w:r>
      <w:r>
        <w:rPr>
          <w:spacing w:val="-65"/>
        </w:rPr>
      </w:r>
      <w:r>
        <w:rPr/>
        <w:t>的预测分析对于许多</w:t>
      </w:r>
      <w:r>
        <w:rPr>
          <w:rFonts w:ascii="Times New Roman" w:hAnsi="Times New Roman" w:cs="Times New Roman" w:eastAsia="Times New Roman" w:hint="default"/>
        </w:rPr>
        <w:t>IOT</w:t>
      </w:r>
      <w:r>
        <w:rPr/>
        <w:t>应用场景都非常有价值。机器学习帮助</w:t>
      </w:r>
      <w:r>
        <w:rPr>
          <w:rFonts w:ascii="Times New Roman" w:hAnsi="Times New Roman" w:cs="Times New Roman" w:eastAsia="Times New Roman" w:hint="default"/>
        </w:rPr>
        <w:t>IOT</w:t>
      </w:r>
      <w:r>
        <w:rPr/>
        <w:t>真正实现智能化，完成从数据采集、传输和分析到决策</w:t>
      </w:r>
      <w:r>
        <w:rPr>
          <w:spacing w:val="-57"/>
        </w:rPr>
        <w:t> </w:t>
      </w:r>
      <w:r>
        <w:rPr>
          <w:spacing w:val="-57"/>
        </w:rPr>
      </w:r>
      <w:r>
        <w:rPr/>
        <w:t>执行的闭环，让</w:t>
      </w:r>
      <w:r>
        <w:rPr>
          <w:rFonts w:ascii="Times New Roman" w:hAnsi="Times New Roman" w:cs="Times New Roman" w:eastAsia="Times New Roman" w:hint="default"/>
        </w:rPr>
        <w:t>IOT</w:t>
      </w:r>
      <w:r>
        <w:rPr/>
        <w:t>变得更有价值。拟定</w:t>
      </w:r>
      <w:r>
        <w:rPr>
          <w:rFonts w:ascii="Times New Roman" w:hAnsi="Times New Roman" w:cs="Times New Roman" w:eastAsia="Times New Roman" w:hint="default"/>
        </w:rPr>
        <w:t>“</w:t>
      </w:r>
      <w:r>
        <w:rPr/>
        <w:t>人工智能</w:t>
      </w:r>
      <w:r>
        <w:rPr>
          <w:rFonts w:ascii="Times New Roman" w:hAnsi="Times New Roman" w:cs="Times New Roman" w:eastAsia="Times New Roman" w:hint="default"/>
        </w:rPr>
        <w:t>+</w:t>
      </w:r>
      <w:r>
        <w:rPr/>
        <w:t>物联网</w:t>
      </w:r>
      <w:r>
        <w:rPr>
          <w:rFonts w:ascii="Times New Roman" w:hAnsi="Times New Roman" w:cs="Times New Roman" w:eastAsia="Times New Roman" w:hint="default"/>
        </w:rPr>
        <w:t>”</w:t>
      </w:r>
      <w:r>
        <w:rPr/>
        <w:t>（</w:t>
      </w:r>
      <w:r>
        <w:rPr>
          <w:rFonts w:ascii="Times New Roman" w:hAnsi="Times New Roman" w:cs="Times New Roman" w:eastAsia="Times New Roman" w:hint="default"/>
        </w:rPr>
        <w:t>AIOT</w:t>
      </w:r>
      <w:r>
        <w:rPr/>
        <w:t>）战略将帮助企业加速数字化进程。如何将机器学习与</w:t>
      </w:r>
      <w:r>
        <w:rPr>
          <w:spacing w:val="-87"/>
        </w:rPr>
        <w:t> </w:t>
      </w:r>
      <w:r>
        <w:rPr>
          <w:spacing w:val="-87"/>
        </w:rPr>
      </w:r>
      <w:r>
        <w:rPr>
          <w:spacing w:val="-1"/>
        </w:rPr>
        <w:t>现有的业务应用相结合以创造价值，还处于摸索的阶段。尤其在将</w:t>
      </w:r>
      <w:r>
        <w:rPr>
          <w:rFonts w:ascii="Times New Roman" w:hAnsi="Times New Roman" w:cs="Times New Roman" w:eastAsia="Times New Roman" w:hint="default"/>
          <w:spacing w:val="-1"/>
        </w:rPr>
        <w:t>IOT</w:t>
      </w:r>
      <w:r>
        <w:rPr>
          <w:spacing w:val="-1"/>
        </w:rPr>
        <w:t>与机器学习结合方面，目前还处于数据收集和分析阶</w:t>
      </w:r>
      <w:r>
        <w:rPr>
          <w:spacing w:val="-59"/>
        </w:rPr>
        <w:t> </w:t>
      </w:r>
      <w:r>
        <w:rPr>
          <w:spacing w:val="-59"/>
        </w:rPr>
      </w:r>
      <w:r>
        <w:rPr/>
        <w:t>段，更进一步的智能化、自动化、数字化仍有待实践。</w:t>
      </w:r>
    </w:p>
    <w:p>
      <w:pPr>
        <w:pStyle w:val="Heading4"/>
        <w:spacing w:line="451" w:lineRule="auto" w:before="70"/>
        <w:ind w:left="1133" w:right="1129" w:firstLine="361"/>
        <w:jc w:val="both"/>
        <w:rPr>
          <w:b w:val="0"/>
          <w:bCs w:val="0"/>
        </w:rPr>
      </w:pPr>
      <w:r>
        <w:rPr>
          <w:w w:val="95"/>
        </w:rPr>
        <w:t>神州泰岳自</w:t>
      </w:r>
      <w:r>
        <w:rPr>
          <w:rFonts w:ascii="Times New Roman" w:hAnsi="Times New Roman" w:cs="Times New Roman" w:eastAsia="Times New Roman" w:hint="default"/>
          <w:w w:val="95"/>
        </w:rPr>
        <w:t>2011</w:t>
      </w:r>
      <w:r>
        <w:rPr>
          <w:w w:val="95"/>
        </w:rPr>
        <w:t>年起，一直专注于物联网通信技术的探索研究，形成了</w:t>
      </w:r>
      <w:r>
        <w:rPr>
          <w:rFonts w:ascii="Times New Roman" w:hAnsi="Times New Roman" w:cs="Times New Roman" w:eastAsia="Times New Roman" w:hint="default"/>
          <w:w w:val="95"/>
        </w:rPr>
        <w:t>“</w:t>
      </w:r>
      <w:r>
        <w:rPr>
          <w:w w:val="95"/>
        </w:rPr>
        <w:t>满足工业环境特殊要求的无线通信、定位、安</w:t>
      </w:r>
      <w:r>
        <w:rPr>
          <w:spacing w:val="-17"/>
          <w:w w:val="95"/>
        </w:rPr>
        <w:t> </w:t>
      </w:r>
      <w:r>
        <w:rPr>
          <w:spacing w:val="-17"/>
          <w:w w:val="95"/>
        </w:rPr>
      </w:r>
      <w:r>
        <w:rPr>
          <w:w w:val="95"/>
        </w:rPr>
        <w:t>防、传输、感知</w:t>
      </w:r>
      <w:r>
        <w:rPr>
          <w:rFonts w:ascii="Times New Roman" w:hAnsi="Times New Roman" w:cs="Times New Roman" w:eastAsia="Times New Roman" w:hint="default"/>
          <w:w w:val="95"/>
        </w:rPr>
        <w:t>”</w:t>
      </w:r>
      <w:r>
        <w:rPr>
          <w:w w:val="95"/>
        </w:rPr>
        <w:t>的专利体系，在此领域拥有全球领先的技术研发能力，并且不断进行技术创新。公司自</w:t>
      </w:r>
      <w:r>
        <w:rPr>
          <w:rFonts w:ascii="Times New Roman" w:hAnsi="Times New Roman" w:cs="Times New Roman" w:eastAsia="Times New Roman" w:hint="default"/>
          <w:w w:val="95"/>
        </w:rPr>
        <w:t>2013</w:t>
      </w:r>
      <w:r>
        <w:rPr>
          <w:w w:val="95"/>
        </w:rPr>
        <w:t>年开始从事大</w:t>
      </w:r>
      <w:r>
        <w:rPr>
          <w:spacing w:val="19"/>
          <w:w w:val="95"/>
        </w:rPr>
        <w:t> </w:t>
      </w:r>
      <w:r>
        <w:rPr>
          <w:spacing w:val="19"/>
          <w:w w:val="95"/>
        </w:rPr>
      </w:r>
      <w:r>
        <w:rPr/>
        <w:t>数据业务，</w:t>
      </w:r>
      <w:r>
        <w:rPr>
          <w:rFonts w:ascii="Times New Roman" w:hAnsi="Times New Roman" w:cs="Times New Roman" w:eastAsia="Times New Roman" w:hint="default"/>
        </w:rPr>
        <w:t>2016</w:t>
      </w:r>
      <w:r>
        <w:rPr/>
        <w:t>年全面进军</w:t>
      </w:r>
      <w:r>
        <w:rPr>
          <w:rFonts w:ascii="Times New Roman" w:hAnsi="Times New Roman" w:cs="Times New Roman" w:eastAsia="Times New Roman" w:hint="default"/>
        </w:rPr>
        <w:t>AI</w:t>
      </w:r>
      <w:r>
        <w:rPr/>
        <w:t>领域。无论是物联网还是人工智能，公司均具有前瞻性的布局，并作为未来的支柱业务大规</w:t>
      </w:r>
      <w:r>
        <w:rPr>
          <w:spacing w:val="-55"/>
        </w:rPr>
        <w:t> </w:t>
      </w:r>
      <w:r>
        <w:rPr>
          <w:spacing w:val="-55"/>
        </w:rPr>
      </w:r>
      <w:r>
        <w:rPr/>
        <w:t>模的投入。随着公司两大业务板块各自技术研发、产品应用、市场拓展的日趋成熟，</w:t>
      </w:r>
      <w:r>
        <w:rPr>
          <w:rFonts w:ascii="Times New Roman" w:hAnsi="Times New Roman" w:cs="Times New Roman" w:eastAsia="Times New Roman" w:hint="default"/>
        </w:rPr>
        <w:t>AI</w:t>
      </w:r>
      <w:r>
        <w:rPr/>
        <w:t>与物联网业务也产生越来越多的功</w:t>
      </w:r>
      <w:r>
        <w:rPr>
          <w:spacing w:val="-60"/>
        </w:rPr>
        <w:t> </w:t>
      </w:r>
      <w:r>
        <w:rPr>
          <w:spacing w:val="-60"/>
        </w:rPr>
      </w:r>
      <w:r>
        <w:rPr/>
        <w:t>能融合，公司将联动各领域优势，进而在人工智能与物联网市场拓展过程中充分体现公司创新战略的先进性和前瞻性。</w:t>
      </w:r>
      <w:r>
        <w:rPr>
          <w:b w:val="0"/>
          <w:bCs w:val="0"/>
        </w:rPr>
      </w:r>
    </w:p>
    <w:p>
      <w:pPr>
        <w:spacing w:line="240" w:lineRule="auto" w:before="0"/>
        <w:rPr>
          <w:rFonts w:ascii="宋体" w:hAnsi="宋体" w:cs="宋体" w:eastAsia="宋体" w:hint="default"/>
          <w:b/>
          <w:bCs/>
          <w:sz w:val="18"/>
          <w:szCs w:val="18"/>
        </w:rPr>
      </w:pPr>
    </w:p>
    <w:p>
      <w:pPr>
        <w:spacing w:line="240" w:lineRule="auto" w:before="6"/>
        <w:rPr>
          <w:rFonts w:ascii="宋体" w:hAnsi="宋体" w:cs="宋体" w:eastAsia="宋体" w:hint="default"/>
          <w:b/>
          <w:bCs/>
          <w:sz w:val="23"/>
          <w:szCs w:val="23"/>
        </w:rPr>
      </w:pPr>
    </w:p>
    <w:p>
      <w:pPr>
        <w:pStyle w:val="Heading4"/>
        <w:spacing w:line="240" w:lineRule="auto"/>
        <w:ind w:right="0"/>
        <w:jc w:val="left"/>
        <w:rPr>
          <w:b w:val="0"/>
          <w:bCs w:val="0"/>
        </w:rPr>
      </w:pPr>
      <w:r>
        <w:rPr>
          <w:rFonts w:ascii="Times New Roman" w:hAnsi="Times New Roman" w:cs="Times New Roman" w:eastAsia="Times New Roman" w:hint="default"/>
        </w:rPr>
        <w:t>1</w:t>
      </w:r>
      <w:r>
        <w:rPr/>
        <w:t>、人工智能行业发展趋势</w:t>
      </w:r>
      <w:r>
        <w:rPr>
          <w:b w:val="0"/>
          <w:bCs w:val="0"/>
        </w:rPr>
      </w:r>
    </w:p>
    <w:p>
      <w:pPr>
        <w:spacing w:line="240" w:lineRule="auto" w:before="10"/>
        <w:rPr>
          <w:rFonts w:ascii="宋体" w:hAnsi="宋体" w:cs="宋体" w:eastAsia="宋体" w:hint="default"/>
          <w:b/>
          <w:bCs/>
          <w:sz w:val="16"/>
          <w:szCs w:val="16"/>
        </w:rPr>
      </w:pPr>
    </w:p>
    <w:p>
      <w:pPr>
        <w:pStyle w:val="BodyText"/>
        <w:spacing w:line="460" w:lineRule="auto"/>
        <w:ind w:right="0" w:firstLine="36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月，国务院总理李克强发表</w:t>
      </w:r>
      <w:r>
        <w:rPr>
          <w:rFonts w:ascii="Times New Roman" w:hAnsi="Times New Roman" w:cs="Times New Roman" w:eastAsia="Times New Roman" w:hint="default"/>
        </w:rPr>
        <w:t>2017</w:t>
      </w:r>
      <w:r>
        <w:rPr/>
        <w:t>政府工作报告，其中</w:t>
      </w:r>
      <w:r>
        <w:rPr>
          <w:rFonts w:ascii="Times New Roman" w:hAnsi="Times New Roman" w:cs="Times New Roman" w:eastAsia="Times New Roman" w:hint="default"/>
        </w:rPr>
        <w:t>“</w:t>
      </w:r>
      <w:r>
        <w:rPr/>
        <w:t>人工智能</w:t>
      </w:r>
      <w:r>
        <w:rPr>
          <w:rFonts w:ascii="Times New Roman" w:hAnsi="Times New Roman" w:cs="Times New Roman" w:eastAsia="Times New Roman" w:hint="default"/>
        </w:rPr>
        <w:t>”</w:t>
      </w:r>
      <w:r>
        <w:rPr/>
        <w:t>首次被写入了全国政府工作报告。</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 </w:t>
      </w:r>
      <w:r>
        <w:rPr>
          <w:spacing w:val="-2"/>
        </w:rPr>
        <w:t>国务院印发《新一代人工智能发展规划》，提出了面向</w:t>
      </w:r>
      <w:r>
        <w:rPr>
          <w:rFonts w:ascii="Times New Roman" w:hAnsi="Times New Roman" w:cs="Times New Roman" w:eastAsia="Times New Roman" w:hint="default"/>
          <w:spacing w:val="-2"/>
        </w:rPr>
        <w:t>2030</w:t>
      </w:r>
      <w:r>
        <w:rPr>
          <w:spacing w:val="-2"/>
        </w:rPr>
        <w:t>年我国新一代人工智能发展的指导思想、战略目标、重点任务和</w:t>
      </w:r>
      <w:r>
        <w:rPr>
          <w:spacing w:val="-62"/>
        </w:rPr>
        <w:t> </w:t>
      </w:r>
      <w:r>
        <w:rPr>
          <w:spacing w:val="-62"/>
        </w:rPr>
      </w:r>
      <w:r>
        <w:rPr>
          <w:spacing w:val="-2"/>
        </w:rPr>
        <w:t>保障措施，部署构筑我国人工智能发展的先发优势，加快建设创新型国家和世界科技强国。其中阐述了人工智能是引领未来</w:t>
      </w:r>
      <w:r>
        <w:rPr>
          <w:spacing w:val="-66"/>
        </w:rPr>
        <w:t> </w:t>
      </w:r>
      <w:r>
        <w:rPr>
          <w:spacing w:val="-66"/>
        </w:rPr>
      </w:r>
      <w:r>
        <w:rPr>
          <w:spacing w:val="-2"/>
        </w:rPr>
        <w:t>的战略性技术，是新一轮产业变革的核心驱动力，特别是在移动互联网、大数据、超级计算、传感网、脑科学等新理论新技</w:t>
      </w:r>
      <w:r>
        <w:rPr>
          <w:spacing w:val="-67"/>
        </w:rPr>
        <w:t> </w:t>
      </w:r>
      <w:r>
        <w:rPr>
          <w:spacing w:val="-67"/>
        </w:rPr>
      </w:r>
      <w:r>
        <w:rPr/>
        <w:t>术以及经济社会发展强烈需求的共同驱动下，人工智能将加速发展。《规划》明确指出中国人工智能产业战略目标到</w:t>
      </w:r>
      <w:r>
        <w:rPr>
          <w:rFonts w:ascii="Times New Roman" w:hAnsi="Times New Roman" w:cs="Times New Roman" w:eastAsia="Times New Roman" w:hint="default"/>
        </w:rPr>
        <w:t>2020</w:t>
      </w:r>
      <w:r>
        <w:rPr>
          <w:rFonts w:ascii="Times New Roman" w:hAnsi="Times New Roman" w:cs="Times New Roman" w:eastAsia="Times New Roman" w:hint="default"/>
          <w:spacing w:val="2"/>
        </w:rPr>
        <w:t> </w:t>
      </w:r>
      <w:r>
        <w:rPr>
          <w:rFonts w:ascii="Times New Roman" w:hAnsi="Times New Roman" w:cs="Times New Roman" w:eastAsia="Times New Roman" w:hint="default"/>
          <w:spacing w:val="2"/>
        </w:rPr>
      </w:r>
      <w:r>
        <w:rPr/>
        <w:t>年、</w:t>
      </w:r>
      <w:r>
        <w:rPr>
          <w:rFonts w:ascii="Times New Roman" w:hAnsi="Times New Roman" w:cs="Times New Roman" w:eastAsia="Times New Roman" w:hint="default"/>
        </w:rPr>
        <w:t>2025</w:t>
      </w:r>
      <w:r>
        <w:rPr/>
        <w:t>年、</w:t>
      </w:r>
      <w:r>
        <w:rPr>
          <w:rFonts w:ascii="Times New Roman" w:hAnsi="Times New Roman" w:cs="Times New Roman" w:eastAsia="Times New Roman" w:hint="default"/>
        </w:rPr>
        <w:t>2030</w:t>
      </w:r>
      <w:r>
        <w:rPr/>
        <w:t>年人工智能核心产业规模超过</w:t>
      </w:r>
      <w:r>
        <w:rPr>
          <w:rFonts w:ascii="Times New Roman" w:hAnsi="Times New Roman" w:cs="Times New Roman" w:eastAsia="Times New Roman" w:hint="default"/>
        </w:rPr>
        <w:t>1500</w:t>
      </w:r>
      <w:r>
        <w:rPr/>
        <w:t>亿元、</w:t>
      </w:r>
      <w:r>
        <w:rPr>
          <w:rFonts w:ascii="Times New Roman" w:hAnsi="Times New Roman" w:cs="Times New Roman" w:eastAsia="Times New Roman" w:hint="default"/>
        </w:rPr>
        <w:t>4000</w:t>
      </w:r>
      <w:r>
        <w:rPr/>
        <w:t>亿元和</w:t>
      </w:r>
      <w:r>
        <w:rPr>
          <w:rFonts w:ascii="Times New Roman" w:hAnsi="Times New Roman" w:cs="Times New Roman" w:eastAsia="Times New Roman" w:hint="default"/>
        </w:rPr>
        <w:t>1</w:t>
      </w:r>
      <w:r>
        <w:rPr/>
        <w:t>万亿元。</w:t>
      </w:r>
    </w:p>
    <w:p>
      <w:pPr>
        <w:pStyle w:val="Heading4"/>
        <w:spacing w:line="477" w:lineRule="auto" w:before="35"/>
        <w:ind w:left="1133" w:right="1130" w:firstLine="361"/>
        <w:jc w:val="both"/>
        <w:rPr>
          <w:rFonts w:ascii="宋体" w:hAnsi="宋体" w:cs="宋体" w:eastAsia="宋体" w:hint="default"/>
          <w:b w:val="0"/>
          <w:bCs w:val="0"/>
        </w:rPr>
      </w:pPr>
      <w:r>
        <w:rPr>
          <w:spacing w:val="-2"/>
          <w:w w:val="95"/>
        </w:rPr>
        <w:t>《规划》中所提到的概念除人工智能外，移动互联网、大数据、传感网均是公司多年从事并大力拓展的创新业务领域，</w:t>
      </w:r>
      <w:r>
        <w:rPr>
          <w:spacing w:val="-3"/>
          <w:w w:val="95"/>
        </w:rPr>
        <w:t> </w:t>
      </w:r>
      <w:r>
        <w:rPr>
          <w:spacing w:val="-3"/>
          <w:w w:val="95"/>
        </w:rPr>
      </w:r>
      <w:r>
        <w:rPr>
          <w:spacing w:val="-1"/>
          <w:w w:val="95"/>
        </w:rPr>
        <w:t>公司人工智能业务的开展建立在深厚的</w:t>
      </w:r>
      <w:r>
        <w:rPr>
          <w:rFonts w:ascii="Times New Roman" w:hAnsi="Times New Roman" w:cs="Times New Roman" w:eastAsia="Times New Roman" w:hint="default"/>
          <w:spacing w:val="-1"/>
          <w:w w:val="95"/>
        </w:rPr>
        <w:t>ICT</w:t>
      </w:r>
      <w:r>
        <w:rPr>
          <w:spacing w:val="-1"/>
          <w:w w:val="95"/>
        </w:rPr>
        <w:t>运营经验的基础上，拥有先天的技术研发、项目实施、市场拓展优势。</w:t>
      </w:r>
      <w:r>
        <w:rPr>
          <w:rFonts w:ascii="宋体" w:hAnsi="宋体" w:cs="宋体" w:eastAsia="宋体" w:hint="default"/>
          <w:b w:val="0"/>
          <w:bCs w:val="0"/>
          <w:spacing w:val="-1"/>
          <w:w w:val="95"/>
        </w:rPr>
        <w:t>同时，在</w:t>
      </w:r>
    </w:p>
    <w:p>
      <w:pPr>
        <w:pStyle w:val="BodyText"/>
        <w:spacing w:line="451" w:lineRule="auto" w:before="21"/>
        <w:ind w:right="1132"/>
        <w:jc w:val="both"/>
      </w:pPr>
      <w:r>
        <w:rPr/>
        <w:t>《规划》第三部分重点任务中明确提出：</w:t>
      </w:r>
      <w:r>
        <w:rPr>
          <w:rFonts w:ascii="Times New Roman" w:hAnsi="Times New Roman" w:cs="Times New Roman" w:eastAsia="Times New Roman" w:hint="default"/>
        </w:rPr>
        <w:t>“</w:t>
      </w:r>
      <w:r>
        <w:rPr/>
        <w:t>自然语言处理技术，重点突破自然语言的语法逻辑、字符概念表征和深度语义分</w:t>
      </w:r>
      <w:r>
        <w:rPr>
          <w:spacing w:val="-76"/>
        </w:rPr>
        <w:t> </w:t>
      </w:r>
      <w:r>
        <w:rPr>
          <w:spacing w:val="-76"/>
        </w:rPr>
      </w:r>
      <w:r>
        <w:rPr/>
        <w:t>析的核心技术，推进人类与机器的有效沟通和自由交互，实现多风格多语言多领域的自然语言智能理解和自动生成。</w:t>
      </w:r>
      <w:r>
        <w:rPr>
          <w:rFonts w:ascii="Times New Roman" w:hAnsi="Times New Roman" w:cs="Times New Roman" w:eastAsia="Times New Roman" w:hint="default"/>
        </w:rPr>
        <w:t>”</w:t>
      </w:r>
      <w:r>
        <w:rPr/>
        <w:t>自然</w:t>
      </w:r>
      <w:r>
        <w:rPr>
          <w:spacing w:val="-77"/>
        </w:rPr>
        <w:t> </w:t>
      </w:r>
      <w:r>
        <w:rPr/>
        <w:t>语言处理（</w:t>
      </w:r>
      <w:r>
        <w:rPr>
          <w:rFonts w:ascii="Times New Roman" w:hAnsi="Times New Roman" w:cs="Times New Roman" w:eastAsia="Times New Roman" w:hint="default"/>
        </w:rPr>
        <w:t>NLP</w:t>
      </w:r>
      <w:r>
        <w:rPr/>
        <w:t>）语义分析即公司</w:t>
      </w:r>
      <w:r>
        <w:rPr>
          <w:rFonts w:ascii="Times New Roman" w:hAnsi="Times New Roman" w:cs="Times New Roman" w:eastAsia="Times New Roman" w:hint="default"/>
        </w:rPr>
        <w:t>AI</w:t>
      </w:r>
      <w:r>
        <w:rPr/>
        <w:t>业务的核心所在。</w:t>
      </w:r>
    </w:p>
    <w:p>
      <w:pPr>
        <w:pStyle w:val="BodyText"/>
        <w:spacing w:line="451" w:lineRule="auto" w:before="43"/>
        <w:ind w:right="1132" w:firstLine="360"/>
        <w:jc w:val="both"/>
      </w:pPr>
      <w:r>
        <w:rPr/>
        <w:t>全球知名的</w:t>
      </w:r>
      <w:r>
        <w:rPr>
          <w:rFonts w:ascii="Times New Roman" w:hAnsi="Times New Roman" w:cs="Times New Roman" w:eastAsia="Times New Roman" w:hint="default"/>
        </w:rPr>
        <w:t>IT</w:t>
      </w:r>
      <w:r>
        <w:rPr/>
        <w:t>研究与顾问咨询公司</w:t>
      </w:r>
      <w:r>
        <w:rPr>
          <w:rFonts w:ascii="Times New Roman" w:hAnsi="Times New Roman" w:cs="Times New Roman" w:eastAsia="Times New Roman" w:hint="default"/>
        </w:rPr>
        <w:t>Gartner</w:t>
      </w:r>
      <w:r>
        <w:rPr/>
        <w:t>认为，过去的</w:t>
      </w:r>
      <w:r>
        <w:rPr>
          <w:rFonts w:ascii="Times New Roman" w:hAnsi="Times New Roman" w:cs="Times New Roman" w:eastAsia="Times New Roman" w:hint="default"/>
        </w:rPr>
        <w:t>2017</w:t>
      </w:r>
      <w:r>
        <w:rPr/>
        <w:t>年，人工智能（</w:t>
      </w:r>
      <w:r>
        <w:rPr>
          <w:rFonts w:ascii="Times New Roman" w:hAnsi="Times New Roman" w:cs="Times New Roman" w:eastAsia="Times New Roman" w:hint="default"/>
        </w:rPr>
        <w:t>AI</w:t>
      </w:r>
      <w:r>
        <w:rPr/>
        <w:t>）是中国最热门的话题，涉及到各行各 业，但</w:t>
      </w:r>
      <w:r>
        <w:rPr>
          <w:rFonts w:ascii="Times New Roman" w:hAnsi="Times New Roman" w:cs="Times New Roman" w:eastAsia="Times New Roman" w:hint="default"/>
        </w:rPr>
        <w:t>AI</w:t>
      </w:r>
      <w:r>
        <w:rPr>
          <w:rFonts w:ascii="Times New Roman" w:hAnsi="Times New Roman" w:cs="Times New Roman" w:eastAsia="Times New Roman" w:hint="default"/>
          <w:spacing w:val="29"/>
        </w:rPr>
        <w:t> </w:t>
      </w:r>
      <w:r>
        <w:rPr/>
        <w:t>市场在中国还处于起步阶段，多数</w:t>
      </w:r>
      <w:r>
        <w:rPr>
          <w:rFonts w:ascii="Times New Roman" w:hAnsi="Times New Roman" w:cs="Times New Roman" w:eastAsia="Times New Roman" w:hint="default"/>
        </w:rPr>
        <w:t>AI</w:t>
      </w:r>
      <w:r>
        <w:rPr/>
        <w:t>技术还处在印证实质业务效益的阶段，且较多应用针对终端消费者，面对企 </w:t>
      </w:r>
      <w:r>
        <w:rPr>
          <w:spacing w:val="-2"/>
        </w:rPr>
        <w:t>业的场景仍然有限。</w:t>
      </w:r>
      <w:r>
        <w:rPr>
          <w:rFonts w:ascii="Times New Roman" w:hAnsi="Times New Roman" w:cs="Times New Roman" w:eastAsia="Times New Roman" w:hint="default"/>
          <w:spacing w:val="-2"/>
        </w:rPr>
        <w:t>2017</w:t>
      </w:r>
      <w:r>
        <w:rPr>
          <w:spacing w:val="-2"/>
        </w:rPr>
        <w:t>年，中国市场掀起了一股</w:t>
      </w:r>
      <w:r>
        <w:rPr>
          <w:rFonts w:ascii="Times New Roman" w:hAnsi="Times New Roman" w:cs="Times New Roman" w:eastAsia="Times New Roman" w:hint="default"/>
          <w:spacing w:val="-2"/>
        </w:rPr>
        <w:t>AI</w:t>
      </w:r>
      <w:r>
        <w:rPr>
          <w:spacing w:val="-2"/>
        </w:rPr>
        <w:t>狂潮，集中在语音处理、图像处理、无人驾驶、人脸识別、机器学习、</w:t>
      </w:r>
      <w:r>
        <w:rPr>
          <w:spacing w:val="-74"/>
        </w:rPr>
        <w:t> </w:t>
      </w:r>
      <w:r>
        <w:rPr>
          <w:spacing w:val="-74"/>
        </w:rPr>
      </w:r>
      <w:r>
        <w:rPr/>
        <w:t>神经元网络、自然语言处理等领域。其中部分领域已经有了长足的发展，但是大部分</w:t>
      </w:r>
      <w:r>
        <w:rPr>
          <w:rFonts w:ascii="Times New Roman" w:hAnsi="Times New Roman" w:cs="Times New Roman" w:eastAsia="Times New Roman" w:hint="default"/>
        </w:rPr>
        <w:t>AI</w:t>
      </w:r>
      <w:r>
        <w:rPr/>
        <w:t>技术仍处于最初的萌芽期。目前在</w:t>
      </w:r>
    </w:p>
    <w:p>
      <w:pPr>
        <w:spacing w:after="0" w:line="451"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spacing w:line="460" w:lineRule="auto" w:before="44"/>
        <w:ind w:left="1134" w:right="1042" w:firstLine="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图像识别领域，深度学习的识别准确率已达到、甚至超过了人类水平；在语音识别领域，深度学习帮助语音识别从实验室走</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向了商用。而在</w:t>
      </w:r>
      <w:r>
        <w:rPr>
          <w:rFonts w:ascii="Times New Roman" w:hAnsi="Times New Roman" w:cs="Times New Roman" w:eastAsia="Times New Roman" w:hint="default"/>
          <w:sz w:val="18"/>
          <w:szCs w:val="18"/>
        </w:rPr>
        <w:t>NLP</w:t>
      </w:r>
      <w:r>
        <w:rPr>
          <w:rFonts w:ascii="宋体" w:hAnsi="宋体" w:cs="宋体" w:eastAsia="宋体" w:hint="default"/>
          <w:sz w:val="18"/>
          <w:szCs w:val="18"/>
        </w:rPr>
        <w:t>领域，深度学习的应用尚未有重大突破，但在文本分类、命名实体识别、词义消歧、情感分析、机器翻 译领域，采用深度学习的应用均超过了前期水平。</w:t>
      </w:r>
      <w:r>
        <w:rPr>
          <w:rFonts w:ascii="宋体" w:hAnsi="宋体" w:cs="宋体" w:eastAsia="宋体" w:hint="default"/>
          <w:b/>
          <w:bCs/>
          <w:sz w:val="18"/>
          <w:szCs w:val="18"/>
        </w:rPr>
        <w:t>人工智能的深度学习算法已经成功应用于语音识别和图像识别等方面，</w:t>
      </w:r>
      <w:r>
        <w:rPr>
          <w:rFonts w:ascii="宋体" w:hAnsi="宋体" w:cs="宋体" w:eastAsia="宋体" w:hint="default"/>
          <w:b/>
          <w:bCs/>
          <w:spacing w:val="-27"/>
          <w:sz w:val="18"/>
          <w:szCs w:val="18"/>
        </w:rPr>
        <w:t> </w:t>
      </w:r>
      <w:r>
        <w:rPr>
          <w:rFonts w:ascii="宋体" w:hAnsi="宋体" w:cs="宋体" w:eastAsia="宋体" w:hint="default"/>
          <w:b/>
          <w:bCs/>
          <w:spacing w:val="-27"/>
          <w:sz w:val="18"/>
          <w:szCs w:val="18"/>
        </w:rPr>
      </w:r>
      <w:r>
        <w:rPr>
          <w:rFonts w:ascii="宋体" w:hAnsi="宋体" w:cs="宋体" w:eastAsia="宋体" w:hint="default"/>
          <w:b/>
          <w:bCs/>
          <w:sz w:val="18"/>
          <w:szCs w:val="18"/>
        </w:rPr>
        <w:t>自</w:t>
      </w:r>
      <w:r>
        <w:rPr>
          <w:rFonts w:ascii="宋体" w:hAnsi="宋体" w:cs="宋体" w:eastAsia="宋体" w:hint="default"/>
          <w:b/>
          <w:bCs/>
          <w:spacing w:val="-47"/>
          <w:sz w:val="18"/>
          <w:szCs w:val="18"/>
        </w:rPr>
        <w:t> </w:t>
      </w:r>
      <w:r>
        <w:rPr>
          <w:rFonts w:ascii="宋体" w:hAnsi="宋体" w:cs="宋体" w:eastAsia="宋体" w:hint="default"/>
          <w:b/>
          <w:bCs/>
          <w:sz w:val="18"/>
          <w:szCs w:val="18"/>
        </w:rPr>
        <w:t>然</w:t>
      </w:r>
      <w:r>
        <w:rPr>
          <w:rFonts w:ascii="宋体" w:hAnsi="宋体" w:cs="宋体" w:eastAsia="宋体" w:hint="default"/>
          <w:b/>
          <w:bCs/>
          <w:spacing w:val="-47"/>
          <w:sz w:val="18"/>
          <w:szCs w:val="18"/>
        </w:rPr>
        <w:t> </w:t>
      </w:r>
      <w:r>
        <w:rPr>
          <w:rFonts w:ascii="宋体" w:hAnsi="宋体" w:cs="宋体" w:eastAsia="宋体" w:hint="default"/>
          <w:b/>
          <w:bCs/>
          <w:sz w:val="18"/>
          <w:szCs w:val="18"/>
        </w:rPr>
        <w:t>语</w:t>
      </w:r>
      <w:r>
        <w:rPr>
          <w:rFonts w:ascii="宋体" w:hAnsi="宋体" w:cs="宋体" w:eastAsia="宋体" w:hint="default"/>
          <w:b/>
          <w:bCs/>
          <w:spacing w:val="-47"/>
          <w:sz w:val="18"/>
          <w:szCs w:val="18"/>
        </w:rPr>
        <w:t> </w:t>
      </w:r>
      <w:r>
        <w:rPr>
          <w:rFonts w:ascii="宋体" w:hAnsi="宋体" w:cs="宋体" w:eastAsia="宋体" w:hint="default"/>
          <w:b/>
          <w:bCs/>
          <w:sz w:val="18"/>
          <w:szCs w:val="18"/>
        </w:rPr>
        <w:t>言</w:t>
      </w:r>
      <w:r>
        <w:rPr>
          <w:rFonts w:ascii="宋体" w:hAnsi="宋体" w:cs="宋体" w:eastAsia="宋体" w:hint="default"/>
          <w:b/>
          <w:bCs/>
          <w:spacing w:val="-47"/>
          <w:sz w:val="18"/>
          <w:szCs w:val="18"/>
        </w:rPr>
        <w:t> </w:t>
      </w:r>
      <w:r>
        <w:rPr>
          <w:rFonts w:ascii="宋体" w:hAnsi="宋体" w:cs="宋体" w:eastAsia="宋体" w:hint="default"/>
          <w:b/>
          <w:bCs/>
          <w:sz w:val="18"/>
          <w:szCs w:val="18"/>
        </w:rPr>
        <w:t>处</w:t>
      </w:r>
      <w:r>
        <w:rPr>
          <w:rFonts w:ascii="宋体" w:hAnsi="宋体" w:cs="宋体" w:eastAsia="宋体" w:hint="default"/>
          <w:b/>
          <w:bCs/>
          <w:spacing w:val="-48"/>
          <w:sz w:val="18"/>
          <w:szCs w:val="18"/>
        </w:rPr>
        <w:t> </w:t>
      </w:r>
      <w:r>
        <w:rPr>
          <w:rFonts w:ascii="宋体" w:hAnsi="宋体" w:cs="宋体" w:eastAsia="宋体" w:hint="default"/>
          <w:b/>
          <w:bCs/>
          <w:sz w:val="18"/>
          <w:szCs w:val="18"/>
        </w:rPr>
        <w:t>理</w:t>
      </w:r>
      <w:r>
        <w:rPr>
          <w:rFonts w:ascii="宋体" w:hAnsi="宋体" w:cs="宋体" w:eastAsia="宋体" w:hint="default"/>
          <w:b/>
          <w:bCs/>
          <w:spacing w:val="-47"/>
          <w:sz w:val="18"/>
          <w:szCs w:val="18"/>
        </w:rPr>
        <w:t> </w:t>
      </w:r>
      <w:r>
        <w:rPr>
          <w:rFonts w:ascii="宋体" w:hAnsi="宋体" w:cs="宋体" w:eastAsia="宋体" w:hint="default"/>
          <w:b/>
          <w:bCs/>
          <w:sz w:val="18"/>
          <w:szCs w:val="18"/>
        </w:rPr>
        <w:t>很</w:t>
      </w:r>
      <w:r>
        <w:rPr>
          <w:rFonts w:ascii="宋体" w:hAnsi="宋体" w:cs="宋体" w:eastAsia="宋体" w:hint="default"/>
          <w:b/>
          <w:bCs/>
          <w:spacing w:val="-47"/>
          <w:sz w:val="18"/>
          <w:szCs w:val="18"/>
        </w:rPr>
        <w:t> </w:t>
      </w:r>
      <w:r>
        <w:rPr>
          <w:rFonts w:ascii="宋体" w:hAnsi="宋体" w:cs="宋体" w:eastAsia="宋体" w:hint="default"/>
          <w:b/>
          <w:bCs/>
          <w:sz w:val="18"/>
          <w:szCs w:val="18"/>
        </w:rPr>
        <w:t>可</w:t>
      </w:r>
      <w:r>
        <w:rPr>
          <w:rFonts w:ascii="宋体" w:hAnsi="宋体" w:cs="宋体" w:eastAsia="宋体" w:hint="default"/>
          <w:b/>
          <w:bCs/>
          <w:spacing w:val="-47"/>
          <w:sz w:val="18"/>
          <w:szCs w:val="18"/>
        </w:rPr>
        <w:t> </w:t>
      </w:r>
      <w:r>
        <w:rPr>
          <w:rFonts w:ascii="宋体" w:hAnsi="宋体" w:cs="宋体" w:eastAsia="宋体" w:hint="default"/>
          <w:b/>
          <w:bCs/>
          <w:sz w:val="18"/>
          <w:szCs w:val="18"/>
        </w:rPr>
        <w:t>能</w:t>
      </w:r>
      <w:r>
        <w:rPr>
          <w:rFonts w:ascii="宋体" w:hAnsi="宋体" w:cs="宋体" w:eastAsia="宋体" w:hint="default"/>
          <w:b/>
          <w:bCs/>
          <w:spacing w:val="-47"/>
          <w:sz w:val="18"/>
          <w:szCs w:val="18"/>
        </w:rPr>
        <w:t> </w:t>
      </w:r>
      <w:r>
        <w:rPr>
          <w:rFonts w:ascii="宋体" w:hAnsi="宋体" w:cs="宋体" w:eastAsia="宋体" w:hint="default"/>
          <w:b/>
          <w:bCs/>
          <w:sz w:val="18"/>
          <w:szCs w:val="18"/>
        </w:rPr>
        <w:t>是</w:t>
      </w:r>
      <w:r>
        <w:rPr>
          <w:rFonts w:ascii="宋体" w:hAnsi="宋体" w:cs="宋体" w:eastAsia="宋体" w:hint="default"/>
          <w:b/>
          <w:bCs/>
          <w:spacing w:val="-48"/>
          <w:sz w:val="18"/>
          <w:szCs w:val="18"/>
        </w:rPr>
        <w:t> </w:t>
      </w:r>
      <w:r>
        <w:rPr>
          <w:rFonts w:ascii="宋体" w:hAnsi="宋体" w:cs="宋体" w:eastAsia="宋体" w:hint="default"/>
          <w:b/>
          <w:bCs/>
          <w:sz w:val="18"/>
          <w:szCs w:val="18"/>
        </w:rPr>
        <w:t>人</w:t>
      </w:r>
      <w:r>
        <w:rPr>
          <w:rFonts w:ascii="宋体" w:hAnsi="宋体" w:cs="宋体" w:eastAsia="宋体" w:hint="default"/>
          <w:b/>
          <w:bCs/>
          <w:spacing w:val="-47"/>
          <w:sz w:val="18"/>
          <w:szCs w:val="18"/>
        </w:rPr>
        <w:t> </w:t>
      </w:r>
      <w:r>
        <w:rPr>
          <w:rFonts w:ascii="宋体" w:hAnsi="宋体" w:cs="宋体" w:eastAsia="宋体" w:hint="default"/>
          <w:b/>
          <w:bCs/>
          <w:sz w:val="18"/>
          <w:szCs w:val="18"/>
        </w:rPr>
        <w:t>工</w:t>
      </w:r>
      <w:r>
        <w:rPr>
          <w:rFonts w:ascii="宋体" w:hAnsi="宋体" w:cs="宋体" w:eastAsia="宋体" w:hint="default"/>
          <w:b/>
          <w:bCs/>
          <w:spacing w:val="-47"/>
          <w:sz w:val="18"/>
          <w:szCs w:val="18"/>
        </w:rPr>
        <w:t> </w:t>
      </w:r>
      <w:r>
        <w:rPr>
          <w:rFonts w:ascii="宋体" w:hAnsi="宋体" w:cs="宋体" w:eastAsia="宋体" w:hint="default"/>
          <w:b/>
          <w:bCs/>
          <w:sz w:val="18"/>
          <w:szCs w:val="18"/>
        </w:rPr>
        <w:t>智</w:t>
      </w:r>
      <w:r>
        <w:rPr>
          <w:rFonts w:ascii="宋体" w:hAnsi="宋体" w:cs="宋体" w:eastAsia="宋体" w:hint="default"/>
          <w:b/>
          <w:bCs/>
          <w:spacing w:val="-47"/>
          <w:sz w:val="18"/>
          <w:szCs w:val="18"/>
        </w:rPr>
        <w:t> </w:t>
      </w:r>
      <w:r>
        <w:rPr>
          <w:rFonts w:ascii="宋体" w:hAnsi="宋体" w:cs="宋体" w:eastAsia="宋体" w:hint="default"/>
          <w:b/>
          <w:bCs/>
          <w:sz w:val="18"/>
          <w:szCs w:val="18"/>
        </w:rPr>
        <w:t>能</w:t>
      </w:r>
      <w:r>
        <w:rPr>
          <w:rFonts w:ascii="宋体" w:hAnsi="宋体" w:cs="宋体" w:eastAsia="宋体" w:hint="default"/>
          <w:b/>
          <w:bCs/>
          <w:spacing w:val="-47"/>
          <w:sz w:val="18"/>
          <w:szCs w:val="18"/>
        </w:rPr>
        <w:t> </w:t>
      </w:r>
      <w:r>
        <w:rPr>
          <w:rFonts w:ascii="宋体" w:hAnsi="宋体" w:cs="宋体" w:eastAsia="宋体" w:hint="default"/>
          <w:b/>
          <w:bCs/>
          <w:sz w:val="18"/>
          <w:szCs w:val="18"/>
        </w:rPr>
        <w:t>下</w:t>
      </w:r>
      <w:r>
        <w:rPr>
          <w:rFonts w:ascii="宋体" w:hAnsi="宋体" w:cs="宋体" w:eastAsia="宋体" w:hint="default"/>
          <w:b/>
          <w:bCs/>
          <w:spacing w:val="-48"/>
          <w:sz w:val="18"/>
          <w:szCs w:val="18"/>
        </w:rPr>
        <w:t> </w:t>
      </w:r>
      <w:r>
        <w:rPr>
          <w:rFonts w:ascii="宋体" w:hAnsi="宋体" w:cs="宋体" w:eastAsia="宋体" w:hint="default"/>
          <w:b/>
          <w:bCs/>
          <w:sz w:val="18"/>
          <w:szCs w:val="18"/>
        </w:rPr>
        <w:t>一</w:t>
      </w:r>
      <w:r>
        <w:rPr>
          <w:rFonts w:ascii="宋体" w:hAnsi="宋体" w:cs="宋体" w:eastAsia="宋体" w:hint="default"/>
          <w:b/>
          <w:bCs/>
          <w:spacing w:val="-47"/>
          <w:sz w:val="18"/>
          <w:szCs w:val="18"/>
        </w:rPr>
        <w:t> </w:t>
      </w:r>
      <w:r>
        <w:rPr>
          <w:rFonts w:ascii="宋体" w:hAnsi="宋体" w:cs="宋体" w:eastAsia="宋体" w:hint="default"/>
          <w:b/>
          <w:bCs/>
          <w:sz w:val="18"/>
          <w:szCs w:val="18"/>
        </w:rPr>
        <w:t>个</w:t>
      </w:r>
      <w:r>
        <w:rPr>
          <w:rFonts w:ascii="宋体" w:hAnsi="宋体" w:cs="宋体" w:eastAsia="宋体" w:hint="default"/>
          <w:b/>
          <w:bCs/>
          <w:spacing w:val="-47"/>
          <w:sz w:val="18"/>
          <w:szCs w:val="18"/>
        </w:rPr>
        <w:t> </w:t>
      </w:r>
      <w:r>
        <w:rPr>
          <w:rFonts w:ascii="宋体" w:hAnsi="宋体" w:cs="宋体" w:eastAsia="宋体" w:hint="default"/>
          <w:b/>
          <w:bCs/>
          <w:sz w:val="18"/>
          <w:szCs w:val="18"/>
        </w:rPr>
        <w:t>十</w:t>
      </w:r>
      <w:r>
        <w:rPr>
          <w:rFonts w:ascii="宋体" w:hAnsi="宋体" w:cs="宋体" w:eastAsia="宋体" w:hint="default"/>
          <w:b/>
          <w:bCs/>
          <w:spacing w:val="-47"/>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的</w:t>
      </w:r>
      <w:r>
        <w:rPr>
          <w:rFonts w:ascii="宋体" w:hAnsi="宋体" w:cs="宋体" w:eastAsia="宋体" w:hint="default"/>
          <w:b/>
          <w:bCs/>
          <w:spacing w:val="-48"/>
          <w:sz w:val="18"/>
          <w:szCs w:val="18"/>
        </w:rPr>
        <w:t> </w:t>
      </w:r>
      <w:r>
        <w:rPr>
          <w:rFonts w:ascii="宋体" w:hAnsi="宋体" w:cs="宋体" w:eastAsia="宋体" w:hint="default"/>
          <w:b/>
          <w:bCs/>
          <w:sz w:val="18"/>
          <w:szCs w:val="18"/>
        </w:rPr>
        <w:t>突</w:t>
      </w:r>
      <w:r>
        <w:rPr>
          <w:rFonts w:ascii="宋体" w:hAnsi="宋体" w:cs="宋体" w:eastAsia="宋体" w:hint="default"/>
          <w:b/>
          <w:bCs/>
          <w:spacing w:val="-47"/>
          <w:sz w:val="18"/>
          <w:szCs w:val="18"/>
        </w:rPr>
        <w:t> </w:t>
      </w:r>
      <w:r>
        <w:rPr>
          <w:rFonts w:ascii="宋体" w:hAnsi="宋体" w:cs="宋体" w:eastAsia="宋体" w:hint="default"/>
          <w:b/>
          <w:bCs/>
          <w:sz w:val="18"/>
          <w:szCs w:val="18"/>
        </w:rPr>
        <w:t>破</w:t>
      </w:r>
      <w:r>
        <w:rPr>
          <w:rFonts w:ascii="宋体" w:hAnsi="宋体" w:cs="宋体" w:eastAsia="宋体" w:hint="default"/>
          <w:b/>
          <w:bCs/>
          <w:spacing w:val="-47"/>
          <w:sz w:val="18"/>
          <w:szCs w:val="18"/>
        </w:rPr>
        <w:t> </w:t>
      </w:r>
      <w:r>
        <w:rPr>
          <w:rFonts w:ascii="宋体" w:hAnsi="宋体" w:cs="宋体" w:eastAsia="宋体" w:hint="default"/>
          <w:b/>
          <w:bCs/>
          <w:sz w:val="18"/>
          <w:szCs w:val="18"/>
        </w:rPr>
        <w:t>所</w:t>
      </w:r>
      <w:r>
        <w:rPr>
          <w:rFonts w:ascii="宋体" w:hAnsi="宋体" w:cs="宋体" w:eastAsia="宋体" w:hint="default"/>
          <w:b/>
          <w:bCs/>
          <w:spacing w:val="-47"/>
          <w:sz w:val="18"/>
          <w:szCs w:val="18"/>
        </w:rPr>
        <w:t> </w:t>
      </w:r>
      <w:r>
        <w:rPr>
          <w:rFonts w:ascii="宋体" w:hAnsi="宋体" w:cs="宋体" w:eastAsia="宋体" w:hint="default"/>
          <w:b/>
          <w:bCs/>
          <w:sz w:val="18"/>
          <w:szCs w:val="18"/>
        </w:rPr>
        <w:t>在</w:t>
      </w:r>
      <w:r>
        <w:rPr>
          <w:rFonts w:ascii="宋体" w:hAnsi="宋体" w:cs="宋体" w:eastAsia="宋体" w:hint="default"/>
          <w:b/>
          <w:bCs/>
          <w:spacing w:val="-47"/>
          <w:sz w:val="18"/>
          <w:szCs w:val="18"/>
        </w:rPr>
        <w:t> </w:t>
      </w:r>
      <w:r>
        <w:rPr>
          <w:rFonts w:ascii="宋体" w:hAnsi="宋体" w:cs="宋体" w:eastAsia="宋体" w:hint="default"/>
          <w:b/>
          <w:bCs/>
          <w:sz w:val="18"/>
          <w:szCs w:val="18"/>
        </w:rPr>
        <w:t>。</w:t>
      </w:r>
      <w:r>
        <w:rPr>
          <w:rFonts w:ascii="宋体" w:hAnsi="宋体" w:cs="宋体" w:eastAsia="宋体" w:hint="default"/>
          <w:b/>
          <w:bCs/>
          <w:spacing w:val="-41"/>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2"/>
          <w:sz w:val="18"/>
          <w:szCs w:val="18"/>
        </w:rPr>
        <w:t> </w:t>
      </w:r>
      <w:r>
        <w:rPr>
          <w:rFonts w:ascii="宋体" w:hAnsi="宋体" w:cs="宋体" w:eastAsia="宋体" w:hint="default"/>
          <w:spacing w:val="22"/>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Gartner</w:t>
      </w:r>
      <w:r>
        <w:rPr>
          <w:rFonts w:ascii="Times New Roman" w:hAnsi="Times New Roman" w:cs="Times New Roman" w:eastAsia="Times New Roman" w:hint="default"/>
          <w:spacing w:val="-1"/>
          <w:sz w:val="18"/>
          <w:szCs w:val="18"/>
        </w:rPr>
        <w:t> </w:t>
      </w:r>
      <w:r>
        <w:rPr>
          <w:rFonts w:ascii="宋体" w:hAnsi="宋体" w:cs="宋体" w:eastAsia="宋体" w:hint="default"/>
          <w:spacing w:val="29"/>
          <w:sz w:val="18"/>
          <w:szCs w:val="18"/>
        </w:rPr>
        <w:t>公布的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“Market</w:t>
      </w:r>
      <w:r>
        <w:rPr>
          <w:rFonts w:ascii="Times New Roman" w:hAnsi="Times New Roman" w:cs="Times New Roman" w:eastAsia="Times New Roman" w:hint="default"/>
          <w:spacing w:val="43"/>
          <w:sz w:val="18"/>
          <w:szCs w:val="18"/>
        </w:rPr>
        <w:t> </w:t>
      </w:r>
      <w:r>
        <w:rPr>
          <w:rFonts w:ascii="Times New Roman" w:hAnsi="Times New Roman" w:cs="Times New Roman" w:eastAsia="Times New Roman" w:hint="default"/>
          <w:sz w:val="18"/>
          <w:szCs w:val="18"/>
        </w:rPr>
        <w:t>Guide</w:t>
      </w:r>
      <w:r>
        <w:rPr>
          <w:rFonts w:ascii="Times New Roman" w:hAnsi="Times New Roman" w:cs="Times New Roman" w:eastAsia="Times New Roman" w:hint="default"/>
          <w:spacing w:val="42"/>
          <w:sz w:val="18"/>
          <w:szCs w:val="18"/>
        </w:rPr>
        <w:t> </w:t>
      </w:r>
      <w:r>
        <w:rPr>
          <w:rFonts w:ascii="Times New Roman" w:hAnsi="Times New Roman" w:cs="Times New Roman" w:eastAsia="Times New Roman" w:hint="default"/>
          <w:sz w:val="18"/>
          <w:szCs w:val="18"/>
        </w:rPr>
        <w:t>for</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Conversational</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Artificial</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w w:val="100"/>
          <w:sz w:val="18"/>
          <w:szCs w:val="18"/>
        </w:rPr>
        <w:t>Intelligence</w:t>
      </w:r>
      <w:r>
        <w:rPr>
          <w:rFonts w:ascii="Times New Roman" w:hAnsi="Times New Roman" w:cs="Times New Roman" w:eastAsia="Times New Roman" w:hint="default"/>
          <w:w w:val="100"/>
          <w:sz w:val="18"/>
          <w:szCs w:val="18"/>
        </w:rPr>
        <w:t> </w:t>
      </w:r>
      <w:r>
        <w:rPr>
          <w:rFonts w:ascii="Times New Roman" w:hAnsi="Times New Roman" w:cs="Times New Roman" w:eastAsia="Times New Roman" w:hint="default"/>
          <w:w w:val="100"/>
          <w:sz w:val="18"/>
          <w:szCs w:val="18"/>
        </w:rPr>
        <w:t>in</w:t>
      </w:r>
      <w:r>
        <w:rPr>
          <w:rFonts w:ascii="Times New Roman" w:hAnsi="Times New Roman" w:cs="Times New Roman" w:eastAsia="Times New Roman" w:hint="default"/>
          <w:spacing w:val="16"/>
          <w:w w:val="100"/>
          <w:sz w:val="18"/>
          <w:szCs w:val="18"/>
        </w:rPr>
        <w:t> </w:t>
      </w:r>
      <w:r>
        <w:rPr>
          <w:rFonts w:ascii="Times New Roman" w:hAnsi="Times New Roman" w:cs="Times New Roman" w:eastAsia="Times New Roman" w:hint="default"/>
          <w:spacing w:val="-2"/>
          <w:w w:val="100"/>
          <w:sz w:val="18"/>
          <w:szCs w:val="18"/>
        </w:rPr>
        <w:t>China”</w:t>
      </w:r>
      <w:r>
        <w:rPr>
          <w:rFonts w:ascii="宋体" w:hAnsi="宋体" w:cs="宋体" w:eastAsia="宋体" w:hint="default"/>
          <w:spacing w:val="-2"/>
          <w:w w:val="100"/>
          <w:sz w:val="18"/>
          <w:szCs w:val="18"/>
        </w:rPr>
        <w:t>报告中，神州泰岳作为国内人工智能自然语言语义分析技术的代表厂商被列入。</w:t>
      </w:r>
      <w:r>
        <w:rPr>
          <w:rFonts w:ascii="宋体" w:hAnsi="宋体" w:cs="宋体" w:eastAsia="宋体" w:hint="default"/>
          <w:sz w:val="18"/>
          <w:szCs w:val="18"/>
        </w:rPr>
        <w:t> </w:t>
      </w:r>
      <w:r>
        <w:rPr>
          <w:rFonts w:ascii="Times New Roman" w:hAnsi="Times New Roman" w:cs="Times New Roman" w:eastAsia="Times New Roman" w:hint="default"/>
          <w:sz w:val="18"/>
          <w:szCs w:val="18"/>
        </w:rPr>
        <w:t>Gartner</w:t>
      </w:r>
      <w:r>
        <w:rPr>
          <w:rFonts w:ascii="宋体" w:hAnsi="宋体" w:cs="宋体" w:eastAsia="宋体" w:hint="default"/>
          <w:sz w:val="18"/>
          <w:szCs w:val="18"/>
        </w:rPr>
        <w:t>指明</w:t>
      </w:r>
      <w:r>
        <w:rPr>
          <w:rFonts w:ascii="Times New Roman" w:hAnsi="Times New Roman" w:cs="Times New Roman" w:eastAsia="Times New Roman" w:hint="default"/>
          <w:sz w:val="18"/>
          <w:szCs w:val="18"/>
        </w:rPr>
        <w:t>“</w:t>
      </w:r>
      <w:r>
        <w:rPr>
          <w:rFonts w:ascii="宋体" w:hAnsi="宋体" w:cs="宋体" w:eastAsia="宋体" w:hint="default"/>
          <w:sz w:val="18"/>
          <w:szCs w:val="18"/>
        </w:rPr>
        <w:t>在复杂的中文语言环境下，神州泰岳的语义分析技术比深度学习更加有效、迅速的进行</w:t>
      </w:r>
      <w:r>
        <w:rPr>
          <w:rFonts w:ascii="Times New Roman" w:hAnsi="Times New Roman" w:cs="Times New Roman" w:eastAsia="Times New Roman" w:hint="default"/>
          <w:sz w:val="18"/>
          <w:szCs w:val="18"/>
        </w:rPr>
        <w:t>NLP</w:t>
      </w:r>
      <w:r>
        <w:rPr>
          <w:rFonts w:ascii="宋体" w:hAnsi="宋体" w:cs="宋体" w:eastAsia="宋体" w:hint="default"/>
          <w:sz w:val="18"/>
          <w:szCs w:val="18"/>
        </w:rPr>
        <w:t>建模。</w:t>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18"/>
          <w:szCs w:val="18"/>
        </w:rPr>
      </w:pPr>
    </w:p>
    <w:p>
      <w:pPr>
        <w:spacing w:line="240" w:lineRule="auto" w:before="9"/>
        <w:rPr>
          <w:rFonts w:ascii="Times New Roman" w:hAnsi="Times New Roman" w:cs="Times New Roman" w:eastAsia="Times New Roman" w:hint="default"/>
          <w:sz w:val="25"/>
          <w:szCs w:val="25"/>
        </w:rPr>
      </w:pPr>
    </w:p>
    <w:p>
      <w:pPr>
        <w:pStyle w:val="BodyText"/>
        <w:spacing w:line="451" w:lineRule="auto"/>
        <w:ind w:left="1493" w:right="0" w:firstLine="1"/>
        <w:jc w:val="left"/>
      </w:pPr>
      <w:r>
        <w:rPr>
          <w:rFonts w:ascii="Times New Roman" w:hAnsi="Times New Roman" w:cs="Times New Roman" w:eastAsia="Times New Roman" w:hint="default"/>
          <w:b/>
          <w:bCs/>
        </w:rPr>
        <w:t>2</w:t>
      </w:r>
      <w:r>
        <w:rPr>
          <w:rFonts w:ascii="宋体" w:hAnsi="宋体" w:cs="宋体" w:eastAsia="宋体" w:hint="default"/>
          <w:b/>
          <w:bCs/>
        </w:rPr>
        <w:t>、物联网行业发展趋势</w:t>
      </w:r>
      <w:r>
        <w:rPr>
          <w:rFonts w:ascii="宋体" w:hAnsi="宋体" w:cs="宋体" w:eastAsia="宋体" w:hint="default"/>
          <w:b/>
          <w:bCs/>
          <w:w w:val="99"/>
        </w:rPr>
        <w:t> </w:t>
      </w:r>
      <w:r>
        <w:rPr>
          <w:spacing w:val="-1"/>
        </w:rPr>
        <w:t>物联网（</w:t>
      </w:r>
      <w:r>
        <w:rPr>
          <w:rFonts w:ascii="Times New Roman" w:hAnsi="Times New Roman" w:cs="Times New Roman" w:eastAsia="Times New Roman" w:hint="default"/>
          <w:spacing w:val="-1"/>
        </w:rPr>
        <w:t>IOT</w:t>
      </w:r>
      <w:r>
        <w:rPr>
          <w:spacing w:val="-1"/>
        </w:rPr>
        <w:t>）的核心和基础是万物互联，其用户端延伸和扩展到了任何物品与物品之间，通过智能感知、识别技术等</w:t>
      </w:r>
    </w:p>
    <w:p>
      <w:pPr>
        <w:pStyle w:val="BodyText"/>
        <w:spacing w:line="477" w:lineRule="auto" w:before="43"/>
        <w:ind w:right="0"/>
        <w:jc w:val="left"/>
      </w:pPr>
      <w:r>
        <w:rPr>
          <w:spacing w:val="-2"/>
        </w:rPr>
        <w:t>通信感知技术得以广泛应用，因此被称为继计算机、互联网之后世界信息产业发展的第三次浪潮。伴随国家整体战略大力推</w:t>
      </w:r>
      <w:r>
        <w:rPr>
          <w:spacing w:val="-66"/>
        </w:rPr>
        <w:t> </w:t>
      </w:r>
      <w:r>
        <w:rPr>
          <w:spacing w:val="-66"/>
        </w:rPr>
      </w:r>
      <w:r>
        <w:rPr/>
        <w:t>进信息化与工业化的深度融合，物联网发展迅速，其概念和范畴不断延伸。</w:t>
      </w:r>
    </w:p>
    <w:p>
      <w:pPr>
        <w:pStyle w:val="BodyText"/>
        <w:spacing w:line="458" w:lineRule="auto" w:before="54"/>
        <w:ind w:right="1033" w:firstLine="360"/>
        <w:jc w:val="left"/>
      </w:pPr>
      <w:r>
        <w:rPr>
          <w:rFonts w:ascii="Times New Roman" w:hAnsi="Times New Roman" w:cs="Times New Roman" w:eastAsia="Times New Roman" w:hint="default"/>
        </w:rPr>
        <w:t>2015</w:t>
      </w:r>
      <w:r>
        <w:rPr/>
        <w:t>年</w:t>
      </w:r>
      <w:r>
        <w:rPr>
          <w:rFonts w:ascii="Times New Roman" w:hAnsi="Times New Roman" w:cs="Times New Roman" w:eastAsia="Times New Roman" w:hint="default"/>
        </w:rPr>
        <w:t>5</w:t>
      </w:r>
      <w:r>
        <w:rPr/>
        <w:t>月，国务院发布《中国制造</w:t>
      </w:r>
      <w:r>
        <w:rPr>
          <w:rFonts w:ascii="Times New Roman" w:hAnsi="Times New Roman" w:cs="Times New Roman" w:eastAsia="Times New Roman" w:hint="default"/>
        </w:rPr>
        <w:t>2025</w:t>
      </w:r>
      <w:r>
        <w:rPr/>
        <w:t>》国家战略规划，提出促进工业互联网、云计算、大数据在企业研发设计、生 产制造、经营管理、销售服务等全流程和全产业链的综合集成应用。加快开展物联网技术研发和应用示范，培育智能监测、</w:t>
      </w:r>
      <w:r>
        <w:rPr>
          <w:spacing w:val="-85"/>
        </w:rPr>
        <w:t> </w:t>
      </w:r>
      <w:r>
        <w:rPr>
          <w:spacing w:val="-85"/>
        </w:rPr>
      </w:r>
      <w:r>
        <w:rPr/>
        <w:t>远程诊断管理、全产业链追溯等工业互联网新应用。</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月，国务院总理李克强发表</w:t>
      </w:r>
      <w:r>
        <w:rPr>
          <w:rFonts w:ascii="Times New Roman" w:hAnsi="Times New Roman" w:cs="Times New Roman" w:eastAsia="Times New Roman" w:hint="default"/>
        </w:rPr>
        <w:t>2017</w:t>
      </w:r>
      <w:r>
        <w:rPr/>
        <w:t>政府工作报告，在重点工作任</w:t>
      </w:r>
      <w:r>
        <w:rPr>
          <w:spacing w:val="-82"/>
        </w:rPr>
        <w:t> </w:t>
      </w:r>
      <w:r>
        <w:rPr>
          <w:spacing w:val="-82"/>
        </w:rPr>
      </w:r>
      <w:r>
        <w:rPr>
          <w:spacing w:val="-2"/>
        </w:rPr>
        <w:t>务部分中再次提到，深入实施《中国制造</w:t>
      </w:r>
      <w:r>
        <w:rPr>
          <w:rFonts w:ascii="Times New Roman" w:hAnsi="Times New Roman" w:cs="Times New Roman" w:eastAsia="Times New Roman" w:hint="default"/>
          <w:spacing w:val="-2"/>
        </w:rPr>
        <w:t>2025</w:t>
      </w:r>
      <w:r>
        <w:rPr>
          <w:spacing w:val="-2"/>
        </w:rPr>
        <w:t>》，加快大数据、云计算、物联网应用，以新技术新业态新模式，推动传统产</w:t>
      </w:r>
      <w:r>
        <w:rPr>
          <w:spacing w:val="-63"/>
        </w:rPr>
        <w:t> </w:t>
      </w:r>
      <w:r>
        <w:rPr>
          <w:spacing w:val="-63"/>
        </w:rPr>
      </w:r>
      <w:r>
        <w:rPr/>
        <w:t>业生产、管理和营销模式变革。</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11</w:t>
      </w:r>
      <w:r>
        <w:rPr/>
        <w:t>月国务院提出《关于深化</w:t>
      </w:r>
      <w:r>
        <w:rPr>
          <w:rFonts w:ascii="Times New Roman" w:hAnsi="Times New Roman" w:cs="Times New Roman" w:eastAsia="Times New Roman" w:hint="default"/>
        </w:rPr>
        <w:t>“</w:t>
      </w:r>
      <w:r>
        <w:rPr/>
        <w:t>互联网</w:t>
      </w:r>
      <w:r>
        <w:rPr>
          <w:rFonts w:ascii="Times New Roman" w:hAnsi="Times New Roman" w:cs="Times New Roman" w:eastAsia="Times New Roman" w:hint="default"/>
        </w:rPr>
        <w:t>+</w:t>
      </w:r>
      <w:r>
        <w:rPr/>
        <w:t>先进制造业</w:t>
      </w:r>
      <w:r>
        <w:rPr>
          <w:rFonts w:ascii="Times New Roman" w:hAnsi="Times New Roman" w:cs="Times New Roman" w:eastAsia="Times New Roman" w:hint="default"/>
        </w:rPr>
        <w:t>”</w:t>
      </w:r>
      <w:r>
        <w:rPr/>
        <w:t>发展工业互联网的指导意见》，以</w:t>
      </w:r>
      <w:r>
        <w:rPr>
          <w:spacing w:val="-78"/>
        </w:rPr>
        <w:t> </w:t>
      </w:r>
      <w:r>
        <w:rPr>
          <w:spacing w:val="-78"/>
        </w:rPr>
      </w:r>
      <w:r>
        <w:rPr>
          <w:spacing w:val="-2"/>
        </w:rPr>
        <w:t>全面支撑制造强国和网络强国建设为目标，围绕推动互联网和实体经济深度融合，聚焦发展智能、绿色的先进制造业，构建</w:t>
      </w:r>
      <w:r>
        <w:rPr>
          <w:spacing w:val="-66"/>
        </w:rPr>
        <w:t> </w:t>
      </w:r>
      <w:r>
        <w:rPr>
          <w:spacing w:val="-66"/>
        </w:rPr>
      </w:r>
      <w:r>
        <w:rPr/>
        <w:t>网络、平台、安全三大功能体系。</w:t>
      </w:r>
    </w:p>
    <w:p>
      <w:pPr>
        <w:pStyle w:val="BodyText"/>
        <w:spacing w:line="451" w:lineRule="auto" w:before="68"/>
        <w:ind w:right="1129" w:firstLine="360"/>
        <w:jc w:val="both"/>
      </w:pPr>
      <w:r>
        <w:rPr>
          <w:spacing w:val="-2"/>
        </w:rPr>
        <w:t>在工业和信息化部关于印发信息通信行业发展规划（</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2020</w:t>
      </w:r>
      <w:r>
        <w:rPr>
          <w:spacing w:val="-2"/>
        </w:rPr>
        <w:t>年）的通知中显示，</w:t>
      </w:r>
      <w:r>
        <w:rPr>
          <w:rFonts w:ascii="Times New Roman" w:hAnsi="Times New Roman" w:cs="Times New Roman" w:eastAsia="Times New Roman" w:hint="default"/>
          <w:spacing w:val="-2"/>
        </w:rPr>
        <w:t>“</w:t>
      </w:r>
      <w:r>
        <w:rPr>
          <w:spacing w:val="-2"/>
        </w:rPr>
        <w:t>十三五</w:t>
      </w:r>
      <w:r>
        <w:rPr>
          <w:rFonts w:ascii="Times New Roman" w:hAnsi="Times New Roman" w:cs="Times New Roman" w:eastAsia="Times New Roman" w:hint="default"/>
          <w:spacing w:val="-2"/>
        </w:rPr>
        <w:t>”</w:t>
      </w:r>
      <w:r>
        <w:rPr>
          <w:spacing w:val="-2"/>
        </w:rPr>
        <w:t>时期是我国物联网加速进</w:t>
      </w:r>
      <w:r>
        <w:rPr/>
        <w:t> </w:t>
      </w:r>
      <w:r>
        <w:rPr>
          <w:spacing w:val="-3"/>
          <w:w w:val="99"/>
        </w:rPr>
        <w:t>入</w:t>
      </w:r>
      <w:r>
        <w:rPr>
          <w:rFonts w:ascii="Times New Roman" w:hAnsi="Times New Roman" w:cs="Times New Roman" w:eastAsia="Times New Roman" w:hint="default"/>
          <w:spacing w:val="-3"/>
          <w:w w:val="99"/>
        </w:rPr>
        <w:t>“</w:t>
      </w:r>
      <w:r>
        <w:rPr>
          <w:spacing w:val="-3"/>
          <w:w w:val="99"/>
        </w:rPr>
        <w:t>跨界融合、集成创新和规模化发展</w:t>
      </w:r>
      <w:r>
        <w:rPr>
          <w:rFonts w:ascii="Times New Roman" w:hAnsi="Times New Roman" w:cs="Times New Roman" w:eastAsia="Times New Roman" w:hint="default"/>
          <w:spacing w:val="-3"/>
          <w:w w:val="99"/>
        </w:rPr>
        <w:t>”</w:t>
      </w:r>
      <w:r>
        <w:rPr>
          <w:spacing w:val="-3"/>
          <w:w w:val="99"/>
        </w:rPr>
        <w:t>的新阶段，第五代移动通信技术（</w:t>
      </w:r>
      <w:r>
        <w:rPr>
          <w:rFonts w:ascii="Times New Roman" w:hAnsi="Times New Roman" w:cs="Times New Roman" w:eastAsia="Times New Roman" w:hint="default"/>
          <w:spacing w:val="-3"/>
          <w:w w:val="99"/>
        </w:rPr>
        <w:t>5G</w:t>
      </w:r>
      <w:r>
        <w:rPr>
          <w:spacing w:val="-3"/>
          <w:w w:val="99"/>
        </w:rPr>
        <w:t>）、窄带物联网（</w:t>
      </w:r>
      <w:r>
        <w:rPr>
          <w:rFonts w:ascii="Times New Roman" w:hAnsi="Times New Roman" w:cs="Times New Roman" w:eastAsia="Times New Roman" w:hint="default"/>
          <w:spacing w:val="-3"/>
          <w:w w:val="99"/>
        </w:rPr>
        <w:t>NB-IOT</w:t>
      </w:r>
      <w:r>
        <w:rPr>
          <w:spacing w:val="-3"/>
          <w:w w:val="99"/>
        </w:rPr>
        <w:t>）等新技术为万物互联</w:t>
      </w:r>
      <w:r>
        <w:rPr>
          <w:w w:val="99"/>
        </w:rPr>
        <w:t> </w:t>
      </w:r>
      <w:r>
        <w:rPr>
          <w:spacing w:val="-2"/>
        </w:rPr>
        <w:t>提供了强大的基础设施支撑能力。我国整体发展目标是计划到</w:t>
      </w:r>
      <w:r>
        <w:rPr>
          <w:rFonts w:ascii="Times New Roman" w:hAnsi="Times New Roman" w:cs="Times New Roman" w:eastAsia="Times New Roman" w:hint="default"/>
          <w:spacing w:val="-2"/>
        </w:rPr>
        <w:t>2020</w:t>
      </w:r>
      <w:r>
        <w:rPr>
          <w:spacing w:val="-2"/>
        </w:rPr>
        <w:t>年，具有国际竞争力的物联网产业体系基本形成，包含感</w:t>
      </w:r>
      <w:r>
        <w:rPr>
          <w:spacing w:val="-63"/>
        </w:rPr>
        <w:t> </w:t>
      </w:r>
      <w:r>
        <w:rPr>
          <w:spacing w:val="-63"/>
        </w:rPr>
      </w:r>
      <w:r>
        <w:rPr/>
        <w:t>知制造、网络传输、智能信息服务在内的总体产业规模突破</w:t>
      </w:r>
      <w:r>
        <w:rPr>
          <w:rFonts w:ascii="Times New Roman" w:hAnsi="Times New Roman" w:cs="Times New Roman" w:eastAsia="Times New Roman" w:hint="default"/>
        </w:rPr>
        <w:t>1.5</w:t>
      </w:r>
      <w:r>
        <w:rPr/>
        <w:t>万亿元，智能信息服务的比重大幅提升。</w:t>
      </w:r>
    </w:p>
    <w:p>
      <w:pPr>
        <w:pStyle w:val="BodyText"/>
        <w:spacing w:line="470" w:lineRule="auto" w:before="43"/>
        <w:ind w:left="1134" w:right="1032" w:firstLine="360"/>
        <w:jc w:val="left"/>
      </w:pPr>
      <w:r>
        <w:rPr/>
        <w:t>物联网技术的升级使得工业数据的采集传输分析成本大大下降，</w:t>
      </w:r>
      <w:r>
        <w:rPr>
          <w:rFonts w:ascii="Times New Roman" w:hAnsi="Times New Roman" w:cs="Times New Roman" w:eastAsia="Times New Roman" w:hint="default"/>
        </w:rPr>
        <w:t>AI</w:t>
      </w:r>
      <w:r>
        <w:rPr/>
        <w:t>技术的应用使得制造终端更加智能化，工控网络、 </w:t>
      </w:r>
      <w:r>
        <w:rPr>
          <w:spacing w:val="-2"/>
        </w:rPr>
        <w:t>物联网和自动化无线网是工业互联网和智能制造的基础，互联互通和传输带宽为智联网和机器视觉等新型工业应用提供了支</w:t>
      </w:r>
      <w:r>
        <w:rPr>
          <w:spacing w:val="-64"/>
        </w:rPr>
        <w:t> </w:t>
      </w:r>
      <w:r>
        <w:rPr>
          <w:spacing w:val="-64"/>
        </w:rPr>
      </w:r>
      <w:r>
        <w:rPr>
          <w:spacing w:val="-2"/>
        </w:rPr>
        <w:t>撑。工业互联网的主要特征即通过以互联网、物联网、云计算、大数据、人工智能等为代表的新一代信息技术推动工业体系</w:t>
      </w:r>
      <w:r>
        <w:rPr>
          <w:spacing w:val="-65"/>
        </w:rPr>
        <w:t> </w:t>
      </w:r>
      <w:r>
        <w:rPr>
          <w:spacing w:val="-65"/>
        </w:rPr>
      </w:r>
      <w:r>
        <w:rPr/>
        <w:t>的智能化变革。在现阶段物联网和人工智能新兴产业快速发展期，新技术标准将引领产业发展。在万物互联的物联网时代，</w:t>
      </w:r>
      <w:r>
        <w:rPr>
          <w:spacing w:val="-85"/>
        </w:rPr>
        <w:t> </w:t>
      </w:r>
      <w:r>
        <w:rPr>
          <w:spacing w:val="-85"/>
        </w:rPr>
      </w:r>
      <w:r>
        <w:rPr/>
        <w:t>网络基础架构是推动新一轮革命的重要因素。</w:t>
      </w: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2"/>
          <w:szCs w:val="22"/>
        </w:rPr>
      </w:pPr>
    </w:p>
    <w:p>
      <w:pPr>
        <w:spacing w:line="451" w:lineRule="auto" w:before="0"/>
        <w:ind w:left="149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运营管理发展趋势</w:t>
      </w:r>
      <w:r>
        <w:rPr>
          <w:rFonts w:ascii="宋体" w:hAnsi="宋体" w:cs="宋体" w:eastAsia="宋体" w:hint="default"/>
          <w:b/>
          <w:bCs/>
          <w:w w:val="99"/>
          <w:sz w:val="18"/>
          <w:szCs w:val="18"/>
        </w:rPr>
        <w:t> </w:t>
      </w:r>
      <w:r>
        <w:rPr>
          <w:rFonts w:ascii="宋体" w:hAnsi="宋体" w:cs="宋体" w:eastAsia="宋体" w:hint="default"/>
          <w:spacing w:val="-2"/>
          <w:sz w:val="18"/>
          <w:szCs w:val="18"/>
        </w:rPr>
        <w:t>国家十三五规划纲要将构建高效的信息网络、发展现代互联网产业体系、实施国家大数据战略、强化信息安全保障等作</w:t>
      </w:r>
    </w:p>
    <w:p>
      <w:pPr>
        <w:spacing w:after="0" w:line="451"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left="1493" w:right="0" w:hanging="360"/>
        <w:jc w:val="left"/>
      </w:pPr>
      <w:r>
        <w:rPr/>
        <w:t>为</w:t>
      </w:r>
      <w:r>
        <w:rPr>
          <w:rFonts w:ascii="Times New Roman" w:hAnsi="Times New Roman" w:cs="Times New Roman" w:eastAsia="Times New Roman" w:hint="default"/>
        </w:rPr>
        <w:t>“</w:t>
      </w:r>
      <w:r>
        <w:rPr/>
        <w:t>拓展网络经济空间</w:t>
      </w:r>
      <w:r>
        <w:rPr>
          <w:rFonts w:ascii="Times New Roman" w:hAnsi="Times New Roman" w:cs="Times New Roman" w:eastAsia="Times New Roman" w:hint="default"/>
        </w:rPr>
        <w:t>”</w:t>
      </w:r>
      <w:r>
        <w:rPr/>
        <w:t>的几大发展方向，这为运营管理业务提供了持续发展空间。 </w:t>
      </w:r>
      <w:r>
        <w:rPr>
          <w:spacing w:val="-1"/>
        </w:rPr>
        <w:t>伴随第五代移动通信技术的临近，</w:t>
      </w:r>
      <w:r>
        <w:rPr>
          <w:rFonts w:ascii="Times New Roman" w:hAnsi="Times New Roman" w:cs="Times New Roman" w:eastAsia="Times New Roman" w:hint="default"/>
          <w:spacing w:val="-1"/>
        </w:rPr>
        <w:t>ICT</w:t>
      </w:r>
      <w:r>
        <w:rPr>
          <w:spacing w:val="-1"/>
        </w:rPr>
        <w:t>技术正处于颠覆性变革的关键时期。在云计算、大数据、</w:t>
      </w:r>
      <w:r>
        <w:rPr>
          <w:rFonts w:ascii="Times New Roman" w:hAnsi="Times New Roman" w:cs="Times New Roman" w:eastAsia="Times New Roman" w:hint="default"/>
          <w:spacing w:val="-1"/>
        </w:rPr>
        <w:t>SDN</w:t>
      </w:r>
      <w:r>
        <w:rPr>
          <w:spacing w:val="-1"/>
        </w:rPr>
        <w:t>、</w:t>
      </w:r>
      <w:r>
        <w:rPr>
          <w:rFonts w:ascii="Times New Roman" w:hAnsi="Times New Roman" w:cs="Times New Roman" w:eastAsia="Times New Roman" w:hint="default"/>
          <w:spacing w:val="-1"/>
        </w:rPr>
        <w:t>NFV</w:t>
      </w:r>
      <w:r>
        <w:rPr>
          <w:spacing w:val="-1"/>
        </w:rPr>
        <w:t>等技术发展</w:t>
      </w:r>
    </w:p>
    <w:p>
      <w:pPr>
        <w:pStyle w:val="BodyText"/>
        <w:spacing w:line="451" w:lineRule="auto" w:before="43"/>
        <w:ind w:right="1128"/>
        <w:jc w:val="both"/>
      </w:pPr>
      <w:r>
        <w:rPr>
          <w:spacing w:val="-1"/>
        </w:rPr>
        <w:t>的推动下，</w:t>
      </w:r>
      <w:r>
        <w:rPr>
          <w:rFonts w:ascii="Times New Roman" w:hAnsi="Times New Roman" w:cs="Times New Roman" w:eastAsia="Times New Roman" w:hint="default"/>
          <w:spacing w:val="-1"/>
        </w:rPr>
        <w:t>ICT</w:t>
      </w:r>
      <w:r>
        <w:rPr>
          <w:spacing w:val="-1"/>
        </w:rPr>
        <w:t>融合方向和路线已有共识，传统软硬件一体、专用的</w:t>
      </w:r>
      <w:r>
        <w:rPr>
          <w:rFonts w:ascii="Times New Roman" w:hAnsi="Times New Roman" w:cs="Times New Roman" w:eastAsia="Times New Roman" w:hint="default"/>
          <w:spacing w:val="-1"/>
        </w:rPr>
        <w:t>CT</w:t>
      </w:r>
      <w:r>
        <w:rPr>
          <w:spacing w:val="-1"/>
        </w:rPr>
        <w:t>设备和技术，会逐步演进为部署在通用、弹性的</w:t>
      </w:r>
      <w:r>
        <w:rPr>
          <w:rFonts w:ascii="Times New Roman" w:hAnsi="Times New Roman" w:cs="Times New Roman" w:eastAsia="Times New Roman" w:hint="default"/>
          <w:spacing w:val="-1"/>
        </w:rPr>
        <w:t>IT</w:t>
      </w:r>
      <w:r>
        <w:rPr>
          <w:spacing w:val="-1"/>
        </w:rPr>
        <w:t>基</w:t>
      </w:r>
      <w:r>
        <w:rPr/>
        <w:t> 础设施之上的软件系统，融合到</w:t>
      </w:r>
      <w:r>
        <w:rPr>
          <w:rFonts w:ascii="Times New Roman" w:hAnsi="Times New Roman" w:cs="Times New Roman" w:eastAsia="Times New Roman" w:hint="default"/>
        </w:rPr>
        <w:t>IT</w:t>
      </w:r>
      <w:r>
        <w:rPr/>
        <w:t>体系架构中。公司作为</w:t>
      </w:r>
      <w:r>
        <w:rPr>
          <w:rFonts w:ascii="Times New Roman" w:hAnsi="Times New Roman" w:cs="Times New Roman" w:eastAsia="Times New Roman" w:hint="default"/>
        </w:rPr>
        <w:t>IT</w:t>
      </w:r>
      <w:r>
        <w:rPr/>
        <w:t>运营管理领域的优势厂商，与传输、话务等传统</w:t>
      </w:r>
      <w:r>
        <w:rPr>
          <w:rFonts w:ascii="Times New Roman" w:hAnsi="Times New Roman" w:cs="Times New Roman" w:eastAsia="Times New Roman" w:hint="default"/>
        </w:rPr>
        <w:t>CT</w:t>
      </w:r>
      <w:r>
        <w:rPr/>
        <w:t>运营管理厂</w:t>
      </w:r>
      <w:r>
        <w:rPr>
          <w:spacing w:val="-32"/>
        </w:rPr>
        <w:t> </w:t>
      </w:r>
      <w:r>
        <w:rPr>
          <w:spacing w:val="-1"/>
        </w:rPr>
        <w:t>商相比，更为适应</w:t>
      </w:r>
      <w:r>
        <w:rPr>
          <w:rFonts w:ascii="Times New Roman" w:hAnsi="Times New Roman" w:cs="Times New Roman" w:eastAsia="Times New Roman" w:hint="default"/>
          <w:spacing w:val="-1"/>
        </w:rPr>
        <w:t>ICT</w:t>
      </w:r>
      <w:r>
        <w:rPr>
          <w:spacing w:val="-1"/>
        </w:rPr>
        <w:t>融合环境下的运营管理要求，拥有更大的竞争优势。随着</w:t>
      </w:r>
      <w:r>
        <w:rPr>
          <w:rFonts w:ascii="Times New Roman" w:hAnsi="Times New Roman" w:cs="Times New Roman" w:eastAsia="Times New Roman" w:hint="default"/>
          <w:spacing w:val="-1"/>
        </w:rPr>
        <w:t>ICT</w:t>
      </w:r>
      <w:r>
        <w:rPr>
          <w:spacing w:val="-1"/>
        </w:rPr>
        <w:t>技术应用的日益广泛、</w:t>
      </w:r>
      <w:r>
        <w:rPr>
          <w:rFonts w:ascii="Times New Roman" w:hAnsi="Times New Roman" w:cs="Times New Roman" w:eastAsia="Times New Roman" w:hint="default"/>
          <w:spacing w:val="-1"/>
        </w:rPr>
        <w:t>ICT</w:t>
      </w:r>
      <w:r>
        <w:rPr>
          <w:spacing w:val="-1"/>
        </w:rPr>
        <w:t>融合技术架构</w:t>
      </w:r>
      <w:r>
        <w:rPr>
          <w:spacing w:val="-87"/>
        </w:rPr>
        <w:t> </w:t>
      </w:r>
      <w:r>
        <w:rPr>
          <w:spacing w:val="-1"/>
        </w:rPr>
        <w:t>的颠覆性演进，对运营管理软件和服务的需求越来越刚性、业务粘性越来越强、需求范围越来越广，</w:t>
      </w:r>
      <w:r>
        <w:rPr>
          <w:rFonts w:ascii="Times New Roman" w:hAnsi="Times New Roman" w:cs="Times New Roman" w:eastAsia="Times New Roman" w:hint="default"/>
          <w:spacing w:val="-1"/>
        </w:rPr>
        <w:t>ICT</w:t>
      </w:r>
      <w:r>
        <w:rPr>
          <w:spacing w:val="-1"/>
        </w:rPr>
        <w:t>运营管理软件和服</w:t>
      </w:r>
      <w:r>
        <w:rPr>
          <w:spacing w:val="-53"/>
        </w:rPr>
        <w:t> </w:t>
      </w:r>
      <w:r>
        <w:rPr>
          <w:spacing w:val="-53"/>
        </w:rPr>
      </w:r>
      <w:r>
        <w:rPr/>
        <w:t>务市场空间会保持持续、稳定、并不断扩大。</w:t>
      </w:r>
    </w:p>
    <w:p>
      <w:pPr>
        <w:pStyle w:val="BodyText"/>
        <w:spacing w:line="451" w:lineRule="auto" w:before="74"/>
        <w:ind w:right="1033" w:firstLine="360"/>
        <w:jc w:val="left"/>
      </w:pPr>
      <w:r>
        <w:rPr>
          <w:spacing w:val="-4"/>
        </w:rPr>
        <w:t>在</w:t>
      </w:r>
      <w:r>
        <w:rPr>
          <w:rFonts w:ascii="Times New Roman" w:hAnsi="Times New Roman" w:cs="Times New Roman" w:eastAsia="Times New Roman" w:hint="default"/>
          <w:spacing w:val="-4"/>
        </w:rPr>
        <w:t>IT</w:t>
      </w:r>
      <w:r>
        <w:rPr>
          <w:spacing w:val="-4"/>
        </w:rPr>
        <w:t>领域，基于</w:t>
      </w:r>
      <w:r>
        <w:rPr>
          <w:rFonts w:ascii="Times New Roman" w:hAnsi="Times New Roman" w:cs="Times New Roman" w:eastAsia="Times New Roman" w:hint="default"/>
          <w:spacing w:val="-4"/>
        </w:rPr>
        <w:t>X86</w:t>
      </w:r>
      <w:r>
        <w:rPr>
          <w:spacing w:val="-4"/>
        </w:rPr>
        <w:t>设备的私有、公有和混合云，逐渐取代传统小型机，成为各单位主流</w:t>
      </w:r>
      <w:r>
        <w:rPr>
          <w:rFonts w:ascii="Times New Roman" w:hAnsi="Times New Roman" w:cs="Times New Roman" w:eastAsia="Times New Roman" w:hint="default"/>
          <w:spacing w:val="-4"/>
        </w:rPr>
        <w:t>IT</w:t>
      </w:r>
      <w:r>
        <w:rPr>
          <w:spacing w:val="-4"/>
        </w:rPr>
        <w:t>基础设施；基于分布式计算、</w:t>
      </w:r>
      <w:r>
        <w:rPr/>
        <w:t> 分布式存储软件技术构建的业务系统，逐步代替传统三层架构，成为主流的云化应用架构；采用</w:t>
      </w:r>
      <w:r>
        <w:rPr>
          <w:rFonts w:ascii="Times New Roman" w:hAnsi="Times New Roman" w:cs="Times New Roman" w:eastAsia="Times New Roman" w:hint="default"/>
        </w:rPr>
        <w:t>SDN</w:t>
      </w:r>
      <w:r>
        <w:rPr/>
        <w:t>技术实现软件和硬件、</w:t>
      </w:r>
      <w:r>
        <w:rPr>
          <w:spacing w:val="-84"/>
        </w:rPr>
        <w:t> </w:t>
      </w:r>
      <w:r>
        <w:rPr>
          <w:spacing w:val="-84"/>
        </w:rPr>
      </w:r>
      <w:r>
        <w:rPr/>
        <w:t>控制和转发的解耦，构建更为灵活、安全、可精细管控的网络，已成为业界共识和重要发展方向。在</w:t>
      </w:r>
      <w:r>
        <w:rPr>
          <w:rFonts w:ascii="Times New Roman" w:hAnsi="Times New Roman" w:cs="Times New Roman" w:eastAsia="Times New Roman" w:hint="default"/>
        </w:rPr>
        <w:t>CT</w:t>
      </w:r>
      <w:r>
        <w:rPr/>
        <w:t>领域，采用</w:t>
      </w:r>
      <w:r>
        <w:rPr>
          <w:rFonts w:ascii="Times New Roman" w:hAnsi="Times New Roman" w:cs="Times New Roman" w:eastAsia="Times New Roman" w:hint="default"/>
        </w:rPr>
        <w:t>NFV</w:t>
      </w:r>
      <w:r>
        <w:rPr/>
        <w:t>技</w:t>
      </w:r>
      <w:r>
        <w:rPr>
          <w:spacing w:val="-48"/>
        </w:rPr>
        <w:t> </w:t>
      </w:r>
      <w:r>
        <w:rPr>
          <w:spacing w:val="-2"/>
        </w:rPr>
        <w:t>术实现电信设备软硬件分离不仅只是业界共识，已经成为各运营商的重要战略举措。美国</w:t>
      </w:r>
      <w:r>
        <w:rPr>
          <w:rFonts w:ascii="Times New Roman" w:hAnsi="Times New Roman" w:cs="Times New Roman" w:eastAsia="Times New Roman" w:hint="default"/>
          <w:spacing w:val="-2"/>
        </w:rPr>
        <w:t>AT&amp;T</w:t>
      </w:r>
      <w:r>
        <w:rPr>
          <w:spacing w:val="-2"/>
        </w:rPr>
        <w:t>在短短</w:t>
      </w:r>
      <w:r>
        <w:rPr>
          <w:rFonts w:ascii="Times New Roman" w:hAnsi="Times New Roman" w:cs="Times New Roman" w:eastAsia="Times New Roman" w:hint="default"/>
          <w:spacing w:val="-2"/>
        </w:rPr>
        <w:t>2</w:t>
      </w:r>
      <w:r>
        <w:rPr>
          <w:spacing w:val="-2"/>
        </w:rPr>
        <w:t>年内已经完成了</w:t>
      </w:r>
      <w:r>
        <w:rPr>
          <w:rFonts w:ascii="Times New Roman" w:hAnsi="Times New Roman" w:cs="Times New Roman" w:eastAsia="Times New Roman" w:hint="default"/>
          <w:spacing w:val="-2"/>
        </w:rPr>
        <w:t>40%</w:t>
      </w:r>
      <w:r>
        <w:rPr>
          <w:rFonts w:ascii="Times New Roman" w:hAnsi="Times New Roman" w:cs="Times New Roman" w:eastAsia="Times New Roman" w:hint="default"/>
          <w:spacing w:val="-24"/>
        </w:rPr>
        <w:t> </w:t>
      </w:r>
      <w:r>
        <w:rPr/>
        <w:t>以上网元的</w:t>
      </w:r>
      <w:r>
        <w:rPr>
          <w:rFonts w:ascii="Times New Roman" w:hAnsi="Times New Roman" w:cs="Times New Roman" w:eastAsia="Times New Roman" w:hint="default"/>
        </w:rPr>
        <w:t>NFV</w:t>
      </w:r>
      <w:r>
        <w:rPr/>
        <w:t>化，我国各运营商就</w:t>
      </w:r>
      <w:r>
        <w:rPr>
          <w:rFonts w:ascii="Times New Roman" w:hAnsi="Times New Roman" w:cs="Times New Roman" w:eastAsia="Times New Roman" w:hint="default"/>
        </w:rPr>
        <w:t>NFV</w:t>
      </w:r>
      <w:r>
        <w:rPr/>
        <w:t>应用的领域、推进步调均有具体规划。</w:t>
      </w:r>
    </w:p>
    <w:p>
      <w:pPr>
        <w:pStyle w:val="BodyText"/>
        <w:spacing w:line="451" w:lineRule="auto" w:before="43"/>
        <w:ind w:right="1033" w:firstLine="360"/>
        <w:jc w:val="left"/>
      </w:pPr>
      <w:r>
        <w:rPr/>
        <w:t>从发展趋势看，传统的</w:t>
      </w:r>
      <w:r>
        <w:rPr>
          <w:rFonts w:ascii="Times New Roman" w:hAnsi="Times New Roman" w:cs="Times New Roman" w:eastAsia="Times New Roman" w:hint="default"/>
        </w:rPr>
        <w:t>IOE</w:t>
      </w:r>
      <w:r>
        <w:rPr/>
        <w:t>（</w:t>
      </w:r>
      <w:r>
        <w:rPr>
          <w:rFonts w:ascii="Times New Roman" w:hAnsi="Times New Roman" w:cs="Times New Roman" w:eastAsia="Times New Roman" w:hint="default"/>
        </w:rPr>
        <w:t>IBM</w:t>
      </w:r>
      <w:r>
        <w:rPr/>
        <w:t>、</w:t>
      </w:r>
      <w:r>
        <w:rPr>
          <w:rFonts w:ascii="Times New Roman" w:hAnsi="Times New Roman" w:cs="Times New Roman" w:eastAsia="Times New Roman" w:hint="default"/>
        </w:rPr>
        <w:t>Oracle</w:t>
      </w:r>
      <w:r>
        <w:rPr/>
        <w:t>、</w:t>
      </w:r>
      <w:r>
        <w:rPr>
          <w:rFonts w:ascii="Times New Roman" w:hAnsi="Times New Roman" w:cs="Times New Roman" w:eastAsia="Times New Roman" w:hint="default"/>
        </w:rPr>
        <w:t>EMC</w:t>
      </w:r>
      <w:r>
        <w:rPr/>
        <w:t>）架构和设备、传统电信设备都将逐渐淡出历史舞台。可以设想，在 不远的将来，</w:t>
      </w:r>
      <w:r>
        <w:rPr>
          <w:rFonts w:ascii="Times New Roman" w:hAnsi="Times New Roman" w:cs="Times New Roman" w:eastAsia="Times New Roman" w:hint="default"/>
        </w:rPr>
        <w:t>ICT</w:t>
      </w:r>
      <w:r>
        <w:rPr/>
        <w:t>环境会演进为标准、统一、云化的</w:t>
      </w:r>
      <w:r>
        <w:rPr>
          <w:rFonts w:ascii="Times New Roman" w:hAnsi="Times New Roman" w:cs="Times New Roman" w:eastAsia="Times New Roman" w:hint="default"/>
        </w:rPr>
        <w:t>IT</w:t>
      </w:r>
      <w:r>
        <w:rPr/>
        <w:t>基础设施，承载分布式、多样化的</w:t>
      </w:r>
      <w:r>
        <w:rPr>
          <w:rFonts w:ascii="Times New Roman" w:hAnsi="Times New Roman" w:cs="Times New Roman" w:eastAsia="Times New Roman" w:hint="default"/>
        </w:rPr>
        <w:t>ICT</w:t>
      </w:r>
      <w:r>
        <w:rPr/>
        <w:t>业务应用软件的模式。</w:t>
      </w:r>
      <w:r>
        <w:rPr>
          <w:rFonts w:ascii="Times New Roman" w:hAnsi="Times New Roman" w:cs="Times New Roman" w:eastAsia="Times New Roman" w:hint="default"/>
        </w:rPr>
        <w:t>IT</w:t>
      </w:r>
      <w:r>
        <w:rPr/>
        <w:t>基础</w:t>
      </w:r>
      <w:r>
        <w:rPr>
          <w:spacing w:val="-20"/>
        </w:rPr>
        <w:t> </w:t>
      </w:r>
      <w:r>
        <w:rPr/>
        <w:t>设施以</w:t>
      </w:r>
      <w:r>
        <w:rPr>
          <w:rFonts w:ascii="Times New Roman" w:hAnsi="Times New Roman" w:cs="Times New Roman" w:eastAsia="Times New Roman" w:hint="default"/>
        </w:rPr>
        <w:t>SDDC(</w:t>
      </w:r>
      <w:r>
        <w:rPr/>
        <w:t>软件定义数据中心</w:t>
      </w:r>
      <w:r>
        <w:rPr>
          <w:rFonts w:ascii="Times New Roman" w:hAnsi="Times New Roman" w:cs="Times New Roman" w:eastAsia="Times New Roman" w:hint="default"/>
        </w:rPr>
        <w:t>)</w:t>
      </w:r>
      <w:r>
        <w:rPr/>
        <w:t>和</w:t>
      </w:r>
      <w:r>
        <w:rPr>
          <w:rFonts w:ascii="Times New Roman" w:hAnsi="Times New Roman" w:cs="Times New Roman" w:eastAsia="Times New Roman" w:hint="default"/>
        </w:rPr>
        <w:t>SDN(</w:t>
      </w:r>
      <w:r>
        <w:rPr/>
        <w:t>软件定义网络</w:t>
      </w:r>
      <w:r>
        <w:rPr>
          <w:rFonts w:ascii="Times New Roman" w:hAnsi="Times New Roman" w:cs="Times New Roman" w:eastAsia="Times New Roman" w:hint="default"/>
        </w:rPr>
        <w:t>)</w:t>
      </w:r>
      <w:r>
        <w:rPr/>
        <w:t>为载体，提供标准的计算资源、网络资源和存储资源，形成公有云、</w:t>
      </w:r>
      <w:r>
        <w:rPr>
          <w:spacing w:val="-84"/>
        </w:rPr>
        <w:t> </w:t>
      </w:r>
      <w:r>
        <w:rPr>
          <w:spacing w:val="-84"/>
        </w:rPr>
      </w:r>
      <w:r>
        <w:rPr/>
        <w:t>私有云和混合云；</w:t>
      </w:r>
      <w:r>
        <w:rPr>
          <w:rFonts w:ascii="Times New Roman" w:hAnsi="Times New Roman" w:cs="Times New Roman" w:eastAsia="Times New Roman" w:hint="default"/>
        </w:rPr>
        <w:t>ICT</w:t>
      </w:r>
      <w:r>
        <w:rPr/>
        <w:t>业务应用软件既包括门户网站、</w:t>
      </w:r>
      <w:r>
        <w:rPr>
          <w:rFonts w:ascii="Times New Roman" w:hAnsi="Times New Roman" w:cs="Times New Roman" w:eastAsia="Times New Roman" w:hint="default"/>
        </w:rPr>
        <w:t>ERP</w:t>
      </w:r>
      <w:r>
        <w:rPr/>
        <w:t>、</w:t>
      </w:r>
      <w:r>
        <w:rPr>
          <w:rFonts w:ascii="Times New Roman" w:hAnsi="Times New Roman" w:cs="Times New Roman" w:eastAsia="Times New Roman" w:hint="default"/>
        </w:rPr>
        <w:t>CRM</w:t>
      </w:r>
      <w:r>
        <w:rPr/>
        <w:t>等传统</w:t>
      </w:r>
      <w:r>
        <w:rPr>
          <w:rFonts w:ascii="Times New Roman" w:hAnsi="Times New Roman" w:cs="Times New Roman" w:eastAsia="Times New Roman" w:hint="default"/>
        </w:rPr>
        <w:t>IT</w:t>
      </w:r>
      <w:r>
        <w:rPr/>
        <w:t>应用，也包括话音、短信等传统</w:t>
      </w:r>
      <w:r>
        <w:rPr>
          <w:rFonts w:ascii="Times New Roman" w:hAnsi="Times New Roman" w:cs="Times New Roman" w:eastAsia="Times New Roman" w:hint="default"/>
        </w:rPr>
        <w:t>CT</w:t>
      </w:r>
      <w:r>
        <w:rPr/>
        <w:t>业务，他们可 在不同云之间按需迁移、按需扩容</w:t>
      </w:r>
      <w:r>
        <w:rPr>
          <w:rFonts w:ascii="Times New Roman" w:hAnsi="Times New Roman" w:cs="Times New Roman" w:eastAsia="Times New Roman" w:hint="default"/>
        </w:rPr>
        <w:t>/</w:t>
      </w:r>
      <w:r>
        <w:rPr/>
        <w:t>缩容、按需调整网络带宽和质量。不同业务应用之间，通过微服务、</w:t>
      </w:r>
      <w:r>
        <w:rPr>
          <w:rFonts w:ascii="Times New Roman" w:hAnsi="Times New Roman" w:cs="Times New Roman" w:eastAsia="Times New Roman" w:hint="default"/>
        </w:rPr>
        <w:t>PAAS</w:t>
      </w:r>
      <w:r>
        <w:rPr/>
        <w:t>等方式形成相 互依托、相互服务、错综复杂的业务网络。</w:t>
      </w:r>
    </w:p>
    <w:p>
      <w:pPr>
        <w:spacing w:line="451" w:lineRule="auto" w:before="74"/>
        <w:ind w:left="1133" w:right="1132" w:firstLine="361"/>
        <w:jc w:val="both"/>
        <w:rPr>
          <w:rFonts w:ascii="宋体" w:hAnsi="宋体" w:cs="宋体" w:eastAsia="宋体" w:hint="default"/>
          <w:sz w:val="18"/>
          <w:szCs w:val="18"/>
        </w:rPr>
      </w:pPr>
      <w:r>
        <w:rPr>
          <w:rFonts w:ascii="Times New Roman" w:hAnsi="Times New Roman" w:cs="Times New Roman" w:eastAsia="Times New Roman" w:hint="default"/>
          <w:b/>
          <w:bCs/>
          <w:spacing w:val="-5"/>
          <w:w w:val="99"/>
          <w:sz w:val="18"/>
          <w:szCs w:val="18"/>
        </w:rPr>
        <w:t>ICT</w:t>
      </w:r>
      <w:r>
        <w:rPr>
          <w:rFonts w:ascii="宋体" w:hAnsi="宋体" w:cs="宋体" w:eastAsia="宋体" w:hint="default"/>
          <w:b/>
          <w:bCs/>
          <w:spacing w:val="-5"/>
          <w:w w:val="99"/>
          <w:sz w:val="18"/>
          <w:szCs w:val="18"/>
        </w:rPr>
        <w:t>运营管理是公司传统核心业务，连续八年蝉联中国</w:t>
      </w:r>
      <w:r>
        <w:rPr>
          <w:rFonts w:ascii="Times New Roman" w:hAnsi="Times New Roman" w:cs="Times New Roman" w:eastAsia="Times New Roman" w:hint="default"/>
          <w:b/>
          <w:bCs/>
          <w:spacing w:val="-5"/>
          <w:w w:val="99"/>
          <w:sz w:val="18"/>
          <w:szCs w:val="18"/>
        </w:rPr>
        <w:t>IT</w:t>
      </w:r>
      <w:r>
        <w:rPr>
          <w:rFonts w:ascii="宋体" w:hAnsi="宋体" w:cs="宋体" w:eastAsia="宋体" w:hint="default"/>
          <w:b/>
          <w:bCs/>
          <w:spacing w:val="-5"/>
          <w:w w:val="99"/>
          <w:sz w:val="18"/>
          <w:szCs w:val="18"/>
        </w:rPr>
        <w:t>服务管理市场占有率榜首，一直处于国内领先水平。</w:t>
      </w:r>
      <w:r>
        <w:rPr>
          <w:rFonts w:ascii="宋体" w:hAnsi="宋体" w:cs="宋体" w:eastAsia="宋体" w:hint="default"/>
          <w:spacing w:val="-5"/>
          <w:w w:val="99"/>
          <w:sz w:val="18"/>
          <w:szCs w:val="18"/>
        </w:rPr>
        <w:t>公司从</w:t>
      </w:r>
      <w:r>
        <w:rPr>
          <w:rFonts w:ascii="Times New Roman" w:hAnsi="Times New Roman" w:cs="Times New Roman" w:eastAsia="Times New Roman" w:hint="default"/>
          <w:spacing w:val="-5"/>
          <w:w w:val="99"/>
          <w:sz w:val="18"/>
          <w:szCs w:val="18"/>
        </w:rPr>
        <w:t>2013</w:t>
      </w:r>
      <w:r>
        <w:rPr>
          <w:rFonts w:ascii="Times New Roman" w:hAnsi="Times New Roman" w:cs="Times New Roman" w:eastAsia="Times New Roman" w:hint="default"/>
          <w:sz w:val="18"/>
          <w:szCs w:val="18"/>
        </w:rPr>
        <w:t> </w:t>
      </w:r>
      <w:r>
        <w:rPr>
          <w:rFonts w:ascii="宋体" w:hAnsi="宋体" w:cs="宋体" w:eastAsia="宋体" w:hint="default"/>
          <w:sz w:val="18"/>
          <w:szCs w:val="18"/>
        </w:rPr>
        <w:t>年开始布局大数据和人工智能，在语义认知方面占据优势地位。公司积极布局</w:t>
      </w:r>
      <w:r>
        <w:rPr>
          <w:rFonts w:ascii="Times New Roman" w:hAnsi="Times New Roman" w:cs="Times New Roman" w:eastAsia="Times New Roman" w:hint="default"/>
          <w:sz w:val="18"/>
          <w:szCs w:val="18"/>
        </w:rPr>
        <w:t>“</w:t>
      </w:r>
      <w:r>
        <w:rPr>
          <w:rFonts w:ascii="宋体" w:hAnsi="宋体" w:cs="宋体" w:eastAsia="宋体" w:hint="default"/>
          <w:sz w:val="18"/>
          <w:szCs w:val="18"/>
        </w:rPr>
        <w:t>新兴</w:t>
      </w:r>
      <w:r>
        <w:rPr>
          <w:rFonts w:ascii="Times New Roman" w:hAnsi="Times New Roman" w:cs="Times New Roman" w:eastAsia="Times New Roman" w:hint="default"/>
          <w:sz w:val="18"/>
          <w:szCs w:val="18"/>
        </w:rPr>
        <w:t>ICT</w:t>
      </w:r>
      <w:r>
        <w:rPr>
          <w:rFonts w:ascii="宋体" w:hAnsi="宋体" w:cs="宋体" w:eastAsia="宋体" w:hint="default"/>
          <w:sz w:val="18"/>
          <w:szCs w:val="18"/>
        </w:rPr>
        <w:t>架构的运营管理、研发运维一体化</w:t>
      </w:r>
      <w:r>
        <w:rPr>
          <w:rFonts w:ascii="宋体" w:hAnsi="宋体" w:cs="宋体" w:eastAsia="宋体" w:hint="default"/>
          <w:spacing w:val="-14"/>
          <w:sz w:val="18"/>
          <w:szCs w:val="18"/>
        </w:rPr>
        <w:t> </w:t>
      </w:r>
      <w:r>
        <w:rPr>
          <w:rFonts w:ascii="宋体" w:hAnsi="宋体" w:cs="宋体" w:eastAsia="宋体" w:hint="default"/>
          <w:spacing w:val="-14"/>
          <w:sz w:val="18"/>
          <w:szCs w:val="18"/>
        </w:rPr>
      </w:r>
      <w:r>
        <w:rPr>
          <w:rFonts w:ascii="宋体" w:hAnsi="宋体" w:cs="宋体" w:eastAsia="宋体" w:hint="default"/>
          <w:spacing w:val="-1"/>
          <w:sz w:val="18"/>
          <w:szCs w:val="18"/>
        </w:rPr>
        <w:t>管理（</w:t>
      </w:r>
      <w:r>
        <w:rPr>
          <w:rFonts w:ascii="Times New Roman" w:hAnsi="Times New Roman" w:cs="Times New Roman" w:eastAsia="Times New Roman" w:hint="default"/>
          <w:spacing w:val="-1"/>
          <w:sz w:val="18"/>
          <w:szCs w:val="18"/>
        </w:rPr>
        <w:t>DevOps</w:t>
      </w:r>
      <w:r>
        <w:rPr>
          <w:rFonts w:ascii="宋体" w:hAnsi="宋体" w:cs="宋体" w:eastAsia="宋体" w:hint="default"/>
          <w:spacing w:val="-1"/>
          <w:sz w:val="18"/>
          <w:szCs w:val="18"/>
        </w:rPr>
        <w:t>）、运营管理智能化</w:t>
      </w:r>
      <w:r>
        <w:rPr>
          <w:rFonts w:ascii="Times New Roman" w:hAnsi="Times New Roman" w:cs="Times New Roman" w:eastAsia="Times New Roman" w:hint="default"/>
          <w:spacing w:val="-1"/>
          <w:sz w:val="18"/>
          <w:szCs w:val="18"/>
        </w:rPr>
        <w:t>(AIOps)</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等细分领域，在</w:t>
      </w:r>
      <w:r>
        <w:rPr>
          <w:rFonts w:ascii="Times New Roman" w:hAnsi="Times New Roman" w:cs="Times New Roman" w:eastAsia="Times New Roman" w:hint="default"/>
          <w:spacing w:val="-1"/>
          <w:sz w:val="18"/>
          <w:szCs w:val="18"/>
        </w:rPr>
        <w:t>ICT</w:t>
      </w:r>
      <w:r>
        <w:rPr>
          <w:rFonts w:ascii="宋体" w:hAnsi="宋体" w:cs="宋体" w:eastAsia="宋体" w:hint="default"/>
          <w:spacing w:val="-1"/>
          <w:sz w:val="18"/>
          <w:szCs w:val="18"/>
        </w:rPr>
        <w:t>剧烈变化过程中保持了运营管理领域的领导地位，保证了稳</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定的营收来源，同时协同支持了人工智能、物联网两大新兴板块。</w:t>
      </w: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3"/>
          <w:szCs w:val="23"/>
        </w:rPr>
      </w:pPr>
    </w:p>
    <w:p>
      <w:pPr>
        <w:pStyle w:val="Heading4"/>
        <w:spacing w:line="240" w:lineRule="auto"/>
        <w:ind w:right="0"/>
        <w:jc w:val="left"/>
        <w:rPr>
          <w:b w:val="0"/>
          <w:bCs w:val="0"/>
        </w:rPr>
      </w:pPr>
      <w:r>
        <w:rPr>
          <w:rFonts w:ascii="Times New Roman" w:hAnsi="Times New Roman" w:cs="Times New Roman" w:eastAsia="Times New Roman" w:hint="default"/>
        </w:rPr>
        <w:t>4</w:t>
      </w:r>
      <w:r>
        <w:rPr/>
        <w:t>、手机游戏行业发展趋势</w:t>
      </w:r>
      <w:r>
        <w:rPr>
          <w:b w:val="0"/>
          <w:bCs w:val="0"/>
        </w:rPr>
      </w:r>
    </w:p>
    <w:p>
      <w:pPr>
        <w:spacing w:line="240" w:lineRule="auto" w:before="9"/>
        <w:rPr>
          <w:rFonts w:ascii="宋体" w:hAnsi="宋体" w:cs="宋体" w:eastAsia="宋体" w:hint="default"/>
          <w:b/>
          <w:bCs/>
          <w:sz w:val="16"/>
          <w:szCs w:val="16"/>
        </w:rPr>
      </w:pPr>
    </w:p>
    <w:p>
      <w:pPr>
        <w:pStyle w:val="BodyText"/>
        <w:spacing w:line="460" w:lineRule="auto"/>
        <w:ind w:right="1130" w:firstLine="360"/>
        <w:jc w:val="both"/>
      </w:pPr>
      <w:r>
        <w:rPr/>
        <w:t>根据分析机构</w:t>
      </w:r>
      <w:r>
        <w:rPr>
          <w:spacing w:val="-57"/>
        </w:rPr>
        <w:t> </w:t>
      </w:r>
      <w:r>
        <w:rPr>
          <w:rFonts w:ascii="Times New Roman" w:hAnsi="Times New Roman" w:cs="Times New Roman" w:eastAsia="Times New Roman" w:hint="default"/>
        </w:rPr>
        <w:t>iiMedia</w:t>
      </w:r>
      <w:r>
        <w:rPr>
          <w:rFonts w:ascii="Times New Roman" w:hAnsi="Times New Roman" w:cs="Times New Roman" w:eastAsia="Times New Roman" w:hint="default"/>
          <w:spacing w:val="-10"/>
        </w:rPr>
        <w:t> </w:t>
      </w:r>
      <w:r>
        <w:rPr>
          <w:rFonts w:ascii="Times New Roman" w:hAnsi="Times New Roman" w:cs="Times New Roman" w:eastAsia="Times New Roman" w:hint="default"/>
        </w:rPr>
        <w:t>Research(</w:t>
      </w:r>
      <w:r>
        <w:rPr/>
        <w:t>艾媒咨询</w:t>
      </w:r>
      <w:r>
        <w:rPr>
          <w:rFonts w:ascii="Times New Roman" w:hAnsi="Times New Roman" w:cs="Times New Roman" w:eastAsia="Times New Roman" w:hint="default"/>
        </w:rPr>
        <w:t>)</w:t>
      </w:r>
      <w:r>
        <w:rPr/>
        <w:t>发布《</w:t>
      </w:r>
      <w:r>
        <w:rPr>
          <w:rFonts w:ascii="Times New Roman" w:hAnsi="Times New Roman" w:cs="Times New Roman" w:eastAsia="Times New Roman" w:hint="default"/>
        </w:rPr>
        <w:t>2017-2018</w:t>
      </w:r>
      <w:r>
        <w:rPr>
          <w:rFonts w:ascii="Times New Roman" w:hAnsi="Times New Roman" w:cs="Times New Roman" w:eastAsia="Times New Roman" w:hint="default"/>
          <w:spacing w:val="-12"/>
        </w:rPr>
        <w:t> </w:t>
      </w:r>
      <w:r>
        <w:rPr/>
        <w:t>年中国手机游戏市场研究报告》显示，</w:t>
      </w:r>
      <w:r>
        <w:rPr>
          <w:rFonts w:ascii="Times New Roman" w:hAnsi="Times New Roman" w:cs="Times New Roman" w:eastAsia="Times New Roman" w:hint="default"/>
        </w:rPr>
        <w:t>2017</w:t>
      </w:r>
      <w:r>
        <w:rPr>
          <w:rFonts w:ascii="Times New Roman" w:hAnsi="Times New Roman" w:cs="Times New Roman" w:eastAsia="Times New Roman" w:hint="default"/>
          <w:spacing w:val="-12"/>
        </w:rPr>
        <w:t> </w:t>
      </w:r>
      <w:r>
        <w:rPr/>
        <w:t>年中国手机游戏</w:t>
      </w:r>
      <w:r>
        <w:rPr>
          <w:w w:val="99"/>
        </w:rPr>
        <w:t> </w:t>
      </w:r>
      <w:r>
        <w:rPr/>
        <w:t>用户规模达</w:t>
      </w:r>
      <w:r>
        <w:rPr>
          <w:spacing w:val="-46"/>
        </w:rPr>
        <w:t> </w:t>
      </w:r>
      <w:r>
        <w:rPr>
          <w:rFonts w:ascii="Times New Roman" w:hAnsi="Times New Roman" w:cs="Times New Roman" w:eastAsia="Times New Roman" w:hint="default"/>
        </w:rPr>
        <w:t>5.44</w:t>
      </w:r>
      <w:r>
        <w:rPr>
          <w:rFonts w:ascii="Times New Roman" w:hAnsi="Times New Roman" w:cs="Times New Roman" w:eastAsia="Times New Roman" w:hint="default"/>
          <w:spacing w:val="-1"/>
        </w:rPr>
        <w:t> </w:t>
      </w:r>
      <w:r>
        <w:rPr>
          <w:spacing w:val="-4"/>
        </w:rPr>
        <w:t>亿人，</w:t>
      </w:r>
      <w:r>
        <w:rPr>
          <w:rFonts w:ascii="Times New Roman" w:hAnsi="Times New Roman" w:cs="Times New Roman" w:eastAsia="Times New Roman" w:hint="default"/>
          <w:spacing w:val="-4"/>
        </w:rPr>
        <w:t>2018</w:t>
      </w:r>
      <w:r>
        <w:rPr>
          <w:rFonts w:ascii="Times New Roman" w:hAnsi="Times New Roman" w:cs="Times New Roman" w:eastAsia="Times New Roman" w:hint="default"/>
        </w:rPr>
        <w:t> </w:t>
      </w:r>
      <w:r>
        <w:rPr/>
        <w:t>年预计将突破</w:t>
      </w:r>
      <w:r>
        <w:rPr>
          <w:spacing w:val="-46"/>
        </w:rPr>
        <w:t> </w:t>
      </w:r>
      <w:r>
        <w:rPr>
          <w:rFonts w:ascii="Times New Roman" w:hAnsi="Times New Roman" w:cs="Times New Roman" w:eastAsia="Times New Roman" w:hint="default"/>
        </w:rPr>
        <w:t>5.5</w:t>
      </w:r>
      <w:r>
        <w:rPr>
          <w:rFonts w:ascii="Times New Roman" w:hAnsi="Times New Roman" w:cs="Times New Roman" w:eastAsia="Times New Roman" w:hint="default"/>
          <w:spacing w:val="-1"/>
        </w:rPr>
        <w:t> </w:t>
      </w:r>
      <w:r>
        <w:rPr>
          <w:spacing w:val="-4"/>
        </w:rPr>
        <w:t>亿人。</w:t>
      </w:r>
      <w:r>
        <w:rPr>
          <w:rFonts w:ascii="Times New Roman" w:hAnsi="Times New Roman" w:cs="Times New Roman" w:eastAsia="Times New Roman" w:hint="default"/>
          <w:spacing w:val="-4"/>
        </w:rPr>
        <w:t>2017</w:t>
      </w:r>
      <w:r>
        <w:rPr>
          <w:rFonts w:ascii="Times New Roman" w:hAnsi="Times New Roman" w:cs="Times New Roman" w:eastAsia="Times New Roman" w:hint="default"/>
        </w:rPr>
        <w:t> </w:t>
      </w:r>
      <w:r>
        <w:rPr/>
        <w:t>年中国手机游戏市场规模达</w:t>
      </w:r>
      <w:r>
        <w:rPr>
          <w:spacing w:val="-46"/>
        </w:rPr>
        <w:t> </w:t>
      </w:r>
      <w:r>
        <w:rPr>
          <w:rFonts w:ascii="Times New Roman" w:hAnsi="Times New Roman" w:cs="Times New Roman" w:eastAsia="Times New Roman" w:hint="default"/>
        </w:rPr>
        <w:t>1150.8</w:t>
      </w:r>
      <w:r>
        <w:rPr>
          <w:rFonts w:ascii="Times New Roman" w:hAnsi="Times New Roman" w:cs="Times New Roman" w:eastAsia="Times New Roman" w:hint="default"/>
          <w:spacing w:val="-1"/>
        </w:rPr>
        <w:t> </w:t>
      </w:r>
      <w:r>
        <w:rPr>
          <w:spacing w:val="-4"/>
        </w:rPr>
        <w:t>亿元，</w:t>
      </w:r>
      <w:r>
        <w:rPr>
          <w:rFonts w:ascii="Times New Roman" w:hAnsi="Times New Roman" w:cs="Times New Roman" w:eastAsia="Times New Roman" w:hint="default"/>
          <w:spacing w:val="-4"/>
        </w:rPr>
        <w:t>2018</w:t>
      </w:r>
      <w:r>
        <w:rPr>
          <w:rFonts w:ascii="Times New Roman" w:hAnsi="Times New Roman" w:cs="Times New Roman" w:eastAsia="Times New Roman" w:hint="default"/>
          <w:spacing w:val="-1"/>
        </w:rPr>
        <w:t> </w:t>
      </w:r>
      <w:r>
        <w:rPr/>
        <w:t>年预计其市场规模</w:t>
      </w:r>
      <w:r>
        <w:rPr>
          <w:w w:val="99"/>
        </w:rPr>
        <w:t> </w:t>
      </w:r>
      <w:r>
        <w:rPr>
          <w:spacing w:val="-2"/>
        </w:rPr>
        <w:t>继续扩大，增速将有所放缓。艾媒咨询分析师认为，在全民娱乐的背景下，中国手游产业有望持续迎来发展良机，市场份额</w:t>
      </w:r>
      <w:r>
        <w:rPr>
          <w:spacing w:val="-67"/>
        </w:rPr>
        <w:t> </w:t>
      </w:r>
      <w:r>
        <w:rPr>
          <w:spacing w:val="-67"/>
        </w:rPr>
      </w:r>
      <w:r>
        <w:rPr/>
        <w:t>保持稳步增长。</w:t>
      </w:r>
    </w:p>
    <w:p>
      <w:pPr>
        <w:pStyle w:val="BodyText"/>
        <w:spacing w:line="451" w:lineRule="auto" w:before="67"/>
        <w:ind w:left="1134" w:right="0" w:firstLine="360"/>
        <w:jc w:val="left"/>
      </w:pPr>
      <w:r>
        <w:rPr/>
        <w:t>根据另一家数据公司中国音数协游戏工委与伽马数据（</w:t>
      </w:r>
      <w:r>
        <w:rPr>
          <w:rFonts w:ascii="Times New Roman" w:hAnsi="Times New Roman" w:cs="Times New Roman" w:eastAsia="Times New Roman" w:hint="default"/>
        </w:rPr>
        <w:t>CNG</w:t>
      </w:r>
      <w:r>
        <w:rPr/>
        <w:t>中新游戏研究）的数据表明，移动游戏市场在经过以往的 </w:t>
      </w:r>
      <w:r>
        <w:rPr>
          <w:spacing w:val="-2"/>
        </w:rPr>
        <w:t>快速扩张后，目前整体市场增速趋于缓和，随着大型企业增加在移动游戏领域的投入和布局，以及移动游戏行业相关监管政</w:t>
      </w:r>
    </w:p>
    <w:p>
      <w:pPr>
        <w:spacing w:after="0" w:line="451"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1131"/>
        <w:jc w:val="both"/>
      </w:pPr>
      <w:r>
        <w:rPr>
          <w:spacing w:val="-2"/>
        </w:rPr>
        <w:t>策的指导规范，移动游戏市场整体将会变得更加健康有序，精品化、规范化、正版化逐渐成为主流趋势。尽管从目前数据表</w:t>
      </w:r>
      <w:r>
        <w:rPr>
          <w:spacing w:val="-66"/>
        </w:rPr>
        <w:t> </w:t>
      </w:r>
      <w:r>
        <w:rPr>
          <w:spacing w:val="-66"/>
        </w:rPr>
      </w:r>
      <w:r>
        <w:rPr>
          <w:spacing w:val="-2"/>
        </w:rPr>
        <w:t>明，移动游戏市场的整体增速放缓，但是移动游戏市场需求仍然存在。相较于以往，在经历了同类型游戏产品的市场厮杀竞</w:t>
      </w:r>
      <w:r>
        <w:rPr>
          <w:spacing w:val="-66"/>
        </w:rPr>
        <w:t> </w:t>
      </w:r>
      <w:r>
        <w:rPr>
          <w:spacing w:val="-66"/>
        </w:rPr>
      </w:r>
      <w:r>
        <w:rPr>
          <w:spacing w:val="-2"/>
        </w:rPr>
        <w:t>争，用户对于自身游戏需求的认知更加清晰明确，玩家用户更加注重在游戏过程中的整体感受及玩法，移动游戏产品竞争更</w:t>
      </w:r>
      <w:r>
        <w:rPr>
          <w:spacing w:val="-66"/>
        </w:rPr>
        <w:t> </w:t>
      </w:r>
      <w:r>
        <w:rPr>
          <w:spacing w:val="-66"/>
        </w:rPr>
      </w:r>
      <w:r>
        <w:rPr>
          <w:spacing w:val="-2"/>
        </w:rPr>
        <w:t>加强调精细化；另外随着大型企业的布局与投入，部分中小型团队为了避免与其直接竞争，将研发及运营转向了更为细分化</w:t>
      </w:r>
      <w:r>
        <w:rPr>
          <w:spacing w:val="-66"/>
        </w:rPr>
        <w:t> </w:t>
      </w:r>
      <w:r>
        <w:rPr>
          <w:spacing w:val="-66"/>
        </w:rPr>
      </w:r>
      <w:r>
        <w:rPr/>
        <w:t>的市场环境。</w:t>
      </w:r>
    </w:p>
    <w:p>
      <w:pPr>
        <w:pStyle w:val="BodyText"/>
        <w:spacing w:line="477" w:lineRule="auto" w:before="54"/>
        <w:ind w:right="1133" w:firstLine="360"/>
        <w:jc w:val="both"/>
      </w:pPr>
      <w:r>
        <w:rPr>
          <w:spacing w:val="-2"/>
        </w:rPr>
        <w:t>公司手机游戏研发团队的策略主要致力于打造精品重度游戏，进行全球发行，虽然目前阶段手游市场整体增速放缓，竞</w:t>
      </w:r>
      <w:r>
        <w:rPr/>
        <w:t> </w:t>
      </w:r>
      <w:r>
        <w:rPr>
          <w:spacing w:val="-2"/>
        </w:rPr>
        <w:t>争激烈程度日益加强，游戏类别层出不穷，但重度游戏在移动游戏用户存量市场仍被越来越多的玩家所青睐，未来仍有良好</w:t>
      </w:r>
      <w:r>
        <w:rPr>
          <w:spacing w:val="-66"/>
        </w:rPr>
        <w:t> </w:t>
      </w:r>
      <w:r>
        <w:rPr>
          <w:spacing w:val="-66"/>
        </w:rPr>
      </w:r>
      <w:r>
        <w:rPr/>
        <w:t>的市场增长空间。</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pStyle w:val="Heading4"/>
        <w:spacing w:line="240" w:lineRule="auto"/>
        <w:ind w:right="0"/>
        <w:jc w:val="left"/>
        <w:rPr>
          <w:b w:val="0"/>
          <w:bCs w:val="0"/>
        </w:rPr>
      </w:pPr>
      <w:r>
        <w:rPr/>
        <w:t>（二）公司发展战略及</w:t>
      </w:r>
      <w:r>
        <w:rPr>
          <w:rFonts w:ascii="Times New Roman" w:hAnsi="Times New Roman" w:cs="Times New Roman" w:eastAsia="Times New Roman" w:hint="default"/>
        </w:rPr>
        <w:t>2018</w:t>
      </w:r>
      <w:r>
        <w:rPr/>
        <w:t>年经营计划</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left="1494" w:right="0" w:firstLine="1"/>
        <w:jc w:val="left"/>
      </w:pPr>
      <w:r>
        <w:rPr>
          <w:rFonts w:ascii="Times New Roman" w:hAnsi="Times New Roman" w:cs="Times New Roman" w:eastAsia="Times New Roman" w:hint="default"/>
          <w:b/>
          <w:bCs/>
        </w:rPr>
        <w:t>1</w:t>
      </w:r>
      <w:r>
        <w:rPr>
          <w:rFonts w:ascii="宋体" w:hAnsi="宋体" w:cs="宋体" w:eastAsia="宋体" w:hint="default"/>
          <w:b/>
          <w:bCs/>
        </w:rPr>
        <w:t>、公司发展战略</w:t>
      </w:r>
      <w:r>
        <w:rPr>
          <w:rFonts w:ascii="宋体" w:hAnsi="宋体" w:cs="宋体" w:eastAsia="宋体" w:hint="default"/>
          <w:b/>
          <w:bCs/>
          <w:w w:val="99"/>
        </w:rPr>
        <w:t> </w:t>
      </w:r>
      <w:r>
        <w:rPr>
          <w:spacing w:val="-2"/>
        </w:rPr>
        <w:t>公司将继续秉承</w:t>
      </w:r>
      <w:r>
        <w:rPr>
          <w:rFonts w:ascii="Times New Roman" w:hAnsi="Times New Roman" w:cs="Times New Roman" w:eastAsia="Times New Roman" w:hint="default"/>
          <w:spacing w:val="-2"/>
        </w:rPr>
        <w:t>“</w:t>
      </w:r>
      <w:r>
        <w:rPr>
          <w:spacing w:val="-2"/>
        </w:rPr>
        <w:t>聚焦信息产业、专业化经营、扁平化运作</w:t>
      </w:r>
      <w:r>
        <w:rPr>
          <w:rFonts w:ascii="Times New Roman" w:hAnsi="Times New Roman" w:cs="Times New Roman" w:eastAsia="Times New Roman" w:hint="default"/>
          <w:spacing w:val="-2"/>
        </w:rPr>
        <w:t>”</w:t>
      </w:r>
      <w:r>
        <w:rPr>
          <w:spacing w:val="-2"/>
        </w:rPr>
        <w:t>的经营策略，深耕细作、锐意进取、持续创新，积极推动从</w:t>
      </w:r>
    </w:p>
    <w:p>
      <w:pPr>
        <w:pStyle w:val="BodyText"/>
        <w:spacing w:line="451" w:lineRule="auto" w:before="43"/>
        <w:ind w:left="1134" w:right="1132"/>
        <w:jc w:val="both"/>
      </w:pPr>
      <w:r>
        <w:rPr>
          <w:rFonts w:ascii="Times New Roman" w:hAnsi="Times New Roman" w:cs="Times New Roman" w:eastAsia="Times New Roman" w:hint="default"/>
          <w:spacing w:val="-1"/>
        </w:rPr>
        <w:t>ICT</w:t>
      </w:r>
      <w:r>
        <w:rPr>
          <w:spacing w:val="-1"/>
        </w:rPr>
        <w:t>运营管理、手机游戏两大业绩支撑业务向人工智能大数据、物联网通信技术两大新战略业务转型的进程，并取得市场的</w:t>
      </w:r>
      <w:r>
        <w:rPr>
          <w:spacing w:val="-49"/>
        </w:rPr>
        <w:t> </w:t>
      </w:r>
      <w:r>
        <w:rPr>
          <w:spacing w:val="-49"/>
        </w:rPr>
      </w:r>
      <w:r>
        <w:rPr/>
        <w:t>规模化落地成果。</w:t>
      </w:r>
    </w:p>
    <w:p>
      <w:pPr>
        <w:pStyle w:val="Heading4"/>
        <w:spacing w:line="240" w:lineRule="auto" w:before="74"/>
        <w:ind w:right="0"/>
        <w:jc w:val="left"/>
        <w:rPr>
          <w:b w:val="0"/>
          <w:bCs w:val="0"/>
        </w:rPr>
      </w:pPr>
      <w:r>
        <w:rPr>
          <w:rFonts w:ascii="Times New Roman" w:hAnsi="Times New Roman" w:cs="Times New Roman" w:eastAsia="Times New Roman" w:hint="default"/>
        </w:rPr>
        <w:t>2</w:t>
      </w:r>
      <w:r>
        <w:rPr/>
        <w:t>、公司</w:t>
      </w:r>
      <w:r>
        <w:rPr>
          <w:rFonts w:ascii="Times New Roman" w:hAnsi="Times New Roman" w:cs="Times New Roman" w:eastAsia="Times New Roman" w:hint="default"/>
        </w:rPr>
        <w:t>2018</w:t>
      </w:r>
      <w:r>
        <w:rPr/>
        <w:t>年经营计划</w:t>
      </w:r>
      <w:r>
        <w:rPr>
          <w:b w:val="0"/>
          <w:bCs w:val="0"/>
        </w:rPr>
      </w:r>
    </w:p>
    <w:p>
      <w:pPr>
        <w:spacing w:line="240" w:lineRule="auto" w:before="10"/>
        <w:rPr>
          <w:rFonts w:ascii="宋体" w:hAnsi="宋体" w:cs="宋体" w:eastAsia="宋体" w:hint="default"/>
          <w:b/>
          <w:bCs/>
          <w:sz w:val="16"/>
          <w:szCs w:val="16"/>
        </w:rPr>
      </w:pPr>
    </w:p>
    <w:p>
      <w:pPr>
        <w:pStyle w:val="Heading4"/>
        <w:spacing w:line="240" w:lineRule="auto"/>
        <w:ind w:right="0"/>
        <w:jc w:val="left"/>
        <w:rPr>
          <w:b w:val="0"/>
          <w:bCs w:val="0"/>
        </w:rPr>
      </w:pPr>
      <w:r>
        <w:rPr/>
        <w:t>（</w:t>
      </w:r>
      <w:r>
        <w:rPr>
          <w:rFonts w:ascii="Times New Roman" w:hAnsi="Times New Roman" w:cs="Times New Roman" w:eastAsia="Times New Roman" w:hint="default"/>
        </w:rPr>
        <w:t>1</w:t>
      </w:r>
      <w:r>
        <w:rPr/>
        <w:t>）人工智能、大数据领域</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left="1134" w:right="1132" w:firstLine="360"/>
        <w:jc w:val="both"/>
      </w:pPr>
      <w:r>
        <w:rPr>
          <w:rFonts w:ascii="Times New Roman" w:hAnsi="Times New Roman" w:cs="Times New Roman" w:eastAsia="Times New Roman" w:hint="default"/>
          <w:spacing w:val="-2"/>
        </w:rPr>
        <w:t>2018</w:t>
      </w:r>
      <w:r>
        <w:rPr>
          <w:spacing w:val="-2"/>
        </w:rPr>
        <w:t>年公司将集中内外部优势资源、核心团队和市场力量进一步提升在人工智能</w:t>
      </w:r>
      <w:r>
        <w:rPr>
          <w:rFonts w:ascii="Times New Roman" w:hAnsi="Times New Roman" w:cs="Times New Roman" w:eastAsia="Times New Roman" w:hint="default"/>
          <w:spacing w:val="-2"/>
        </w:rPr>
        <w:t>NLP</w:t>
      </w:r>
      <w:r>
        <w:rPr>
          <w:spacing w:val="-2"/>
        </w:rPr>
        <w:t>领域的技术优势，进一步深化语义</w:t>
      </w:r>
      <w:r>
        <w:rPr/>
        <w:t> </w:t>
      </w:r>
      <w:r>
        <w:rPr>
          <w:spacing w:val="-2"/>
        </w:rPr>
        <w:t>认知技术的基础研究，以智慧语义分析能力的革新带动新一代大数据分析平台的实施，尤其是深入发掘海量的非结构化文本</w:t>
      </w:r>
      <w:r>
        <w:rPr>
          <w:spacing w:val="-64"/>
        </w:rPr>
        <w:t> </w:t>
      </w:r>
      <w:r>
        <w:rPr>
          <w:spacing w:val="-64"/>
        </w:rPr>
      </w:r>
      <w:r>
        <w:rPr/>
        <w:t>大数据的内涵价值，以及在各行各业的创新应用，为推动大数据产业发展，为数字中国战略贡献自身的一份力量。</w:t>
      </w:r>
    </w:p>
    <w:p>
      <w:pPr>
        <w:pStyle w:val="BodyText"/>
        <w:spacing w:line="463" w:lineRule="auto" w:before="65"/>
        <w:ind w:right="1033" w:firstLine="360"/>
        <w:jc w:val="left"/>
      </w:pPr>
      <w:r>
        <w:rPr/>
        <w:t>神州泰岳人工智能研究院将推出最新的</w:t>
      </w:r>
      <w:r>
        <w:rPr>
          <w:rFonts w:ascii="Times New Roman" w:hAnsi="Times New Roman" w:cs="Times New Roman" w:eastAsia="Times New Roman" w:hint="default"/>
        </w:rPr>
        <w:t>DINFO-OEC8.0</w:t>
      </w:r>
      <w:r>
        <w:rPr/>
        <w:t>版本的，通过其独有的专属语义模型建设能力，实现语义消歧、</w:t>
      </w:r>
      <w:r>
        <w:rPr>
          <w:w w:val="99"/>
        </w:rPr>
        <w:t> </w:t>
      </w:r>
      <w:r>
        <w:rPr>
          <w:spacing w:val="-2"/>
        </w:rPr>
        <w:t>语义归一化、概念化，以解决非结构化数据处理技术中语言表达灵活、多样化的挑战难题，精准挖掘业务语义，提炼非结构</w:t>
      </w:r>
      <w:r>
        <w:rPr>
          <w:spacing w:val="-67"/>
        </w:rPr>
        <w:t> </w:t>
      </w:r>
      <w:r>
        <w:rPr>
          <w:spacing w:val="-67"/>
        </w:rPr>
      </w:r>
      <w:r>
        <w:rPr>
          <w:spacing w:val="-2"/>
        </w:rPr>
        <w:t>化数据中业务价值信息。公司将进一步注重自然语言结构知识与最新的深度学习等计算方法相合，夯实基础工作，投入成本</w:t>
      </w:r>
      <w:r>
        <w:rPr>
          <w:spacing w:val="-67"/>
        </w:rPr>
        <w:t> </w:t>
      </w:r>
      <w:r>
        <w:rPr>
          <w:spacing w:val="-67"/>
        </w:rPr>
      </w:r>
      <w:r>
        <w:rPr>
          <w:spacing w:val="-2"/>
        </w:rPr>
        <w:t>对中文领域用词、</w:t>
      </w:r>
      <w:r>
        <w:rPr>
          <w:rFonts w:ascii="Times New Roman" w:hAnsi="Times New Roman" w:cs="Times New Roman" w:eastAsia="Times New Roman" w:hint="default"/>
          <w:spacing w:val="-2"/>
        </w:rPr>
        <w:t>3192</w:t>
      </w:r>
      <w:r>
        <w:rPr>
          <w:spacing w:val="-2"/>
        </w:rPr>
        <w:t>种句式组合、长文本句蜕、段落承接、上下文理解等底层本体及概念层次进行标注，根据产业落地需</w:t>
      </w:r>
      <w:r>
        <w:rPr>
          <w:spacing w:val="-63"/>
        </w:rPr>
        <w:t> </w:t>
      </w:r>
      <w:r>
        <w:rPr>
          <w:spacing w:val="-63"/>
        </w:rPr>
      </w:r>
      <w:r>
        <w:rPr>
          <w:spacing w:val="-2"/>
        </w:rPr>
        <w:t>求，优化并修改统计学习、机器学习、深度学习等关键自然语言理解技术，针对神州泰岳自主研发的专属语义模型作进一步</w:t>
      </w:r>
      <w:r>
        <w:rPr>
          <w:spacing w:val="-67"/>
        </w:rPr>
        <w:t> </w:t>
      </w:r>
      <w:r>
        <w:rPr>
          <w:spacing w:val="-67"/>
        </w:rPr>
      </w:r>
      <w:r>
        <w:rPr/>
        <w:t>的创新与改进，实现平台对大规模训练语料的学习与预测。截止目前，神州泰岳在人工智能大数据领域，已申报专利</w:t>
      </w:r>
      <w:r>
        <w:rPr>
          <w:rFonts w:ascii="Times New Roman" w:hAnsi="Times New Roman" w:cs="Times New Roman" w:eastAsia="Times New Roman" w:hint="default"/>
        </w:rPr>
        <w:t>90</w:t>
      </w:r>
      <w:r>
        <w:rPr/>
        <w:t>项，</w:t>
      </w:r>
      <w:r>
        <w:rPr>
          <w:spacing w:val="-85"/>
        </w:rPr>
        <w:t> </w:t>
      </w:r>
      <w:r>
        <w:rPr/>
        <w:t>授权专利</w:t>
      </w:r>
      <w:r>
        <w:rPr>
          <w:rFonts w:ascii="Times New Roman" w:hAnsi="Times New Roman" w:cs="Times New Roman" w:eastAsia="Times New Roman" w:hint="default"/>
        </w:rPr>
        <w:t>8</w:t>
      </w:r>
      <w:r>
        <w:rPr/>
        <w:t>项，</w:t>
      </w:r>
      <w:r>
        <w:rPr>
          <w:rFonts w:ascii="Times New Roman" w:hAnsi="Times New Roman" w:cs="Times New Roman" w:eastAsia="Times New Roman" w:hint="default"/>
        </w:rPr>
        <w:t>2018</w:t>
      </w:r>
      <w:r>
        <w:rPr/>
        <w:t>年将进一步注重</w:t>
      </w:r>
      <w:r>
        <w:rPr>
          <w:rFonts w:ascii="Times New Roman" w:hAnsi="Times New Roman" w:cs="Times New Roman" w:eastAsia="Times New Roman" w:hint="default"/>
        </w:rPr>
        <w:t>AI</w:t>
      </w:r>
      <w:r>
        <w:rPr/>
        <w:t>领域的自主研发专题建设，推进申报专利和授权专利的规模增长。</w:t>
      </w:r>
    </w:p>
    <w:p>
      <w:pPr>
        <w:pStyle w:val="BodyText"/>
        <w:spacing w:line="468" w:lineRule="auto" w:before="33"/>
        <w:ind w:right="1129" w:firstLine="360"/>
        <w:jc w:val="both"/>
      </w:pPr>
      <w:r>
        <w:rPr>
          <w:rFonts w:ascii="Times New Roman" w:hAnsi="Times New Roman" w:cs="Times New Roman" w:eastAsia="Times New Roman" w:hint="default"/>
        </w:rPr>
        <w:t>2018</w:t>
      </w:r>
      <w:r>
        <w:rPr/>
        <w:t>年，公司将着力完成</w:t>
      </w:r>
      <w:r>
        <w:rPr>
          <w:rFonts w:ascii="Times New Roman" w:hAnsi="Times New Roman" w:cs="Times New Roman" w:eastAsia="Times New Roman" w:hint="default"/>
        </w:rPr>
        <w:t>AI</w:t>
      </w:r>
      <w:r>
        <w:rPr/>
        <w:t>业务在各省市公安系统的广泛合作，为警方破获案件提供强大的技术支撑，提升自身行业 </w:t>
      </w:r>
      <w:r>
        <w:rPr>
          <w:spacing w:val="-2"/>
        </w:rPr>
        <w:t>技术的领先水平，完成标志性项目落地。利用公司的智脑、智享云、智能语义分析、大数据等成熟技术，协助各业务警种准</w:t>
      </w:r>
      <w:r>
        <w:rPr>
          <w:spacing w:val="-67"/>
        </w:rPr>
        <w:t> </w:t>
      </w:r>
      <w:r>
        <w:rPr>
          <w:spacing w:val="-67"/>
        </w:rPr>
      </w:r>
      <w:r>
        <w:rPr>
          <w:spacing w:val="-2"/>
        </w:rPr>
        <w:t>确感知、预测、预警基础设施和社会安全运行的重大态势，及时把握群体认知及心理变化，主动决策反应，提高社会治理能</w:t>
      </w:r>
      <w:r>
        <w:rPr>
          <w:spacing w:val="-66"/>
        </w:rPr>
        <w:t> </w:t>
      </w:r>
      <w:r>
        <w:rPr>
          <w:spacing w:val="-66"/>
        </w:rPr>
      </w:r>
      <w:r>
        <w:rPr/>
        <w:t>力和水平，为营造更加安全、稳定、和谐的治安环境打下坚实的基础。</w:t>
      </w:r>
    </w:p>
    <w:p>
      <w:pPr>
        <w:spacing w:after="0" w:line="468"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right="1033" w:firstLine="360"/>
        <w:jc w:val="left"/>
      </w:pPr>
      <w:r>
        <w:rPr>
          <w:spacing w:val="-5"/>
        </w:rPr>
        <w:t>公司将扩大在银行金融体系的竞争优势，保持领先的市场地位，推进智享云平台在银行领域的价值发挥，落实人工智能、</w:t>
      </w:r>
      <w:r>
        <w:rPr/>
        <w:t> 原子服务及大数据流水线等综合技术，提炼及挖掘海量数据的业务价值，进一步发挥大数据分析对个人及企业征信、贷款、</w:t>
      </w:r>
      <w:r>
        <w:rPr>
          <w:spacing w:val="-85"/>
        </w:rPr>
        <w:t> </w:t>
      </w:r>
      <w:r>
        <w:rPr>
          <w:spacing w:val="-85"/>
        </w:rPr>
      </w:r>
      <w:r>
        <w:rPr>
          <w:spacing w:val="-2"/>
        </w:rPr>
        <w:t>风控的作用。公司将协助银行体系重点构建移动支付带来的终端会员数据模型、基于政务服务平台特征打造定制化金融支付</w:t>
      </w:r>
      <w:r>
        <w:rPr>
          <w:spacing w:val="-64"/>
        </w:rPr>
        <w:t> </w:t>
      </w:r>
      <w:r>
        <w:rPr>
          <w:spacing w:val="-64"/>
        </w:rPr>
      </w:r>
      <w:r>
        <w:rPr>
          <w:spacing w:val="-2"/>
        </w:rPr>
        <w:t>平台；打造企业风险监测平台，通过系统中企业的信息分析得到客户的信用及风险指标数据，采用风控模型进行运算，得出</w:t>
      </w:r>
      <w:r>
        <w:rPr>
          <w:spacing w:val="-66"/>
        </w:rPr>
        <w:t> </w:t>
      </w:r>
      <w:r>
        <w:rPr>
          <w:spacing w:val="-66"/>
        </w:rPr>
      </w:r>
      <w:r>
        <w:rPr/>
        <w:t>企业客户的综合信用评分。</w:t>
      </w:r>
    </w:p>
    <w:p>
      <w:pPr>
        <w:pStyle w:val="BodyText"/>
        <w:spacing w:line="451" w:lineRule="auto" w:before="54"/>
        <w:ind w:left="1493" w:right="0" w:firstLine="1"/>
        <w:jc w:val="left"/>
      </w:pPr>
      <w:r>
        <w:rPr>
          <w:rFonts w:ascii="宋体" w:hAnsi="宋体" w:cs="宋体" w:eastAsia="宋体" w:hint="default"/>
          <w:b/>
          <w:bCs/>
        </w:rPr>
        <w:t>（</w:t>
      </w:r>
      <w:r>
        <w:rPr>
          <w:rFonts w:ascii="Times New Roman" w:hAnsi="Times New Roman" w:cs="Times New Roman" w:eastAsia="Times New Roman" w:hint="default"/>
          <w:b/>
          <w:bCs/>
        </w:rPr>
        <w:t>2</w:t>
      </w:r>
      <w:r>
        <w:rPr>
          <w:rFonts w:ascii="宋体" w:hAnsi="宋体" w:cs="宋体" w:eastAsia="宋体" w:hint="default"/>
          <w:b/>
          <w:bCs/>
        </w:rPr>
        <w:t>）工业物联网领域</w:t>
      </w:r>
      <w:r>
        <w:rPr>
          <w:rFonts w:ascii="宋体" w:hAnsi="宋体" w:cs="宋体" w:eastAsia="宋体" w:hint="default"/>
          <w:b/>
          <w:bCs/>
          <w:w w:val="99"/>
        </w:rPr>
        <w:t> </w:t>
      </w:r>
      <w:r>
        <w:rPr>
          <w:spacing w:val="-2"/>
        </w:rPr>
        <w:t>目前的工业物联网通讯市场中存在的解决方案，其中部分看似与公司的智慧线技术有相似之处，但实质上均存在很大差</w:t>
      </w:r>
    </w:p>
    <w:p>
      <w:pPr>
        <w:pStyle w:val="BodyText"/>
        <w:spacing w:line="477" w:lineRule="auto" w:before="74"/>
        <w:ind w:right="1130"/>
        <w:jc w:val="both"/>
      </w:pPr>
      <w:r>
        <w:rPr>
          <w:spacing w:val="-2"/>
        </w:rPr>
        <w:t>异。智慧线能够更加灵活的应对不同环境和工况下的网络布置需求。例如，在煤矿井下的狭窄空间里作业，其他的网络信息</w:t>
      </w:r>
      <w:r>
        <w:rPr>
          <w:spacing w:val="-66"/>
        </w:rPr>
        <w:t> </w:t>
      </w:r>
      <w:r>
        <w:rPr>
          <w:spacing w:val="-66"/>
        </w:rPr>
      </w:r>
      <w:r>
        <w:rPr>
          <w:spacing w:val="-2"/>
        </w:rPr>
        <w:t>传输方案很难实施。同时井下工况环境极端恶劣，封闭、烟气重、矿道走向不定、防爆要求极高。在目前的物联网通信市场</w:t>
      </w:r>
      <w:r>
        <w:rPr>
          <w:spacing w:val="-68"/>
        </w:rPr>
        <w:t> </w:t>
      </w:r>
      <w:r>
        <w:rPr>
          <w:spacing w:val="-68"/>
        </w:rPr>
      </w:r>
      <w:r>
        <w:rPr>
          <w:spacing w:val="-2"/>
        </w:rPr>
        <w:t>中，几乎只有神州泰岳所提供的智慧线系统能够完全胜任各方面数据的传输要求。因此，在工业物联网中特殊领域的通信传</w:t>
      </w:r>
      <w:r>
        <w:rPr>
          <w:spacing w:val="-66"/>
        </w:rPr>
        <w:t> </w:t>
      </w:r>
      <w:r>
        <w:rPr>
          <w:spacing w:val="-66"/>
        </w:rPr>
      </w:r>
      <w:r>
        <w:rPr/>
        <w:t>输、精准定位、周界安防，智慧线具有独一无二的优势。</w:t>
      </w:r>
    </w:p>
    <w:p>
      <w:pPr>
        <w:pStyle w:val="BodyText"/>
        <w:spacing w:line="470" w:lineRule="auto" w:before="54"/>
        <w:ind w:right="1131" w:firstLine="360"/>
        <w:jc w:val="both"/>
      </w:pPr>
      <w:r>
        <w:rPr>
          <w:spacing w:val="-2"/>
        </w:rPr>
        <w:t>公司未来将基于目前遥遥领先的物联网通信的核心技术能力，打开两个重要业务方向的市场空间：一是推动专业场景下</w:t>
      </w:r>
      <w:r>
        <w:rPr/>
        <w:t> 的工业物联网智能化建设；二是提升国内周界安防产业的智能化水平。公司将围绕</w:t>
      </w:r>
      <w:r>
        <w:rPr>
          <w:rFonts w:ascii="Times New Roman" w:hAnsi="Times New Roman" w:cs="Times New Roman" w:eastAsia="Times New Roman" w:hint="default"/>
        </w:rPr>
        <w:t>“</w:t>
      </w:r>
      <w:r>
        <w:rPr/>
        <w:t>智慧</w:t>
      </w:r>
      <w:r>
        <w:rPr>
          <w:rFonts w:ascii="Times New Roman" w:hAnsi="Times New Roman" w:cs="Times New Roman" w:eastAsia="Times New Roman" w:hint="default"/>
        </w:rPr>
        <w:t>+”</w:t>
      </w:r>
      <w:r>
        <w:rPr/>
        <w:t>专利体系形成整套最先进的工业</w:t>
      </w:r>
      <w:r>
        <w:rPr>
          <w:spacing w:val="-76"/>
        </w:rPr>
        <w:t> </w:t>
      </w:r>
      <w:r>
        <w:rPr>
          <w:spacing w:val="-76"/>
        </w:rPr>
      </w:r>
      <w:r>
        <w:rPr>
          <w:spacing w:val="-2"/>
        </w:rPr>
        <w:t>物联网通信系统，其可将传感信息传出到一个关键控制系统当中，进而可以看到整个网络当中的部件情况以及实时的数据信</w:t>
      </w:r>
      <w:r>
        <w:rPr>
          <w:spacing w:val="-64"/>
        </w:rPr>
        <w:t> </w:t>
      </w:r>
      <w:r>
        <w:rPr>
          <w:spacing w:val="-64"/>
        </w:rPr>
      </w:r>
      <w:r>
        <w:rPr>
          <w:spacing w:val="-2"/>
        </w:rPr>
        <w:t>息，打造全新的更为科学准确的管理运营方式。公司将基于智慧线的先天优势，不断开发新型物联网应用，引领行业科技前</w:t>
      </w:r>
      <w:r>
        <w:rPr>
          <w:spacing w:val="-65"/>
        </w:rPr>
        <w:t> </w:t>
      </w:r>
      <w:r>
        <w:rPr>
          <w:spacing w:val="-65"/>
        </w:rPr>
      </w:r>
      <w:r>
        <w:rPr/>
        <w:t>沿。</w:t>
      </w:r>
    </w:p>
    <w:p>
      <w:pPr>
        <w:pStyle w:val="BodyText"/>
        <w:spacing w:line="460" w:lineRule="auto" w:before="59"/>
        <w:ind w:right="1130" w:firstLine="361"/>
        <w:jc w:val="both"/>
      </w:pPr>
      <w:r>
        <w:rPr>
          <w:rFonts w:ascii="宋体" w:hAnsi="宋体" w:cs="宋体" w:eastAsia="宋体" w:hint="default"/>
          <w:b/>
          <w:bCs/>
        </w:rPr>
        <w:t>在智慧核电领域</w:t>
      </w:r>
      <w:r>
        <w:rPr/>
        <w:t>，公司将发布</w:t>
      </w:r>
      <w:r>
        <w:rPr>
          <w:rFonts w:ascii="Times New Roman" w:hAnsi="Times New Roman" w:cs="Times New Roman" w:eastAsia="Times New Roman" w:hint="default"/>
          <w:b/>
          <w:bCs/>
        </w:rPr>
        <w:t>“Nu</w:t>
      </w:r>
      <w:r>
        <w:rPr>
          <w:rFonts w:ascii="Times New Roman" w:hAnsi="Times New Roman" w:cs="Times New Roman" w:eastAsia="Times New Roman" w:hint="default"/>
          <w:b/>
          <w:bCs/>
        </w:rPr>
        <w:t>-WiFi</w:t>
      </w:r>
      <w:r>
        <w:rPr>
          <w:rFonts w:ascii="Times New Roman" w:hAnsi="Times New Roman" w:cs="Times New Roman" w:eastAsia="Times New Roman" w:hint="default"/>
          <w:b/>
          <w:bCs/>
          <w:spacing w:val="20"/>
        </w:rPr>
        <w:t> </w:t>
      </w:r>
      <w:r>
        <w:rPr>
          <w:rFonts w:ascii="宋体" w:hAnsi="宋体" w:cs="宋体" w:eastAsia="宋体" w:hint="default"/>
          <w:b/>
          <w:bCs/>
        </w:rPr>
        <w:t>核电专业无线通信系统</w:t>
      </w:r>
      <w:r>
        <w:rPr>
          <w:rFonts w:ascii="Times New Roman" w:hAnsi="Times New Roman" w:cs="Times New Roman" w:eastAsia="Times New Roman" w:hint="default"/>
          <w:b/>
          <w:bCs/>
        </w:rPr>
        <w:t>”</w:t>
      </w:r>
      <w:r>
        <w:rPr>
          <w:rFonts w:ascii="宋体" w:hAnsi="宋体" w:cs="宋体" w:eastAsia="宋体" w:hint="default"/>
          <w:b/>
          <w:bCs/>
        </w:rPr>
        <w:t>的升级版本</w:t>
      </w:r>
      <w:r>
        <w:rPr/>
        <w:t>。核电行业作为工业领域中要求最高、条 </w:t>
      </w:r>
      <w:r>
        <w:rPr>
          <w:spacing w:val="-4"/>
        </w:rPr>
        <w:t>件最苛刻的用户之一，公司自主研发的</w:t>
      </w:r>
      <w:r>
        <w:rPr>
          <w:rFonts w:ascii="Times New Roman" w:hAnsi="Times New Roman" w:cs="Times New Roman" w:eastAsia="Times New Roman" w:hint="default"/>
          <w:spacing w:val="-4"/>
        </w:rPr>
        <w:t>“Nu</w:t>
      </w:r>
      <w:r>
        <w:rPr>
          <w:rFonts w:ascii="Times New Roman" w:hAnsi="Times New Roman" w:cs="Times New Roman" w:eastAsia="Times New Roman" w:hint="default"/>
          <w:spacing w:val="-4"/>
        </w:rPr>
        <w:t>-WiFi </w:t>
      </w:r>
      <w:r>
        <w:rPr>
          <w:spacing w:val="-5"/>
        </w:rPr>
        <w:t>核电专业无线通信系统</w:t>
      </w:r>
      <w:r>
        <w:rPr>
          <w:rFonts w:ascii="Times New Roman" w:hAnsi="Times New Roman" w:cs="Times New Roman" w:eastAsia="Times New Roman" w:hint="default"/>
          <w:spacing w:val="-5"/>
        </w:rPr>
        <w:t>”</w:t>
      </w:r>
      <w:r>
        <w:rPr>
          <w:spacing w:val="-5"/>
        </w:rPr>
        <w:t>，通过近三年的现场测试验证，成功获得用户认可，</w:t>
      </w:r>
      <w:r>
        <w:rPr>
          <w:spacing w:val="-75"/>
        </w:rPr>
        <w:t> </w:t>
      </w:r>
      <w:r>
        <w:rPr>
          <w:spacing w:val="-75"/>
        </w:rPr>
      </w:r>
      <w:r>
        <w:rPr>
          <w:spacing w:val="-2"/>
        </w:rPr>
        <w:t>成为国内外首个完全满足核电站高电磁安全、高信息安全、高辐照要求的无线通信系统，这对公司进一步开展工业互联网领</w:t>
      </w:r>
      <w:r>
        <w:rPr>
          <w:spacing w:val="-66"/>
        </w:rPr>
        <w:t> </w:t>
      </w:r>
      <w:r>
        <w:rPr>
          <w:spacing w:val="-66"/>
        </w:rPr>
      </w:r>
      <w:r>
        <w:rPr>
          <w:spacing w:val="-2"/>
        </w:rPr>
        <w:t>域的战略布局有重大的引领价值，能够有效的提升我国第三代核电技术的信息化水平。公司针对工业企业的严酷环境特点设</w:t>
      </w:r>
      <w:r>
        <w:rPr>
          <w:spacing w:val="-64"/>
        </w:rPr>
        <w:t> </w:t>
      </w:r>
      <w:r>
        <w:rPr>
          <w:spacing w:val="-64"/>
        </w:rPr>
      </w:r>
      <w:r>
        <w:rPr/>
        <w:t>计的工业无线通信与物联网系统，将超低功率物联网的海量终端接入特性与</w:t>
      </w:r>
      <w:r>
        <w:rPr>
          <w:spacing w:val="-46"/>
        </w:rPr>
        <w:t> </w:t>
      </w:r>
      <w:r>
        <w:rPr>
          <w:rFonts w:ascii="Times New Roman" w:hAnsi="Times New Roman" w:cs="Times New Roman" w:eastAsia="Times New Roman" w:hint="default"/>
        </w:rPr>
        <w:t>WiFi</w:t>
      </w:r>
      <w:r>
        <w:rPr>
          <w:rFonts w:ascii="Times New Roman" w:hAnsi="Times New Roman" w:cs="Times New Roman" w:eastAsia="Times New Roman" w:hint="default"/>
          <w:spacing w:val="-1"/>
        </w:rPr>
        <w:t> </w:t>
      </w:r>
      <w:r>
        <w:rPr/>
        <w:t>网络的高带宽特性的深度融合，实现了动 态电磁敏感控制、高速漫游切换、精确定位和分级可控的安全接入机制。</w:t>
      </w:r>
    </w:p>
    <w:p>
      <w:pPr>
        <w:pStyle w:val="BodyText"/>
        <w:spacing w:line="468" w:lineRule="auto" w:before="67"/>
        <w:ind w:left="1134" w:right="1132" w:firstLine="361"/>
        <w:jc w:val="both"/>
      </w:pPr>
      <w:r>
        <w:rPr>
          <w:rFonts w:ascii="宋体" w:hAnsi="宋体" w:cs="宋体" w:eastAsia="宋体" w:hint="default"/>
          <w:b/>
          <w:bCs/>
        </w:rPr>
        <w:t>在智慧管廊领域</w:t>
      </w:r>
      <w:r>
        <w:rPr/>
        <w:t>，</w:t>
      </w:r>
      <w:r>
        <w:rPr>
          <w:rFonts w:ascii="Times New Roman" w:hAnsi="Times New Roman" w:cs="Times New Roman" w:eastAsia="Times New Roman" w:hint="default"/>
        </w:rPr>
        <w:t>2018 </w:t>
      </w:r>
      <w:r>
        <w:rPr/>
        <w:t>总理政府工作报告中提出：提高新型城镇化质量。加强排涝管网、地下综合管廊等建设。在工 </w:t>
      </w:r>
      <w:r>
        <w:rPr>
          <w:spacing w:val="-2"/>
        </w:rPr>
        <w:t>业互联网已经上升为国家战略的大背景下，公司在智慧管廊、工业安全、智慧环保、智慧消防、智慧公用等工业互联网应用</w:t>
      </w:r>
      <w:r>
        <w:rPr>
          <w:spacing w:val="-66"/>
        </w:rPr>
        <w:t> </w:t>
      </w:r>
      <w:r>
        <w:rPr>
          <w:spacing w:val="-66"/>
        </w:rPr>
      </w:r>
      <w:r>
        <w:rPr>
          <w:spacing w:val="-2"/>
        </w:rPr>
        <w:t>领域，不断推进工业物联网前沿领域技术的研究，将先进成熟的技术成果快速有效地转化为生产力，增强在工业互联网领域</w:t>
      </w:r>
      <w:r>
        <w:rPr>
          <w:spacing w:val="-66"/>
        </w:rPr>
        <w:t> </w:t>
      </w:r>
      <w:r>
        <w:rPr>
          <w:spacing w:val="-66"/>
        </w:rPr>
      </w:r>
      <w:r>
        <w:rPr/>
        <w:t>的核心竞争力。</w:t>
      </w:r>
    </w:p>
    <w:p>
      <w:pPr>
        <w:spacing w:line="451" w:lineRule="auto" w:before="61"/>
        <w:ind w:left="1133" w:right="1131" w:firstLine="360"/>
        <w:jc w:val="both"/>
        <w:rPr>
          <w:rFonts w:ascii="宋体" w:hAnsi="宋体" w:cs="宋体" w:eastAsia="宋体" w:hint="default"/>
          <w:sz w:val="18"/>
          <w:szCs w:val="18"/>
        </w:rPr>
      </w:pPr>
      <w:r>
        <w:rPr>
          <w:rFonts w:ascii="宋体" w:hAnsi="宋体" w:cs="宋体" w:eastAsia="宋体" w:hint="default"/>
          <w:spacing w:val="-2"/>
          <w:sz w:val="18"/>
          <w:szCs w:val="18"/>
        </w:rPr>
        <w:t>在</w:t>
      </w:r>
      <w:r>
        <w:rPr>
          <w:rFonts w:ascii="宋体" w:hAnsi="宋体" w:cs="宋体" w:eastAsia="宋体" w:hint="default"/>
          <w:b/>
          <w:bCs/>
          <w:spacing w:val="-2"/>
          <w:sz w:val="18"/>
          <w:szCs w:val="18"/>
        </w:rPr>
        <w:t>周界安防领域</w:t>
      </w:r>
      <w:r>
        <w:rPr>
          <w:rFonts w:ascii="宋体" w:hAnsi="宋体" w:cs="宋体" w:eastAsia="宋体" w:hint="default"/>
          <w:spacing w:val="-2"/>
          <w:sz w:val="18"/>
          <w:szCs w:val="18"/>
        </w:rPr>
        <w:t>，公司自主研发的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智慧墙入侵探测系统</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，拥有业界领先的核心技术，在军工、核电、机场、石油炼化</w:t>
      </w:r>
      <w:r>
        <w:rPr>
          <w:rFonts w:ascii="宋体" w:hAnsi="宋体" w:cs="宋体" w:eastAsia="宋体" w:hint="default"/>
          <w:sz w:val="18"/>
          <w:szCs w:val="18"/>
        </w:rPr>
        <w:t> 以及边防站、故宫、油储库、监狱等重要领域均实现市场落地。</w:t>
      </w:r>
      <w:r>
        <w:rPr>
          <w:rFonts w:ascii="Times New Roman" w:hAnsi="Times New Roman" w:cs="Times New Roman" w:eastAsia="Times New Roman" w:hint="default"/>
          <w:b/>
          <w:bCs/>
          <w:sz w:val="18"/>
          <w:szCs w:val="18"/>
        </w:rPr>
        <w:t>2018</w:t>
      </w:r>
      <w:r>
        <w:rPr>
          <w:rFonts w:ascii="Times New Roman" w:hAnsi="Times New Roman" w:cs="Times New Roman" w:eastAsia="Times New Roman" w:hint="default"/>
          <w:b/>
          <w:bCs/>
          <w:spacing w:val="33"/>
          <w:sz w:val="18"/>
          <w:szCs w:val="18"/>
        </w:rPr>
        <w:t> </w:t>
      </w:r>
      <w:r>
        <w:rPr>
          <w:rFonts w:ascii="宋体" w:hAnsi="宋体" w:cs="宋体" w:eastAsia="宋体" w:hint="default"/>
          <w:b/>
          <w:bCs/>
          <w:sz w:val="18"/>
          <w:szCs w:val="18"/>
        </w:rPr>
        <w:t>年，公司将积极跟进国内高铁沿线的安防建设，进行</w:t>
      </w:r>
      <w:r>
        <w:rPr>
          <w:rFonts w:ascii="宋体" w:hAnsi="宋体" w:cs="宋体" w:eastAsia="宋体" w:hint="default"/>
          <w:b/>
          <w:bCs/>
          <w:w w:val="99"/>
          <w:sz w:val="18"/>
          <w:szCs w:val="18"/>
        </w:rPr>
        <w:t> </w:t>
      </w:r>
      <w:r>
        <w:rPr>
          <w:rFonts w:ascii="宋体" w:hAnsi="宋体" w:cs="宋体" w:eastAsia="宋体" w:hint="default"/>
          <w:b/>
          <w:bCs/>
          <w:sz w:val="18"/>
          <w:szCs w:val="18"/>
        </w:rPr>
        <w:t>相关试点和规范研究。</w:t>
      </w:r>
      <w:r>
        <w:rPr>
          <w:rFonts w:ascii="宋体" w:hAnsi="宋体" w:cs="宋体" w:eastAsia="宋体" w:hint="default"/>
          <w:sz w:val="18"/>
          <w:szCs w:val="18"/>
        </w:rPr>
      </w:r>
    </w:p>
    <w:p>
      <w:pPr>
        <w:pStyle w:val="Heading4"/>
        <w:spacing w:line="240" w:lineRule="auto" w:before="74"/>
        <w:ind w:right="0"/>
        <w:jc w:val="left"/>
        <w:rPr>
          <w:b w:val="0"/>
          <w:bCs w:val="0"/>
        </w:rPr>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ICT</w:t>
      </w:r>
      <w:r>
        <w:rPr/>
        <w:t>运营管理领域</w:t>
      </w:r>
      <w:r>
        <w:rPr>
          <w:b w:val="0"/>
          <w:bCs w:val="0"/>
        </w:rPr>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b/>
          <w:bCs/>
          <w:sz w:val="11"/>
          <w:szCs w:val="11"/>
        </w:rPr>
      </w:pPr>
    </w:p>
    <w:p>
      <w:pPr>
        <w:pStyle w:val="BodyText"/>
        <w:spacing w:line="451" w:lineRule="auto" w:before="44"/>
        <w:ind w:right="1130" w:firstLine="360"/>
        <w:jc w:val="both"/>
      </w:pPr>
      <w:r>
        <w:rPr>
          <w:rFonts w:ascii="Times New Roman" w:hAnsi="Times New Roman" w:cs="Times New Roman" w:eastAsia="Times New Roman" w:hint="default"/>
          <w:spacing w:val="-1"/>
        </w:rPr>
        <w:t>ICT</w:t>
      </w:r>
      <w:r>
        <w:rPr>
          <w:spacing w:val="-1"/>
        </w:rPr>
        <w:t>运营管理领域的发展策略是进一步加强和拓展既有产品线和客户群、不断提升产品性能与功能、不断推进项目滚动</w:t>
      </w:r>
      <w:r>
        <w:rPr>
          <w:w w:val="99"/>
        </w:rPr>
        <w:t> </w:t>
      </w:r>
      <w:r>
        <w:rPr>
          <w:spacing w:val="-2"/>
        </w:rPr>
        <w:t>建设，紧密跟踪电信运营商的业务战略，优化与创新传统运营管理产品线，重点研发和试点以云计算、大数据、</w:t>
      </w:r>
      <w:r>
        <w:rPr>
          <w:rFonts w:ascii="Times New Roman" w:hAnsi="Times New Roman" w:cs="Times New Roman" w:eastAsia="Times New Roman" w:hint="default"/>
          <w:spacing w:val="-2"/>
        </w:rPr>
        <w:t>SDN</w:t>
      </w:r>
      <w:r>
        <w:rPr>
          <w:spacing w:val="-2"/>
        </w:rPr>
        <w:t>、</w:t>
      </w:r>
      <w:r>
        <w:rPr>
          <w:rFonts w:ascii="Times New Roman" w:hAnsi="Times New Roman" w:cs="Times New Roman" w:eastAsia="Times New Roman" w:hint="default"/>
          <w:spacing w:val="-2"/>
        </w:rPr>
        <w:t>NFV</w:t>
      </w:r>
      <w:r>
        <w:rPr>
          <w:rFonts w:ascii="Times New Roman" w:hAnsi="Times New Roman" w:cs="Times New Roman" w:eastAsia="Times New Roman" w:hint="default"/>
          <w:spacing w:val="-22"/>
        </w:rPr>
        <w:t> </w:t>
      </w:r>
      <w:r>
        <w:rPr>
          <w:spacing w:val="-3"/>
        </w:rPr>
        <w:t>为特征的新型</w:t>
      </w:r>
      <w:r>
        <w:rPr>
          <w:rFonts w:ascii="Times New Roman" w:hAnsi="Times New Roman" w:cs="Times New Roman" w:eastAsia="Times New Roman" w:hint="default"/>
          <w:spacing w:val="-3"/>
        </w:rPr>
        <w:t>ICT</w:t>
      </w:r>
      <w:r>
        <w:rPr>
          <w:spacing w:val="-3"/>
        </w:rPr>
        <w:t>环境下的新一代</w:t>
      </w:r>
      <w:r>
        <w:rPr>
          <w:rFonts w:ascii="Times New Roman" w:hAnsi="Times New Roman" w:cs="Times New Roman" w:eastAsia="Times New Roman" w:hint="default"/>
          <w:spacing w:val="-3"/>
        </w:rPr>
        <w:t>ICT</w:t>
      </w:r>
      <w:r>
        <w:rPr>
          <w:spacing w:val="-3"/>
        </w:rPr>
        <w:t>综合运营管理平台，进一步扩大在该领域的技术优势和领先地位，并大力拓展新行业、</w:t>
      </w:r>
      <w:r>
        <w:rPr>
          <w:spacing w:val="-42"/>
        </w:rPr>
        <w:t> </w:t>
      </w:r>
      <w:r>
        <w:rPr>
          <w:spacing w:val="-42"/>
        </w:rPr>
      </w:r>
      <w:r>
        <w:rPr/>
        <w:t>新客户和新领域。</w:t>
      </w:r>
    </w:p>
    <w:p>
      <w:pPr>
        <w:pStyle w:val="BodyText"/>
        <w:spacing w:line="451" w:lineRule="auto" w:before="74"/>
        <w:ind w:right="1033" w:firstLine="360"/>
        <w:jc w:val="left"/>
      </w:pPr>
      <w:r>
        <w:rPr/>
        <w:t>公司将立足云化、智能化、开源化的技术开发思路，重点优化和完善有效管控新型</w:t>
      </w:r>
      <w:r>
        <w:rPr>
          <w:rFonts w:ascii="Times New Roman" w:hAnsi="Times New Roman" w:cs="Times New Roman" w:eastAsia="Times New Roman" w:hint="default"/>
        </w:rPr>
        <w:t>ICT</w:t>
      </w:r>
      <w:r>
        <w:rPr/>
        <w:t>环境</w:t>
      </w:r>
      <w:r>
        <w:rPr>
          <w:rFonts w:ascii="Times New Roman" w:hAnsi="Times New Roman" w:cs="Times New Roman" w:eastAsia="Times New Roman" w:hint="default"/>
        </w:rPr>
        <w:t>(</w:t>
      </w:r>
      <w:r>
        <w:rPr/>
        <w:t>以云计算、大数据、</w:t>
      </w:r>
      <w:r>
        <w:rPr>
          <w:rFonts w:ascii="Times New Roman" w:hAnsi="Times New Roman" w:cs="Times New Roman" w:eastAsia="Times New Roman" w:hint="default"/>
        </w:rPr>
        <w:t>SDN</w:t>
      </w:r>
      <w:r>
        <w:rPr/>
        <w:t>、 </w:t>
      </w:r>
      <w:r>
        <w:rPr>
          <w:rFonts w:ascii="Times New Roman" w:hAnsi="Times New Roman" w:cs="Times New Roman" w:eastAsia="Times New Roman" w:hint="default"/>
          <w:spacing w:val="-3"/>
        </w:rPr>
        <w:t>NFV</w:t>
      </w:r>
      <w:r>
        <w:rPr>
          <w:spacing w:val="-3"/>
        </w:rPr>
        <w:t>为特征</w:t>
      </w:r>
      <w:r>
        <w:rPr>
          <w:rFonts w:ascii="Times New Roman" w:hAnsi="Times New Roman" w:cs="Times New Roman" w:eastAsia="Times New Roman" w:hint="default"/>
          <w:spacing w:val="-3"/>
        </w:rPr>
        <w:t>)</w:t>
      </w:r>
      <w:r>
        <w:rPr>
          <w:spacing w:val="-3"/>
        </w:rPr>
        <w:t>的新一代</w:t>
      </w:r>
      <w:r>
        <w:rPr>
          <w:rFonts w:ascii="Times New Roman" w:hAnsi="Times New Roman" w:cs="Times New Roman" w:eastAsia="Times New Roman" w:hint="default"/>
          <w:spacing w:val="-3"/>
        </w:rPr>
        <w:t>ICT</w:t>
      </w:r>
      <w:r>
        <w:rPr>
          <w:spacing w:val="-3"/>
        </w:rPr>
        <w:t>综合运营管理平台</w:t>
      </w:r>
      <w:r>
        <w:rPr>
          <w:rFonts w:ascii="Times New Roman" w:hAnsi="Times New Roman" w:cs="Times New Roman" w:eastAsia="Times New Roman" w:hint="default"/>
          <w:spacing w:val="-3"/>
        </w:rPr>
        <w:t>(</w:t>
      </w:r>
      <w:r>
        <w:rPr>
          <w:spacing w:val="-3"/>
        </w:rPr>
        <w:t>包括数据中心带外设备管理、裸机大规模自动安装开通、跨域混合云平台管理、</w:t>
      </w:r>
      <w:r>
        <w:rPr>
          <w:spacing w:val="-53"/>
        </w:rPr>
        <w:t> </w:t>
      </w:r>
      <w:r>
        <w:rPr>
          <w:spacing w:val="-53"/>
        </w:rPr>
      </w:r>
      <w:r>
        <w:rPr/>
        <w:t>开发运维一体化</w:t>
      </w:r>
      <w:r>
        <w:rPr>
          <w:rFonts w:ascii="Times New Roman" w:hAnsi="Times New Roman" w:cs="Times New Roman" w:eastAsia="Times New Roman" w:hint="default"/>
        </w:rPr>
        <w:t>(DevOps)</w:t>
      </w:r>
      <w:r>
        <w:rPr/>
        <w:t>管理、大数据应用架构及数据管理、</w:t>
      </w:r>
      <w:r>
        <w:rPr>
          <w:rFonts w:ascii="Times New Roman" w:hAnsi="Times New Roman" w:cs="Times New Roman" w:eastAsia="Times New Roman" w:hint="default"/>
        </w:rPr>
        <w:t>APM</w:t>
      </w:r>
      <w:r>
        <w:rPr/>
        <w:t>应用响应和用户感知管理、服务共享和业务编排管理等</w:t>
      </w:r>
      <w:r>
        <w:rPr>
          <w:spacing w:val="-26"/>
        </w:rPr>
        <w:t> </w:t>
      </w:r>
      <w:r>
        <w:rPr>
          <w:spacing w:val="-26"/>
        </w:rPr>
      </w:r>
      <w:r>
        <w:rPr/>
        <w:t>功能模块</w:t>
      </w:r>
      <w:r>
        <w:rPr>
          <w:rFonts w:ascii="Times New Roman" w:hAnsi="Times New Roman" w:cs="Times New Roman" w:eastAsia="Times New Roman" w:hint="default"/>
        </w:rPr>
        <w:t>)</w:t>
      </w:r>
      <w:r>
        <w:rPr/>
        <w:t>、运维智能化</w:t>
      </w:r>
      <w:r>
        <w:rPr>
          <w:rFonts w:ascii="Times New Roman" w:hAnsi="Times New Roman" w:cs="Times New Roman" w:eastAsia="Times New Roman" w:hint="default"/>
        </w:rPr>
        <w:t>(AIOps)</w:t>
      </w:r>
      <w:r>
        <w:rPr/>
        <w:t>，为新环境、新形势和新竞争格局下保持和扩大</w:t>
      </w:r>
      <w:r>
        <w:rPr>
          <w:rFonts w:ascii="Times New Roman" w:hAnsi="Times New Roman" w:cs="Times New Roman" w:eastAsia="Times New Roman" w:hint="default"/>
        </w:rPr>
        <w:t>ICT</w:t>
      </w:r>
      <w:r>
        <w:rPr/>
        <w:t>运营管理领域内技术和市场优势地位奠</w:t>
      </w:r>
      <w:r>
        <w:rPr>
          <w:spacing w:val="-48"/>
        </w:rPr>
        <w:t> </w:t>
      </w:r>
      <w:r>
        <w:rPr>
          <w:spacing w:val="-48"/>
        </w:rPr>
      </w:r>
      <w:r>
        <w:rPr/>
        <w:t>定坚实基础。</w:t>
      </w:r>
    </w:p>
    <w:p>
      <w:pPr>
        <w:pStyle w:val="Heading4"/>
        <w:spacing w:line="240" w:lineRule="auto" w:before="74"/>
        <w:ind w:right="0"/>
        <w:jc w:val="left"/>
        <w:rPr>
          <w:b w:val="0"/>
          <w:bCs w:val="0"/>
        </w:rPr>
      </w:pPr>
      <w:r>
        <w:rPr/>
        <w:t>（</w:t>
      </w:r>
      <w:r>
        <w:rPr>
          <w:rFonts w:ascii="Times New Roman" w:hAnsi="Times New Roman" w:cs="Times New Roman" w:eastAsia="Times New Roman" w:hint="default"/>
        </w:rPr>
        <w:t>4</w:t>
      </w:r>
      <w:r>
        <w:rPr/>
        <w:t>）手机游戏领域</w:t>
      </w:r>
      <w:r>
        <w:rPr>
          <w:b w:val="0"/>
          <w:bCs w:val="0"/>
        </w:rPr>
      </w:r>
    </w:p>
    <w:p>
      <w:pPr>
        <w:spacing w:line="240" w:lineRule="auto" w:before="9"/>
        <w:rPr>
          <w:rFonts w:ascii="宋体" w:hAnsi="宋体" w:cs="宋体" w:eastAsia="宋体" w:hint="default"/>
          <w:b/>
          <w:bCs/>
          <w:sz w:val="16"/>
          <w:szCs w:val="16"/>
        </w:rPr>
      </w:pPr>
    </w:p>
    <w:p>
      <w:pPr>
        <w:pStyle w:val="BodyText"/>
        <w:spacing w:line="463" w:lineRule="auto"/>
        <w:ind w:right="1130" w:firstLine="360"/>
        <w:jc w:val="both"/>
      </w:pPr>
      <w:r>
        <w:rPr>
          <w:rFonts w:ascii="Times New Roman" w:hAnsi="Times New Roman" w:cs="Times New Roman" w:eastAsia="Times New Roman" w:hint="default"/>
        </w:rPr>
        <w:t>2018</w:t>
      </w:r>
      <w:r>
        <w:rPr/>
        <w:t>年，公司继续聚焦海外策略类</w:t>
      </w:r>
      <w:r>
        <w:rPr>
          <w:rFonts w:ascii="Times New Roman" w:hAnsi="Times New Roman" w:cs="Times New Roman" w:eastAsia="Times New Roman" w:hint="default"/>
        </w:rPr>
        <w:t>(SLG)</w:t>
      </w:r>
      <w:r>
        <w:rPr/>
        <w:t>游戏的研发和发行，以打造有竞争力、受用户欢迎的重度手机游戏为主。公司 </w:t>
      </w:r>
      <w:r>
        <w:rPr>
          <w:spacing w:val="-2"/>
        </w:rPr>
        <w:t>将深耕细作、不断优化爆款游戏《战火与秩序》的玩法与用户体验，并加强全球市场推广力度，致力于将其打造成长生命周</w:t>
      </w:r>
      <w:r>
        <w:rPr>
          <w:spacing w:val="-66"/>
        </w:rPr>
        <w:t> </w:t>
      </w:r>
      <w:r>
        <w:rPr>
          <w:spacing w:val="-66"/>
        </w:rPr>
      </w:r>
      <w:r>
        <w:rPr/>
        <w:t>期的重度类手游产品。</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spacing w:line="3895" w:lineRule="exact"/>
        <w:ind w:left="2588" w:right="0" w:firstLine="0"/>
        <w:rPr>
          <w:rFonts w:ascii="宋体" w:hAnsi="宋体" w:cs="宋体" w:eastAsia="宋体" w:hint="default"/>
          <w:sz w:val="20"/>
          <w:szCs w:val="20"/>
        </w:rPr>
      </w:pPr>
      <w:r>
        <w:rPr>
          <w:rFonts w:ascii="宋体" w:hAnsi="宋体" w:cs="宋体" w:eastAsia="宋体" w:hint="default"/>
          <w:position w:val="-77"/>
          <w:sz w:val="20"/>
          <w:szCs w:val="20"/>
        </w:rPr>
        <w:drawing>
          <wp:inline distT="0" distB="0" distL="0" distR="0">
            <wp:extent cx="4398558" cy="2473452"/>
            <wp:effectExtent l="0" t="0" r="0" b="0"/>
            <wp:docPr id="43" name="image45.jpeg" descr=""/>
            <wp:cNvGraphicFramePr>
              <a:graphicFrameLocks noChangeAspect="1"/>
            </wp:cNvGraphicFramePr>
            <a:graphic>
              <a:graphicData uri="http://schemas.openxmlformats.org/drawingml/2006/picture">
                <pic:pic>
                  <pic:nvPicPr>
                    <pic:cNvPr id="44" name="image45.jpeg"/>
                    <pic:cNvPicPr/>
                  </pic:nvPicPr>
                  <pic:blipFill>
                    <a:blip r:embed="rId52" cstate="print"/>
                    <a:stretch>
                      <a:fillRect/>
                    </a:stretch>
                  </pic:blipFill>
                  <pic:spPr>
                    <a:xfrm>
                      <a:off x="0" y="0"/>
                      <a:ext cx="4398558" cy="2473452"/>
                    </a:xfrm>
                    <a:prstGeom prst="rect">
                      <a:avLst/>
                    </a:prstGeom>
                  </pic:spPr>
                </pic:pic>
              </a:graphicData>
            </a:graphic>
          </wp:inline>
        </w:drawing>
      </w:r>
      <w:r>
        <w:rPr>
          <w:rFonts w:ascii="宋体" w:hAnsi="宋体" w:cs="宋体" w:eastAsia="宋体" w:hint="default"/>
          <w:position w:val="-77"/>
          <w:sz w:val="20"/>
          <w:szCs w:val="20"/>
        </w:rPr>
      </w:r>
    </w:p>
    <w:p>
      <w:pPr>
        <w:spacing w:line="240" w:lineRule="auto" w:before="3"/>
        <w:rPr>
          <w:rFonts w:ascii="宋体" w:hAnsi="宋体" w:cs="宋体" w:eastAsia="宋体" w:hint="default"/>
          <w:sz w:val="13"/>
          <w:szCs w:val="13"/>
        </w:rPr>
      </w:pPr>
    </w:p>
    <w:p>
      <w:pPr>
        <w:pStyle w:val="Heading4"/>
        <w:spacing w:line="240" w:lineRule="auto"/>
        <w:ind w:left="4879" w:right="0"/>
        <w:jc w:val="left"/>
        <w:rPr>
          <w:b w:val="0"/>
          <w:bCs w:val="0"/>
        </w:rPr>
      </w:pPr>
      <w:r>
        <w:rPr/>
        <w:t>（《战火与秩序》游戏画面）</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pStyle w:val="BodyText"/>
        <w:spacing w:line="458" w:lineRule="auto"/>
        <w:ind w:right="1130" w:firstLine="360"/>
        <w:jc w:val="both"/>
      </w:pPr>
      <w:r>
        <w:rPr>
          <w:spacing w:val="-2"/>
        </w:rPr>
        <w:t>同时，公司手游团队紧密跟进手游行业发展趋势，根据玩家喜好和关注动向持续进行新游戏的研究策划、择优筛选、重</w:t>
      </w:r>
      <w:r>
        <w:rPr/>
        <w:t> </w:t>
      </w:r>
      <w:r>
        <w:rPr>
          <w:spacing w:val="-3"/>
        </w:rPr>
        <w:t>点打造。目前重点储备项目之一《</w:t>
      </w:r>
      <w:r>
        <w:rPr>
          <w:rFonts w:ascii="Times New Roman" w:hAnsi="Times New Roman" w:cs="Times New Roman" w:eastAsia="Times New Roman" w:hint="default"/>
          <w:spacing w:val="-3"/>
        </w:rPr>
        <w:t>Titan</w:t>
      </w:r>
      <w:r>
        <w:rPr>
          <w:rFonts w:ascii="Times New Roman" w:hAnsi="Times New Roman" w:cs="Times New Roman" w:eastAsia="Times New Roman" w:hint="default"/>
          <w:spacing w:val="10"/>
        </w:rPr>
        <w:t> </w:t>
      </w:r>
      <w:r>
        <w:rPr>
          <w:rFonts w:ascii="Times New Roman" w:hAnsi="Times New Roman" w:cs="Times New Roman" w:eastAsia="Times New Roman" w:hint="default"/>
          <w:spacing w:val="-8"/>
        </w:rPr>
        <w:t>Throne</w:t>
      </w:r>
      <w:r>
        <w:rPr>
          <w:spacing w:val="-8"/>
        </w:rPr>
        <w:t>》（中文名称：《泰坦王座》）即将上线。《泰坦王座》属于团队最擅长的</w:t>
      </w:r>
      <w:r>
        <w:rPr>
          <w:spacing w:val="-30"/>
        </w:rPr>
        <w:t> </w:t>
      </w:r>
      <w:r>
        <w:rPr>
          <w:rFonts w:ascii="Times New Roman" w:hAnsi="Times New Roman" w:cs="Times New Roman" w:eastAsia="Times New Roman" w:hint="default"/>
          <w:w w:val="99"/>
        </w:rPr>
        <w:t>SLG</w:t>
      </w:r>
      <w:r>
        <w:rPr>
          <w:rFonts w:ascii="Times New Roman" w:hAnsi="Times New Roman" w:cs="Times New Roman" w:eastAsia="Times New Roman" w:hint="default"/>
          <w:spacing w:val="-39"/>
          <w:w w:val="99"/>
        </w:rPr>
        <w:t> </w:t>
      </w:r>
      <w:r>
        <w:rPr>
          <w:spacing w:val="-2"/>
        </w:rPr>
        <w:t>策略类游戏，是以人类、精灵、兽人、亡灵多种族混战争夺泰坦王座为背景的奇幻策略游戏。游戏采用</w:t>
      </w:r>
      <w:r>
        <w:rPr>
          <w:spacing w:val="-42"/>
        </w:rPr>
        <w:t> </w:t>
      </w:r>
      <w:r>
        <w:rPr>
          <w:rFonts w:ascii="Times New Roman" w:hAnsi="Times New Roman" w:cs="Times New Roman" w:eastAsia="Times New Roman" w:hint="default"/>
        </w:rPr>
        <w:t>Unity3D</w:t>
      </w:r>
      <w:r>
        <w:rPr>
          <w:rFonts w:ascii="Times New Roman" w:hAnsi="Times New Roman" w:cs="Times New Roman" w:eastAsia="Times New Roman" w:hint="default"/>
          <w:spacing w:val="2"/>
        </w:rPr>
        <w:t> </w:t>
      </w:r>
      <w:r>
        <w:rPr/>
        <w:t>引擎进行开 发，采用纯</w:t>
      </w:r>
      <w:r>
        <w:rPr>
          <w:spacing w:val="-41"/>
        </w:rPr>
        <w:t> </w:t>
      </w:r>
      <w:r>
        <w:rPr>
          <w:rFonts w:ascii="Times New Roman" w:hAnsi="Times New Roman" w:cs="Times New Roman" w:eastAsia="Times New Roman" w:hint="default"/>
        </w:rPr>
        <w:t>3D</w:t>
      </w:r>
      <w:r>
        <w:rPr>
          <w:rFonts w:ascii="Times New Roman" w:hAnsi="Times New Roman" w:cs="Times New Roman" w:eastAsia="Times New Roman" w:hint="default"/>
          <w:spacing w:val="5"/>
        </w:rPr>
        <w:t> </w:t>
      </w:r>
      <w:r>
        <w:rPr/>
        <w:t>技术，内部所有素材均以</w:t>
      </w:r>
      <w:r>
        <w:rPr>
          <w:spacing w:val="-41"/>
        </w:rPr>
        <w:t> </w:t>
      </w:r>
      <w:r>
        <w:rPr>
          <w:rFonts w:ascii="Times New Roman" w:hAnsi="Times New Roman" w:cs="Times New Roman" w:eastAsia="Times New Roman" w:hint="default"/>
        </w:rPr>
        <w:t>3D</w:t>
      </w:r>
      <w:r>
        <w:rPr>
          <w:rFonts w:ascii="Times New Roman" w:hAnsi="Times New Roman" w:cs="Times New Roman" w:eastAsia="Times New Roman" w:hint="default"/>
          <w:spacing w:val="5"/>
        </w:rPr>
        <w:t> </w:t>
      </w:r>
      <w:r>
        <w:rPr/>
        <w:t>的形式表现，保证了美术层面极高的游戏品质。《泰坦王座》是团队通过大量 的</w:t>
      </w:r>
      <w:r>
        <w:rPr>
          <w:spacing w:val="-57"/>
        </w:rPr>
        <w:t> </w:t>
      </w:r>
      <w:r>
        <w:rPr>
          <w:rFonts w:ascii="Times New Roman" w:hAnsi="Times New Roman" w:cs="Times New Roman" w:eastAsia="Times New Roman" w:hint="default"/>
        </w:rPr>
        <w:t>SLG</w:t>
      </w:r>
      <w:r>
        <w:rPr>
          <w:rFonts w:ascii="Times New Roman" w:hAnsi="Times New Roman" w:cs="Times New Roman" w:eastAsia="Times New Roman" w:hint="default"/>
          <w:spacing w:val="-12"/>
        </w:rPr>
        <w:t> </w:t>
      </w:r>
      <w:r>
        <w:rPr/>
        <w:t>经验积累，对当前</w:t>
      </w:r>
      <w:r>
        <w:rPr>
          <w:spacing w:val="-57"/>
        </w:rPr>
        <w:t> </w:t>
      </w:r>
      <w:r>
        <w:rPr>
          <w:rFonts w:ascii="Times New Roman" w:hAnsi="Times New Roman" w:cs="Times New Roman" w:eastAsia="Times New Roman" w:hint="default"/>
        </w:rPr>
        <w:t>SLG</w:t>
      </w:r>
      <w:r>
        <w:rPr>
          <w:rFonts w:ascii="Times New Roman" w:hAnsi="Times New Roman" w:cs="Times New Roman" w:eastAsia="Times New Roman" w:hint="default"/>
          <w:spacing w:val="-12"/>
        </w:rPr>
        <w:t> </w:t>
      </w:r>
      <w:r>
        <w:rPr/>
        <w:t>类项目的可优化点进行分析设计与不断推敲，结合了独特的英雄成长和兵种搭配，最终打造</w:t>
      </w:r>
    </w:p>
    <w:p>
      <w:pPr>
        <w:spacing w:after="0" w:line="458"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right="1121"/>
        <w:jc w:val="left"/>
      </w:pPr>
      <w:r>
        <w:rPr>
          <w:spacing w:val="-2"/>
        </w:rPr>
        <w:t>的具有足够市场竞争力的手游产品。相比之前的类似游戏，《泰坦王座》真正采用了完整的</w:t>
      </w:r>
      <w:r>
        <w:rPr>
          <w:spacing w:val="-36"/>
        </w:rPr>
        <w:t> </w:t>
      </w:r>
      <w:r>
        <w:rPr>
          <w:rFonts w:ascii="Times New Roman" w:hAnsi="Times New Roman" w:cs="Times New Roman" w:eastAsia="Times New Roman" w:hint="default"/>
        </w:rPr>
        <w:t>4</w:t>
      </w:r>
      <w:r>
        <w:rPr>
          <w:rFonts w:ascii="Times New Roman" w:hAnsi="Times New Roman" w:cs="Times New Roman" w:eastAsia="Times New Roman" w:hint="default"/>
          <w:spacing w:val="9"/>
        </w:rPr>
        <w:t> </w:t>
      </w:r>
      <w:r>
        <w:rPr>
          <w:spacing w:val="-2"/>
        </w:rPr>
        <w:t>种族设计，充满策略性和对抗</w:t>
      </w:r>
      <w:r>
        <w:rPr>
          <w:spacing w:val="-88"/>
        </w:rPr>
        <w:t> </w:t>
      </w:r>
      <w:r>
        <w:rPr>
          <w:spacing w:val="-88"/>
        </w:rPr>
      </w:r>
      <w:r>
        <w:rPr/>
        <w:t>性，在真正奇幻游戏的背景下，开展一段梦幻的旅程。</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8"/>
          <w:szCs w:val="18"/>
        </w:rPr>
      </w:pPr>
    </w:p>
    <w:p>
      <w:pPr>
        <w:spacing w:line="3676" w:lineRule="exact"/>
        <w:ind w:left="2467" w:right="0" w:firstLine="0"/>
        <w:rPr>
          <w:rFonts w:ascii="宋体" w:hAnsi="宋体" w:cs="宋体" w:eastAsia="宋体" w:hint="default"/>
          <w:sz w:val="20"/>
          <w:szCs w:val="20"/>
        </w:rPr>
      </w:pPr>
      <w:r>
        <w:rPr>
          <w:rFonts w:ascii="宋体" w:hAnsi="宋体" w:cs="宋体" w:eastAsia="宋体" w:hint="default"/>
          <w:position w:val="-73"/>
          <w:sz w:val="20"/>
          <w:szCs w:val="20"/>
        </w:rPr>
        <w:drawing>
          <wp:inline distT="0" distB="0" distL="0" distR="0">
            <wp:extent cx="4589143" cy="2334386"/>
            <wp:effectExtent l="0" t="0" r="0" b="0"/>
            <wp:docPr id="45" name="image46.jpeg" descr=""/>
            <wp:cNvGraphicFramePr>
              <a:graphicFrameLocks noChangeAspect="1"/>
            </wp:cNvGraphicFramePr>
            <a:graphic>
              <a:graphicData uri="http://schemas.openxmlformats.org/drawingml/2006/picture">
                <pic:pic>
                  <pic:nvPicPr>
                    <pic:cNvPr id="46" name="image46.jpeg"/>
                    <pic:cNvPicPr/>
                  </pic:nvPicPr>
                  <pic:blipFill>
                    <a:blip r:embed="rId53" cstate="print"/>
                    <a:stretch>
                      <a:fillRect/>
                    </a:stretch>
                  </pic:blipFill>
                  <pic:spPr>
                    <a:xfrm>
                      <a:off x="0" y="0"/>
                      <a:ext cx="4589143" cy="2334386"/>
                    </a:xfrm>
                    <a:prstGeom prst="rect">
                      <a:avLst/>
                    </a:prstGeom>
                  </pic:spPr>
                </pic:pic>
              </a:graphicData>
            </a:graphic>
          </wp:inline>
        </w:drawing>
      </w:r>
      <w:r>
        <w:rPr>
          <w:rFonts w:ascii="宋体" w:hAnsi="宋体" w:cs="宋体" w:eastAsia="宋体" w:hint="default"/>
          <w:position w:val="-73"/>
          <w:sz w:val="20"/>
          <w:szCs w:val="20"/>
        </w:rPr>
      </w:r>
    </w:p>
    <w:p>
      <w:pPr>
        <w:pStyle w:val="Heading4"/>
        <w:spacing w:line="240" w:lineRule="auto" w:before="107"/>
        <w:ind w:left="360" w:right="0"/>
        <w:jc w:val="center"/>
        <w:rPr>
          <w:b w:val="0"/>
          <w:bCs w:val="0"/>
        </w:rPr>
      </w:pPr>
      <w:r>
        <w:rPr/>
        <w:t>（《泰坦王座》游戏画面）</w:t>
      </w:r>
      <w:r>
        <w:rPr>
          <w:b w:val="0"/>
          <w:bCs w:val="0"/>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17"/>
          <w:szCs w:val="17"/>
        </w:rPr>
      </w:pPr>
    </w:p>
    <w:p>
      <w:pPr>
        <w:pStyle w:val="Heading4"/>
        <w:spacing w:line="240" w:lineRule="auto"/>
        <w:ind w:left="1405" w:right="0"/>
        <w:jc w:val="left"/>
        <w:rPr>
          <w:b w:val="0"/>
          <w:bCs w:val="0"/>
        </w:rPr>
      </w:pPr>
      <w:r>
        <w:rPr/>
        <w:t>（三）对公司未来发展战略和经营目标的实现产生不利影响的风险因素分析</w:t>
      </w:r>
      <w:r>
        <w:rPr>
          <w:b w:val="0"/>
          <w:bCs w:val="0"/>
        </w:rPr>
      </w:r>
    </w:p>
    <w:p>
      <w:pPr>
        <w:spacing w:line="240" w:lineRule="auto" w:before="10"/>
        <w:rPr>
          <w:rFonts w:ascii="宋体" w:hAnsi="宋体" w:cs="宋体" w:eastAsia="宋体" w:hint="default"/>
          <w:b/>
          <w:bCs/>
          <w:sz w:val="17"/>
          <w:szCs w:val="17"/>
        </w:rPr>
      </w:pPr>
    </w:p>
    <w:p>
      <w:pPr>
        <w:pStyle w:val="BodyText"/>
        <w:spacing w:line="451" w:lineRule="auto"/>
        <w:ind w:left="1493" w:right="0" w:firstLine="1"/>
        <w:jc w:val="left"/>
      </w:pPr>
      <w:r>
        <w:rPr>
          <w:rFonts w:ascii="Times New Roman" w:hAnsi="Times New Roman" w:cs="Times New Roman" w:eastAsia="Times New Roman" w:hint="default"/>
          <w:b/>
          <w:bCs/>
        </w:rPr>
        <w:t>1</w:t>
      </w:r>
      <w:r>
        <w:rPr>
          <w:rFonts w:ascii="宋体" w:hAnsi="宋体" w:cs="宋体" w:eastAsia="宋体" w:hint="default"/>
          <w:b/>
          <w:bCs/>
        </w:rPr>
        <w:t>、创新业务市场落地风险</w:t>
      </w:r>
      <w:r>
        <w:rPr>
          <w:rFonts w:ascii="宋体" w:hAnsi="宋体" w:cs="宋体" w:eastAsia="宋体" w:hint="default"/>
          <w:b/>
          <w:bCs/>
          <w:w w:val="99"/>
        </w:rPr>
        <w:t> </w:t>
      </w:r>
      <w:r>
        <w:rPr>
          <w:spacing w:val="-2"/>
        </w:rPr>
        <w:t>创新业务顺利的市场落地，是公司未来发展的核心基础。虽然人工智能及物联网市场前景广阔，但创新业务最终是否被</w:t>
      </w:r>
    </w:p>
    <w:p>
      <w:pPr>
        <w:pStyle w:val="BodyText"/>
        <w:spacing w:line="477" w:lineRule="auto" w:before="74"/>
        <w:ind w:right="1033"/>
        <w:jc w:val="left"/>
      </w:pPr>
      <w:r>
        <w:rPr>
          <w:spacing w:val="-5"/>
        </w:rPr>
        <w:t>市场认可，应用落地是否可达原有市场规模预期仍然存在较高不确定性。在信息产业日新月异的时代下，新兴技术层出不穷，</w:t>
      </w:r>
      <w:r>
        <w:rPr>
          <w:spacing w:val="-78"/>
        </w:rPr>
        <w:t> </w:t>
      </w:r>
      <w:r>
        <w:rPr>
          <w:spacing w:val="-78"/>
        </w:rPr>
      </w:r>
      <w:r>
        <w:rPr>
          <w:spacing w:val="-2"/>
        </w:rPr>
        <w:t>从事创新业务的潜在的机遇与收益虽然很高，但企业被淘汰或丧失竞争力的风险更高。公司所处行业的技术和应用产品不断</w:t>
      </w:r>
      <w:r>
        <w:rPr>
          <w:spacing w:val="-64"/>
        </w:rPr>
        <w:t> </w:t>
      </w:r>
      <w:r>
        <w:rPr>
          <w:spacing w:val="-64"/>
        </w:rPr>
      </w:r>
      <w:r>
        <w:rPr>
          <w:spacing w:val="-2"/>
        </w:rPr>
        <w:t>更新升级，公司原有技术应用产品也存在更新换代局面。如果遇到某种不确定因素，致使公司技术、产品应用偏离市场，无</w:t>
      </w:r>
      <w:r>
        <w:rPr>
          <w:spacing w:val="-66"/>
        </w:rPr>
        <w:t> </w:t>
      </w:r>
      <w:r>
        <w:rPr>
          <w:spacing w:val="-66"/>
        </w:rPr>
      </w:r>
      <w:r>
        <w:rPr/>
        <w:t>法保证其适用性、领先性，则公司将面临前期高额投入无法产生预期收益局面，从而影响公司整体市场竞争力、盈利能力。</w:t>
      </w:r>
      <w:r>
        <w:rPr>
          <w:spacing w:val="-84"/>
        </w:rPr>
        <w:t> </w:t>
      </w:r>
      <w:r>
        <w:rPr>
          <w:spacing w:val="-84"/>
        </w:rPr>
      </w:r>
      <w:r>
        <w:rPr/>
        <w:t>为此，公司会深入了解市场需求，紧跟新技术发展趋势，快速迭代推进，始终保持公司技术与产品应用的领先性。</w:t>
      </w:r>
    </w:p>
    <w:p>
      <w:pPr>
        <w:spacing w:line="489" w:lineRule="auto" w:before="95"/>
        <w:ind w:left="149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、未来</w:t>
      </w:r>
      <w:r>
        <w:rPr>
          <w:rFonts w:ascii="Times New Roman" w:hAnsi="Times New Roman" w:cs="Times New Roman" w:eastAsia="Times New Roman" w:hint="default"/>
          <w:b/>
          <w:bCs/>
          <w:sz w:val="18"/>
          <w:szCs w:val="18"/>
        </w:rPr>
        <w:t>ICT</w:t>
      </w:r>
      <w:r>
        <w:rPr>
          <w:rFonts w:ascii="宋体" w:hAnsi="宋体" w:cs="宋体" w:eastAsia="宋体" w:hint="default"/>
          <w:b/>
          <w:bCs/>
          <w:sz w:val="18"/>
          <w:szCs w:val="18"/>
        </w:rPr>
        <w:t>环境和运营管理领域竞争格局变化的风险</w:t>
      </w:r>
      <w:r>
        <w:rPr>
          <w:rFonts w:ascii="宋体" w:hAnsi="宋体" w:cs="宋体" w:eastAsia="宋体" w:hint="default"/>
          <w:b/>
          <w:bCs/>
          <w:w w:val="99"/>
          <w:sz w:val="18"/>
          <w:szCs w:val="18"/>
        </w:rPr>
        <w:t> </w:t>
      </w:r>
      <w:r>
        <w:rPr>
          <w:rFonts w:ascii="宋体" w:hAnsi="宋体" w:cs="宋体" w:eastAsia="宋体" w:hint="default"/>
          <w:spacing w:val="-2"/>
          <w:sz w:val="18"/>
          <w:szCs w:val="18"/>
        </w:rPr>
        <w:t>在云计算、大数据、软件定义网络</w:t>
      </w:r>
      <w:r>
        <w:rPr>
          <w:rFonts w:ascii="Times New Roman" w:hAnsi="Times New Roman" w:cs="Times New Roman" w:eastAsia="Times New Roman" w:hint="default"/>
          <w:spacing w:val="-2"/>
          <w:sz w:val="18"/>
          <w:szCs w:val="18"/>
        </w:rPr>
        <w:t>(SDN)</w:t>
      </w:r>
      <w:r>
        <w:rPr>
          <w:rFonts w:ascii="宋体" w:hAnsi="宋体" w:cs="宋体" w:eastAsia="宋体" w:hint="default"/>
          <w:spacing w:val="-2"/>
          <w:sz w:val="18"/>
          <w:szCs w:val="18"/>
        </w:rPr>
        <w:t>、网络虚拟化</w:t>
      </w:r>
      <w:r>
        <w:rPr>
          <w:rFonts w:ascii="Times New Roman" w:hAnsi="Times New Roman" w:cs="Times New Roman" w:eastAsia="Times New Roman" w:hint="default"/>
          <w:spacing w:val="-2"/>
          <w:sz w:val="18"/>
          <w:szCs w:val="18"/>
        </w:rPr>
        <w:t>(NFV)</w:t>
      </w:r>
      <w:r>
        <w:rPr>
          <w:rFonts w:ascii="宋体" w:hAnsi="宋体" w:cs="宋体" w:eastAsia="宋体" w:hint="default"/>
          <w:spacing w:val="-2"/>
          <w:sz w:val="18"/>
          <w:szCs w:val="18"/>
        </w:rPr>
        <w:t>、人工智能等新架构、新技术的推动下，</w:t>
      </w:r>
      <w:r>
        <w:rPr>
          <w:rFonts w:ascii="Times New Roman" w:hAnsi="Times New Roman" w:cs="Times New Roman" w:eastAsia="Times New Roman" w:hint="default"/>
          <w:spacing w:val="-2"/>
          <w:sz w:val="18"/>
          <w:szCs w:val="18"/>
        </w:rPr>
        <w:t>ICT</w:t>
      </w:r>
      <w:r>
        <w:rPr>
          <w:rFonts w:ascii="宋体" w:hAnsi="宋体" w:cs="宋体" w:eastAsia="宋体" w:hint="default"/>
          <w:spacing w:val="-2"/>
          <w:sz w:val="18"/>
          <w:szCs w:val="18"/>
        </w:rPr>
        <w:t>环境正发生着</w:t>
      </w:r>
    </w:p>
    <w:p>
      <w:pPr>
        <w:pStyle w:val="BodyText"/>
        <w:spacing w:line="470" w:lineRule="auto" w:before="11"/>
        <w:ind w:right="0"/>
        <w:jc w:val="left"/>
      </w:pPr>
      <w:r>
        <w:rPr/>
        <w:t>颠覆性变革，运营管理的对象、重点、要求也随着发生巨变。同时，运营管理在新架构、新环境中的地位和作用大大提升，</w:t>
      </w:r>
      <w:r>
        <w:rPr>
          <w:spacing w:val="-85"/>
        </w:rPr>
        <w:t> </w:t>
      </w:r>
      <w:r>
        <w:rPr>
          <w:spacing w:val="-85"/>
        </w:rPr>
      </w:r>
      <w:r>
        <w:rPr/>
        <w:t>吸引了一些跨界厂商涉足运营管理软件和服务领域。如公司技术实力、运营理念、软件和服务能力无法适应这种变化，或者</w:t>
      </w:r>
      <w:r>
        <w:rPr/>
        <w:t> 无法在与跨界涉足者竞争中获胜，将会影响公司运营管理业务的发展。电信行业是公司</w:t>
      </w:r>
      <w:r>
        <w:rPr>
          <w:rFonts w:ascii="Times New Roman" w:hAnsi="Times New Roman" w:cs="Times New Roman" w:eastAsia="Times New Roman" w:hint="default"/>
        </w:rPr>
        <w:t>ICT</w:t>
      </w:r>
      <w:r>
        <w:rPr/>
        <w:t>运营管理业务的重点市场领域，</w:t>
      </w:r>
      <w:r>
        <w:rPr>
          <w:spacing w:val="-22"/>
        </w:rPr>
        <w:t> </w:t>
      </w:r>
      <w:r>
        <w:rPr>
          <w:spacing w:val="-22"/>
        </w:rPr>
      </w:r>
      <w:r>
        <w:rPr>
          <w:spacing w:val="-2"/>
        </w:rPr>
        <w:t>公司对电信行业的依赖程度较高。如果未来电信行业发生运营的不利变化或者电信运营商对信息化建设的投资规模大幅下降，</w:t>
      </w:r>
      <w:r>
        <w:rPr>
          <w:spacing w:val="-62"/>
        </w:rPr>
        <w:t> </w:t>
      </w:r>
      <w:r>
        <w:rPr>
          <w:spacing w:val="-62"/>
        </w:rPr>
      </w:r>
      <w:r>
        <w:rPr/>
        <w:t>将对公司的盈利能力产生较大不利影响。</w:t>
      </w:r>
    </w:p>
    <w:p>
      <w:pPr>
        <w:pStyle w:val="BodyText"/>
        <w:spacing w:line="240" w:lineRule="auto" w:before="98"/>
        <w:ind w:left="1493" w:right="0"/>
        <w:jc w:val="left"/>
      </w:pPr>
      <w:r>
        <w:rPr/>
        <w:t>近年来，虽然运营商也是受到互联网</w:t>
      </w:r>
      <w:r>
        <w:rPr>
          <w:rFonts w:ascii="Times New Roman" w:hAnsi="Times New Roman" w:cs="Times New Roman" w:eastAsia="Times New Roman" w:hint="default"/>
        </w:rPr>
        <w:t>OTT</w:t>
      </w:r>
      <w:r>
        <w:rPr/>
        <w:t>冲击，但作为影响国计民生的重要行业，且用户和业务规模巨大、网络建设演</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65" w:lineRule="auto" w:before="44"/>
        <w:ind w:right="1129"/>
        <w:jc w:val="both"/>
      </w:pPr>
      <w:r>
        <w:rPr>
          <w:spacing w:val="-1"/>
        </w:rPr>
        <w:t>进迅速，运营软件和服务投入一直很大。公司营收占运营商该项投资的比例仍有巨大的提升空间。公司对大中企业</w:t>
      </w:r>
      <w:r>
        <w:rPr>
          <w:rFonts w:ascii="Times New Roman" w:hAnsi="Times New Roman" w:cs="Times New Roman" w:eastAsia="Times New Roman" w:hint="default"/>
          <w:spacing w:val="-1"/>
        </w:rPr>
        <w:t>ICT</w:t>
      </w:r>
      <w:r>
        <w:rPr>
          <w:spacing w:val="-1"/>
        </w:rPr>
        <w:t>运营</w:t>
      </w:r>
      <w:r>
        <w:rPr>
          <w:spacing w:val="-46"/>
        </w:rPr>
        <w:t> </w:t>
      </w:r>
      <w:r>
        <w:rPr>
          <w:spacing w:val="-5"/>
        </w:rPr>
        <w:t>环境及与互联网运维环境的区别有深入了解，积累了完善丰富的产品、方案、方法和队伍。同时，公司一直跟进新技术演进、</w:t>
      </w:r>
      <w:r>
        <w:rPr>
          <w:spacing w:val="-79"/>
        </w:rPr>
        <w:t> </w:t>
      </w:r>
      <w:r>
        <w:rPr>
          <w:spacing w:val="-79"/>
        </w:rPr>
      </w:r>
      <w:r>
        <w:rPr>
          <w:spacing w:val="-5"/>
        </w:rPr>
        <w:t>特别是运营管理的影响，已经研发面向新架构、新环境、新运维理念的产品和方案，并在项目中得到了实践验证和客户认可。</w:t>
      </w:r>
      <w:r>
        <w:rPr>
          <w:spacing w:val="-82"/>
        </w:rPr>
        <w:t> </w:t>
      </w:r>
      <w:r>
        <w:rPr>
          <w:spacing w:val="-82"/>
        </w:rPr>
      </w:r>
      <w:r>
        <w:rPr>
          <w:spacing w:val="-4"/>
        </w:rPr>
        <w:t>公司有信心、有实力在急剧变化、危中有机的</w:t>
      </w:r>
      <w:r>
        <w:rPr>
          <w:rFonts w:ascii="Times New Roman" w:hAnsi="Times New Roman" w:cs="Times New Roman" w:eastAsia="Times New Roman" w:hint="default"/>
          <w:spacing w:val="-4"/>
        </w:rPr>
        <w:t>ICT</w:t>
      </w:r>
      <w:r>
        <w:rPr>
          <w:spacing w:val="-4"/>
        </w:rPr>
        <w:t>运营管理软件和服务市场中，抓住机遇，保持和扩大市场份额和领导地位。</w:t>
      </w:r>
      <w:r>
        <w:rPr>
          <w:spacing w:val="-62"/>
        </w:rPr>
        <w:t> </w:t>
      </w:r>
      <w:r>
        <w:rPr>
          <w:spacing w:val="-62"/>
        </w:rPr>
      </w:r>
      <w:r>
        <w:rPr>
          <w:spacing w:val="-5"/>
        </w:rPr>
        <w:t>公司将基于既有产品、业务和客户优势，交付更为先进、实用的产品和服务，为电信客户降本增效、开源节流做出积极贡献，</w:t>
      </w:r>
      <w:r>
        <w:rPr>
          <w:spacing w:val="-79"/>
        </w:rPr>
        <w:t> </w:t>
      </w:r>
      <w:r>
        <w:rPr>
          <w:spacing w:val="-79"/>
        </w:rPr>
      </w:r>
      <w:r>
        <w:rPr/>
        <w:t>以产品和服务的价值和成效，提升客户满意度和业务粘性，进一步确立在</w:t>
      </w:r>
      <w:r>
        <w:rPr>
          <w:rFonts w:ascii="Times New Roman" w:hAnsi="Times New Roman" w:cs="Times New Roman" w:eastAsia="Times New Roman" w:hint="default"/>
        </w:rPr>
        <w:t>ICT</w:t>
      </w:r>
      <w:r>
        <w:rPr/>
        <w:t>运营管理领域的技术优势和领先地位。</w:t>
      </w:r>
    </w:p>
    <w:p>
      <w:pPr>
        <w:spacing w:line="489" w:lineRule="auto" w:before="71"/>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、手机游戏开发与运营风险</w:t>
      </w:r>
      <w:r>
        <w:rPr>
          <w:rFonts w:ascii="宋体" w:hAnsi="宋体" w:cs="宋体" w:eastAsia="宋体" w:hint="default"/>
          <w:b/>
          <w:bCs/>
          <w:w w:val="99"/>
          <w:sz w:val="18"/>
          <w:szCs w:val="18"/>
        </w:rPr>
        <w:t> </w:t>
      </w:r>
      <w:r>
        <w:rPr>
          <w:rFonts w:ascii="宋体" w:hAnsi="宋体" w:cs="宋体" w:eastAsia="宋体" w:hint="default"/>
          <w:spacing w:val="-2"/>
          <w:sz w:val="18"/>
          <w:szCs w:val="18"/>
        </w:rPr>
        <w:t>游戏产品具有更新快、可模仿性较高、玩家喜好转换快、市场竞争激烈等特点，如果公司无法持续推出受玩家认可的成</w:t>
      </w:r>
    </w:p>
    <w:p>
      <w:pPr>
        <w:pStyle w:val="BodyText"/>
        <w:spacing w:line="477" w:lineRule="auto" w:before="45"/>
        <w:ind w:right="1133"/>
        <w:jc w:val="both"/>
      </w:pPr>
      <w:r>
        <w:rPr>
          <w:spacing w:val="-2"/>
        </w:rPr>
        <w:t>功的游戏产品，或由于游戏研发周期延长、推广时间延长等原因造成游戏无法按计划推出，从而造成老游戏盈利能力出现下</w:t>
      </w:r>
      <w:r>
        <w:rPr>
          <w:spacing w:val="-66"/>
        </w:rPr>
        <w:t> </w:t>
      </w:r>
      <w:r>
        <w:rPr>
          <w:spacing w:val="-66"/>
        </w:rPr>
      </w:r>
      <w:r>
        <w:rPr/>
        <w:t>滑时，新游戏无法成功按时推出难以弥补老游戏收入的下滑，则将对公司的运营产生不利影响。</w:t>
      </w:r>
    </w:p>
    <w:p>
      <w:pPr>
        <w:pStyle w:val="BodyText"/>
        <w:spacing w:line="470" w:lineRule="auto" w:before="92"/>
        <w:ind w:right="1033" w:firstLine="360"/>
        <w:jc w:val="left"/>
      </w:pPr>
      <w:r>
        <w:rPr>
          <w:spacing w:val="-2"/>
        </w:rPr>
        <w:t>网络游戏受到工业信息、文化和新闻出版等部门的监管，在中国境内从事移动网络游戏运营的，需要取得该等部门的许</w:t>
      </w:r>
      <w:r>
        <w:rPr/>
        <w:t> </w:t>
      </w:r>
      <w:r>
        <w:rPr>
          <w:spacing w:val="-2"/>
        </w:rPr>
        <w:t>可。公司新开发的游戏产品若无法通过备案审核或审批，则可能存在游戏产品无法顺利上线的风险。</w:t>
      </w:r>
      <w:r>
        <w:rPr>
          <w:rFonts w:ascii="Times New Roman" w:hAnsi="Times New Roman" w:cs="Times New Roman" w:eastAsia="Times New Roman" w:hint="default"/>
          <w:spacing w:val="-2"/>
        </w:rPr>
        <w:t>2016</w:t>
      </w:r>
      <w:r>
        <w:rPr>
          <w:spacing w:val="-2"/>
        </w:rPr>
        <w:t>年国家出台的版号</w:t>
      </w:r>
      <w:r>
        <w:rPr>
          <w:spacing w:val="-61"/>
        </w:rPr>
        <w:t> </w:t>
      </w:r>
      <w:r>
        <w:rPr>
          <w:spacing w:val="-2"/>
        </w:rPr>
        <w:t>新规及上线资质等政策，增强了对移动游戏行业的监管，对产品上市周期、开发及运营成本都有所影响。另外，我国尚未有</w:t>
      </w:r>
      <w:r>
        <w:rPr>
          <w:spacing w:val="-66"/>
        </w:rPr>
        <w:t> </w:t>
      </w:r>
      <w:r>
        <w:rPr>
          <w:spacing w:val="-66"/>
        </w:rPr>
      </w:r>
      <w:r>
        <w:rPr/>
        <w:t>法律法规监管虚拟资产的产权，而游戏公司大部分收入来自虚拟物品销售，若是政策发生变动，限制虚拟货币和资产业务，</w:t>
      </w:r>
      <w:r>
        <w:rPr>
          <w:spacing w:val="-85"/>
        </w:rPr>
        <w:t> </w:t>
      </w:r>
      <w:r>
        <w:rPr>
          <w:spacing w:val="-85"/>
        </w:rPr>
      </w:r>
      <w:r>
        <w:rPr/>
        <w:t>公司的经营业绩、财务状态及业务前景可能承受重大不利影响。</w:t>
      </w:r>
    </w:p>
    <w:p>
      <w:pPr>
        <w:pStyle w:val="BodyText"/>
        <w:spacing w:line="477" w:lineRule="auto" w:before="98"/>
        <w:ind w:left="1134" w:right="0" w:firstLine="360"/>
        <w:jc w:val="left"/>
      </w:pPr>
      <w:r>
        <w:rPr>
          <w:spacing w:val="-2"/>
        </w:rPr>
        <w:t>公司将充分发挥自身优势和技术实力，积极调整战略部署，重点打造领先市场需求的新型精品游戏，重点发行全球优势</w:t>
      </w:r>
      <w:r>
        <w:rPr/>
        <w:t> 市场，并且时刻关注行业最新的法律法规，严格遵守国家制定的法律法规，确保自身业务和经营的合法合规。</w:t>
      </w:r>
    </w:p>
    <w:p>
      <w:pPr>
        <w:spacing w:line="487" w:lineRule="auto" w:before="95"/>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、系统集成业务应收款项管理风险</w:t>
      </w:r>
      <w:r>
        <w:rPr>
          <w:rFonts w:ascii="宋体" w:hAnsi="宋体" w:cs="宋体" w:eastAsia="宋体" w:hint="default"/>
          <w:b/>
          <w:bCs/>
          <w:w w:val="99"/>
          <w:sz w:val="18"/>
          <w:szCs w:val="18"/>
        </w:rPr>
        <w:t> </w:t>
      </w:r>
      <w:r>
        <w:rPr>
          <w:rFonts w:ascii="宋体" w:hAnsi="宋体" w:cs="宋体" w:eastAsia="宋体" w:hint="default"/>
          <w:spacing w:val="-1"/>
          <w:sz w:val="18"/>
          <w:szCs w:val="18"/>
        </w:rPr>
        <w:t>系统集成业务是公司</w:t>
      </w:r>
      <w:r>
        <w:rPr>
          <w:rFonts w:ascii="Times New Roman" w:hAnsi="Times New Roman" w:cs="Times New Roman" w:eastAsia="Times New Roman" w:hint="default"/>
          <w:spacing w:val="-1"/>
          <w:sz w:val="18"/>
          <w:szCs w:val="18"/>
        </w:rPr>
        <w:t>ICT</w:t>
      </w:r>
      <w:r>
        <w:rPr>
          <w:rFonts w:ascii="宋体" w:hAnsi="宋体" w:cs="宋体" w:eastAsia="宋体" w:hint="default"/>
          <w:spacing w:val="-1"/>
          <w:sz w:val="18"/>
          <w:szCs w:val="18"/>
        </w:rPr>
        <w:t>运营管理板块中的组成部分，该业务的销售政策普遍采取赊销方式，随着系统集成业务规模的</w:t>
      </w:r>
    </w:p>
    <w:p>
      <w:pPr>
        <w:pStyle w:val="BodyText"/>
        <w:spacing w:line="496" w:lineRule="auto" w:before="14"/>
        <w:ind w:left="630" w:right="1131"/>
        <w:jc w:val="right"/>
      </w:pPr>
      <w:r>
        <w:rPr>
          <w:spacing w:val="-5"/>
        </w:rPr>
        <w:t>扩大，应收款项余额加大。一旦出现呆账、死账将对公司产生较大程度的影响和损失，近年来出现个别客户拖欠货款的情形。</w:t>
      </w:r>
      <w:r>
        <w:rPr/>
        <w:t> 为此，</w:t>
      </w:r>
      <w:r>
        <w:rPr>
          <w:spacing w:val="7"/>
        </w:rPr>
        <w:t> </w:t>
      </w:r>
      <w:r>
        <w:rPr/>
        <w:t>公司一方面汲取经验教训，大规模减少系统集成业务的规模，进一步加强客户的信用管理（包括黑名单制度、</w:t>
      </w:r>
      <w:r>
        <w:rPr/>
        <w:t> </w:t>
      </w:r>
      <w:r>
        <w:rPr>
          <w:spacing w:val="-2"/>
        </w:rPr>
        <w:t>信用额度控制、结算政策、抵押担保等），选择信誉度好的客户，严控信用额度与结算政策；另一方面，更为重要的是，运</w:t>
      </w:r>
    </w:p>
    <w:p>
      <w:pPr>
        <w:pStyle w:val="BodyText"/>
        <w:spacing w:line="240" w:lineRule="auto" w:before="41"/>
        <w:ind w:right="0"/>
        <w:jc w:val="both"/>
      </w:pPr>
      <w:r>
        <w:rPr/>
        <w:t>用包括法律手段在内的各种合法措施加大应收款项的催收力度，以保护上市公司合法权益。</w:t>
      </w:r>
    </w:p>
    <w:p>
      <w:pPr>
        <w:spacing w:line="240" w:lineRule="auto" w:before="12"/>
        <w:rPr>
          <w:rFonts w:ascii="宋体" w:hAnsi="宋体" w:cs="宋体" w:eastAsia="宋体" w:hint="default"/>
          <w:sz w:val="20"/>
          <w:szCs w:val="20"/>
        </w:rPr>
      </w:pPr>
    </w:p>
    <w:p>
      <w:pPr>
        <w:spacing w:line="487" w:lineRule="auto" w:before="0"/>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、对高端人才的持续需求风险</w:t>
      </w:r>
      <w:r>
        <w:rPr>
          <w:rFonts w:ascii="宋体" w:hAnsi="宋体" w:cs="宋体" w:eastAsia="宋体" w:hint="default"/>
          <w:b/>
          <w:bCs/>
          <w:w w:val="99"/>
          <w:sz w:val="18"/>
          <w:szCs w:val="18"/>
        </w:rPr>
        <w:t> </w:t>
      </w:r>
      <w:r>
        <w:rPr>
          <w:rFonts w:ascii="宋体" w:hAnsi="宋体" w:cs="宋体" w:eastAsia="宋体" w:hint="default"/>
          <w:spacing w:val="-2"/>
          <w:sz w:val="18"/>
          <w:szCs w:val="18"/>
        </w:rPr>
        <w:t>公司属于知识密集型、智力密集型行业，高端人才储备不足将制约着企业的进一步发展，尤其是在人工智能、物联网领</w:t>
      </w:r>
    </w:p>
    <w:p>
      <w:pPr>
        <w:pStyle w:val="BodyText"/>
        <w:spacing w:line="468" w:lineRule="auto" w:before="47"/>
        <w:ind w:right="1130"/>
        <w:jc w:val="both"/>
      </w:pPr>
      <w:r>
        <w:rPr>
          <w:spacing w:val="-2"/>
        </w:rPr>
        <w:t>域的人才竞争更是激烈。随着公司业务规模不断扩大，新技术演进层出不穷，对软件高级技术人员、营销人员和管理人员具</w:t>
      </w:r>
      <w:r>
        <w:rPr>
          <w:spacing w:val="-66"/>
        </w:rPr>
        <w:t> </w:t>
      </w:r>
      <w:r>
        <w:rPr>
          <w:spacing w:val="-66"/>
        </w:rPr>
      </w:r>
      <w:r>
        <w:rPr>
          <w:spacing w:val="-2"/>
        </w:rPr>
        <w:t>有较大的需求。如何保持现有技术队伍和管理层的稳定、提高业务人员专业水平和综合素质、培养和引进优秀人才，对公司</w:t>
      </w:r>
      <w:r>
        <w:rPr>
          <w:spacing w:val="-66"/>
        </w:rPr>
        <w:t> </w:t>
      </w:r>
      <w:r>
        <w:rPr>
          <w:spacing w:val="-66"/>
        </w:rPr>
      </w:r>
      <w:r>
        <w:rPr>
          <w:spacing w:val="-2"/>
        </w:rPr>
        <w:t>的快速发展至关重要。为此，公司将始终坚持</w:t>
      </w:r>
      <w:r>
        <w:rPr>
          <w:rFonts w:ascii="Times New Roman" w:hAnsi="Times New Roman" w:cs="Times New Roman" w:eastAsia="Times New Roman" w:hint="default"/>
          <w:spacing w:val="-2"/>
        </w:rPr>
        <w:t>“</w:t>
      </w:r>
      <w:r>
        <w:rPr>
          <w:spacing w:val="-2"/>
        </w:rPr>
        <w:t>高绩效、高贡献、高回报</w:t>
      </w:r>
      <w:r>
        <w:rPr>
          <w:rFonts w:ascii="Times New Roman" w:hAnsi="Times New Roman" w:cs="Times New Roman" w:eastAsia="Times New Roman" w:hint="default"/>
          <w:spacing w:val="-2"/>
        </w:rPr>
        <w:t>”</w:t>
      </w:r>
      <w:r>
        <w:rPr>
          <w:spacing w:val="-2"/>
        </w:rPr>
        <w:t>的人才发展观，通过提升薪资竞争力提高人才的吸</w:t>
      </w:r>
      <w:r>
        <w:rPr>
          <w:spacing w:val="-46"/>
        </w:rPr>
        <w:t> </w:t>
      </w:r>
      <w:r>
        <w:rPr>
          <w:spacing w:val="-46"/>
        </w:rPr>
      </w:r>
      <w:r>
        <w:rPr/>
        <w:t>引力，通过为员工创造良好的职业发展环境、营造适宜的企业文化氛围等系统性的措施来吸引、留住和激励人才。</w:t>
      </w:r>
    </w:p>
    <w:p>
      <w:pPr>
        <w:spacing w:after="0" w:line="468" w:lineRule="auto"/>
        <w:jc w:val="both"/>
        <w:sectPr>
          <w:pgSz w:w="11910" w:h="16840"/>
          <w:pgMar w:header="851" w:footer="979" w:top="1320" w:bottom="1160" w:left="0" w:right="0"/>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Heading2"/>
        <w:spacing w:line="240" w:lineRule="auto" w:before="26"/>
        <w:ind w:right="0"/>
        <w:jc w:val="left"/>
        <w:rPr>
          <w:b w:val="0"/>
          <w:bCs w:val="0"/>
        </w:rPr>
      </w:pPr>
      <w:bookmarkStart w:name="十、接待调研、沟通、采访等活动登记表" w:id="59"/>
      <w:bookmarkEnd w:id="59"/>
      <w:r>
        <w:rPr>
          <w:b w:val="0"/>
          <w:bCs w:val="0"/>
        </w:rPr>
      </w:r>
      <w:r>
        <w:rPr/>
        <w:t>十、接待调研、沟通、采访等活动登记表</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33" w:right="0"/>
        <w:jc w:val="left"/>
        <w:rPr>
          <w:b w:val="0"/>
          <w:bCs w:val="0"/>
        </w:rPr>
      </w:pPr>
      <w:bookmarkStart w:name="1、报告期内接待调研、沟通、采访等活动登记表" w:id="60"/>
      <w:bookmarkEnd w:id="60"/>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6"/>
        <w:rPr>
          <w:rFonts w:ascii="宋体" w:hAnsi="宋体" w:cs="宋体" w:eastAsia="宋体" w:hint="default"/>
          <w:b/>
          <w:bCs/>
          <w:sz w:val="32"/>
          <w:szCs w:val="32"/>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9"/>
          <w:szCs w:val="9"/>
        </w:rPr>
      </w:pPr>
    </w:p>
    <w:tbl>
      <w:tblPr>
        <w:tblW w:w="0" w:type="auto"/>
        <w:jc w:val="left"/>
        <w:tblInd w:w="1021" w:type="dxa"/>
        <w:tblLayout w:type="fixed"/>
        <w:tblCellMar>
          <w:top w:w="0" w:type="dxa"/>
          <w:left w:w="0" w:type="dxa"/>
          <w:bottom w:w="0" w:type="dxa"/>
          <w:right w:w="0" w:type="dxa"/>
        </w:tblCellMar>
        <w:tblLook w:val="01E0"/>
      </w:tblPr>
      <w:tblGrid>
        <w:gridCol w:w="1702"/>
        <w:gridCol w:w="1417"/>
        <w:gridCol w:w="1844"/>
        <w:gridCol w:w="4607"/>
      </w:tblGrid>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1417"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1844"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接待对象类型</w:t>
            </w:r>
          </w:p>
        </w:tc>
        <w:tc>
          <w:tcPr>
            <w:tcW w:w="4607"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51"/>
              <w:ind w:left="1487"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公司四大业务板块、大数据及人工智能业务介绍。</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年业绩情况、人工智能与大数据发展规划。</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机构</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年业绩情况、人工智能与大数据发展规划。</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1"/>
        <w:spacing w:line="240" w:lineRule="auto"/>
        <w:ind w:right="0"/>
        <w:jc w:val="center"/>
        <w:rPr>
          <w:b w:val="0"/>
          <w:bCs w:val="0"/>
        </w:rPr>
      </w:pPr>
      <w:bookmarkStart w:name="第五节 重要事项" w:id="61"/>
      <w:bookmarkEnd w:id="61"/>
      <w:r>
        <w:rPr>
          <w:b w:val="0"/>
          <w:bCs w:val="0"/>
        </w:rPr>
      </w:r>
      <w:bookmarkStart w:name="_bookmark4" w:id="62"/>
      <w:bookmarkEnd w:id="62"/>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left="1133" w:right="0"/>
        <w:jc w:val="left"/>
        <w:rPr>
          <w:b w:val="0"/>
          <w:bCs w:val="0"/>
        </w:rPr>
      </w:pPr>
      <w:bookmarkStart w:name="一、公司普通股利润分配及资本公积金转增股本情况" w:id="63"/>
      <w:bookmarkEnd w:id="63"/>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32"/>
          <w:szCs w:val="32"/>
        </w:rPr>
      </w:pPr>
    </w:p>
    <w:p>
      <w:pPr>
        <w:pStyle w:val="Heading4"/>
        <w:spacing w:line="240" w:lineRule="auto"/>
        <w:ind w:left="1133" w:right="0"/>
        <w:jc w:val="left"/>
        <w:rPr>
          <w:b w:val="0"/>
          <w:bCs w:val="0"/>
        </w:rPr>
      </w:pPr>
      <w:r>
        <w:rPr/>
        <w:t>报告期内普通股利润分配政策，特别是现金分红政策的制定、执行或调整情况</w:t>
      </w:r>
      <w:r>
        <w:rPr>
          <w:b w:val="0"/>
          <w:bCs w:val="0"/>
        </w:rPr>
      </w:r>
    </w:p>
    <w:p>
      <w:pPr>
        <w:spacing w:line="240" w:lineRule="auto" w:before="12"/>
        <w:rPr>
          <w:rFonts w:ascii="宋体" w:hAnsi="宋体" w:cs="宋体" w:eastAsia="宋体" w:hint="default"/>
          <w:b/>
          <w:bCs/>
          <w:sz w:val="20"/>
          <w:szCs w:val="20"/>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9"/>
          <w:szCs w:val="19"/>
        </w:rPr>
      </w:pPr>
    </w:p>
    <w:p>
      <w:pPr>
        <w:pStyle w:val="BodyText"/>
        <w:spacing w:line="240" w:lineRule="auto"/>
        <w:ind w:left="1493" w:right="0"/>
        <w:jc w:val="left"/>
      </w:pPr>
      <w:r>
        <w:rPr>
          <w:rFonts w:ascii="Times New Roman" w:hAnsi="Times New Roman" w:cs="Times New Roman" w:eastAsia="Times New Roman" w:hint="default"/>
          <w:spacing w:val="10"/>
        </w:rPr>
        <w:t>2017</w:t>
      </w:r>
      <w:r>
        <w:rPr>
          <w:spacing w:val="10"/>
        </w:rPr>
        <w:t>年</w:t>
      </w:r>
      <w:r>
        <w:rPr>
          <w:rFonts w:ascii="Times New Roman" w:hAnsi="Times New Roman" w:cs="Times New Roman" w:eastAsia="Times New Roman" w:hint="default"/>
          <w:spacing w:val="10"/>
        </w:rPr>
        <w:t>5</w:t>
      </w:r>
      <w:r>
        <w:rPr>
          <w:spacing w:val="10"/>
        </w:rPr>
        <w:t>月</w:t>
      </w:r>
      <w:r>
        <w:rPr>
          <w:rFonts w:ascii="Times New Roman" w:hAnsi="Times New Roman" w:cs="Times New Roman" w:eastAsia="Times New Roman" w:hint="default"/>
          <w:spacing w:val="10"/>
        </w:rPr>
        <w:t>16</w:t>
      </w:r>
      <w:r>
        <w:rPr>
          <w:spacing w:val="10"/>
        </w:rPr>
        <w:t>日，公司</w:t>
      </w:r>
      <w:r>
        <w:rPr>
          <w:rFonts w:ascii="Times New Roman" w:hAnsi="Times New Roman" w:cs="Times New Roman" w:eastAsia="Times New Roman" w:hint="default"/>
          <w:spacing w:val="10"/>
        </w:rPr>
        <w:t>2016</w:t>
      </w:r>
      <w:r>
        <w:rPr>
          <w:spacing w:val="10"/>
        </w:rPr>
        <w:t>年度股东大会审议通过了《</w:t>
      </w:r>
      <w:r>
        <w:rPr>
          <w:rFonts w:ascii="Times New Roman" w:hAnsi="Times New Roman" w:cs="Times New Roman" w:eastAsia="Times New Roman" w:hint="default"/>
          <w:spacing w:val="10"/>
        </w:rPr>
        <w:t>2016</w:t>
      </w:r>
      <w:r>
        <w:rPr>
          <w:spacing w:val="10"/>
        </w:rPr>
        <w:t>年度利润分配预案》，以公司</w:t>
      </w:r>
      <w:r>
        <w:rPr>
          <w:rFonts w:ascii="Times New Roman" w:hAnsi="Times New Roman" w:cs="Times New Roman" w:eastAsia="Times New Roman" w:hint="default"/>
          <w:spacing w:val="10"/>
        </w:rPr>
        <w:t>2017</w:t>
      </w:r>
      <w:r>
        <w:rPr>
          <w:spacing w:val="10"/>
        </w:rPr>
        <w:t>年</w:t>
      </w:r>
      <w:r>
        <w:rPr>
          <w:rFonts w:ascii="Times New Roman" w:hAnsi="Times New Roman" w:cs="Times New Roman" w:eastAsia="Times New Roman" w:hint="default"/>
          <w:spacing w:val="10"/>
        </w:rPr>
        <w:t>3</w:t>
      </w:r>
      <w:r>
        <w:rPr>
          <w:spacing w:val="10"/>
        </w:rPr>
        <w:t>月</w:t>
      </w:r>
      <w:r>
        <w:rPr>
          <w:rFonts w:ascii="Times New Roman" w:hAnsi="Times New Roman" w:cs="Times New Roman" w:eastAsia="Times New Roman" w:hint="default"/>
          <w:spacing w:val="10"/>
        </w:rPr>
        <w:t>31</w:t>
      </w:r>
      <w:r>
        <w:rPr>
          <w:spacing w:val="10"/>
        </w:rPr>
        <w:t>日总股本</w:t>
      </w:r>
      <w:r>
        <w:rPr/>
      </w:r>
    </w:p>
    <w:p>
      <w:pPr>
        <w:spacing w:line="240" w:lineRule="auto" w:before="9"/>
        <w:rPr>
          <w:rFonts w:ascii="宋体" w:hAnsi="宋体" w:cs="宋体" w:eastAsia="宋体" w:hint="default"/>
          <w:sz w:val="16"/>
          <w:szCs w:val="16"/>
        </w:rPr>
      </w:pPr>
    </w:p>
    <w:p>
      <w:pPr>
        <w:pStyle w:val="BodyText"/>
        <w:spacing w:line="240" w:lineRule="auto"/>
        <w:ind w:left="1134" w:right="0"/>
        <w:jc w:val="left"/>
      </w:pPr>
      <w:r>
        <w:rPr>
          <w:rFonts w:ascii="Times New Roman" w:hAnsi="Times New Roman" w:cs="Times New Roman" w:eastAsia="Times New Roman" w:hint="default"/>
        </w:rPr>
        <w:t>1,961,091,984</w:t>
      </w:r>
      <w:r>
        <w:rPr/>
        <w:t>股为基数，向全体股东每</w:t>
      </w:r>
      <w:r>
        <w:rPr>
          <w:rFonts w:ascii="Times New Roman" w:hAnsi="Times New Roman" w:cs="Times New Roman" w:eastAsia="Times New Roman" w:hint="default"/>
        </w:rPr>
        <w:t>10</w:t>
      </w:r>
      <w:r>
        <w:rPr/>
        <w:t>股派发现金红利</w:t>
      </w:r>
      <w:r>
        <w:rPr>
          <w:rFonts w:ascii="Times New Roman" w:hAnsi="Times New Roman" w:cs="Times New Roman" w:eastAsia="Times New Roman" w:hint="default"/>
        </w:rPr>
        <w:t>0.26</w:t>
      </w:r>
      <w:r>
        <w:rPr/>
        <w:t>元（含税）。共分配现金红利</w:t>
      </w:r>
      <w:r>
        <w:rPr>
          <w:rFonts w:ascii="Times New Roman" w:hAnsi="Times New Roman" w:cs="Times New Roman" w:eastAsia="Times New Roman" w:hint="default"/>
        </w:rPr>
        <w:t>50,988,391.58</w:t>
      </w:r>
      <w:r>
        <w:rPr/>
        <w:t>元（含税）。</w:t>
      </w:r>
    </w:p>
    <w:p>
      <w:pPr>
        <w:spacing w:line="240" w:lineRule="auto" w:before="9"/>
        <w:rPr>
          <w:rFonts w:ascii="宋体" w:hAnsi="宋体" w:cs="宋体" w:eastAsia="宋体" w:hint="default"/>
          <w:sz w:val="16"/>
          <w:szCs w:val="16"/>
        </w:rPr>
      </w:pPr>
    </w:p>
    <w:p>
      <w:pPr>
        <w:pStyle w:val="BodyText"/>
        <w:spacing w:line="240" w:lineRule="auto"/>
        <w:ind w:left="1493"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7</w:t>
      </w:r>
      <w:r>
        <w:rPr/>
        <w:t>日，公司在巨潮资讯网刊登了《</w:t>
      </w:r>
      <w:r>
        <w:rPr>
          <w:rFonts w:ascii="Times New Roman" w:hAnsi="Times New Roman" w:cs="Times New Roman" w:eastAsia="Times New Roman" w:hint="default"/>
        </w:rPr>
        <w:t>2016</w:t>
      </w:r>
      <w:r>
        <w:rPr/>
        <w:t>年年度权益分派实施公告》，本次权益分派股权登记日为：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p>
    <w:p>
      <w:pPr>
        <w:spacing w:line="240" w:lineRule="auto" w:before="9"/>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12</w:t>
      </w:r>
      <w:r>
        <w:rPr/>
        <w:t>日；除权除息日为：</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13</w:t>
      </w:r>
      <w:r>
        <w:rPr/>
        <w:t>日。截止目前，该利润分配方案已实施完毕。</w:t>
      </w:r>
    </w:p>
    <w:p>
      <w:pPr>
        <w:spacing w:line="240" w:lineRule="auto" w:before="12"/>
        <w:rPr>
          <w:rFonts w:ascii="宋体" w:hAnsi="宋体" w:cs="宋体" w:eastAsia="宋体" w:hint="default"/>
          <w:sz w:val="9"/>
          <w:szCs w:val="9"/>
        </w:rPr>
      </w:pPr>
    </w:p>
    <w:tbl>
      <w:tblPr>
        <w:tblW w:w="0" w:type="auto"/>
        <w:jc w:val="left"/>
        <w:tblInd w:w="1021" w:type="dxa"/>
        <w:tblLayout w:type="fixed"/>
        <w:tblCellMar>
          <w:top w:w="0" w:type="dxa"/>
          <w:left w:w="0" w:type="dxa"/>
          <w:bottom w:w="0" w:type="dxa"/>
          <w:right w:w="0" w:type="dxa"/>
        </w:tblCellMar>
        <w:tblLook w:val="01E0"/>
      </w:tblPr>
      <w:tblGrid>
        <w:gridCol w:w="6522"/>
        <w:gridCol w:w="3047"/>
      </w:tblGrid>
      <w:tr>
        <w:trPr>
          <w:trHeight w:val="63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528" w:hRule="exact"/>
        </w:trPr>
        <w:tc>
          <w:tcPr>
            <w:tcW w:w="6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5"/>
              <w:ind w:left="103"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3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48" w:hRule="exact"/>
        </w:trPr>
        <w:tc>
          <w:tcPr>
            <w:tcW w:w="6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4"/>
              <w:ind w:left="103"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3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570" w:hRule="exact"/>
        </w:trPr>
        <w:tc>
          <w:tcPr>
            <w:tcW w:w="6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4"/>
              <w:ind w:left="103"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3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4"/>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604" w:hRule="exact"/>
        </w:trPr>
        <w:tc>
          <w:tcPr>
            <w:tcW w:w="6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3"/>
              <w:ind w:left="103"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3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3"/>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33" w:hRule="exact"/>
        </w:trPr>
        <w:tc>
          <w:tcPr>
            <w:tcW w:w="6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7"/>
              <w:ind w:left="103" w:right="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中小股东是否有充分表达意见和诉求的机会，其合法权益是否得到了充分保护：</w:t>
            </w:r>
          </w:p>
        </w:tc>
        <w:tc>
          <w:tcPr>
            <w:tcW w:w="3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634" w:hRule="exact"/>
        </w:trPr>
        <w:tc>
          <w:tcPr>
            <w:tcW w:w="65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现金分红政策进行调整或变更的，条件及程序是否合规、透明：</w:t>
            </w:r>
          </w:p>
        </w:tc>
        <w:tc>
          <w:tcPr>
            <w:tcW w:w="30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pStyle w:val="Heading4"/>
        <w:spacing w:line="240" w:lineRule="auto" w:before="88"/>
        <w:ind w:left="1134" w:right="0"/>
        <w:jc w:val="left"/>
        <w:rPr>
          <w:b w:val="0"/>
          <w:bCs w:val="0"/>
        </w:rPr>
      </w:pPr>
      <w:r>
        <w:rPr/>
        <w:t>公司报告期利润分配预案及资本公积金转增股本预案与公司章程和分红管理办法等的相关规定一致</w:t>
      </w:r>
      <w:r>
        <w:rPr>
          <w:b w:val="0"/>
          <w:bCs w:val="0"/>
        </w:rPr>
      </w:r>
    </w:p>
    <w:p>
      <w:pPr>
        <w:spacing w:line="240" w:lineRule="auto" w:before="10"/>
        <w:rPr>
          <w:rFonts w:ascii="宋体" w:hAnsi="宋体" w:cs="宋体" w:eastAsia="宋体" w:hint="default"/>
          <w:b/>
          <w:bCs/>
          <w:sz w:val="17"/>
          <w:szCs w:val="17"/>
        </w:rPr>
      </w:pPr>
    </w:p>
    <w:p>
      <w:pPr>
        <w:pStyle w:val="BodyText"/>
        <w:spacing w:line="463" w:lineRule="auto"/>
        <w:ind w:right="4273"/>
        <w:jc w:val="left"/>
      </w:pPr>
      <w:r>
        <w:rPr/>
        <w:pict>
          <v:shape style="position:absolute;margin-left:55.080002pt;margin-top:65.771721pt;width:485.5pt;height:140pt;mso-position-horizontal-relative:page;mso-position-vertical-relative:paragraph;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65"/>
                    <w:gridCol w:w="5930"/>
                  </w:tblGrid>
                  <w:tr>
                    <w:trPr>
                      <w:trHeight w:val="559" w:hRule="exact"/>
                    </w:trPr>
                    <w:tc>
                      <w:tcPr>
                        <w:tcW w:w="3765"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130"/>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93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557" w:hRule="exact"/>
                    </w:trPr>
                    <w:tc>
                      <w:tcPr>
                        <w:tcW w:w="3765"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93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0.07</w:t>
                        </w:r>
                      </w:p>
                    </w:tc>
                  </w:tr>
                  <w:tr>
                    <w:trPr>
                      <w:trHeight w:val="558" w:hRule="exact"/>
                    </w:trPr>
                    <w:tc>
                      <w:tcPr>
                        <w:tcW w:w="3765"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93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558" w:hRule="exact"/>
                    </w:trPr>
                    <w:tc>
                      <w:tcPr>
                        <w:tcW w:w="3765"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930"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1,961,091,984</w:t>
                        </w:r>
                      </w:p>
                    </w:tc>
                  </w:tr>
                  <w:tr>
                    <w:trPr>
                      <w:trHeight w:val="558" w:hRule="exact"/>
                    </w:trPr>
                    <w:tc>
                      <w:tcPr>
                        <w:tcW w:w="3765"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现金分红总额（元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93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13,727,643.89</w:t>
                        </w:r>
                      </w:p>
                    </w:tc>
                  </w:tr>
                </w:tbl>
                <w:p>
                  <w:pPr/>
                </w:p>
              </w:txbxContent>
            </v:textbox>
            <w10:wrap type="none"/>
          </v:shape>
        </w:pict>
      </w:r>
      <w:r>
        <w:rPr>
          <w:rFonts w:ascii="Times New Roman" w:hAnsi="Times New Roman" w:cs="Times New Roman" w:eastAsia="Times New Roman" w:hint="default"/>
          <w:b/>
          <w:bCs/>
        </w:rPr>
        <w:t>√ </w:t>
      </w:r>
      <w:r>
        <w:rPr>
          <w:rFonts w:ascii="宋体" w:hAnsi="宋体" w:cs="宋体" w:eastAsia="宋体" w:hint="default"/>
          <w:b/>
          <w:bCs/>
        </w:rPr>
        <w:t>是 </w:t>
      </w:r>
      <w:r>
        <w:rPr>
          <w:rFonts w:ascii="Times New Roman" w:hAnsi="Times New Roman" w:cs="Times New Roman" w:eastAsia="Times New Roman" w:hint="default"/>
        </w:rPr>
        <w:t>□ </w:t>
      </w:r>
      <w:r>
        <w:rPr/>
        <w:t>否 </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不适用 公司报告期利润分配预案及资本公积金转增股本预案符合公司章程等的相关规定。 本年度利润分配及资本公积金转增股本预案</w:t>
      </w:r>
    </w:p>
    <w:p>
      <w:pPr>
        <w:spacing w:after="0" w:line="463" w:lineRule="auto"/>
        <w:jc w:val="left"/>
        <w:sectPr>
          <w:pgSz w:w="11910" w:h="16840"/>
          <w:pgMar w:header="851" w:footer="979" w:top="132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pStyle w:val="BodyText"/>
        <w:spacing w:line="240" w:lineRule="auto" w:before="44"/>
        <w:ind w:left="630" w:right="1042"/>
        <w:jc w:val="right"/>
      </w:pPr>
      <w:r>
        <w:rPr/>
        <w:pict>
          <v:shape style="position:absolute;margin-left:55.080002pt;margin-top:-144.26828pt;width:485.5pt;height:284.9pt;mso-position-horizontal-relative:page;mso-position-vertical-relative:paragraph;z-index:1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754"/>
                    <w:gridCol w:w="5941"/>
                  </w:tblGrid>
                  <w:tr>
                    <w:trPr>
                      <w:trHeight w:val="558" w:hRule="exact"/>
                    </w:trPr>
                    <w:tc>
                      <w:tcPr>
                        <w:tcW w:w="3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94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114,097,897.01</w:t>
                        </w:r>
                      </w:p>
                    </w:tc>
                  </w:tr>
                  <w:tr>
                    <w:trPr>
                      <w:trHeight w:val="558" w:hRule="exact"/>
                    </w:trPr>
                    <w:tc>
                      <w:tcPr>
                        <w:tcW w:w="3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现金分红占利润分配总额的比例</w:t>
                        </w:r>
                      </w:p>
                    </w:tc>
                    <w:tc>
                      <w:tcPr>
                        <w:tcW w:w="594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r>
                  <w:tr>
                    <w:trPr>
                      <w:trHeight w:val="558" w:hRule="exact"/>
                    </w:trPr>
                    <w:tc>
                      <w:tcPr>
                        <w:tcW w:w="969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558" w:hRule="exact"/>
                    </w:trPr>
                    <w:tc>
                      <w:tcPr>
                        <w:tcW w:w="96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公司发展阶段不易区分但有重大资金支出安排的，进行利润分配时，现金分红在本次利润分配中所占比例最低应达到</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r>
                    <w:trPr>
                      <w:trHeight w:val="558" w:hRule="exact"/>
                    </w:trPr>
                    <w:tc>
                      <w:tcPr>
                        <w:tcW w:w="969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9"/>
                          <w:ind w:left="2952"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2898" w:hRule="exact"/>
                    </w:trPr>
                    <w:tc>
                      <w:tcPr>
                        <w:tcW w:w="9695" w:type="dxa"/>
                        <w:gridSpan w:val="2"/>
                        <w:tcBorders>
                          <w:top w:val="single" w:sz="4" w:space="0" w:color="000000"/>
                          <w:left w:val="single" w:sz="4" w:space="0" w:color="000000"/>
                          <w:bottom w:val="single" w:sz="4" w:space="0" w:color="000000"/>
                          <w:right w:val="single" w:sz="4" w:space="0" w:color="000000"/>
                        </w:tcBorders>
                      </w:tcPr>
                      <w:p>
                        <w:pPr>
                          <w:pStyle w:val="TableParagraph"/>
                          <w:spacing w:line="451" w:lineRule="auto" w:before="129"/>
                          <w:ind w:left="22" w:right="23" w:firstLine="480"/>
                          <w:jc w:val="left"/>
                          <w:rPr>
                            <w:rFonts w:ascii="宋体" w:hAnsi="宋体" w:cs="宋体" w:eastAsia="宋体" w:hint="default"/>
                            <w:sz w:val="18"/>
                            <w:szCs w:val="18"/>
                          </w:rPr>
                        </w:pPr>
                        <w:r>
                          <w:rPr>
                            <w:rFonts w:ascii="宋体" w:hAnsi="宋体" w:cs="宋体" w:eastAsia="宋体" w:hint="default"/>
                            <w:spacing w:val="-3"/>
                            <w:sz w:val="18"/>
                            <w:szCs w:val="18"/>
                          </w:rPr>
                          <w:t>经立信会计师事务所（特殊普通合伙）审计，公司</w:t>
                        </w:r>
                        <w:r>
                          <w:rPr>
                            <w:rFonts w:ascii="Times New Roman" w:hAnsi="Times New Roman" w:cs="Times New Roman" w:eastAsia="Times New Roman" w:hint="default"/>
                            <w:spacing w:val="-3"/>
                            <w:sz w:val="18"/>
                            <w:szCs w:val="18"/>
                          </w:rPr>
                          <w:t>2017</w:t>
                        </w:r>
                        <w:r>
                          <w:rPr>
                            <w:rFonts w:ascii="宋体" w:hAnsi="宋体" w:cs="宋体" w:eastAsia="宋体" w:hint="default"/>
                            <w:spacing w:val="-3"/>
                            <w:sz w:val="18"/>
                            <w:szCs w:val="18"/>
                          </w:rPr>
                          <w:t>年度实现归属于上市公司股东的净利润</w:t>
                        </w:r>
                        <w:r>
                          <w:rPr>
                            <w:rFonts w:ascii="Times New Roman" w:hAnsi="Times New Roman" w:cs="Times New Roman" w:eastAsia="Times New Roman" w:hint="default"/>
                            <w:spacing w:val="-3"/>
                            <w:sz w:val="18"/>
                            <w:szCs w:val="18"/>
                          </w:rPr>
                          <w:t>119,550,096.20</w:t>
                        </w:r>
                        <w:r>
                          <w:rPr>
                            <w:rFonts w:ascii="宋体" w:hAnsi="宋体" w:cs="宋体" w:eastAsia="宋体" w:hint="default"/>
                            <w:spacing w:val="-3"/>
                            <w:sz w:val="18"/>
                            <w:szCs w:val="18"/>
                          </w:rPr>
                          <w:t>元。其中</w:t>
                        </w:r>
                        <w:r>
                          <w:rPr>
                            <w:rFonts w:ascii="宋体" w:hAnsi="宋体" w:cs="宋体" w:eastAsia="宋体" w:hint="default"/>
                            <w:sz w:val="18"/>
                            <w:szCs w:val="18"/>
                          </w:rPr>
                          <w:t> </w:t>
                        </w:r>
                        <w:r>
                          <w:rPr>
                            <w:rFonts w:ascii="宋体" w:hAnsi="宋体" w:cs="宋体" w:eastAsia="宋体" w:hint="default"/>
                            <w:spacing w:val="-1"/>
                            <w:sz w:val="18"/>
                            <w:szCs w:val="18"/>
                          </w:rPr>
                          <w:t>母公司实现净利润</w:t>
                        </w:r>
                        <w:r>
                          <w:rPr>
                            <w:rFonts w:ascii="Times New Roman" w:hAnsi="Times New Roman" w:cs="Times New Roman" w:eastAsia="Times New Roman" w:hint="default"/>
                            <w:spacing w:val="-1"/>
                            <w:sz w:val="18"/>
                            <w:szCs w:val="18"/>
                          </w:rPr>
                          <w:t>54,521,991.91</w:t>
                        </w:r>
                        <w:r>
                          <w:rPr>
                            <w:rFonts w:ascii="宋体" w:hAnsi="宋体" w:cs="宋体" w:eastAsia="宋体" w:hint="default"/>
                            <w:spacing w:val="-1"/>
                            <w:sz w:val="18"/>
                            <w:szCs w:val="18"/>
                          </w:rPr>
                          <w:t>元。根据《公司法》和《公司章程》的有关规定，按</w:t>
                        </w: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年度母公司实现净利润的</w:t>
                        </w: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提取</w:t>
                        </w:r>
                        <w:r>
                          <w:rPr>
                            <w:rFonts w:ascii="宋体" w:hAnsi="宋体" w:cs="宋体" w:eastAsia="宋体" w:hint="default"/>
                            <w:spacing w:val="-41"/>
                            <w:sz w:val="18"/>
                            <w:szCs w:val="18"/>
                          </w:rPr>
                          <w:t> </w:t>
                        </w:r>
                        <w:r>
                          <w:rPr>
                            <w:rFonts w:ascii="宋体" w:hAnsi="宋体" w:cs="宋体" w:eastAsia="宋体" w:hint="default"/>
                            <w:sz w:val="18"/>
                            <w:szCs w:val="18"/>
                          </w:rPr>
                          <w:t>法定盈余公积金</w:t>
                        </w:r>
                        <w:r>
                          <w:rPr>
                            <w:rFonts w:ascii="Times New Roman" w:hAnsi="Times New Roman" w:cs="Times New Roman" w:eastAsia="Times New Roman" w:hint="default"/>
                            <w:sz w:val="18"/>
                            <w:szCs w:val="18"/>
                          </w:rPr>
                          <w:t>5,452,199.19</w:t>
                        </w:r>
                        <w:r>
                          <w:rPr>
                            <w:rFonts w:ascii="宋体" w:hAnsi="宋体" w:cs="宋体" w:eastAsia="宋体" w:hint="default"/>
                            <w:sz w:val="18"/>
                            <w:szCs w:val="18"/>
                          </w:rPr>
                          <w:t>元后，当年合并报表可供分配利润</w:t>
                        </w:r>
                        <w:r>
                          <w:rPr>
                            <w:rFonts w:ascii="Times New Roman" w:hAnsi="Times New Roman" w:cs="Times New Roman" w:eastAsia="Times New Roman" w:hint="default"/>
                            <w:sz w:val="18"/>
                            <w:szCs w:val="18"/>
                          </w:rPr>
                          <w:t>114,097,897.01</w:t>
                        </w:r>
                        <w:r>
                          <w:rPr>
                            <w:rFonts w:ascii="宋体" w:hAnsi="宋体" w:cs="宋体" w:eastAsia="宋体" w:hint="default"/>
                            <w:sz w:val="18"/>
                            <w:szCs w:val="18"/>
                          </w:rPr>
                          <w:t>元。</w:t>
                        </w:r>
                      </w:p>
                      <w:p>
                        <w:pPr>
                          <w:pStyle w:val="TableParagraph"/>
                          <w:spacing w:line="240" w:lineRule="auto" w:before="82"/>
                          <w:ind w:left="382" w:right="0"/>
                          <w:jc w:val="left"/>
                          <w:rPr>
                            <w:rFonts w:ascii="宋体" w:hAnsi="宋体" w:cs="宋体" w:eastAsia="宋体" w:hint="default"/>
                            <w:sz w:val="18"/>
                            <w:szCs w:val="18"/>
                          </w:rPr>
                        </w:pPr>
                        <w:r>
                          <w:rPr>
                            <w:rFonts w:ascii="宋体" w:hAnsi="宋体" w:cs="宋体" w:eastAsia="宋体" w:hint="default"/>
                            <w:sz w:val="18"/>
                            <w:szCs w:val="18"/>
                          </w:rPr>
                          <w:t>公司现拟定如下分配方案：以公司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日总股本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1,961,091,984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股为基数，向全体股东每</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股派发现金红</w:t>
                        </w: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0.07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。共分配现金红利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13,727,</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z w:val="18"/>
                            <w:szCs w:val="18"/>
                          </w:rPr>
                          <w:t>43.89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，剩余未分配利润结转以后年度。</w:t>
                        </w: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left="382" w:right="0"/>
                          <w:jc w:val="left"/>
                          <w:rPr>
                            <w:rFonts w:ascii="宋体" w:hAnsi="宋体" w:cs="宋体" w:eastAsia="宋体" w:hint="default"/>
                            <w:sz w:val="18"/>
                            <w:szCs w:val="18"/>
                          </w:rPr>
                        </w:pPr>
                        <w:r>
                          <w:rPr>
                            <w:rFonts w:ascii="宋体" w:hAnsi="宋体" w:cs="宋体" w:eastAsia="宋体" w:hint="default"/>
                            <w:sz w:val="18"/>
                            <w:szCs w:val="18"/>
                          </w:rPr>
                          <w:t>本议案尚需提交</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年度股东大会审议。</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spacing w:line="489" w:lineRule="auto" w:before="44"/>
        <w:ind w:left="1493" w:right="0" w:hanging="360"/>
        <w:jc w:val="left"/>
        <w:rPr>
          <w:rFonts w:ascii="宋体" w:hAnsi="宋体" w:cs="宋体" w:eastAsia="宋体" w:hint="default"/>
          <w:sz w:val="18"/>
          <w:szCs w:val="18"/>
        </w:rPr>
      </w:pPr>
      <w:r>
        <w:rPr>
          <w:rFonts w:ascii="宋体" w:hAnsi="宋体" w:cs="宋体" w:eastAsia="宋体" w:hint="default"/>
          <w:b/>
          <w:bCs/>
          <w:w w:val="99"/>
          <w:sz w:val="18"/>
          <w:szCs w:val="18"/>
        </w:rPr>
        <w:t>公司近</w:t>
      </w:r>
      <w:r>
        <w:rPr>
          <w:rFonts w:ascii="宋体" w:hAnsi="宋体" w:cs="宋体" w:eastAsia="宋体" w:hint="default"/>
          <w:b/>
          <w:bCs/>
          <w:spacing w:val="-44"/>
          <w:w w:val="99"/>
          <w:sz w:val="18"/>
          <w:szCs w:val="18"/>
        </w:rPr>
        <w:t> </w:t>
      </w:r>
      <w:r>
        <w:rPr>
          <w:rFonts w:ascii="Times New Roman" w:hAnsi="Times New Roman" w:cs="Times New Roman" w:eastAsia="Times New Roman" w:hint="default"/>
          <w:b/>
          <w:bCs/>
          <w:sz w:val="18"/>
          <w:szCs w:val="18"/>
        </w:rPr>
        <w:t>3 </w:t>
      </w:r>
      <w:r>
        <w:rPr>
          <w:rFonts w:ascii="宋体" w:hAnsi="宋体" w:cs="宋体" w:eastAsia="宋体" w:hint="default"/>
          <w:b/>
          <w:bCs/>
          <w:spacing w:val="-2"/>
          <w:w w:val="99"/>
          <w:sz w:val="18"/>
          <w:szCs w:val="18"/>
        </w:rPr>
        <w:t>年（包括本报告期）的普通股股利分配方案（预案）、资本公积金转增股本方案（预案）情况</w:t>
      </w:r>
      <w:r>
        <w:rPr>
          <w:rFonts w:ascii="宋体" w:hAnsi="宋体" w:cs="宋体" w:eastAsia="宋体" w:hint="default"/>
          <w:b/>
          <w:bCs/>
          <w:spacing w:val="-79"/>
          <w:w w:val="99"/>
          <w:sz w:val="18"/>
          <w:szCs w:val="18"/>
        </w:rPr>
        <w:t> </w:t>
      </w:r>
      <w:r>
        <w:rPr>
          <w:rFonts w:ascii="宋体" w:hAnsi="宋体" w:cs="宋体" w:eastAsia="宋体" w:hint="default"/>
          <w:b/>
          <w:bCs/>
          <w:spacing w:val="-79"/>
          <w:w w:val="99"/>
          <w:sz w:val="18"/>
          <w:szCs w:val="18"/>
        </w:rPr>
      </w:r>
      <w:r>
        <w:rPr>
          <w:rFonts w:ascii="宋体" w:hAnsi="宋体" w:cs="宋体" w:eastAsia="宋体" w:hint="default"/>
          <w:spacing w:val="-2"/>
          <w:sz w:val="18"/>
          <w:szCs w:val="18"/>
        </w:rPr>
        <w:t>公司高度重视对股东的投资回报，严格执行公司章程的规定、持续贯彻稳定的股利分配政策，近三年的利润分配及资本</w:t>
      </w:r>
    </w:p>
    <w:p>
      <w:pPr>
        <w:pStyle w:val="BodyText"/>
        <w:spacing w:line="240" w:lineRule="auto" w:before="45"/>
        <w:ind w:right="0"/>
        <w:jc w:val="left"/>
      </w:pPr>
      <w:r>
        <w:rPr/>
        <w:t>公积金转增股本的情况如下：</w:t>
      </w:r>
    </w:p>
    <w:p>
      <w:pPr>
        <w:spacing w:line="240" w:lineRule="auto" w:before="10"/>
        <w:rPr>
          <w:rFonts w:ascii="宋体" w:hAnsi="宋体" w:cs="宋体" w:eastAsia="宋体" w:hint="default"/>
          <w:sz w:val="17"/>
          <w:szCs w:val="17"/>
        </w:rPr>
      </w:pPr>
    </w:p>
    <w:p>
      <w:pPr>
        <w:pStyle w:val="BodyText"/>
        <w:spacing w:line="240" w:lineRule="auto"/>
        <w:ind w:left="1493" w:right="0"/>
        <w:jc w:val="left"/>
      </w:pPr>
      <w:r>
        <w:rPr/>
        <w:t>（</w:t>
      </w:r>
      <w:r>
        <w:rPr>
          <w:rFonts w:ascii="Times New Roman" w:hAnsi="Times New Roman" w:cs="Times New Roman" w:eastAsia="Times New Roman" w:hint="default"/>
        </w:rPr>
        <w:t>1</w:t>
      </w:r>
      <w:r>
        <w:rPr/>
        <w:t>）</w:t>
      </w:r>
      <w:r>
        <w:rPr>
          <w:rFonts w:ascii="Times New Roman" w:hAnsi="Times New Roman" w:cs="Times New Roman" w:eastAsia="Times New Roman" w:hint="default"/>
        </w:rPr>
        <w:t>2015</w:t>
      </w:r>
      <w:r>
        <w:rPr/>
        <w:t>年度利润分配方案为：以未来实施分配方案时股权登记日的总股本为基数，向全体股东每</w:t>
      </w:r>
      <w:r>
        <w:rPr>
          <w:rFonts w:ascii="Times New Roman" w:hAnsi="Times New Roman" w:cs="Times New Roman" w:eastAsia="Times New Roman" w:hint="default"/>
        </w:rPr>
        <w:t>10</w:t>
      </w:r>
      <w:r>
        <w:rPr/>
        <w:t>股派发现金红利</w:t>
      </w:r>
    </w:p>
    <w:p>
      <w:pPr>
        <w:spacing w:line="240" w:lineRule="auto" w:before="9"/>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0.5</w:t>
      </w:r>
      <w:r>
        <w:rPr/>
        <w:t>元（含税），共分配现金红利</w:t>
      </w:r>
      <w:r>
        <w:rPr>
          <w:rFonts w:ascii="Times New Roman" w:hAnsi="Times New Roman" w:cs="Times New Roman" w:eastAsia="Times New Roman" w:hint="default"/>
        </w:rPr>
        <w:t>98,054,599.20</w:t>
      </w:r>
      <w:r>
        <w:rPr>
          <w:rFonts w:ascii="Times New Roman" w:hAnsi="Times New Roman" w:cs="Times New Roman" w:eastAsia="Times New Roman" w:hint="default"/>
          <w:spacing w:val="40"/>
        </w:rPr>
        <w:t> </w:t>
      </w:r>
      <w:r>
        <w:rPr/>
        <w:t>元（含税），送红股</w:t>
      </w:r>
      <w:r>
        <w:rPr>
          <w:rFonts w:ascii="Times New Roman" w:hAnsi="Times New Roman" w:cs="Times New Roman" w:eastAsia="Times New Roman" w:hint="default"/>
        </w:rPr>
        <w:t>0</w:t>
      </w:r>
      <w:r>
        <w:rPr/>
        <w:t>股（含税）。</w:t>
      </w:r>
    </w:p>
    <w:p>
      <w:pPr>
        <w:spacing w:line="240" w:lineRule="auto" w:before="9"/>
        <w:rPr>
          <w:rFonts w:ascii="宋体" w:hAnsi="宋体" w:cs="宋体" w:eastAsia="宋体" w:hint="default"/>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2</w:t>
      </w:r>
      <w:r>
        <w:rPr/>
        <w:t>）</w:t>
      </w:r>
      <w:r>
        <w:rPr>
          <w:rFonts w:ascii="Times New Roman" w:hAnsi="Times New Roman" w:cs="Times New Roman" w:eastAsia="Times New Roman" w:hint="default"/>
        </w:rPr>
        <w:t>2016</w:t>
      </w:r>
      <w:r>
        <w:rPr/>
        <w:t>年度利润分配方案为：以公司</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1,961,091,984</w:t>
      </w:r>
      <w:r>
        <w:rPr/>
        <w:t>股为基数，向全体股东每</w:t>
      </w:r>
      <w:r>
        <w:rPr>
          <w:rFonts w:ascii="Times New Roman" w:hAnsi="Times New Roman" w:cs="Times New Roman" w:eastAsia="Times New Roman" w:hint="default"/>
        </w:rPr>
        <w:t>10</w:t>
      </w:r>
      <w:r>
        <w:rPr/>
        <w:t>股派发现金红利</w:t>
      </w:r>
    </w:p>
    <w:p>
      <w:pPr>
        <w:spacing w:line="240" w:lineRule="auto" w:before="9"/>
        <w:rPr>
          <w:rFonts w:ascii="宋体" w:hAnsi="宋体" w:cs="宋体" w:eastAsia="宋体" w:hint="default"/>
          <w:sz w:val="16"/>
          <w:szCs w:val="16"/>
        </w:rPr>
      </w:pPr>
    </w:p>
    <w:p>
      <w:pPr>
        <w:pStyle w:val="BodyText"/>
        <w:spacing w:line="240" w:lineRule="auto"/>
        <w:ind w:right="0"/>
        <w:jc w:val="left"/>
      </w:pPr>
      <w:r>
        <w:rPr>
          <w:rFonts w:ascii="Times New Roman" w:hAnsi="Times New Roman" w:cs="Times New Roman" w:eastAsia="Times New Roman" w:hint="default"/>
        </w:rPr>
        <w:t>0.26</w:t>
      </w:r>
      <w:r>
        <w:rPr/>
        <w:t>元（含税），共分配现金红利</w:t>
      </w:r>
      <w:r>
        <w:rPr>
          <w:rFonts w:ascii="Times New Roman" w:hAnsi="Times New Roman" w:cs="Times New Roman" w:eastAsia="Times New Roman" w:hint="default"/>
        </w:rPr>
        <w:t>50,988,391.58</w:t>
      </w:r>
      <w:r>
        <w:rPr/>
        <w:t>元（含税），送红股</w:t>
      </w:r>
      <w:r>
        <w:rPr>
          <w:rFonts w:ascii="Times New Roman" w:hAnsi="Times New Roman" w:cs="Times New Roman" w:eastAsia="Times New Roman" w:hint="default"/>
        </w:rPr>
        <w:t>0</w:t>
      </w:r>
      <w:r>
        <w:rPr/>
        <w:t>股（含税）。</w:t>
      </w:r>
    </w:p>
    <w:p>
      <w:pPr>
        <w:spacing w:line="240" w:lineRule="auto" w:before="9"/>
        <w:rPr>
          <w:rFonts w:ascii="宋体" w:hAnsi="宋体" w:cs="宋体" w:eastAsia="宋体" w:hint="default"/>
          <w:sz w:val="16"/>
          <w:szCs w:val="16"/>
        </w:rPr>
      </w:pPr>
    </w:p>
    <w:p>
      <w:pPr>
        <w:pStyle w:val="BodyText"/>
        <w:spacing w:line="451" w:lineRule="auto"/>
        <w:ind w:right="1118" w:firstLine="360"/>
        <w:jc w:val="left"/>
        <w:rPr>
          <w:rFonts w:ascii="宋体" w:hAnsi="宋体" w:cs="宋体" w:eastAsia="宋体" w:hint="default"/>
        </w:rPr>
      </w:pPr>
      <w:r>
        <w:rPr/>
        <w:t>（</w:t>
      </w:r>
      <w:r>
        <w:rPr>
          <w:rFonts w:ascii="Times New Roman" w:hAnsi="Times New Roman" w:cs="Times New Roman" w:eastAsia="Times New Roman" w:hint="default"/>
        </w:rPr>
        <w:t>3</w:t>
      </w:r>
      <w:r>
        <w:rPr/>
        <w:t>）</w:t>
      </w:r>
      <w:r>
        <w:rPr>
          <w:rFonts w:ascii="Times New Roman" w:hAnsi="Times New Roman" w:cs="Times New Roman" w:eastAsia="Times New Roman" w:hint="default"/>
        </w:rPr>
        <w:t>2017</w:t>
      </w:r>
      <w:r>
        <w:rPr/>
        <w:t>年度利润分配方案为：以公司</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日总股本</w:t>
      </w:r>
      <w:r>
        <w:rPr>
          <w:rFonts w:ascii="Times New Roman" w:hAnsi="Times New Roman" w:cs="Times New Roman" w:eastAsia="Times New Roman" w:hint="default"/>
        </w:rPr>
        <w:t>1,961,091,984</w:t>
      </w:r>
      <w:r>
        <w:rPr/>
        <w:t>股为基数，向全体股东每</w:t>
      </w:r>
      <w:r>
        <w:rPr>
          <w:rFonts w:ascii="Times New Roman" w:hAnsi="Times New Roman" w:cs="Times New Roman" w:eastAsia="Times New Roman" w:hint="default"/>
        </w:rPr>
        <w:t>10</w:t>
      </w:r>
      <w:r>
        <w:rPr/>
        <w:t>股派发现金红</w:t>
      </w:r>
      <w:r>
        <w:rPr>
          <w:spacing w:val="1"/>
        </w:rPr>
        <w:t> </w:t>
      </w:r>
      <w:r>
        <w:rPr>
          <w:spacing w:val="-6"/>
        </w:rPr>
        <w:t>利</w:t>
      </w:r>
      <w:r>
        <w:rPr>
          <w:rFonts w:ascii="Times New Roman" w:hAnsi="Times New Roman" w:cs="Times New Roman" w:eastAsia="Times New Roman" w:hint="default"/>
          <w:spacing w:val="-6"/>
        </w:rPr>
        <w:t>0.07</w:t>
      </w:r>
      <w:r>
        <w:rPr>
          <w:spacing w:val="-6"/>
        </w:rPr>
        <w:t>元（含税）。共分配现金红利</w:t>
      </w:r>
      <w:r>
        <w:rPr>
          <w:rFonts w:ascii="Times New Roman" w:hAnsi="Times New Roman" w:cs="Times New Roman" w:eastAsia="Times New Roman" w:hint="default"/>
          <w:spacing w:val="-6"/>
        </w:rPr>
        <w:t>13,727,643.89</w:t>
      </w:r>
      <w:r>
        <w:rPr>
          <w:spacing w:val="-6"/>
        </w:rPr>
        <w:t>元（含税），送红股</w:t>
      </w:r>
      <w:r>
        <w:rPr>
          <w:rFonts w:ascii="Times New Roman" w:hAnsi="Times New Roman" w:cs="Times New Roman" w:eastAsia="Times New Roman" w:hint="default"/>
          <w:spacing w:val="-6"/>
        </w:rPr>
        <w:t>0</w:t>
      </w:r>
      <w:r>
        <w:rPr>
          <w:spacing w:val="-6"/>
        </w:rPr>
        <w:t>股（含税）。</w:t>
      </w:r>
      <w:r>
        <w:rPr>
          <w:spacing w:val="-83"/>
        </w:rPr>
        <w:t> </w:t>
      </w:r>
      <w:r>
        <w:rPr>
          <w:spacing w:val="-83"/>
        </w:rPr>
      </w:r>
      <w:r>
        <w:rPr>
          <w:rFonts w:ascii="宋体" w:hAnsi="宋体" w:cs="宋体" w:eastAsia="宋体" w:hint="default"/>
          <w:b/>
          <w:bCs/>
        </w:rPr>
        <w:t>公司近三年（包括本报告期）普通股现金分红情况表</w:t>
      </w:r>
      <w:r>
        <w:rPr>
          <w:rFonts w:ascii="宋体" w:hAnsi="宋体" w:cs="宋体" w:eastAsia="宋体" w:hint="default"/>
        </w:rPr>
      </w:r>
    </w:p>
    <w:p>
      <w:pPr>
        <w:pStyle w:val="BodyText"/>
        <w:spacing w:line="240" w:lineRule="auto" w:before="37"/>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276"/>
        <w:gridCol w:w="1914"/>
        <w:gridCol w:w="1773"/>
        <w:gridCol w:w="1702"/>
        <w:gridCol w:w="1308"/>
        <w:gridCol w:w="1595"/>
      </w:tblGrid>
      <w:tr>
        <w:trPr>
          <w:trHeight w:val="317" w:hRule="exact"/>
        </w:trPr>
        <w:tc>
          <w:tcPr>
            <w:tcW w:w="1276"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4" w:type="dxa"/>
            <w:tcBorders>
              <w:top w:val="single" w:sz="4" w:space="0" w:color="000000"/>
              <w:left w:val="single" w:sz="4" w:space="0" w:color="000000"/>
              <w:bottom w:val="nil" w:sz="6" w:space="0" w:color="auto"/>
              <w:right w:val="single" w:sz="4" w:space="0" w:color="000000"/>
            </w:tcBorders>
            <w:shd w:val="clear" w:color="auto" w:fill="D2D2D2"/>
          </w:tcPr>
          <w:p>
            <w:pPr/>
          </w:p>
        </w:tc>
        <w:tc>
          <w:tcPr>
            <w:tcW w:w="1773"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71" w:right="69"/>
              <w:jc w:val="center"/>
              <w:rPr>
                <w:rFonts w:ascii="宋体" w:hAnsi="宋体" w:cs="宋体" w:eastAsia="宋体" w:hint="default"/>
                <w:sz w:val="18"/>
                <w:szCs w:val="18"/>
              </w:rPr>
            </w:pPr>
            <w:r>
              <w:rPr>
                <w:rFonts w:ascii="宋体" w:hAnsi="宋体" w:cs="宋体" w:eastAsia="宋体" w:hint="default"/>
                <w:sz w:val="18"/>
                <w:szCs w:val="18"/>
              </w:rPr>
              <w:t>分红年度合并报表中 归属于上市公司普通 股股东的净利润</w:t>
            </w:r>
          </w:p>
        </w:tc>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34" w:right="35"/>
              <w:jc w:val="center"/>
              <w:rPr>
                <w:rFonts w:ascii="宋体" w:hAnsi="宋体" w:cs="宋体" w:eastAsia="宋体" w:hint="default"/>
                <w:sz w:val="18"/>
                <w:szCs w:val="18"/>
              </w:rPr>
            </w:pPr>
            <w:r>
              <w:rPr>
                <w:rFonts w:ascii="宋体" w:hAnsi="宋体" w:cs="宋体" w:eastAsia="宋体" w:hint="default"/>
                <w:sz w:val="18"/>
                <w:szCs w:val="18"/>
              </w:rPr>
              <w:t>占合并报表中归属于 上市公司普通股股东 的净利润的比率</w:t>
            </w:r>
          </w:p>
        </w:tc>
        <w:tc>
          <w:tcPr>
            <w:tcW w:w="130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9" w:right="107"/>
              <w:jc w:val="left"/>
              <w:rPr>
                <w:rFonts w:ascii="宋体" w:hAnsi="宋体" w:cs="宋体" w:eastAsia="宋体" w:hint="default"/>
                <w:sz w:val="18"/>
                <w:szCs w:val="18"/>
              </w:rPr>
            </w:pPr>
            <w:r>
              <w:rPr>
                <w:rFonts w:ascii="宋体" w:hAnsi="宋体" w:cs="宋体" w:eastAsia="宋体" w:hint="default"/>
                <w:sz w:val="18"/>
                <w:szCs w:val="18"/>
              </w:rPr>
              <w:t>以其他方式现 金分红的金额</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433" w:right="71" w:hanging="360"/>
              <w:jc w:val="left"/>
              <w:rPr>
                <w:rFonts w:ascii="宋体" w:hAnsi="宋体" w:cs="宋体" w:eastAsia="宋体" w:hint="default"/>
                <w:sz w:val="18"/>
                <w:szCs w:val="18"/>
              </w:rPr>
            </w:pPr>
            <w:r>
              <w:rPr>
                <w:rFonts w:ascii="宋体" w:hAnsi="宋体" w:cs="宋体" w:eastAsia="宋体" w:hint="default"/>
                <w:sz w:val="18"/>
                <w:szCs w:val="18"/>
              </w:rPr>
              <w:t>以其他方式现金分 红的比例</w:t>
            </w:r>
          </w:p>
        </w:tc>
      </w:tr>
      <w:tr>
        <w:trPr>
          <w:trHeight w:val="392" w:hRule="exact"/>
        </w:trPr>
        <w:tc>
          <w:tcPr>
            <w:tcW w:w="127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91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0"/>
              <w:jc w:val="right"/>
              <w:rPr>
                <w:rFonts w:ascii="宋体" w:hAnsi="宋体" w:cs="宋体" w:eastAsia="宋体" w:hint="default"/>
                <w:sz w:val="18"/>
                <w:szCs w:val="18"/>
              </w:rPr>
            </w:pPr>
            <w:r>
              <w:rPr>
                <w:rFonts w:ascii="宋体" w:hAnsi="宋体" w:cs="宋体" w:eastAsia="宋体" w:hint="default"/>
                <w:sz w:val="18"/>
                <w:szCs w:val="18"/>
              </w:rPr>
              <w:t>现金分红金额（含税）</w:t>
            </w:r>
          </w:p>
        </w:tc>
        <w:tc>
          <w:tcPr>
            <w:tcW w:w="1773" w:type="dxa"/>
            <w:vMerge/>
            <w:tcBorders>
              <w:left w:val="single" w:sz="4" w:space="0" w:color="000000"/>
              <w:right w:val="single" w:sz="4" w:space="0" w:color="000000"/>
            </w:tcBorders>
            <w:shd w:val="clear" w:color="auto" w:fill="D2D2D2"/>
          </w:tcPr>
          <w:p>
            <w:pPr/>
          </w:p>
        </w:tc>
        <w:tc>
          <w:tcPr>
            <w:tcW w:w="1702" w:type="dxa"/>
            <w:vMerge/>
            <w:tcBorders>
              <w:left w:val="single" w:sz="4" w:space="0" w:color="000000"/>
              <w:right w:val="single" w:sz="4" w:space="0" w:color="000000"/>
            </w:tcBorders>
            <w:shd w:val="clear" w:color="auto" w:fill="D2D2D2"/>
          </w:tcPr>
          <w:p>
            <w:pPr/>
          </w:p>
        </w:tc>
        <w:tc>
          <w:tcPr>
            <w:tcW w:w="1308" w:type="dxa"/>
            <w:vMerge/>
            <w:tcBorders>
              <w:left w:val="single" w:sz="4" w:space="0" w:color="000000"/>
              <w:right w:val="single" w:sz="4" w:space="0" w:color="000000"/>
            </w:tcBorders>
            <w:shd w:val="clear" w:color="auto" w:fill="D2D2D2"/>
          </w:tcPr>
          <w:p>
            <w:pPr/>
          </w:p>
        </w:tc>
        <w:tc>
          <w:tcPr>
            <w:tcW w:w="1595" w:type="dxa"/>
            <w:vMerge/>
            <w:tcBorders>
              <w:left w:val="single" w:sz="4" w:space="0" w:color="000000"/>
              <w:right w:val="single" w:sz="4" w:space="0" w:color="000000"/>
            </w:tcBorders>
            <w:shd w:val="clear" w:color="auto" w:fill="D2D2D2"/>
          </w:tcPr>
          <w:p>
            <w:pPr/>
          </w:p>
        </w:tc>
      </w:tr>
      <w:tr>
        <w:trPr>
          <w:trHeight w:val="358" w:hRule="exact"/>
        </w:trPr>
        <w:tc>
          <w:tcPr>
            <w:tcW w:w="1276" w:type="dxa"/>
            <w:tcBorders>
              <w:top w:val="nil" w:sz="6" w:space="0" w:color="auto"/>
              <w:left w:val="single" w:sz="4" w:space="0" w:color="000000"/>
              <w:bottom w:val="single" w:sz="4" w:space="0" w:color="FFFFFF"/>
              <w:right w:val="single" w:sz="4" w:space="0" w:color="000000"/>
            </w:tcBorders>
            <w:shd w:val="clear" w:color="auto" w:fill="D2D2D2"/>
          </w:tcPr>
          <w:p>
            <w:pPr/>
          </w:p>
        </w:tc>
        <w:tc>
          <w:tcPr>
            <w:tcW w:w="1914" w:type="dxa"/>
            <w:tcBorders>
              <w:top w:val="nil" w:sz="6" w:space="0" w:color="auto"/>
              <w:left w:val="single" w:sz="4" w:space="0" w:color="000000"/>
              <w:bottom w:val="single" w:sz="4" w:space="0" w:color="FFFFFF"/>
              <w:right w:val="single" w:sz="4" w:space="0" w:color="000000"/>
            </w:tcBorders>
            <w:shd w:val="clear" w:color="auto" w:fill="D2D2D2"/>
          </w:tcPr>
          <w:p>
            <w:pPr/>
          </w:p>
        </w:tc>
        <w:tc>
          <w:tcPr>
            <w:tcW w:w="1773" w:type="dxa"/>
            <w:vMerge/>
            <w:tcBorders>
              <w:left w:val="single" w:sz="4" w:space="0" w:color="000000"/>
              <w:bottom w:val="single" w:sz="4" w:space="0" w:color="FFFFFF"/>
              <w:right w:val="single" w:sz="4" w:space="0" w:color="000000"/>
            </w:tcBorders>
            <w:shd w:val="clear" w:color="auto" w:fill="D2D2D2"/>
          </w:tcPr>
          <w:p>
            <w:pPr/>
          </w:p>
        </w:tc>
        <w:tc>
          <w:tcPr>
            <w:tcW w:w="1702" w:type="dxa"/>
            <w:vMerge/>
            <w:tcBorders>
              <w:left w:val="single" w:sz="4" w:space="0" w:color="000000"/>
              <w:bottom w:val="single" w:sz="4" w:space="0" w:color="FFFFFF"/>
              <w:right w:val="single" w:sz="4" w:space="0" w:color="000000"/>
            </w:tcBorders>
            <w:shd w:val="clear" w:color="auto" w:fill="D2D2D2"/>
          </w:tcPr>
          <w:p>
            <w:pPr/>
          </w:p>
        </w:tc>
        <w:tc>
          <w:tcPr>
            <w:tcW w:w="1308" w:type="dxa"/>
            <w:vMerge/>
            <w:tcBorders>
              <w:left w:val="single" w:sz="4" w:space="0" w:color="000000"/>
              <w:bottom w:val="single" w:sz="4" w:space="0" w:color="FFFFFF"/>
              <w:right w:val="single" w:sz="4" w:space="0" w:color="000000"/>
            </w:tcBorders>
            <w:shd w:val="clear" w:color="auto" w:fill="D2D2D2"/>
          </w:tcPr>
          <w:p>
            <w:pPr/>
          </w:p>
        </w:tc>
        <w:tc>
          <w:tcPr>
            <w:tcW w:w="1595" w:type="dxa"/>
            <w:vMerge/>
            <w:tcBorders>
              <w:left w:val="single" w:sz="4" w:space="0" w:color="000000"/>
              <w:bottom w:val="single" w:sz="4" w:space="0" w:color="FFFFFF"/>
              <w:right w:val="single" w:sz="4" w:space="0" w:color="000000"/>
            </w:tcBorders>
            <w:shd w:val="clear" w:color="auto" w:fill="D2D2D2"/>
          </w:tcPr>
          <w:p>
            <w:pPr/>
          </w:p>
        </w:tc>
      </w:tr>
      <w:tr>
        <w:trPr>
          <w:trHeight w:val="558" w:hRule="exact"/>
        </w:trPr>
        <w:tc>
          <w:tcPr>
            <w:tcW w:w="1276"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88"/>
              <w:ind w:left="3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FFFFFF"/>
              <w:left w:val="single" w:sz="13" w:space="0" w:color="D2D2D2"/>
              <w:bottom w:val="single" w:sz="4" w:space="0" w:color="FFFFFF"/>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13,727,643.89</w:t>
            </w:r>
          </w:p>
        </w:tc>
        <w:tc>
          <w:tcPr>
            <w:tcW w:w="177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119,550,096.20</w:t>
            </w:r>
          </w:p>
        </w:tc>
        <w:tc>
          <w:tcPr>
            <w:tcW w:w="170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22"/>
              <w:jc w:val="right"/>
              <w:rPr>
                <w:rFonts w:ascii="Times New Roman" w:hAnsi="Times New Roman" w:cs="Times New Roman" w:eastAsia="Times New Roman" w:hint="default"/>
                <w:sz w:val="18"/>
                <w:szCs w:val="18"/>
              </w:rPr>
            </w:pPr>
            <w:r>
              <w:rPr>
                <w:rFonts w:ascii="Times New Roman"/>
                <w:spacing w:val="-2"/>
                <w:sz w:val="18"/>
              </w:rPr>
              <w:t>11.48%</w:t>
            </w:r>
          </w:p>
        </w:tc>
        <w:tc>
          <w:tcPr>
            <w:tcW w:w="130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0.00%</w:t>
            </w:r>
          </w:p>
        </w:tc>
      </w:tr>
      <w:tr>
        <w:trPr>
          <w:trHeight w:val="558" w:hRule="exact"/>
        </w:trPr>
        <w:tc>
          <w:tcPr>
            <w:tcW w:w="1276" w:type="dxa"/>
            <w:tcBorders>
              <w:top w:val="single" w:sz="4" w:space="0" w:color="FFFFFF"/>
              <w:left w:val="single" w:sz="4" w:space="0" w:color="000000"/>
              <w:bottom w:val="single" w:sz="4" w:space="0" w:color="FFFFFF"/>
              <w:right w:val="single" w:sz="4" w:space="0" w:color="000000"/>
            </w:tcBorders>
            <w:shd w:val="clear" w:color="auto" w:fill="D2D2D2"/>
          </w:tcPr>
          <w:p>
            <w:pPr>
              <w:pStyle w:val="TableParagraph"/>
              <w:spacing w:line="240" w:lineRule="auto" w:before="88"/>
              <w:ind w:left="3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FFFFFF"/>
              <w:left w:val="single" w:sz="13" w:space="0" w:color="D2D2D2"/>
              <w:bottom w:val="single" w:sz="4" w:space="0" w:color="FFFFFF"/>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50,988,391.58</w:t>
            </w:r>
          </w:p>
        </w:tc>
        <w:tc>
          <w:tcPr>
            <w:tcW w:w="1773"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8"/>
              <w:ind w:right="20"/>
              <w:jc w:val="right"/>
              <w:rPr>
                <w:rFonts w:ascii="Times New Roman" w:hAnsi="Times New Roman" w:cs="Times New Roman" w:eastAsia="Times New Roman" w:hint="default"/>
                <w:sz w:val="18"/>
                <w:szCs w:val="18"/>
              </w:rPr>
            </w:pPr>
            <w:r>
              <w:rPr>
                <w:rFonts w:ascii="Times New Roman"/>
                <w:spacing w:val="-1"/>
                <w:sz w:val="18"/>
              </w:rPr>
              <w:t>507,331,705.29</w:t>
            </w:r>
          </w:p>
        </w:tc>
        <w:tc>
          <w:tcPr>
            <w:tcW w:w="1702"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8"/>
              <w:ind w:right="21"/>
              <w:jc w:val="right"/>
              <w:rPr>
                <w:rFonts w:ascii="Times New Roman" w:hAnsi="Times New Roman" w:cs="Times New Roman" w:eastAsia="Times New Roman" w:hint="default"/>
                <w:sz w:val="18"/>
                <w:szCs w:val="18"/>
              </w:rPr>
            </w:pPr>
            <w:r>
              <w:rPr>
                <w:rFonts w:ascii="Times New Roman"/>
                <w:sz w:val="18"/>
              </w:rPr>
              <w:t>10.05%</w:t>
            </w:r>
          </w:p>
        </w:tc>
        <w:tc>
          <w:tcPr>
            <w:tcW w:w="1308"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28"/>
              <w:ind w:right="19"/>
              <w:jc w:val="right"/>
              <w:rPr>
                <w:rFonts w:ascii="Times New Roman" w:hAnsi="Times New Roman" w:cs="Times New Roman" w:eastAsia="Times New Roman" w:hint="default"/>
                <w:sz w:val="18"/>
                <w:szCs w:val="18"/>
              </w:rPr>
            </w:pPr>
            <w:r>
              <w:rPr>
                <w:rFonts w:ascii="Times New Roman"/>
                <w:sz w:val="18"/>
              </w:rPr>
              <w:t>0.00%</w:t>
            </w:r>
          </w:p>
        </w:tc>
      </w:tr>
      <w:tr>
        <w:trPr>
          <w:trHeight w:val="517" w:hRule="exact"/>
        </w:trPr>
        <w:tc>
          <w:tcPr>
            <w:tcW w:w="1276" w:type="dxa"/>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88"/>
              <w:ind w:left="3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4" w:type="dxa"/>
            <w:tcBorders>
              <w:top w:val="single" w:sz="4" w:space="0" w:color="FFFFFF"/>
              <w:left w:val="single" w:sz="13" w:space="0" w:color="D2D2D2"/>
              <w:bottom w:val="single" w:sz="4" w:space="0" w:color="000000"/>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98,054,599.20</w:t>
            </w:r>
          </w:p>
        </w:tc>
        <w:tc>
          <w:tcPr>
            <w:tcW w:w="177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20"/>
              <w:jc w:val="right"/>
              <w:rPr>
                <w:rFonts w:ascii="Times New Roman" w:hAnsi="Times New Roman" w:cs="Times New Roman" w:eastAsia="Times New Roman" w:hint="default"/>
                <w:sz w:val="18"/>
                <w:szCs w:val="18"/>
              </w:rPr>
            </w:pPr>
            <w:r>
              <w:rPr>
                <w:rFonts w:ascii="Times New Roman"/>
                <w:spacing w:val="-1"/>
                <w:sz w:val="18"/>
              </w:rPr>
              <w:t>351,341,166.79</w:t>
            </w:r>
          </w:p>
        </w:tc>
        <w:tc>
          <w:tcPr>
            <w:tcW w:w="17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21"/>
              <w:jc w:val="right"/>
              <w:rPr>
                <w:rFonts w:ascii="Times New Roman" w:hAnsi="Times New Roman" w:cs="Times New Roman" w:eastAsia="Times New Roman" w:hint="default"/>
                <w:sz w:val="18"/>
                <w:szCs w:val="18"/>
              </w:rPr>
            </w:pPr>
            <w:r>
              <w:rPr>
                <w:rFonts w:ascii="Times New Roman"/>
                <w:sz w:val="18"/>
              </w:rPr>
              <w:t>27.91%</w:t>
            </w:r>
          </w:p>
        </w:tc>
        <w:tc>
          <w:tcPr>
            <w:tcW w:w="1308"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0.00</w:t>
            </w:r>
          </w:p>
        </w:tc>
        <w:tc>
          <w:tcPr>
            <w:tcW w:w="159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27"/>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公司报告期内盈利且母公司可供普通股股东分配利润为正但未提出普通股现金红利分配预案</w:t>
      </w:r>
      <w:r>
        <w:rPr>
          <w:b w:val="0"/>
          <w:bCs w:val="0"/>
        </w:rPr>
      </w:r>
    </w:p>
    <w:p>
      <w:pPr>
        <w:spacing w:after="0" w:line="240" w:lineRule="auto"/>
        <w:jc w:val="left"/>
        <w:sectPr>
          <w:pgSz w:w="11910" w:h="16840"/>
          <w:pgMar w:header="851" w:footer="979" w:top="1320" w:bottom="1160" w:left="0" w:right="0"/>
        </w:sectPr>
      </w:pPr>
    </w:p>
    <w:p>
      <w:pPr>
        <w:spacing w:line="240" w:lineRule="auto" w:before="5"/>
        <w:rPr>
          <w:rFonts w:ascii="宋体" w:hAnsi="宋体" w:cs="宋体" w:eastAsia="宋体" w:hint="default"/>
          <w:b/>
          <w:bCs/>
          <w:sz w:val="11"/>
          <w:szCs w:val="11"/>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3"/>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5"/>
        <w:ind w:right="0"/>
        <w:jc w:val="left"/>
        <w:rPr>
          <w:b w:val="0"/>
          <w:bCs w:val="0"/>
        </w:rPr>
      </w:pPr>
      <w:bookmarkStart w:name="二、承诺事项履行情况" w:id="64"/>
      <w:bookmarkEnd w:id="64"/>
      <w:r>
        <w:rPr>
          <w:b w:val="0"/>
          <w:bCs w:val="0"/>
        </w:rPr>
      </w:r>
      <w:r>
        <w:rPr/>
        <w:t>二、承诺事项履行情况</w:t>
      </w:r>
      <w:r>
        <w:rPr>
          <w:b w:val="0"/>
          <w:bCs w:val="0"/>
        </w:rPr>
      </w:r>
    </w:p>
    <w:p>
      <w:pPr>
        <w:spacing w:line="240" w:lineRule="auto" w:before="8"/>
        <w:rPr>
          <w:rFonts w:ascii="宋体" w:hAnsi="宋体" w:cs="宋体" w:eastAsia="宋体" w:hint="default"/>
          <w:b/>
          <w:bCs/>
          <w:sz w:val="30"/>
          <w:szCs w:val="30"/>
        </w:rPr>
      </w:pPr>
    </w:p>
    <w:p>
      <w:pPr>
        <w:pStyle w:val="Heading3"/>
        <w:spacing w:line="386" w:lineRule="auto"/>
        <w:ind w:left="1133" w:right="0"/>
        <w:jc w:val="left"/>
        <w:rPr>
          <w:b w:val="0"/>
          <w:bCs w:val="0"/>
        </w:rPr>
      </w:pPr>
      <w:bookmarkStart w:name="1、公司实际控制人、股东、关联方、收购人以及公司等承诺相关方在报告期内履行完毕及" w:id="65"/>
      <w:bookmarkEnd w:id="65"/>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74"/>
        </w:rPr>
        <w:t> </w:t>
      </w:r>
      <w:r>
        <w:rPr>
          <w:spacing w:val="-74"/>
        </w:rPr>
      </w:r>
      <w:r>
        <w:rPr/>
        <w:t>尚未履行完毕的承诺事项</w:t>
      </w:r>
      <w:r>
        <w:rPr>
          <w:b w:val="0"/>
          <w:bCs w:val="0"/>
        </w:rPr>
      </w:r>
    </w:p>
    <w:p>
      <w:pPr>
        <w:spacing w:line="240" w:lineRule="auto" w:before="12"/>
        <w:rPr>
          <w:rFonts w:ascii="宋体" w:hAnsi="宋体" w:cs="宋体" w:eastAsia="宋体" w:hint="default"/>
          <w:b/>
          <w:bCs/>
          <w:sz w:val="29"/>
          <w:szCs w:val="29"/>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2"/>
          <w:szCs w:val="12"/>
        </w:rPr>
      </w:pPr>
    </w:p>
    <w:tbl>
      <w:tblPr>
        <w:tblW w:w="0" w:type="auto"/>
        <w:jc w:val="left"/>
        <w:tblInd w:w="562" w:type="dxa"/>
        <w:tblLayout w:type="fixed"/>
        <w:tblCellMar>
          <w:top w:w="0" w:type="dxa"/>
          <w:left w:w="0" w:type="dxa"/>
          <w:bottom w:w="0" w:type="dxa"/>
          <w:right w:w="0" w:type="dxa"/>
        </w:tblCellMar>
        <w:tblLook w:val="01E0"/>
      </w:tblPr>
      <w:tblGrid>
        <w:gridCol w:w="1404"/>
        <w:gridCol w:w="843"/>
        <w:gridCol w:w="986"/>
        <w:gridCol w:w="4192"/>
        <w:gridCol w:w="1056"/>
        <w:gridCol w:w="1056"/>
        <w:gridCol w:w="1096"/>
      </w:tblGrid>
      <w:tr>
        <w:trPr>
          <w:trHeight w:val="401"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336"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承诺方</w:t>
            </w:r>
          </w:p>
        </w:tc>
        <w:tc>
          <w:tcPr>
            <w:tcW w:w="9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28"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41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61"/>
              <w:jc w:val="right"/>
              <w:rPr>
                <w:rFonts w:ascii="宋体" w:hAnsi="宋体" w:cs="宋体" w:eastAsia="宋体" w:hint="default"/>
                <w:sz w:val="18"/>
                <w:szCs w:val="18"/>
              </w:rPr>
            </w:pPr>
            <w:r>
              <w:rPr>
                <w:rFonts w:ascii="宋体" w:hAnsi="宋体" w:cs="宋体" w:eastAsia="宋体" w:hint="default"/>
                <w:sz w:val="18"/>
                <w:szCs w:val="18"/>
              </w:rPr>
              <w:t>承诺时间</w:t>
            </w:r>
          </w:p>
        </w:tc>
        <w:tc>
          <w:tcPr>
            <w:tcW w:w="10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61"/>
              <w:jc w:val="right"/>
              <w:rPr>
                <w:rFonts w:ascii="宋体" w:hAnsi="宋体" w:cs="宋体" w:eastAsia="宋体" w:hint="default"/>
                <w:sz w:val="18"/>
                <w:szCs w:val="18"/>
              </w:rPr>
            </w:pPr>
            <w:r>
              <w:rPr>
                <w:rFonts w:ascii="宋体" w:hAnsi="宋体" w:cs="宋体" w:eastAsia="宋体" w:hint="default"/>
                <w:sz w:val="18"/>
                <w:szCs w:val="18"/>
              </w:rPr>
              <w:t>承诺期限</w:t>
            </w:r>
          </w:p>
        </w:tc>
        <w:tc>
          <w:tcPr>
            <w:tcW w:w="10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82"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1026"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56" w:right="156"/>
              <w:jc w:val="both"/>
              <w:rPr>
                <w:rFonts w:ascii="宋体" w:hAnsi="宋体" w:cs="宋体" w:eastAsia="宋体" w:hint="default"/>
                <w:sz w:val="18"/>
                <w:szCs w:val="18"/>
              </w:rPr>
            </w:pPr>
            <w:r>
              <w:rPr>
                <w:rFonts w:ascii="宋体" w:hAnsi="宋体" w:cs="宋体" w:eastAsia="宋体" w:hint="default"/>
                <w:sz w:val="18"/>
                <w:szCs w:val="18"/>
              </w:rPr>
              <w:t>收购报告书或 权益变动报告 书中所作承诺</w:t>
            </w:r>
          </w:p>
        </w:tc>
        <w:tc>
          <w:tcPr>
            <w:tcW w:w="843" w:type="dxa"/>
            <w:tcBorders>
              <w:top w:val="single" w:sz="4" w:space="0" w:color="000000"/>
              <w:left w:val="single" w:sz="4" w:space="0" w:color="000000"/>
              <w:bottom w:val="single" w:sz="4" w:space="0" w:color="000000"/>
              <w:right w:val="single" w:sz="4" w:space="0" w:color="000000"/>
            </w:tcBorders>
          </w:tcPr>
          <w:p>
            <w:pPr/>
          </w:p>
        </w:tc>
        <w:tc>
          <w:tcPr>
            <w:tcW w:w="986" w:type="dxa"/>
            <w:tcBorders>
              <w:top w:val="single" w:sz="4" w:space="0" w:color="000000"/>
              <w:left w:val="single" w:sz="4" w:space="0" w:color="000000"/>
              <w:bottom w:val="single" w:sz="4" w:space="0" w:color="000000"/>
              <w:right w:val="single" w:sz="4" w:space="0" w:color="000000"/>
            </w:tcBorders>
          </w:tcPr>
          <w:p>
            <w:pP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05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r>
      <w:tr>
        <w:trPr>
          <w:trHeight w:val="7266" w:hRule="exact"/>
        </w:trPr>
        <w:tc>
          <w:tcPr>
            <w:tcW w:w="140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316" w:lineRule="auto"/>
              <w:ind w:left="426" w:right="156" w:hanging="270"/>
              <w:jc w:val="left"/>
              <w:rPr>
                <w:rFonts w:ascii="宋体" w:hAnsi="宋体" w:cs="宋体" w:eastAsia="宋体" w:hint="default"/>
                <w:sz w:val="18"/>
                <w:szCs w:val="18"/>
              </w:rPr>
            </w:pPr>
            <w:r>
              <w:rPr>
                <w:rFonts w:ascii="宋体" w:hAnsi="宋体" w:cs="宋体" w:eastAsia="宋体" w:hint="default"/>
                <w:sz w:val="18"/>
                <w:szCs w:val="18"/>
              </w:rPr>
              <w:t>资产重组时所 作承诺</w:t>
            </w:r>
          </w:p>
        </w:tc>
        <w:tc>
          <w:tcPr>
            <w:tcW w:w="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李毅</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6"/>
                <w:szCs w:val="26"/>
              </w:rPr>
            </w:pPr>
          </w:p>
          <w:p>
            <w:pPr>
              <w:pStyle w:val="TableParagraph"/>
              <w:spacing w:line="316" w:lineRule="auto"/>
              <w:ind w:left="128" w:right="126"/>
              <w:jc w:val="both"/>
              <w:rPr>
                <w:rFonts w:ascii="宋体" w:hAnsi="宋体" w:cs="宋体" w:eastAsia="宋体" w:hint="default"/>
                <w:sz w:val="18"/>
                <w:szCs w:val="18"/>
              </w:rPr>
            </w:pPr>
            <w:r>
              <w:rPr>
                <w:rFonts w:ascii="宋体" w:hAnsi="宋体" w:cs="宋体" w:eastAsia="宋体" w:hint="default"/>
                <w:sz w:val="18"/>
                <w:szCs w:val="18"/>
              </w:rPr>
              <w:t>壳木软件 资产重组 期限承诺</w:t>
            </w: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103" w:right="11"/>
              <w:jc w:val="left"/>
              <w:rPr>
                <w:rFonts w:ascii="宋体" w:hAnsi="宋体" w:cs="宋体" w:eastAsia="宋体" w:hint="default"/>
                <w:sz w:val="18"/>
                <w:szCs w:val="18"/>
              </w:rPr>
            </w:pPr>
            <w:r>
              <w:rPr>
                <w:rFonts w:ascii="宋体" w:hAnsi="宋体" w:cs="宋体" w:eastAsia="宋体" w:hint="default"/>
                <w:sz w:val="18"/>
                <w:szCs w:val="18"/>
              </w:rPr>
              <w:t>公司发行股份及支付现金购买天津壳木软件有限责</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任公司（下称</w:t>
            </w:r>
            <w:r>
              <w:rPr>
                <w:rFonts w:ascii="Times New Roman" w:hAnsi="Times New Roman" w:cs="Times New Roman" w:eastAsia="Times New Roman" w:hint="default"/>
                <w:sz w:val="18"/>
                <w:szCs w:val="18"/>
              </w:rPr>
              <w:t>"</w:t>
            </w:r>
            <w:r>
              <w:rPr>
                <w:rFonts w:ascii="宋体" w:hAnsi="宋体" w:cs="宋体" w:eastAsia="宋体" w:hint="default"/>
                <w:sz w:val="18"/>
                <w:szCs w:val="18"/>
              </w:rPr>
              <w:t>壳木软件</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股权，发行对象李 </w:t>
            </w:r>
            <w:r>
              <w:rPr>
                <w:rFonts w:ascii="宋体" w:hAnsi="宋体" w:cs="宋体" w:eastAsia="宋体" w:hint="default"/>
                <w:spacing w:val="-4"/>
                <w:sz w:val="18"/>
                <w:szCs w:val="18"/>
              </w:rPr>
              <w:t>毅出具了股份锁定及限售安排承诺，具体情况如下：</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Times New Roman" w:hAnsi="Times New Roman" w:cs="Times New Roman" w:eastAsia="Times New Roman" w:hint="default"/>
                <w:sz w:val="18"/>
                <w:szCs w:val="18"/>
              </w:rPr>
              <w:t>1</w:t>
            </w:r>
            <w:r>
              <w:rPr>
                <w:rFonts w:ascii="宋体" w:hAnsi="宋体" w:cs="宋体" w:eastAsia="宋体" w:hint="default"/>
                <w:sz w:val="18"/>
                <w:szCs w:val="18"/>
              </w:rPr>
              <w:t>、本次向李毅发行的股份自发行结束之日起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个 月内不得转让。神州泰岳在指定媒体披露标的公司</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Times New Roman" w:hAnsi="Times New Roman" w:cs="Times New Roman" w:eastAsia="Times New Roman" w:hint="default"/>
                <w:sz w:val="18"/>
                <w:szCs w:val="18"/>
              </w:rPr>
              <w:t>2014 </w:t>
            </w:r>
            <w:r>
              <w:rPr>
                <w:rFonts w:ascii="宋体" w:hAnsi="宋体" w:cs="宋体" w:eastAsia="宋体" w:hint="default"/>
                <w:spacing w:val="-8"/>
                <w:sz w:val="18"/>
                <w:szCs w:val="18"/>
              </w:rPr>
              <w:t>年度、</w:t>
            </w:r>
            <w:r>
              <w:rPr>
                <w:rFonts w:ascii="Times New Roman" w:hAnsi="Times New Roman" w:cs="Times New Roman" w:eastAsia="Times New Roman" w:hint="default"/>
                <w:spacing w:val="-8"/>
                <w:sz w:val="18"/>
                <w:szCs w:val="18"/>
              </w:rPr>
              <w:t>2015 </w:t>
            </w:r>
            <w:r>
              <w:rPr>
                <w:rFonts w:ascii="宋体" w:hAnsi="宋体" w:cs="宋体" w:eastAsia="宋体" w:hint="default"/>
                <w:spacing w:val="-8"/>
                <w:sz w:val="18"/>
                <w:szCs w:val="18"/>
              </w:rPr>
              <w:t>年度、</w:t>
            </w:r>
            <w:r>
              <w:rPr>
                <w:rFonts w:ascii="Times New Roman" w:hAnsi="Times New Roman" w:cs="Times New Roman" w:eastAsia="Times New Roman" w:hint="default"/>
                <w:spacing w:val="-8"/>
                <w:sz w:val="18"/>
                <w:szCs w:val="18"/>
              </w:rPr>
              <w:t>2016</w:t>
            </w:r>
            <w:r>
              <w:rPr>
                <w:rFonts w:ascii="Times New Roman" w:hAnsi="Times New Roman" w:cs="Times New Roman" w:eastAsia="Times New Roman" w:hint="default"/>
                <w:spacing w:val="27"/>
                <w:sz w:val="18"/>
                <w:szCs w:val="18"/>
              </w:rPr>
              <w:t> </w:t>
            </w:r>
            <w:r>
              <w:rPr>
                <w:rFonts w:ascii="宋体" w:hAnsi="宋体" w:cs="宋体" w:eastAsia="宋体" w:hint="default"/>
                <w:spacing w:val="-6"/>
                <w:sz w:val="18"/>
                <w:szCs w:val="18"/>
              </w:rPr>
              <w:t>年度《专项审核报告》</w:t>
            </w:r>
            <w:r>
              <w:rPr>
                <w:rFonts w:ascii="宋体" w:hAnsi="宋体" w:cs="宋体" w:eastAsia="宋体" w:hint="default"/>
                <w:sz w:val="18"/>
                <w:szCs w:val="18"/>
              </w:rPr>
              <w:t> 后，本次向李毅发行的股份扣减截至该时点李毅已</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8"/>
                <w:sz w:val="18"/>
                <w:szCs w:val="18"/>
              </w:rPr>
              <w:t>补偿的和应补偿的股份数（若有）后可分别解锁</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Times New Roman" w:hAnsi="Times New Roman" w:cs="Times New Roman" w:eastAsia="Times New Roman" w:hint="default"/>
                <w:spacing w:val="-9"/>
                <w:sz w:val="18"/>
                <w:szCs w:val="18"/>
              </w:rPr>
              <w:t>20%</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20%</w:t>
            </w:r>
            <w:r>
              <w:rPr>
                <w:rFonts w:ascii="宋体" w:hAnsi="宋体" w:cs="宋体" w:eastAsia="宋体" w:hint="default"/>
                <w:spacing w:val="-9"/>
                <w:sz w:val="18"/>
                <w:szCs w:val="18"/>
              </w:rPr>
              <w:t>、</w:t>
            </w:r>
            <w:r>
              <w:rPr>
                <w:rFonts w:ascii="Times New Roman" w:hAnsi="Times New Roman" w:cs="Times New Roman" w:eastAsia="Times New Roman" w:hint="default"/>
                <w:spacing w:val="-9"/>
                <w:sz w:val="18"/>
                <w:szCs w:val="18"/>
              </w:rPr>
              <w:t>40%</w:t>
            </w:r>
            <w:r>
              <w:rPr>
                <w:rFonts w:ascii="宋体" w:hAnsi="宋体" w:cs="宋体" w:eastAsia="宋体" w:hint="default"/>
                <w:spacing w:val="-9"/>
                <w:sz w:val="18"/>
                <w:szCs w:val="18"/>
              </w:rPr>
              <w:t>，自本次发行结束之日起届满</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个</w:t>
            </w:r>
            <w:r>
              <w:rPr>
                <w:rFonts w:ascii="宋体" w:hAnsi="宋体" w:cs="宋体" w:eastAsia="宋体" w:hint="default"/>
                <w:spacing w:val="-88"/>
                <w:sz w:val="18"/>
                <w:szCs w:val="18"/>
              </w:rPr>
              <w:t> </w:t>
            </w:r>
            <w:r>
              <w:rPr>
                <w:rFonts w:ascii="宋体" w:hAnsi="宋体" w:cs="宋体" w:eastAsia="宋体" w:hint="default"/>
                <w:sz w:val="18"/>
                <w:szCs w:val="18"/>
              </w:rPr>
              <w:t>月后，本次向李毅发行的股份的</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扣减已补偿的 股份数（若有）后可解锁。认购人承诺的标的公司</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3"/>
                <w:sz w:val="18"/>
                <w:szCs w:val="18"/>
              </w:rPr>
              <w:t>在盈利承诺期内各年度净利润数如下：</w:t>
            </w:r>
            <w:r>
              <w:rPr>
                <w:rFonts w:ascii="Times New Roman" w:hAnsi="Times New Roman" w:cs="Times New Roman" w:eastAsia="Times New Roman" w:hint="default"/>
                <w:spacing w:val="3"/>
                <w:sz w:val="18"/>
                <w:szCs w:val="18"/>
              </w:rPr>
              <w:t>2013 </w:t>
            </w:r>
            <w:r>
              <w:rPr>
                <w:rFonts w:ascii="宋体" w:hAnsi="宋体" w:cs="宋体" w:eastAsia="宋体" w:hint="default"/>
                <w:spacing w:val="6"/>
                <w:sz w:val="18"/>
                <w:szCs w:val="18"/>
              </w:rPr>
              <w:t>年度</w:t>
            </w:r>
            <w:r>
              <w:rPr>
                <w:rFonts w:ascii="宋体" w:hAnsi="宋体" w:cs="宋体" w:eastAsia="宋体" w:hint="default"/>
                <w:spacing w:val="-72"/>
                <w:sz w:val="18"/>
                <w:szCs w:val="18"/>
              </w:rPr>
              <w:t> </w:t>
            </w:r>
            <w:r>
              <w:rPr>
                <w:rFonts w:ascii="Times New Roman" w:hAnsi="Times New Roman" w:cs="Times New Roman" w:eastAsia="Times New Roman" w:hint="default"/>
                <w:sz w:val="18"/>
                <w:szCs w:val="18"/>
              </w:rPr>
              <w:t>0.8  </w:t>
            </w:r>
            <w:r>
              <w:rPr>
                <w:rFonts w:ascii="宋体" w:hAnsi="宋体" w:cs="宋体" w:eastAsia="宋体" w:hint="default"/>
                <w:spacing w:val="-12"/>
                <w:sz w:val="18"/>
                <w:szCs w:val="18"/>
              </w:rPr>
              <w:t>亿元，</w:t>
            </w:r>
            <w:r>
              <w:rPr>
                <w:rFonts w:ascii="Times New Roman" w:hAnsi="Times New Roman" w:cs="Times New Roman" w:eastAsia="Times New Roman" w:hint="default"/>
                <w:spacing w:val="-12"/>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  </w:t>
            </w:r>
            <w:r>
              <w:rPr>
                <w:rFonts w:ascii="宋体" w:hAnsi="宋体" w:cs="宋体" w:eastAsia="宋体" w:hint="default"/>
                <w:spacing w:val="-12"/>
                <w:sz w:val="18"/>
                <w:szCs w:val="18"/>
              </w:rPr>
              <w:t>亿元，</w:t>
            </w:r>
            <w:r>
              <w:rPr>
                <w:rFonts w:ascii="Times New Roman" w:hAnsi="Times New Roman" w:cs="Times New Roman" w:eastAsia="Times New Roman" w:hint="default"/>
                <w:spacing w:val="-12"/>
                <w:sz w:val="18"/>
                <w:szCs w:val="18"/>
              </w:rPr>
              <w:t>2015</w:t>
            </w:r>
            <w:r>
              <w:rPr>
                <w:rFonts w:ascii="Times New Roman" w:hAnsi="Times New Roman" w:cs="Times New Roman" w:eastAsia="Times New Roman" w:hint="default"/>
                <w:sz w:val="18"/>
                <w:szCs w:val="18"/>
              </w:rPr>
              <w:t>  </w:t>
            </w:r>
            <w:r>
              <w:rPr>
                <w:rFonts w:ascii="宋体" w:hAnsi="宋体" w:cs="宋体" w:eastAsia="宋体" w:hint="default"/>
                <w:sz w:val="18"/>
                <w:szCs w:val="18"/>
              </w:rPr>
              <w:t>年度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亿元，</w:t>
            </w:r>
          </w:p>
          <w:p>
            <w:pPr>
              <w:pStyle w:val="TableParagraph"/>
              <w:spacing w:line="309" w:lineRule="auto" w:before="5"/>
              <w:ind w:left="103" w:right="100"/>
              <w:jc w:val="both"/>
              <w:rPr>
                <w:rFonts w:ascii="宋体" w:hAnsi="宋体" w:cs="宋体" w:eastAsia="宋体"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年度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亿元。</w:t>
            </w:r>
            <w:r>
              <w:rPr>
                <w:rFonts w:ascii="Times New Roman" w:hAnsi="Times New Roman" w:cs="Times New Roman" w:eastAsia="Times New Roman" w:hint="default"/>
                <w:sz w:val="18"/>
                <w:szCs w:val="18"/>
              </w:rPr>
              <w:t>2</w:t>
            </w:r>
            <w:r>
              <w:rPr>
                <w:rFonts w:ascii="宋体" w:hAnsi="宋体" w:cs="宋体" w:eastAsia="宋体" w:hint="default"/>
                <w:sz w:val="18"/>
                <w:szCs w:val="18"/>
              </w:rPr>
              <w:t>、在盈利承诺期届满时，上 市公司将聘请经上市公司与管理层股东认可的具有</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证券从业资格的会计师事务所对标的资产进行减值</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8"/>
                <w:sz w:val="18"/>
                <w:szCs w:val="18"/>
              </w:rPr>
              <w:t>测试并出具《减值测试报告》，如果壳木软件资产期</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末减值额</w:t>
            </w:r>
            <w:r>
              <w:rPr>
                <w:rFonts w:ascii="Times New Roman" w:hAnsi="Times New Roman" w:cs="Times New Roman" w:eastAsia="Times New Roman" w:hint="default"/>
                <w:spacing w:val="-4"/>
                <w:sz w:val="18"/>
                <w:szCs w:val="18"/>
              </w:rPr>
              <w:t>&gt;</w:t>
            </w:r>
            <w:r>
              <w:rPr>
                <w:rFonts w:ascii="宋体" w:hAnsi="宋体" w:cs="宋体" w:eastAsia="宋体" w:hint="default"/>
                <w:spacing w:val="-4"/>
                <w:sz w:val="18"/>
                <w:szCs w:val="18"/>
              </w:rPr>
              <w:t>已补偿金额（包括已补偿股份金额和现金</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8"/>
                <w:sz w:val="18"/>
                <w:szCs w:val="18"/>
              </w:rPr>
              <w:t>金额），则认购人应另行对上市公司进行补偿，应补</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偿金额</w:t>
            </w:r>
            <w:r>
              <w:rPr>
                <w:rFonts w:ascii="Times New Roman" w:hAnsi="Times New Roman" w:cs="Times New Roman" w:eastAsia="Times New Roman" w:hint="default"/>
                <w:sz w:val="18"/>
                <w:szCs w:val="18"/>
              </w:rPr>
              <w:t>=</w:t>
            </w:r>
            <w:r>
              <w:rPr>
                <w:rFonts w:ascii="宋体" w:hAnsi="宋体" w:cs="宋体" w:eastAsia="宋体" w:hint="default"/>
                <w:sz w:val="18"/>
                <w:szCs w:val="18"/>
              </w:rPr>
              <w:t>期末减值额</w:t>
            </w:r>
            <w:r>
              <w:rPr>
                <w:rFonts w:ascii="Times New Roman" w:hAnsi="Times New Roman" w:cs="Times New Roman" w:eastAsia="Times New Roman" w:hint="default"/>
                <w:sz w:val="18"/>
                <w:szCs w:val="18"/>
              </w:rPr>
              <w:t>-</w:t>
            </w:r>
            <w:r>
              <w:rPr>
                <w:rFonts w:ascii="宋体" w:hAnsi="宋体" w:cs="宋体" w:eastAsia="宋体" w:hint="default"/>
                <w:sz w:val="18"/>
                <w:szCs w:val="18"/>
              </w:rPr>
              <w:t>在盈利承诺期内因实际净利润</w:t>
            </w:r>
            <w:r>
              <w:rPr>
                <w:rFonts w:ascii="宋体" w:hAnsi="宋体" w:cs="宋体" w:eastAsia="宋体" w:hint="default"/>
                <w:spacing w:val="-62"/>
                <w:sz w:val="18"/>
                <w:szCs w:val="18"/>
              </w:rPr>
              <w:t> </w:t>
            </w:r>
            <w:r>
              <w:rPr>
                <w:rFonts w:ascii="宋体" w:hAnsi="宋体" w:cs="宋体" w:eastAsia="宋体" w:hint="default"/>
                <w:spacing w:val="-62"/>
                <w:sz w:val="18"/>
                <w:szCs w:val="18"/>
              </w:rPr>
            </w:r>
            <w:r>
              <w:rPr>
                <w:rFonts w:ascii="宋体" w:hAnsi="宋体" w:cs="宋体" w:eastAsia="宋体" w:hint="default"/>
                <w:spacing w:val="-4"/>
                <w:sz w:val="18"/>
                <w:szCs w:val="18"/>
              </w:rPr>
              <w:t>数不足承诺净利润数已支付的补偿额。</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、在因本次</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交易获得的神州泰岳股份全部解锁前，不主动向标</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的公司及其子公司提出离职。</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2014-05-07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2018-05-07</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0"/>
                <w:szCs w:val="20"/>
              </w:rPr>
            </w:pPr>
          </w:p>
          <w:p>
            <w:pPr>
              <w:pStyle w:val="TableParagraph"/>
              <w:spacing w:line="316" w:lineRule="auto"/>
              <w:ind w:left="452" w:right="181" w:hanging="270"/>
              <w:jc w:val="left"/>
              <w:rPr>
                <w:rFonts w:ascii="宋体" w:hAnsi="宋体" w:cs="宋体" w:eastAsia="宋体" w:hint="default"/>
                <w:sz w:val="18"/>
                <w:szCs w:val="18"/>
              </w:rPr>
            </w:pPr>
            <w:r>
              <w:rPr>
                <w:rFonts w:ascii="宋体" w:hAnsi="宋体" w:cs="宋体" w:eastAsia="宋体" w:hint="default"/>
                <w:sz w:val="18"/>
                <w:szCs w:val="18"/>
              </w:rPr>
              <w:t>正常履行 中</w:t>
            </w:r>
          </w:p>
        </w:tc>
      </w:tr>
      <w:tr>
        <w:trPr>
          <w:trHeight w:val="1923" w:hRule="exact"/>
        </w:trPr>
        <w:tc>
          <w:tcPr>
            <w:tcW w:w="1404" w:type="dxa"/>
            <w:vMerge/>
            <w:tcBorders>
              <w:left w:val="single" w:sz="4" w:space="0" w:color="000000"/>
              <w:bottom w:val="single" w:sz="4" w:space="0" w:color="000000"/>
              <w:right w:val="single" w:sz="4" w:space="0" w:color="000000"/>
            </w:tcBorders>
            <w:shd w:val="clear" w:color="auto" w:fill="D9D9D9"/>
          </w:tcPr>
          <w:p>
            <w:pPr/>
          </w:p>
        </w:tc>
        <w:tc>
          <w:tcPr>
            <w:tcW w:w="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李毅</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319" w:lineRule="auto"/>
              <w:ind w:left="128" w:right="126"/>
              <w:jc w:val="both"/>
              <w:rPr>
                <w:rFonts w:ascii="宋体" w:hAnsi="宋体" w:cs="宋体" w:eastAsia="宋体" w:hint="default"/>
                <w:sz w:val="18"/>
                <w:szCs w:val="18"/>
              </w:rPr>
            </w:pPr>
            <w:r>
              <w:rPr>
                <w:rFonts w:ascii="宋体" w:hAnsi="宋体" w:cs="宋体" w:eastAsia="宋体" w:hint="default"/>
                <w:sz w:val="18"/>
                <w:szCs w:val="18"/>
              </w:rPr>
              <w:t>壳木软件 资产重组 期限承诺</w:t>
            </w: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10"/>
              <w:jc w:val="left"/>
              <w:rPr>
                <w:rFonts w:ascii="宋体" w:hAnsi="宋体" w:cs="宋体" w:eastAsia="宋体" w:hint="default"/>
                <w:sz w:val="18"/>
                <w:szCs w:val="18"/>
              </w:rPr>
            </w:pPr>
            <w:r>
              <w:rPr>
                <w:rFonts w:ascii="Times New Roman" w:hAnsi="Times New Roman" w:cs="Times New Roman" w:eastAsia="Times New Roman" w:hint="default"/>
                <w:spacing w:val="-7"/>
                <w:sz w:val="18"/>
                <w:szCs w:val="18"/>
              </w:rPr>
              <w:t>1</w:t>
            </w:r>
            <w:r>
              <w:rPr>
                <w:rFonts w:ascii="宋体" w:hAnsi="宋体" w:cs="宋体" w:eastAsia="宋体" w:hint="default"/>
                <w:spacing w:val="-7"/>
                <w:sz w:val="18"/>
                <w:szCs w:val="18"/>
              </w:rPr>
              <w:t>、壳木软件的任职期限内，未经神州泰岳书面同意，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不得在神州泰岳及其子公司、壳木软件以外，从事</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游戏开发、运营及维护业务或通过直接或间接控制</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的其他经营主体从事该等业务；不得在其他与神州</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泰岳及其子公司、壳木软件有竞争关系的任何企业</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4"/>
                <w:sz w:val="18"/>
                <w:szCs w:val="18"/>
              </w:rPr>
              <w:t>或组织任职。</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、自其从壳木软件离职后两年内不得</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2014-05-07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6"/>
                <w:szCs w:val="26"/>
              </w:rPr>
            </w:pPr>
          </w:p>
          <w:p>
            <w:pPr>
              <w:pStyle w:val="TableParagraph"/>
              <w:spacing w:line="240" w:lineRule="auto"/>
              <w:ind w:right="161"/>
              <w:jc w:val="right"/>
              <w:rPr>
                <w:rFonts w:ascii="宋体" w:hAnsi="宋体" w:cs="宋体" w:eastAsia="宋体" w:hint="default"/>
                <w:sz w:val="18"/>
                <w:szCs w:val="18"/>
              </w:rPr>
            </w:pPr>
            <w:r>
              <w:rPr>
                <w:rFonts w:ascii="宋体" w:hAnsi="宋体" w:cs="宋体" w:eastAsia="宋体" w:hint="default"/>
                <w:sz w:val="18"/>
                <w:szCs w:val="18"/>
              </w:rPr>
              <w:t>长期有效</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316" w:lineRule="auto"/>
              <w:ind w:left="452" w:right="181" w:hanging="270"/>
              <w:jc w:val="left"/>
              <w:rPr>
                <w:rFonts w:ascii="宋体" w:hAnsi="宋体" w:cs="宋体" w:eastAsia="宋体" w:hint="default"/>
                <w:sz w:val="18"/>
                <w:szCs w:val="18"/>
              </w:rPr>
            </w:pPr>
            <w:r>
              <w:rPr>
                <w:rFonts w:ascii="宋体" w:hAnsi="宋体" w:cs="宋体" w:eastAsia="宋体" w:hint="default"/>
                <w:sz w:val="18"/>
                <w:szCs w:val="18"/>
              </w:rPr>
              <w:t>正常履行 中</w:t>
            </w:r>
          </w:p>
        </w:tc>
      </w:tr>
    </w:tbl>
    <w:p>
      <w:pPr>
        <w:spacing w:after="0" w:line="316"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562" w:type="dxa"/>
        <w:tblLayout w:type="fixed"/>
        <w:tblCellMar>
          <w:top w:w="0" w:type="dxa"/>
          <w:left w:w="0" w:type="dxa"/>
          <w:bottom w:w="0" w:type="dxa"/>
          <w:right w:w="0" w:type="dxa"/>
        </w:tblCellMar>
        <w:tblLook w:val="01E0"/>
      </w:tblPr>
      <w:tblGrid>
        <w:gridCol w:w="1404"/>
        <w:gridCol w:w="843"/>
        <w:gridCol w:w="986"/>
        <w:gridCol w:w="4192"/>
        <w:gridCol w:w="1056"/>
        <w:gridCol w:w="1056"/>
        <w:gridCol w:w="1096"/>
      </w:tblGrid>
      <w:tr>
        <w:trPr>
          <w:trHeight w:val="1298"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843" w:type="dxa"/>
            <w:tcBorders>
              <w:top w:val="single" w:sz="4" w:space="0" w:color="000000"/>
              <w:left w:val="single" w:sz="4" w:space="0" w:color="000000"/>
              <w:bottom w:val="single" w:sz="4" w:space="0" w:color="000000"/>
              <w:right w:val="single" w:sz="4" w:space="0" w:color="000000"/>
            </w:tcBorders>
          </w:tcPr>
          <w:p>
            <w:pPr/>
          </w:p>
        </w:tc>
        <w:tc>
          <w:tcPr>
            <w:tcW w:w="986" w:type="dxa"/>
            <w:tcBorders>
              <w:top w:val="single" w:sz="4" w:space="0" w:color="000000"/>
              <w:left w:val="single" w:sz="4" w:space="0" w:color="000000"/>
              <w:bottom w:val="single" w:sz="4" w:space="0" w:color="000000"/>
              <w:right w:val="single" w:sz="4" w:space="0" w:color="000000"/>
            </w:tcBorders>
          </w:tcPr>
          <w:p>
            <w:pP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
              <w:jc w:val="left"/>
              <w:rPr>
                <w:rFonts w:ascii="宋体" w:hAnsi="宋体" w:cs="宋体" w:eastAsia="宋体" w:hint="default"/>
                <w:sz w:val="18"/>
                <w:szCs w:val="18"/>
              </w:rPr>
            </w:pPr>
            <w:r>
              <w:rPr>
                <w:rFonts w:ascii="宋体" w:hAnsi="宋体" w:cs="宋体" w:eastAsia="宋体" w:hint="default"/>
                <w:sz w:val="18"/>
                <w:szCs w:val="18"/>
              </w:rPr>
              <w:t>在神州泰岳及其子公司、壳木软件以外的任何企业</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4"/>
                <w:sz w:val="18"/>
                <w:szCs w:val="18"/>
              </w:rPr>
              <w:t>或组织任职或担任任何形式的顾问，从事游戏开发、</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运营及维护业务或通过直接或间接控制的其他经营</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主体从事该等业务。</w:t>
            </w:r>
          </w:p>
        </w:tc>
        <w:tc>
          <w:tcPr>
            <w:tcW w:w="105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40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319" w:lineRule="auto"/>
              <w:ind w:left="156" w:right="156"/>
              <w:jc w:val="center"/>
              <w:rPr>
                <w:rFonts w:ascii="宋体" w:hAnsi="宋体" w:cs="宋体" w:eastAsia="宋体" w:hint="default"/>
                <w:sz w:val="18"/>
                <w:szCs w:val="18"/>
              </w:rPr>
            </w:pPr>
            <w:r>
              <w:rPr>
                <w:rFonts w:ascii="宋体" w:hAnsi="宋体" w:cs="宋体" w:eastAsia="宋体" w:hint="default"/>
                <w:sz w:val="18"/>
                <w:szCs w:val="18"/>
              </w:rPr>
              <w:t>首次公开发行 或再融资时所 作承诺</w:t>
            </w:r>
          </w:p>
        </w:tc>
        <w:tc>
          <w:tcPr>
            <w:tcW w:w="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4"/>
                <w:szCs w:val="14"/>
              </w:rPr>
            </w:pPr>
          </w:p>
          <w:p>
            <w:pPr>
              <w:pStyle w:val="TableParagraph"/>
              <w:spacing w:line="360" w:lineRule="auto"/>
              <w:ind w:left="235" w:right="235"/>
              <w:jc w:val="left"/>
              <w:rPr>
                <w:rFonts w:ascii="宋体" w:hAnsi="宋体" w:cs="宋体" w:eastAsia="宋体" w:hint="default"/>
                <w:sz w:val="18"/>
                <w:szCs w:val="18"/>
              </w:rPr>
            </w:pPr>
            <w:r>
              <w:rPr>
                <w:rFonts w:ascii="宋体" w:hAnsi="宋体" w:cs="宋体" w:eastAsia="宋体" w:hint="default"/>
                <w:sz w:val="18"/>
                <w:szCs w:val="18"/>
              </w:rPr>
              <w:t>王宁 李力</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103" w:right="84"/>
              <w:jc w:val="both"/>
              <w:rPr>
                <w:rFonts w:ascii="宋体" w:hAnsi="宋体" w:cs="宋体" w:eastAsia="宋体" w:hint="default"/>
                <w:sz w:val="18"/>
                <w:szCs w:val="18"/>
              </w:rPr>
            </w:pPr>
            <w:r>
              <w:rPr>
                <w:rFonts w:ascii="宋体" w:hAnsi="宋体" w:cs="宋体" w:eastAsia="宋体" w:hint="default"/>
                <w:spacing w:val="12"/>
                <w:sz w:val="18"/>
                <w:szCs w:val="18"/>
              </w:rPr>
              <w:t>首次公开</w:t>
            </w:r>
            <w:r>
              <w:rPr>
                <w:rFonts w:ascii="宋体" w:hAnsi="宋体" w:cs="宋体" w:eastAsia="宋体" w:hint="default"/>
                <w:spacing w:val="-74"/>
                <w:sz w:val="18"/>
                <w:szCs w:val="18"/>
              </w:rPr>
              <w:t> </w:t>
            </w:r>
            <w:r>
              <w:rPr>
                <w:rFonts w:ascii="宋体" w:hAnsi="宋体" w:cs="宋体" w:eastAsia="宋体" w:hint="default"/>
                <w:spacing w:val="12"/>
                <w:sz w:val="18"/>
                <w:szCs w:val="18"/>
              </w:rPr>
              <w:t>发行时承</w:t>
            </w:r>
            <w:r>
              <w:rPr>
                <w:rFonts w:ascii="宋体" w:hAnsi="宋体" w:cs="宋体" w:eastAsia="宋体" w:hint="default"/>
                <w:spacing w:val="-74"/>
                <w:sz w:val="18"/>
                <w:szCs w:val="18"/>
              </w:rPr>
              <w:t> </w:t>
            </w:r>
            <w:r>
              <w:rPr>
                <w:rFonts w:ascii="宋体" w:hAnsi="宋体" w:cs="宋体" w:eastAsia="宋体" w:hint="default"/>
                <w:sz w:val="18"/>
                <w:szCs w:val="18"/>
              </w:rPr>
              <w:t>诺</w:t>
            </w: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1"/>
              <w:jc w:val="both"/>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、将来不以任何方式从事，包括与他人合作直接或</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间接从事与公司及其子公司相同、相似或在任何方</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4"/>
                <w:sz w:val="18"/>
                <w:szCs w:val="18"/>
              </w:rPr>
              <w:t>面构成竞争的业务；</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、承诺将尽可能避免和减少与</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公司之间的关联交易。若有关的关联交易为公司日</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常经营所必须或者无法避免，承诺方保证该等关联</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4"/>
                <w:sz w:val="18"/>
                <w:szCs w:val="18"/>
              </w:rPr>
              <w:t>交易所列之交易条件公允，不损害公司及股东利益。</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2009-10-30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452" w:right="181" w:hanging="270"/>
              <w:jc w:val="left"/>
              <w:rPr>
                <w:rFonts w:ascii="宋体" w:hAnsi="宋体" w:cs="宋体" w:eastAsia="宋体" w:hint="default"/>
                <w:sz w:val="18"/>
                <w:szCs w:val="18"/>
              </w:rPr>
            </w:pPr>
            <w:r>
              <w:rPr>
                <w:rFonts w:ascii="宋体" w:hAnsi="宋体" w:cs="宋体" w:eastAsia="宋体" w:hint="default"/>
                <w:sz w:val="18"/>
                <w:szCs w:val="18"/>
              </w:rPr>
              <w:t>正常履行 中</w:t>
            </w:r>
          </w:p>
        </w:tc>
      </w:tr>
      <w:tr>
        <w:trPr>
          <w:trHeight w:val="1650" w:hRule="exact"/>
        </w:trPr>
        <w:tc>
          <w:tcPr>
            <w:tcW w:w="1404" w:type="dxa"/>
            <w:vMerge/>
            <w:tcBorders>
              <w:left w:val="single" w:sz="4" w:space="0" w:color="000000"/>
              <w:bottom w:val="single" w:sz="4" w:space="0" w:color="000000"/>
              <w:right w:val="single" w:sz="4" w:space="0" w:color="000000"/>
            </w:tcBorders>
            <w:shd w:val="clear" w:color="auto" w:fill="D9D9D9"/>
          </w:tcPr>
          <w:p>
            <w:pPr/>
          </w:p>
        </w:tc>
        <w:tc>
          <w:tcPr>
            <w:tcW w:w="84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45" w:right="145"/>
              <w:jc w:val="both"/>
              <w:rPr>
                <w:rFonts w:ascii="宋体" w:hAnsi="宋体" w:cs="宋体" w:eastAsia="宋体" w:hint="default"/>
                <w:sz w:val="18"/>
                <w:szCs w:val="18"/>
              </w:rPr>
            </w:pPr>
            <w:r>
              <w:rPr>
                <w:rFonts w:ascii="宋体" w:hAnsi="宋体" w:cs="宋体" w:eastAsia="宋体" w:hint="default"/>
                <w:sz w:val="18"/>
                <w:szCs w:val="18"/>
              </w:rPr>
              <w:t>公司首 次公开 发行股 票前的 股东</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84"/>
              <w:jc w:val="both"/>
              <w:rPr>
                <w:rFonts w:ascii="宋体" w:hAnsi="宋体" w:cs="宋体" w:eastAsia="宋体" w:hint="default"/>
                <w:sz w:val="18"/>
                <w:szCs w:val="18"/>
              </w:rPr>
            </w:pPr>
            <w:r>
              <w:rPr>
                <w:rFonts w:ascii="宋体" w:hAnsi="宋体" w:cs="宋体" w:eastAsia="宋体" w:hint="default"/>
                <w:spacing w:val="12"/>
                <w:sz w:val="18"/>
                <w:szCs w:val="18"/>
              </w:rPr>
              <w:t>首次公开</w:t>
            </w:r>
            <w:r>
              <w:rPr>
                <w:rFonts w:ascii="宋体" w:hAnsi="宋体" w:cs="宋体" w:eastAsia="宋体" w:hint="default"/>
                <w:spacing w:val="-74"/>
                <w:sz w:val="18"/>
                <w:szCs w:val="18"/>
              </w:rPr>
              <w:t> </w:t>
            </w:r>
            <w:r>
              <w:rPr>
                <w:rFonts w:ascii="宋体" w:hAnsi="宋体" w:cs="宋体" w:eastAsia="宋体" w:hint="default"/>
                <w:spacing w:val="12"/>
                <w:sz w:val="18"/>
                <w:szCs w:val="18"/>
              </w:rPr>
              <w:t>发行时承</w:t>
            </w:r>
            <w:r>
              <w:rPr>
                <w:rFonts w:ascii="宋体" w:hAnsi="宋体" w:cs="宋体" w:eastAsia="宋体" w:hint="default"/>
                <w:spacing w:val="-74"/>
                <w:sz w:val="18"/>
                <w:szCs w:val="18"/>
              </w:rPr>
              <w:t> </w:t>
            </w:r>
            <w:r>
              <w:rPr>
                <w:rFonts w:ascii="宋体" w:hAnsi="宋体" w:cs="宋体" w:eastAsia="宋体" w:hint="default"/>
                <w:sz w:val="18"/>
                <w:szCs w:val="18"/>
              </w:rPr>
              <w:t>诺</w:t>
            </w: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11"/>
              <w:jc w:val="both"/>
              <w:rPr>
                <w:rFonts w:ascii="宋体" w:hAnsi="宋体" w:cs="宋体" w:eastAsia="宋体" w:hint="default"/>
                <w:sz w:val="18"/>
                <w:szCs w:val="18"/>
              </w:rPr>
            </w:pPr>
            <w:r>
              <w:rPr>
                <w:rFonts w:ascii="宋体" w:hAnsi="宋体" w:cs="宋体" w:eastAsia="宋体" w:hint="default"/>
                <w:sz w:val="18"/>
                <w:szCs w:val="18"/>
              </w:rPr>
              <w:t>在担任公司董事、监事或高级管理人员期间，</w:t>
            </w:r>
            <w:r>
              <w:rPr>
                <w:rFonts w:ascii="宋体" w:hAnsi="宋体" w:cs="宋体" w:eastAsia="宋体" w:hint="default"/>
                <w:spacing w:val="-50"/>
                <w:sz w:val="18"/>
                <w:szCs w:val="18"/>
              </w:rPr>
              <w:t> </w:t>
            </w:r>
            <w:r>
              <w:rPr>
                <w:rFonts w:ascii="宋体" w:hAnsi="宋体" w:cs="宋体" w:eastAsia="宋体" w:hint="default"/>
                <w:sz w:val="18"/>
                <w:szCs w:val="18"/>
              </w:rPr>
              <w:t>每年</w:t>
            </w:r>
            <w:r>
              <w:rPr>
                <w:rFonts w:ascii="宋体" w:hAnsi="宋体" w:cs="宋体" w:eastAsia="宋体" w:hint="default"/>
                <w:sz w:val="18"/>
                <w:szCs w:val="18"/>
              </w:rPr>
              <w:t> 转让的股份不超过本人所持公司股份总数的百分之</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4"/>
                <w:sz w:val="18"/>
                <w:szCs w:val="18"/>
              </w:rPr>
              <w:t>二十五；离职后半年内，不转让所持有的公司股份。</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2009-10-30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长期有效</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452" w:right="181" w:hanging="270"/>
              <w:jc w:val="left"/>
              <w:rPr>
                <w:rFonts w:ascii="宋体" w:hAnsi="宋体" w:cs="宋体" w:eastAsia="宋体" w:hint="default"/>
                <w:sz w:val="18"/>
                <w:szCs w:val="18"/>
              </w:rPr>
            </w:pPr>
            <w:r>
              <w:rPr>
                <w:rFonts w:ascii="宋体" w:hAnsi="宋体" w:cs="宋体" w:eastAsia="宋体" w:hint="default"/>
                <w:sz w:val="18"/>
                <w:szCs w:val="18"/>
              </w:rPr>
              <w:t>正常履行 中</w:t>
            </w:r>
          </w:p>
        </w:tc>
      </w:tr>
      <w:tr>
        <w:trPr>
          <w:trHeight w:val="402"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56"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843" w:type="dxa"/>
            <w:tcBorders>
              <w:top w:val="single" w:sz="4" w:space="0" w:color="000000"/>
              <w:left w:val="single" w:sz="4" w:space="0" w:color="000000"/>
              <w:bottom w:val="single" w:sz="4" w:space="0" w:color="000000"/>
              <w:right w:val="single" w:sz="4" w:space="0" w:color="000000"/>
            </w:tcBorders>
          </w:tcPr>
          <w:p>
            <w:pPr/>
          </w:p>
        </w:tc>
        <w:tc>
          <w:tcPr>
            <w:tcW w:w="986" w:type="dxa"/>
            <w:tcBorders>
              <w:top w:val="single" w:sz="4" w:space="0" w:color="000000"/>
              <w:left w:val="single" w:sz="4" w:space="0" w:color="000000"/>
              <w:bottom w:val="single" w:sz="4" w:space="0" w:color="000000"/>
              <w:right w:val="single" w:sz="4" w:space="0" w:color="000000"/>
            </w:tcBorders>
          </w:tcPr>
          <w:p>
            <w:pP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05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56" w:right="156"/>
              <w:jc w:val="center"/>
              <w:rPr>
                <w:rFonts w:ascii="宋体" w:hAnsi="宋体" w:cs="宋体" w:eastAsia="宋体" w:hint="default"/>
                <w:sz w:val="18"/>
                <w:szCs w:val="18"/>
              </w:rPr>
            </w:pPr>
            <w:r>
              <w:rPr>
                <w:rFonts w:ascii="宋体" w:hAnsi="宋体" w:cs="宋体" w:eastAsia="宋体" w:hint="default"/>
                <w:sz w:val="18"/>
                <w:szCs w:val="18"/>
              </w:rPr>
              <w:t>其他对公司中 小股东所作承 诺</w:t>
            </w:r>
          </w:p>
        </w:tc>
        <w:tc>
          <w:tcPr>
            <w:tcW w:w="843" w:type="dxa"/>
            <w:tcBorders>
              <w:top w:val="single" w:sz="4" w:space="0" w:color="000000"/>
              <w:left w:val="single" w:sz="4" w:space="0" w:color="000000"/>
              <w:bottom w:val="single" w:sz="4" w:space="0" w:color="000000"/>
              <w:right w:val="single" w:sz="4" w:space="0" w:color="000000"/>
            </w:tcBorders>
          </w:tcPr>
          <w:p>
            <w:pPr/>
          </w:p>
        </w:tc>
        <w:tc>
          <w:tcPr>
            <w:tcW w:w="986" w:type="dxa"/>
            <w:tcBorders>
              <w:top w:val="single" w:sz="4" w:space="0" w:color="000000"/>
              <w:left w:val="single" w:sz="4" w:space="0" w:color="000000"/>
              <w:bottom w:val="single" w:sz="4" w:space="0" w:color="000000"/>
              <w:right w:val="single" w:sz="4" w:space="0" w:color="000000"/>
            </w:tcBorders>
          </w:tcPr>
          <w:p>
            <w:pPr/>
          </w:p>
        </w:tc>
        <w:tc>
          <w:tcPr>
            <w:tcW w:w="4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056"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
        </w:tc>
        <w:tc>
          <w:tcPr>
            <w:tcW w:w="109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516" w:right="156" w:hanging="360"/>
              <w:jc w:val="left"/>
              <w:rPr>
                <w:rFonts w:ascii="宋体" w:hAnsi="宋体" w:cs="宋体" w:eastAsia="宋体" w:hint="default"/>
                <w:sz w:val="18"/>
                <w:szCs w:val="18"/>
              </w:rPr>
            </w:pPr>
            <w:r>
              <w:rPr>
                <w:rFonts w:ascii="宋体" w:hAnsi="宋体" w:cs="宋体" w:eastAsia="宋体" w:hint="default"/>
                <w:sz w:val="18"/>
                <w:szCs w:val="18"/>
              </w:rPr>
              <w:t>承诺是否按时 履行</w:t>
            </w:r>
          </w:p>
        </w:tc>
        <w:tc>
          <w:tcPr>
            <w:tcW w:w="922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962" w:hRule="exact"/>
        </w:trPr>
        <w:tc>
          <w:tcPr>
            <w:tcW w:w="1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2" w:right="102" w:firstLine="54"/>
              <w:jc w:val="both"/>
              <w:rPr>
                <w:rFonts w:ascii="宋体" w:hAnsi="宋体" w:cs="宋体" w:eastAsia="宋体" w:hint="default"/>
                <w:sz w:val="18"/>
                <w:szCs w:val="18"/>
              </w:rPr>
            </w:pPr>
            <w:r>
              <w:rPr>
                <w:rFonts w:ascii="宋体" w:hAnsi="宋体" w:cs="宋体" w:eastAsia="宋体" w:hint="default"/>
                <w:sz w:val="18"/>
                <w:szCs w:val="18"/>
              </w:rPr>
              <w:t>如承诺超期未 </w:t>
            </w:r>
            <w:r>
              <w:rPr>
                <w:rFonts w:ascii="宋体" w:hAnsi="宋体" w:cs="宋体" w:eastAsia="宋体" w:hint="default"/>
                <w:spacing w:val="-11"/>
                <w:sz w:val="18"/>
                <w:szCs w:val="18"/>
              </w:rPr>
              <w:t>履行完毕的，应</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当详细说明未 完成履行的具 体原因及下一 步的工作计划</w:t>
            </w:r>
          </w:p>
        </w:tc>
        <w:tc>
          <w:tcPr>
            <w:tcW w:w="922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10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
        <w:rPr>
          <w:rFonts w:ascii="宋体" w:hAnsi="宋体" w:cs="宋体" w:eastAsia="宋体" w:hint="default"/>
          <w:sz w:val="25"/>
          <w:szCs w:val="25"/>
        </w:rPr>
      </w:pPr>
    </w:p>
    <w:p>
      <w:pPr>
        <w:pStyle w:val="Heading3"/>
        <w:spacing w:line="386" w:lineRule="auto" w:before="35"/>
        <w:ind w:right="0"/>
        <w:jc w:val="left"/>
        <w:rPr>
          <w:b w:val="0"/>
          <w:bCs w:val="0"/>
        </w:rPr>
      </w:pPr>
      <w:bookmarkStart w:name="2、公司资产或项目存在盈利预测，且报告期仍处在盈利预测期间，公司就资产或项目达到" w:id="66"/>
      <w:bookmarkEnd w:id="66"/>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11"/>
        <w:rPr>
          <w:rFonts w:ascii="宋体" w:hAnsi="宋体" w:cs="宋体" w:eastAsia="宋体" w:hint="default"/>
          <w:b/>
          <w:bCs/>
          <w:sz w:val="29"/>
          <w:szCs w:val="29"/>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4"/>
        <w:rPr>
          <w:rFonts w:ascii="宋体" w:hAnsi="宋体" w:cs="宋体" w:eastAsia="宋体" w:hint="default"/>
          <w:sz w:val="10"/>
          <w:szCs w:val="10"/>
        </w:rPr>
      </w:pPr>
    </w:p>
    <w:tbl>
      <w:tblPr>
        <w:tblW w:w="0" w:type="auto"/>
        <w:jc w:val="left"/>
        <w:tblInd w:w="1101" w:type="dxa"/>
        <w:tblLayout w:type="fixed"/>
        <w:tblCellMar>
          <w:top w:w="0" w:type="dxa"/>
          <w:left w:w="0" w:type="dxa"/>
          <w:bottom w:w="0" w:type="dxa"/>
          <w:right w:w="0" w:type="dxa"/>
        </w:tblCellMar>
        <w:tblLook w:val="01E0"/>
      </w:tblPr>
      <w:tblGrid>
        <w:gridCol w:w="1606"/>
        <w:gridCol w:w="1091"/>
        <w:gridCol w:w="1091"/>
        <w:gridCol w:w="1091"/>
        <w:gridCol w:w="1090"/>
        <w:gridCol w:w="1270"/>
        <w:gridCol w:w="1164"/>
        <w:gridCol w:w="1292"/>
      </w:tblGrid>
      <w:tr>
        <w:trPr>
          <w:trHeight w:val="744" w:hRule="exact"/>
        </w:trPr>
        <w:tc>
          <w:tcPr>
            <w:tcW w:w="16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528" w:right="76" w:hanging="451"/>
              <w:jc w:val="left"/>
              <w:rPr>
                <w:rFonts w:ascii="宋体" w:hAnsi="宋体" w:cs="宋体" w:eastAsia="宋体" w:hint="default"/>
                <w:sz w:val="18"/>
                <w:szCs w:val="18"/>
              </w:rPr>
            </w:pPr>
            <w:r>
              <w:rPr>
                <w:rFonts w:ascii="宋体" w:hAnsi="宋体" w:cs="宋体" w:eastAsia="宋体" w:hint="default"/>
                <w:sz w:val="18"/>
                <w:szCs w:val="18"/>
              </w:rPr>
              <w:t>盈利预测资产或项 目名称</w:t>
            </w:r>
          </w:p>
        </w:tc>
        <w:tc>
          <w:tcPr>
            <w:tcW w:w="1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450" w:right="89" w:hanging="360"/>
              <w:jc w:val="left"/>
              <w:rPr>
                <w:rFonts w:ascii="宋体" w:hAnsi="宋体" w:cs="宋体" w:eastAsia="宋体" w:hint="default"/>
                <w:sz w:val="18"/>
                <w:szCs w:val="18"/>
              </w:rPr>
            </w:pPr>
            <w:r>
              <w:rPr>
                <w:rFonts w:ascii="宋体" w:hAnsi="宋体" w:cs="宋体" w:eastAsia="宋体" w:hint="default"/>
                <w:sz w:val="18"/>
                <w:szCs w:val="18"/>
              </w:rPr>
              <w:t>预测起始时 间</w:t>
            </w:r>
          </w:p>
        </w:tc>
        <w:tc>
          <w:tcPr>
            <w:tcW w:w="1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450" w:right="89" w:hanging="360"/>
              <w:jc w:val="left"/>
              <w:rPr>
                <w:rFonts w:ascii="宋体" w:hAnsi="宋体" w:cs="宋体" w:eastAsia="宋体" w:hint="default"/>
                <w:sz w:val="18"/>
                <w:szCs w:val="18"/>
              </w:rPr>
            </w:pPr>
            <w:r>
              <w:rPr>
                <w:rFonts w:ascii="宋体" w:hAnsi="宋体" w:cs="宋体" w:eastAsia="宋体" w:hint="default"/>
                <w:sz w:val="18"/>
                <w:szCs w:val="18"/>
              </w:rPr>
              <w:t>预测终止时 间</w:t>
            </w:r>
          </w:p>
        </w:tc>
        <w:tc>
          <w:tcPr>
            <w:tcW w:w="1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91" w:right="89"/>
              <w:jc w:val="left"/>
              <w:rPr>
                <w:rFonts w:ascii="宋体" w:hAnsi="宋体" w:cs="宋体" w:eastAsia="宋体" w:hint="default"/>
                <w:sz w:val="18"/>
                <w:szCs w:val="18"/>
              </w:rPr>
            </w:pPr>
            <w:r>
              <w:rPr>
                <w:rFonts w:ascii="宋体" w:hAnsi="宋体" w:cs="宋体" w:eastAsia="宋体" w:hint="default"/>
                <w:sz w:val="18"/>
                <w:szCs w:val="18"/>
              </w:rPr>
              <w:t>当期预测业 绩（万元）</w:t>
            </w:r>
          </w:p>
        </w:tc>
        <w:tc>
          <w:tcPr>
            <w:tcW w:w="1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90" w:right="89"/>
              <w:jc w:val="left"/>
              <w:rPr>
                <w:rFonts w:ascii="宋体" w:hAnsi="宋体" w:cs="宋体" w:eastAsia="宋体" w:hint="default"/>
                <w:sz w:val="18"/>
                <w:szCs w:val="18"/>
              </w:rPr>
            </w:pPr>
            <w:r>
              <w:rPr>
                <w:rFonts w:ascii="宋体" w:hAnsi="宋体" w:cs="宋体" w:eastAsia="宋体" w:hint="default"/>
                <w:sz w:val="18"/>
                <w:szCs w:val="18"/>
              </w:rPr>
              <w:t>当期实际业 绩（万元）</w:t>
            </w:r>
          </w:p>
        </w:tc>
        <w:tc>
          <w:tcPr>
            <w:tcW w:w="12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540" w:right="88" w:hanging="450"/>
              <w:jc w:val="left"/>
              <w:rPr>
                <w:rFonts w:ascii="宋体" w:hAnsi="宋体" w:cs="宋体" w:eastAsia="宋体" w:hint="default"/>
                <w:sz w:val="18"/>
                <w:szCs w:val="18"/>
              </w:rPr>
            </w:pPr>
            <w:r>
              <w:rPr>
                <w:rFonts w:ascii="宋体" w:hAnsi="宋体" w:cs="宋体" w:eastAsia="宋体" w:hint="default"/>
                <w:sz w:val="18"/>
                <w:szCs w:val="18"/>
              </w:rPr>
              <w:t>未达预测的原 因</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60" w:lineRule="auto" w:before="46"/>
              <w:ind w:left="397" w:right="125" w:hanging="270"/>
              <w:jc w:val="left"/>
              <w:rPr>
                <w:rFonts w:ascii="宋体" w:hAnsi="宋体" w:cs="宋体" w:eastAsia="宋体" w:hint="default"/>
                <w:sz w:val="18"/>
                <w:szCs w:val="18"/>
              </w:rPr>
            </w:pPr>
            <w:r>
              <w:rPr>
                <w:rFonts w:ascii="宋体" w:hAnsi="宋体" w:cs="宋体" w:eastAsia="宋体" w:hint="default"/>
                <w:sz w:val="18"/>
                <w:szCs w:val="18"/>
              </w:rPr>
              <w:t>原预测披露 日期</w:t>
            </w:r>
          </w:p>
        </w:tc>
        <w:tc>
          <w:tcPr>
            <w:tcW w:w="12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60" w:lineRule="auto" w:before="46"/>
              <w:ind w:left="460" w:right="191" w:hanging="270"/>
              <w:jc w:val="left"/>
              <w:rPr>
                <w:rFonts w:ascii="宋体" w:hAnsi="宋体" w:cs="宋体" w:eastAsia="宋体" w:hint="default"/>
                <w:sz w:val="18"/>
                <w:szCs w:val="18"/>
              </w:rPr>
            </w:pPr>
            <w:r>
              <w:rPr>
                <w:rFonts w:ascii="宋体" w:hAnsi="宋体" w:cs="宋体" w:eastAsia="宋体" w:hint="default"/>
                <w:sz w:val="18"/>
                <w:szCs w:val="18"/>
              </w:rPr>
              <w:t>原预测披露 索引</w:t>
            </w:r>
          </w:p>
        </w:tc>
      </w:tr>
      <w:tr>
        <w:trPr>
          <w:trHeight w:val="719" w:hRule="exact"/>
        </w:trPr>
        <w:tc>
          <w:tcPr>
            <w:tcW w:w="1606" w:type="dxa"/>
            <w:tcBorders>
              <w:top w:val="single" w:sz="12" w:space="0" w:color="D2D2D2"/>
              <w:left w:val="single" w:sz="4" w:space="0" w:color="000000"/>
              <w:bottom w:val="single" w:sz="4" w:space="0" w:color="000000"/>
              <w:right w:val="single" w:sz="4" w:space="0" w:color="000000"/>
            </w:tcBorders>
          </w:tcPr>
          <w:p>
            <w:pPr>
              <w:pStyle w:val="TableParagraph"/>
              <w:spacing w:line="316" w:lineRule="auto" w:before="47"/>
              <w:ind w:left="438" w:right="76" w:hanging="360"/>
              <w:jc w:val="left"/>
              <w:rPr>
                <w:rFonts w:ascii="宋体" w:hAnsi="宋体" w:cs="宋体" w:eastAsia="宋体" w:hint="default"/>
                <w:sz w:val="18"/>
                <w:szCs w:val="18"/>
              </w:rPr>
            </w:pPr>
            <w:r>
              <w:rPr>
                <w:rFonts w:ascii="宋体" w:hAnsi="宋体" w:cs="宋体" w:eastAsia="宋体" w:hint="default"/>
                <w:sz w:val="18"/>
                <w:szCs w:val="18"/>
              </w:rPr>
              <w:t>北京神州祥升软件 有限公司</w:t>
            </w:r>
          </w:p>
        </w:tc>
        <w:tc>
          <w:tcPr>
            <w:tcW w:w="1091" w:type="dxa"/>
            <w:tcBorders>
              <w:top w:val="single" w:sz="12" w:space="0" w:color="D2D2D2"/>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2017-01-01</w:t>
            </w:r>
          </w:p>
        </w:tc>
        <w:tc>
          <w:tcPr>
            <w:tcW w:w="1091" w:type="dxa"/>
            <w:tcBorders>
              <w:top w:val="single" w:sz="12" w:space="0" w:color="D2D2D2"/>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2017-12-31</w:t>
            </w:r>
          </w:p>
        </w:tc>
        <w:tc>
          <w:tcPr>
            <w:tcW w:w="1091" w:type="dxa"/>
            <w:tcBorders>
              <w:top w:val="single" w:sz="12" w:space="0" w:color="D2D2D2"/>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4,800</w:t>
            </w:r>
          </w:p>
        </w:tc>
        <w:tc>
          <w:tcPr>
            <w:tcW w:w="1090" w:type="dxa"/>
            <w:tcBorders>
              <w:top w:val="single" w:sz="12" w:space="0" w:color="D2D2D2"/>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3,987.68</w:t>
            </w:r>
          </w:p>
        </w:tc>
        <w:tc>
          <w:tcPr>
            <w:tcW w:w="1270" w:type="dxa"/>
            <w:tcBorders>
              <w:top w:val="single" w:sz="12" w:space="0" w:color="D2D2D2"/>
              <w:left w:val="single" w:sz="4" w:space="0" w:color="000000"/>
              <w:bottom w:val="single" w:sz="4" w:space="0" w:color="000000"/>
              <w:right w:val="single" w:sz="4" w:space="0" w:color="000000"/>
            </w:tcBorders>
          </w:tcPr>
          <w:p>
            <w:pPr>
              <w:pStyle w:val="TableParagraph"/>
              <w:spacing w:line="316" w:lineRule="auto" w:before="47"/>
              <w:ind w:left="450" w:right="88" w:hanging="360"/>
              <w:jc w:val="left"/>
              <w:rPr>
                <w:rFonts w:ascii="宋体" w:hAnsi="宋体" w:cs="宋体" w:eastAsia="宋体" w:hint="default"/>
                <w:sz w:val="18"/>
                <w:szCs w:val="18"/>
              </w:rPr>
            </w:pPr>
            <w:r>
              <w:rPr>
                <w:rFonts w:ascii="宋体" w:hAnsi="宋体" w:cs="宋体" w:eastAsia="宋体" w:hint="default"/>
                <w:sz w:val="18"/>
                <w:szCs w:val="18"/>
              </w:rPr>
              <w:t>市场推广未达 预期</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2015-06-02</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2015-039</w:t>
            </w:r>
          </w:p>
        </w:tc>
      </w:tr>
      <w:tr>
        <w:trPr>
          <w:trHeight w:val="716" w:hRule="exact"/>
        </w:trPr>
        <w:tc>
          <w:tcPr>
            <w:tcW w:w="1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78" w:right="0"/>
              <w:jc w:val="left"/>
              <w:rPr>
                <w:rFonts w:ascii="宋体" w:hAnsi="宋体" w:cs="宋体" w:eastAsia="宋体" w:hint="default"/>
                <w:sz w:val="18"/>
                <w:szCs w:val="18"/>
              </w:rPr>
            </w:pPr>
            <w:r>
              <w:rPr>
                <w:rFonts w:ascii="宋体" w:hAnsi="宋体" w:cs="宋体" w:eastAsia="宋体" w:hint="default"/>
                <w:sz w:val="18"/>
                <w:szCs w:val="18"/>
              </w:rPr>
              <w:t>蓝鸥科技有限公司</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20" w:right="0"/>
              <w:jc w:val="left"/>
              <w:rPr>
                <w:rFonts w:ascii="Times New Roman" w:hAnsi="Times New Roman" w:cs="Times New Roman" w:eastAsia="Times New Roman" w:hint="default"/>
                <w:sz w:val="18"/>
                <w:szCs w:val="18"/>
              </w:rPr>
            </w:pPr>
            <w:r>
              <w:rPr>
                <w:rFonts w:ascii="Times New Roman"/>
                <w:sz w:val="18"/>
              </w:rPr>
              <w:t>2017-01-01</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2017-12-31</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3,000</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-6,409.71</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70" w:right="88" w:hanging="180"/>
              <w:jc w:val="left"/>
              <w:rPr>
                <w:rFonts w:ascii="宋体" w:hAnsi="宋体" w:cs="宋体" w:eastAsia="宋体" w:hint="default"/>
                <w:sz w:val="18"/>
                <w:szCs w:val="18"/>
              </w:rPr>
            </w:pPr>
            <w:r>
              <w:rPr>
                <w:rFonts w:ascii="宋体" w:hAnsi="宋体" w:cs="宋体" w:eastAsia="宋体" w:hint="default"/>
                <w:sz w:val="18"/>
                <w:szCs w:val="18"/>
              </w:rPr>
              <w:t>生源市场扩展 未达预期</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2017-04-25</w:t>
            </w:r>
          </w:p>
        </w:tc>
        <w:tc>
          <w:tcPr>
            <w:tcW w:w="1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2017-012</w:t>
            </w:r>
          </w:p>
        </w:tc>
      </w:tr>
    </w:tbl>
    <w:p>
      <w:pPr>
        <w:pStyle w:val="Heading4"/>
        <w:spacing w:line="240" w:lineRule="auto" w:before="88"/>
        <w:ind w:left="1134" w:right="0"/>
        <w:jc w:val="left"/>
        <w:rPr>
          <w:b w:val="0"/>
          <w:bCs w:val="0"/>
        </w:rPr>
      </w:pPr>
      <w:r>
        <w:rPr/>
        <w:t>公司股东、交易对手方对公司或相关资产年度经营业绩作出的承诺情况</w:t>
      </w:r>
      <w:r>
        <w:rPr>
          <w:b w:val="0"/>
          <w:bCs w:val="0"/>
        </w:rPr>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b/>
          <w:bCs/>
          <w:sz w:val="11"/>
          <w:szCs w:val="11"/>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6"/>
          <w:szCs w:val="16"/>
        </w:rPr>
      </w:pPr>
    </w:p>
    <w:p>
      <w:pPr>
        <w:pStyle w:val="BodyText"/>
        <w:spacing w:line="240" w:lineRule="auto"/>
        <w:ind w:left="1493" w:right="0"/>
        <w:jc w:val="left"/>
        <w:rPr>
          <w:rFonts w:ascii="Times New Roman" w:hAnsi="Times New Roman" w:cs="Times New Roman" w:eastAsia="Times New Roman" w:hint="default"/>
        </w:rPr>
      </w:pPr>
      <w:r>
        <w:rPr/>
        <w:t>（</w:t>
      </w:r>
      <w:r>
        <w:rPr>
          <w:rFonts w:ascii="Times New Roman" w:hAnsi="Times New Roman" w:cs="Times New Roman" w:eastAsia="Times New Roman" w:hint="default"/>
        </w:rPr>
        <w:t>1</w:t>
      </w:r>
      <w:r>
        <w:rPr/>
        <w:t>）北京神州祥升软件有限公司 </w:t>
      </w:r>
      <w:r>
        <w:rPr>
          <w:rFonts w:ascii="Times New Roman" w:hAnsi="Times New Roman" w:cs="Times New Roman" w:eastAsia="Times New Roman" w:hint="default"/>
        </w:rPr>
        <w:t>2017  </w:t>
      </w:r>
      <w:r>
        <w:rPr/>
        <w:t>年度净利润数（扣除非经常性损益后归属于母公司股东的净利润）为</w:t>
      </w:r>
      <w:r>
        <w:rPr>
          <w:spacing w:val="7"/>
        </w:rPr>
        <w:t> </w:t>
      </w:r>
      <w:r>
        <w:rPr>
          <w:rFonts w:ascii="Times New Roman" w:hAnsi="Times New Roman" w:cs="Times New Roman" w:eastAsia="Times New Roman" w:hint="default"/>
        </w:rPr>
        <w:t>3,987.68</w:t>
      </w:r>
    </w:p>
    <w:p>
      <w:pPr>
        <w:spacing w:line="240" w:lineRule="auto" w:before="0"/>
        <w:rPr>
          <w:rFonts w:ascii="Times New Roman" w:hAnsi="Times New Roman" w:cs="Times New Roman" w:eastAsia="Times New Roman" w:hint="default"/>
          <w:sz w:val="19"/>
          <w:szCs w:val="19"/>
        </w:rPr>
      </w:pPr>
    </w:p>
    <w:p>
      <w:pPr>
        <w:pStyle w:val="BodyText"/>
        <w:spacing w:line="451" w:lineRule="auto"/>
        <w:ind w:right="1115"/>
        <w:jc w:val="left"/>
      </w:pPr>
      <w:r>
        <w:rPr/>
        <w:t>万元，未完成</w:t>
      </w:r>
      <w:r>
        <w:rPr>
          <w:spacing w:val="-41"/>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年度业绩承诺，主要原因是：市场竞争加剧，市场推广未达预期。根据双方协议，祥升软件将对公司进 行现金补偿。</w:t>
      </w:r>
    </w:p>
    <w:p>
      <w:pPr>
        <w:pStyle w:val="BodyText"/>
        <w:spacing w:line="451" w:lineRule="auto" w:before="74"/>
        <w:ind w:right="1129" w:firstLine="360"/>
        <w:jc w:val="both"/>
      </w:pPr>
      <w:r>
        <w:rPr/>
        <w:t>（</w:t>
      </w:r>
      <w:r>
        <w:rPr>
          <w:rFonts w:ascii="Times New Roman" w:hAnsi="Times New Roman" w:cs="Times New Roman" w:eastAsia="Times New Roman" w:hint="default"/>
        </w:rPr>
        <w:t>2</w:t>
      </w:r>
      <w:r>
        <w:rPr/>
        <w:t>）蓝鸥科技有限公司 </w:t>
      </w:r>
      <w:r>
        <w:rPr>
          <w:rFonts w:ascii="Times New Roman" w:hAnsi="Times New Roman" w:cs="Times New Roman" w:eastAsia="Times New Roman" w:hint="default"/>
        </w:rPr>
        <w:t>2017 </w:t>
      </w:r>
      <w:r>
        <w:rPr/>
        <w:t>年度净利润数（扣除非经常性损益后归属于母公司股东的净利润）为</w:t>
      </w:r>
      <w:r>
        <w:rPr>
          <w:rFonts w:ascii="Times New Roman" w:hAnsi="Times New Roman" w:cs="Times New Roman" w:eastAsia="Times New Roman" w:hint="default"/>
        </w:rPr>
        <w:t>-6,409.71</w:t>
      </w:r>
      <w:r>
        <w:rPr>
          <w:rFonts w:ascii="Times New Roman" w:hAnsi="Times New Roman" w:cs="Times New Roman" w:eastAsia="Times New Roman" w:hint="default"/>
          <w:spacing w:val="-9"/>
        </w:rPr>
        <w:t> </w:t>
      </w:r>
      <w:r>
        <w:rPr/>
        <w:t>万元，未 完成</w:t>
      </w:r>
      <w:r>
        <w:rPr>
          <w:spacing w:val="-35"/>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0"/>
        </w:rPr>
        <w:t> </w:t>
      </w:r>
      <w:r>
        <w:rPr>
          <w:spacing w:val="-4"/>
        </w:rPr>
        <w:t>年度业绩承诺，主要原因是：市场竞争加剧，市场推广未达预期。根据《投资框架协议之补充协议二》，公司将调</w:t>
      </w:r>
      <w:r>
        <w:rPr>
          <w:spacing w:val="-87"/>
        </w:rPr>
        <w:t> </w:t>
      </w:r>
      <w:r>
        <w:rPr>
          <w:spacing w:val="-87"/>
        </w:rPr>
      </w:r>
      <w:r>
        <w:rPr/>
        <w:t>整对蓝鸥科技的投资方案，投资金额由人民币</w:t>
      </w:r>
      <w:r>
        <w:rPr>
          <w:spacing w:val="-42"/>
        </w:rPr>
        <w:t> </w:t>
      </w:r>
      <w:r>
        <w:rPr>
          <w:rFonts w:ascii="Times New Roman" w:hAnsi="Times New Roman" w:cs="Times New Roman" w:eastAsia="Times New Roman" w:hint="default"/>
        </w:rPr>
        <w:t>13,056</w:t>
      </w:r>
      <w:r>
        <w:rPr>
          <w:rFonts w:ascii="Times New Roman" w:hAnsi="Times New Roman" w:cs="Times New Roman" w:eastAsia="Times New Roman" w:hint="default"/>
          <w:spacing w:val="3"/>
        </w:rPr>
        <w:t> </w:t>
      </w:r>
      <w:r>
        <w:rPr/>
        <w:t>万元调整为</w:t>
      </w:r>
      <w:r>
        <w:rPr>
          <w:spacing w:val="-42"/>
        </w:rPr>
        <w:t> </w:t>
      </w:r>
      <w:r>
        <w:rPr>
          <w:rFonts w:ascii="Times New Roman" w:hAnsi="Times New Roman" w:cs="Times New Roman" w:eastAsia="Times New Roman" w:hint="default"/>
        </w:rPr>
        <w:t>9,056</w:t>
      </w:r>
      <w:r>
        <w:rPr>
          <w:rFonts w:ascii="Times New Roman" w:hAnsi="Times New Roman" w:cs="Times New Roman" w:eastAsia="Times New Roman" w:hint="default"/>
          <w:spacing w:val="2"/>
        </w:rPr>
        <w:t> </w:t>
      </w:r>
      <w:r>
        <w:rPr/>
        <w:t>万元，持股比例由</w:t>
      </w:r>
      <w:r>
        <w:rPr>
          <w:spacing w:val="-42"/>
        </w:rPr>
        <w:t> </w:t>
      </w:r>
      <w:r>
        <w:rPr>
          <w:rFonts w:ascii="Times New Roman" w:hAnsi="Times New Roman" w:cs="Times New Roman" w:eastAsia="Times New Roman" w:hint="default"/>
        </w:rPr>
        <w:t>32%</w:t>
      </w:r>
      <w:r>
        <w:rPr/>
        <w:t>调整为</w:t>
      </w:r>
      <w:r>
        <w:rPr>
          <w:spacing w:val="-42"/>
        </w:rPr>
        <w:t> </w:t>
      </w:r>
      <w:r>
        <w:rPr>
          <w:rFonts w:ascii="Times New Roman" w:hAnsi="Times New Roman" w:cs="Times New Roman" w:eastAsia="Times New Roman" w:hint="default"/>
        </w:rPr>
        <w:t>22.20%</w:t>
      </w:r>
      <w:r>
        <w:rPr/>
        <w:t>。此金额由蓝 鸥科技以其持有的爱财科技有限公司部分股权作价偿付。同时，蓝鸥科技</w:t>
      </w:r>
      <w:r>
        <w:rPr>
          <w:spacing w:val="-40"/>
        </w:rPr>
        <w:t> </w:t>
      </w:r>
      <w:r>
        <w:rPr>
          <w:rFonts w:ascii="Times New Roman" w:hAnsi="Times New Roman" w:cs="Times New Roman" w:eastAsia="Times New Roman" w:hint="default"/>
        </w:rPr>
        <w:t>2017</w:t>
      </w:r>
      <w:r>
        <w:rPr>
          <w:rFonts w:ascii="Times New Roman" w:hAnsi="Times New Roman" w:cs="Times New Roman" w:eastAsia="Times New Roman" w:hint="default"/>
          <w:spacing w:val="4"/>
        </w:rPr>
        <w:t> </w:t>
      </w:r>
      <w:r>
        <w:rPr/>
        <w:t>年未完成相应的业绩承诺，原有股东向神州 泰岳以蓝鸥科技的股份支付业绩补偿，核算补偿完成后，神州泰岳持有蓝鸥科技的比例为</w:t>
      </w:r>
      <w:r>
        <w:rPr>
          <w:spacing w:val="-45"/>
        </w:rPr>
        <w:t> </w:t>
      </w:r>
      <w:r>
        <w:rPr>
          <w:rFonts w:ascii="Times New Roman" w:hAnsi="Times New Roman" w:cs="Times New Roman" w:eastAsia="Times New Roman" w:hint="default"/>
        </w:rPr>
        <w:t>41.47%</w:t>
      </w:r>
      <w:r>
        <w:rPr/>
        <w:t>。</w:t>
      </w:r>
    </w:p>
    <w:p>
      <w:pPr>
        <w:pStyle w:val="BodyText"/>
        <w:spacing w:line="240" w:lineRule="auto" w:before="43"/>
        <w:ind w:left="1493" w:right="0"/>
        <w:jc w:val="left"/>
      </w:pPr>
      <w:r>
        <w:rPr/>
        <w:t>根</w:t>
      </w:r>
      <w:r>
        <w:rPr>
          <w:spacing w:val="-21"/>
        </w:rPr>
        <w:t>据</w:t>
      </w:r>
      <w:r>
        <w:rPr/>
        <w:t>《投资框架协议之补充协议二</w:t>
      </w:r>
      <w:r>
        <w:rPr>
          <w:spacing w:val="-90"/>
        </w:rPr>
        <w:t>》</w:t>
      </w:r>
      <w:r>
        <w:rPr>
          <w:spacing w:val="-21"/>
        </w:rPr>
        <w:t>，</w:t>
      </w:r>
      <w:r>
        <w:rPr/>
        <w:t>业绩承诺调整为</w:t>
      </w:r>
      <w:r>
        <w:rPr>
          <w:spacing w:val="-21"/>
        </w:rPr>
        <w:t>：</w:t>
      </w:r>
      <w:r>
        <w:rPr/>
        <w:t>蓝鸥科技原股东承诺</w:t>
      </w:r>
      <w:r>
        <w:rPr>
          <w:spacing w:val="-21"/>
        </w:rPr>
        <w:t>，</w:t>
      </w:r>
      <w:r>
        <w:rPr/>
        <w:t>蓝鸥科技</w:t>
      </w:r>
      <w:r>
        <w:rPr>
          <w:spacing w:val="-45"/>
        </w:rPr>
        <w:t> </w:t>
      </w:r>
      <w:r>
        <w:rPr>
          <w:rFonts w:ascii="Times New Roman" w:hAnsi="Times New Roman" w:cs="Times New Roman" w:eastAsia="Times New Roman" w:hint="default"/>
        </w:rPr>
        <w:t>2016</w:t>
      </w:r>
      <w:r>
        <w:rPr>
          <w:rFonts w:ascii="Times New Roman" w:hAnsi="Times New Roman" w:cs="Times New Roman" w:eastAsia="Times New Roman" w:hint="default"/>
          <w:spacing w:val="-1"/>
        </w:rPr>
        <w:t> </w:t>
      </w:r>
      <w:r>
        <w:rPr/>
        <w:t>年</w:t>
      </w:r>
      <w:r>
        <w:rPr>
          <w:spacing w:val="1"/>
        </w:rPr>
        <w:t>度</w:t>
      </w:r>
      <w:r>
        <w:rPr/>
        <w:t>实现的净利润不低于</w:t>
      </w:r>
    </w:p>
    <w:p>
      <w:pPr>
        <w:spacing w:line="240" w:lineRule="auto" w:before="9"/>
        <w:rPr>
          <w:rFonts w:ascii="宋体" w:hAnsi="宋体" w:cs="宋体" w:eastAsia="宋体" w:hint="default"/>
          <w:sz w:val="16"/>
          <w:szCs w:val="16"/>
        </w:rPr>
      </w:pPr>
    </w:p>
    <w:p>
      <w:pPr>
        <w:pStyle w:val="BodyText"/>
        <w:spacing w:line="240" w:lineRule="auto"/>
        <w:ind w:right="0"/>
        <w:jc w:val="left"/>
        <w:rPr>
          <w:rFonts w:ascii="Times New Roman" w:hAnsi="Times New Roman" w:cs="Times New Roman" w:eastAsia="Times New Roman" w:hint="default"/>
        </w:rPr>
      </w:pPr>
      <w:r>
        <w:rPr/>
        <w:t>人民币</w:t>
      </w:r>
      <w:r>
        <w:rPr>
          <w:spacing w:val="-46"/>
        </w:rPr>
        <w:t> </w:t>
      </w:r>
      <w:r>
        <w:rPr>
          <w:rFonts w:ascii="Times New Roman" w:hAnsi="Times New Roman" w:cs="Times New Roman" w:eastAsia="Times New Roman" w:hint="default"/>
        </w:rPr>
        <w:t>2,650</w:t>
      </w:r>
      <w:r>
        <w:rPr>
          <w:rFonts w:ascii="Times New Roman" w:hAnsi="Times New Roman" w:cs="Times New Roman" w:eastAsia="Times New Roman" w:hint="default"/>
          <w:spacing w:val="-1"/>
        </w:rPr>
        <w:t> </w:t>
      </w:r>
      <w:r>
        <w:rPr/>
        <w:t>万元</w:t>
      </w:r>
      <w:r>
        <w:rPr>
          <w:spacing w:val="-72"/>
        </w:rPr>
        <w:t>；</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年度实现的净利润不低于人民币</w:t>
      </w:r>
      <w:r>
        <w:rPr>
          <w:spacing w:val="-46"/>
        </w:rPr>
        <w:t> </w:t>
      </w:r>
      <w:r>
        <w:rPr>
          <w:rFonts w:ascii="Times New Roman" w:hAnsi="Times New Roman" w:cs="Times New Roman" w:eastAsia="Times New Roman" w:hint="default"/>
        </w:rPr>
        <w:t>3,000</w:t>
      </w:r>
      <w:r>
        <w:rPr>
          <w:rFonts w:ascii="Times New Roman" w:hAnsi="Times New Roman" w:cs="Times New Roman" w:eastAsia="Times New Roman" w:hint="default"/>
          <w:spacing w:val="-1"/>
        </w:rPr>
        <w:t> </w:t>
      </w:r>
      <w:r>
        <w:rPr/>
        <w:t>万元</w:t>
      </w:r>
      <w:r>
        <w:rPr>
          <w:spacing w:val="-72"/>
        </w:rPr>
        <w:t>；</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年度实现的净利润不低于人民币</w:t>
      </w:r>
      <w:r>
        <w:rPr>
          <w:spacing w:val="-46"/>
        </w:rPr>
        <w:t> </w:t>
      </w:r>
      <w:r>
        <w:rPr>
          <w:rFonts w:ascii="Times New Roman" w:hAnsi="Times New Roman" w:cs="Times New Roman" w:eastAsia="Times New Roman" w:hint="default"/>
        </w:rPr>
        <w:t>1,000</w:t>
      </w:r>
      <w:r>
        <w:rPr>
          <w:rFonts w:ascii="Times New Roman" w:hAnsi="Times New Roman" w:cs="Times New Roman" w:eastAsia="Times New Roman" w:hint="default"/>
          <w:spacing w:val="-1"/>
        </w:rPr>
        <w:t> </w:t>
      </w:r>
      <w:r>
        <w:rPr/>
        <w:t>万元</w:t>
      </w:r>
      <w:r>
        <w:rPr>
          <w:spacing w:val="-72"/>
        </w:rPr>
        <w:t>；</w:t>
      </w:r>
      <w:r>
        <w:rPr>
          <w:rFonts w:ascii="Times New Roman" w:hAnsi="Times New Roman" w:cs="Times New Roman" w:eastAsia="Times New Roman" w:hint="default"/>
        </w:rPr>
        <w:t>20</w:t>
      </w:r>
      <w:r>
        <w:rPr>
          <w:rFonts w:ascii="Times New Roman" w:hAnsi="Times New Roman" w:cs="Times New Roman" w:eastAsia="Times New Roman" w:hint="default"/>
          <w:spacing w:val="1"/>
        </w:rPr>
        <w:t>1</w:t>
      </w:r>
      <w:r>
        <w:rPr>
          <w:rFonts w:ascii="Times New Roman" w:hAnsi="Times New Roman" w:cs="Times New Roman" w:eastAsia="Times New Roman" w:hint="default"/>
        </w:rPr>
        <w:t>9</w:t>
      </w:r>
    </w:p>
    <w:p>
      <w:pPr>
        <w:spacing w:line="240" w:lineRule="auto" w:before="0"/>
        <w:rPr>
          <w:rFonts w:ascii="Times New Roman" w:hAnsi="Times New Roman" w:cs="Times New Roman" w:eastAsia="Times New Roman" w:hint="default"/>
          <w:sz w:val="19"/>
          <w:szCs w:val="19"/>
        </w:rPr>
      </w:pPr>
    </w:p>
    <w:p>
      <w:pPr>
        <w:pStyle w:val="BodyText"/>
        <w:spacing w:line="240" w:lineRule="auto"/>
        <w:ind w:left="1134" w:right="0"/>
        <w:jc w:val="left"/>
      </w:pPr>
      <w:r>
        <w:rPr/>
        <w:t>年度实现的净利润不低于人民币</w:t>
      </w:r>
      <w:r>
        <w:rPr>
          <w:spacing w:val="-46"/>
        </w:rPr>
        <w:t> </w:t>
      </w:r>
      <w:r>
        <w:rPr>
          <w:rFonts w:ascii="Times New Roman" w:hAnsi="Times New Roman" w:cs="Times New Roman" w:eastAsia="Times New Roman" w:hint="default"/>
        </w:rPr>
        <w:t>1,600</w:t>
      </w:r>
      <w:r>
        <w:rPr>
          <w:rFonts w:ascii="Times New Roman" w:hAnsi="Times New Roman" w:cs="Times New Roman" w:eastAsia="Times New Roman" w:hint="default"/>
          <w:spacing w:val="-1"/>
        </w:rPr>
        <w:t> </w:t>
      </w:r>
      <w:r>
        <w:rPr/>
        <w:t>万元；</w:t>
      </w:r>
      <w:r>
        <w:rPr>
          <w:rFonts w:ascii="Times New Roman" w:hAnsi="Times New Roman" w:cs="Times New Roman" w:eastAsia="Times New Roman" w:hint="default"/>
        </w:rPr>
        <w:t>2020</w:t>
      </w:r>
      <w:r>
        <w:rPr>
          <w:rFonts w:ascii="Times New Roman" w:hAnsi="Times New Roman" w:cs="Times New Roman" w:eastAsia="Times New Roman" w:hint="default"/>
          <w:spacing w:val="-1"/>
        </w:rPr>
        <w:t> </w:t>
      </w:r>
      <w:r>
        <w:rPr/>
        <w:t>年度实现的净利润不低于人民币</w:t>
      </w:r>
      <w:r>
        <w:rPr>
          <w:spacing w:val="-46"/>
        </w:rPr>
        <w:t> </w:t>
      </w:r>
      <w:r>
        <w:rPr>
          <w:rFonts w:ascii="Times New Roman" w:hAnsi="Times New Roman" w:cs="Times New Roman" w:eastAsia="Times New Roman" w:hint="default"/>
        </w:rPr>
        <w:t>2,585</w:t>
      </w:r>
      <w:r>
        <w:rPr>
          <w:rFonts w:ascii="Times New Roman" w:hAnsi="Times New Roman" w:cs="Times New Roman" w:eastAsia="Times New Roman" w:hint="default"/>
          <w:spacing w:val="-1"/>
        </w:rPr>
        <w:t> </w:t>
      </w:r>
      <w:r>
        <w:rPr/>
        <w:t>万元。</w:t>
      </w:r>
    </w:p>
    <w:p>
      <w:pPr>
        <w:spacing w:line="240" w:lineRule="auto" w:before="0"/>
        <w:rPr>
          <w:rFonts w:ascii="宋体" w:hAnsi="宋体" w:cs="宋体" w:eastAsia="宋体" w:hint="default"/>
          <w:sz w:val="18"/>
          <w:szCs w:val="18"/>
        </w:rPr>
      </w:pPr>
    </w:p>
    <w:p>
      <w:pPr>
        <w:pStyle w:val="Heading2"/>
        <w:spacing w:line="240" w:lineRule="auto" w:before="158"/>
        <w:ind w:left="1133" w:right="0"/>
        <w:jc w:val="left"/>
        <w:rPr>
          <w:b w:val="0"/>
          <w:bCs w:val="0"/>
        </w:rPr>
      </w:pPr>
      <w:bookmarkStart w:name="三、控股股东及其关联方对上市公司的非经营性占用资金情况" w:id="67"/>
      <w:bookmarkEnd w:id="67"/>
      <w:r>
        <w:rPr>
          <w:b w:val="0"/>
          <w:bCs w:val="0"/>
        </w:rPr>
      </w:r>
      <w:r>
        <w:rPr/>
        <w:t>三、控股股东及其关联方对上市公司的非经营性占用资金情况</w:t>
      </w:r>
      <w:r>
        <w:rPr>
          <w:b w:val="0"/>
          <w:bCs w:val="0"/>
        </w:rPr>
      </w:r>
    </w:p>
    <w:p>
      <w:pPr>
        <w:spacing w:line="240" w:lineRule="auto" w:before="7"/>
        <w:rPr>
          <w:rFonts w:ascii="宋体" w:hAnsi="宋体" w:cs="宋体" w:eastAsia="宋体" w:hint="default"/>
          <w:b/>
          <w:bCs/>
          <w:sz w:val="32"/>
          <w:szCs w:val="32"/>
        </w:rPr>
      </w:pPr>
    </w:p>
    <w:p>
      <w:pPr>
        <w:pStyle w:val="BodyText"/>
        <w:spacing w:line="489" w:lineRule="auto"/>
        <w:ind w:right="49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公司报告期不存在控股股东及其关联方对上市公司的非经营性占用资金。</w:t>
      </w:r>
    </w:p>
    <w:p>
      <w:pPr>
        <w:spacing w:line="240" w:lineRule="auto" w:before="9"/>
        <w:rPr>
          <w:rFonts w:ascii="宋体" w:hAnsi="宋体" w:cs="宋体" w:eastAsia="宋体" w:hint="default"/>
          <w:sz w:val="16"/>
          <w:szCs w:val="16"/>
        </w:rPr>
      </w:pPr>
    </w:p>
    <w:p>
      <w:pPr>
        <w:pStyle w:val="Heading2"/>
        <w:spacing w:line="240" w:lineRule="auto"/>
        <w:ind w:left="1133" w:right="0"/>
        <w:jc w:val="left"/>
        <w:rPr>
          <w:b w:val="0"/>
          <w:bCs w:val="0"/>
        </w:rPr>
      </w:pPr>
      <w:bookmarkStart w:name="四、董事会对最近一期“非标准审计报告”相关情况的说明" w:id="68"/>
      <w:bookmarkEnd w:id="68"/>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2"/>
        <w:rPr>
          <w:rFonts w:ascii="宋体" w:hAnsi="宋体" w:cs="宋体" w:eastAsia="宋体" w:hint="default"/>
          <w:b/>
          <w:bCs/>
          <w:sz w:val="25"/>
          <w:szCs w:val="25"/>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五、董事会、监事会、独立董事（如有）对会计师事务所本报告期“非标准审计报告”的说" w:id="69"/>
      <w:bookmarkEnd w:id="69"/>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2"/>
        <w:rPr>
          <w:rFonts w:ascii="宋体" w:hAnsi="宋体" w:cs="宋体" w:eastAsia="宋体" w:hint="default"/>
          <w:b/>
          <w:bCs/>
          <w:sz w:val="25"/>
          <w:szCs w:val="25"/>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六、董事会关于报告期会计政策、会计估计变更或重大会计差错更正的说明" w:id="70"/>
      <w:bookmarkEnd w:id="70"/>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pStyle w:val="BodyText"/>
        <w:spacing w:line="412" w:lineRule="auto"/>
        <w:ind w:left="1494" w:right="1032" w:hanging="360"/>
        <w:jc w:val="left"/>
      </w:pPr>
      <w:r>
        <w:rPr>
          <w:rFonts w:ascii="Times New Roman" w:hAnsi="Times New Roman" w:cs="Times New Roman" w:eastAsia="Times New Roman" w:hint="default"/>
          <w:b/>
          <w:bCs/>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不适用 执行《企业会计准则第</w:t>
      </w:r>
      <w:r>
        <w:rPr>
          <w:rFonts w:ascii="Times New Roman" w:hAnsi="Times New Roman" w:cs="Times New Roman" w:eastAsia="Times New Roman" w:hint="default"/>
        </w:rPr>
        <w:t>42</w:t>
      </w:r>
      <w:r>
        <w:rPr/>
        <w:t>号</w:t>
      </w:r>
      <w:r>
        <w:rPr>
          <w:rFonts w:ascii="Times New Roman" w:hAnsi="Times New Roman" w:cs="Times New Roman" w:eastAsia="Times New Roman" w:hint="default"/>
        </w:rPr>
        <w:t>——</w:t>
      </w:r>
      <w:r>
        <w:rPr/>
        <w:t>持有待售的非流动资产、处置组和终止经营》、《企业会计准则第</w:t>
      </w:r>
      <w:r>
        <w:rPr>
          <w:rFonts w:ascii="Times New Roman" w:hAnsi="Times New Roman" w:cs="Times New Roman" w:eastAsia="Times New Roman" w:hint="default"/>
        </w:rPr>
        <w:t>16</w:t>
      </w:r>
      <w:r>
        <w:rPr/>
        <w:t>号</w:t>
      </w:r>
      <w:r>
        <w:rPr>
          <w:rFonts w:ascii="Times New Roman" w:hAnsi="Times New Roman" w:cs="Times New Roman" w:eastAsia="Times New Roman" w:hint="default"/>
        </w:rPr>
        <w:t>——</w:t>
      </w:r>
      <w:r>
        <w:rPr/>
        <w:t>政府补助》</w:t>
      </w:r>
    </w:p>
    <w:p>
      <w:pPr>
        <w:pStyle w:val="BodyText"/>
        <w:spacing w:line="477" w:lineRule="auto" w:before="75"/>
        <w:ind w:left="1494" w:right="1122" w:hanging="360"/>
        <w:jc w:val="left"/>
      </w:pPr>
      <w:r>
        <w:rPr/>
        <w:t>和《财政部关于修订印发一般企业财务报表格式的通知》。 财政部于</w:t>
      </w:r>
      <w:r>
        <w:rPr>
          <w:rFonts w:ascii="Times New Roman" w:hAnsi="Times New Roman" w:cs="Times New Roman" w:eastAsia="Times New Roman" w:hint="default"/>
        </w:rPr>
        <w:t>2017</w:t>
      </w:r>
      <w:r>
        <w:rPr/>
        <w:t>年度发布了《企业会计准则第</w:t>
      </w:r>
      <w:r>
        <w:rPr>
          <w:rFonts w:ascii="Times New Roman" w:hAnsi="Times New Roman" w:cs="Times New Roman" w:eastAsia="Times New Roman" w:hint="default"/>
        </w:rPr>
        <w:t>42</w:t>
      </w:r>
      <w:r>
        <w:rPr/>
        <w:t>号</w:t>
      </w:r>
      <w:r>
        <w:rPr>
          <w:rFonts w:ascii="Times New Roman" w:hAnsi="Times New Roman" w:cs="Times New Roman" w:eastAsia="Times New Roman" w:hint="default"/>
        </w:rPr>
        <w:t>——</w:t>
      </w:r>
      <w:r>
        <w:rPr/>
        <w:t>持有待售的非流动资产、处置组和终止经营》，自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28</w:t>
      </w:r>
      <w:r>
        <w:rPr/>
        <w:t>日</w:t>
      </w:r>
    </w:p>
    <w:p>
      <w:pPr>
        <w:pStyle w:val="BodyText"/>
        <w:spacing w:line="477" w:lineRule="auto" w:before="22"/>
        <w:ind w:right="1118"/>
        <w:jc w:val="left"/>
      </w:pPr>
      <w:r>
        <w:rPr>
          <w:spacing w:val="-2"/>
        </w:rPr>
        <w:t>起施行，对于施行日存在的持有待售的非流动资产、处置组和终止经营，要求采用未来适用法处理。该准则今年对本公司无</w:t>
      </w:r>
      <w:r>
        <w:rPr>
          <w:spacing w:val="-66"/>
        </w:rPr>
        <w:t> </w:t>
      </w:r>
      <w:r>
        <w:rPr>
          <w:spacing w:val="-66"/>
        </w:rPr>
      </w:r>
      <w:r>
        <w:rPr/>
        <w:t>影响。</w:t>
      </w:r>
    </w:p>
    <w:p>
      <w:pPr>
        <w:pStyle w:val="BodyText"/>
        <w:spacing w:line="240" w:lineRule="auto" w:before="54"/>
        <w:ind w:left="1493" w:right="0"/>
        <w:jc w:val="left"/>
        <w:rPr>
          <w:rFonts w:ascii="Times New Roman" w:hAnsi="Times New Roman" w:cs="Times New Roman" w:eastAsia="Times New Roman" w:hint="default"/>
        </w:rPr>
      </w:pPr>
      <w:r>
        <w:rPr/>
        <w:t>财政部于</w:t>
      </w:r>
      <w:r>
        <w:rPr>
          <w:rFonts w:ascii="Times New Roman" w:hAnsi="Times New Roman" w:cs="Times New Roman" w:eastAsia="Times New Roman" w:hint="default"/>
        </w:rPr>
        <w:t>2017</w:t>
      </w:r>
      <w:r>
        <w:rPr/>
        <w:t>年度修订了《企业会计准则第</w:t>
      </w:r>
      <w:r>
        <w:rPr>
          <w:rFonts w:ascii="Times New Roman" w:hAnsi="Times New Roman" w:cs="Times New Roman" w:eastAsia="Times New Roman" w:hint="default"/>
        </w:rPr>
        <w:t>16</w:t>
      </w:r>
      <w:r>
        <w:rPr/>
        <w:t>号</w:t>
      </w:r>
      <w:r>
        <w:rPr>
          <w:rFonts w:ascii="Times New Roman" w:hAnsi="Times New Roman" w:cs="Times New Roman" w:eastAsia="Times New Roman" w:hint="default"/>
        </w:rPr>
        <w:t>——</w:t>
      </w:r>
      <w:r>
        <w:rPr/>
        <w:t>政府补助》，修订后的准则自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12</w:t>
      </w:r>
      <w:r>
        <w:rPr/>
        <w:t>日起施行，对于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p>
    <w:p>
      <w:pPr>
        <w:spacing w:after="0" w:line="240" w:lineRule="auto"/>
        <w:jc w:val="left"/>
        <w:rPr>
          <w:rFonts w:ascii="Times New Roman" w:hAnsi="Times New Roman" w:cs="Times New Roman" w:eastAsia="Times New Roman" w:hint="default"/>
        </w:rPr>
        <w:sectPr>
          <w:pgSz w:w="11910" w:h="16840"/>
          <w:pgMar w:header="851" w:footer="979" w:top="1320" w:bottom="1160" w:left="0" w:right="0"/>
        </w:sectPr>
      </w:pPr>
    </w:p>
    <w:p>
      <w:pPr>
        <w:spacing w:line="240" w:lineRule="auto" w:before="10"/>
        <w:rPr>
          <w:rFonts w:ascii="Times New Roman" w:hAnsi="Times New Roman" w:cs="Times New Roman" w:eastAsia="Times New Roman" w:hint="default"/>
          <w:sz w:val="12"/>
          <w:szCs w:val="12"/>
        </w:rPr>
      </w:pPr>
    </w:p>
    <w:p>
      <w:pPr>
        <w:pStyle w:val="BodyText"/>
        <w:spacing w:line="451" w:lineRule="auto" w:before="44"/>
        <w:ind w:left="1134" w:right="1122"/>
        <w:jc w:val="left"/>
      </w:pPr>
      <w:r>
        <w:rPr/>
        <w:t>月</w:t>
      </w:r>
      <w:r>
        <w:rPr>
          <w:rFonts w:ascii="Times New Roman" w:hAnsi="Times New Roman" w:cs="Times New Roman" w:eastAsia="Times New Roman" w:hint="default"/>
        </w:rPr>
        <w:t>1</w:t>
      </w:r>
      <w:r>
        <w:rPr/>
        <w:t>日存在的政府补助，要求采用未来适用法处理；对于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日至施行日新增的政府补助，也要求按照修订后的准则</w:t>
      </w:r>
      <w:r>
        <w:rPr>
          <w:spacing w:val="-82"/>
        </w:rPr>
        <w:t> </w:t>
      </w:r>
      <w:r>
        <w:rPr>
          <w:spacing w:val="-82"/>
        </w:rPr>
      </w:r>
      <w:r>
        <w:rPr/>
        <w:t>进行调整。</w:t>
      </w:r>
    </w:p>
    <w:p>
      <w:pPr>
        <w:pStyle w:val="BodyText"/>
        <w:spacing w:line="451" w:lineRule="auto" w:before="74"/>
        <w:ind w:left="1134" w:right="1127" w:firstLine="360"/>
        <w:jc w:val="left"/>
      </w:pPr>
      <w:r>
        <w:rPr>
          <w:spacing w:val="-5"/>
        </w:rPr>
        <w:t>财政部于</w:t>
      </w:r>
      <w:r>
        <w:rPr>
          <w:rFonts w:ascii="Times New Roman" w:hAnsi="Times New Roman" w:cs="Times New Roman" w:eastAsia="Times New Roman" w:hint="default"/>
          <w:spacing w:val="-5"/>
        </w:rPr>
        <w:t>2017</w:t>
      </w:r>
      <w:r>
        <w:rPr>
          <w:spacing w:val="-5"/>
        </w:rPr>
        <w:t>年度发布了《财政部关于修订印发一般企业财务报表格式的通知》，对一般企业财务报表格式进行了修订，</w:t>
      </w:r>
      <w:r>
        <w:rPr/>
        <w:t> 适用于</w:t>
      </w:r>
      <w:r>
        <w:rPr>
          <w:rFonts w:ascii="Times New Roman" w:hAnsi="Times New Roman" w:cs="Times New Roman" w:eastAsia="Times New Roman" w:hint="default"/>
        </w:rPr>
        <w:t>2017</w:t>
      </w:r>
      <w:r>
        <w:rPr/>
        <w:t>年度及以后期间的财务报表。</w:t>
      </w:r>
    </w:p>
    <w:p>
      <w:pPr>
        <w:pStyle w:val="Heading4"/>
        <w:spacing w:line="240" w:lineRule="auto" w:before="43"/>
        <w:ind w:right="0"/>
        <w:jc w:val="left"/>
        <w:rPr>
          <w:b w:val="0"/>
          <w:bCs w:val="0"/>
        </w:rPr>
      </w:pPr>
      <w:r>
        <w:rPr/>
        <w:t>本公司执行上述规定的主要影响如下：</w:t>
      </w:r>
      <w:r>
        <w:rPr>
          <w:b w:val="0"/>
          <w:bCs w:val="0"/>
        </w:rPr>
      </w:r>
    </w:p>
    <w:p>
      <w:pPr>
        <w:spacing w:line="240" w:lineRule="auto" w:before="10"/>
        <w:rPr>
          <w:rFonts w:ascii="宋体" w:hAnsi="宋体" w:cs="宋体" w:eastAsia="宋体" w:hint="default"/>
          <w:b/>
          <w:bCs/>
          <w:sz w:val="11"/>
          <w:szCs w:val="11"/>
        </w:rPr>
      </w:pPr>
    </w:p>
    <w:tbl>
      <w:tblPr>
        <w:tblW w:w="0" w:type="auto"/>
        <w:jc w:val="left"/>
        <w:tblInd w:w="1136" w:type="dxa"/>
        <w:tblLayout w:type="fixed"/>
        <w:tblCellMar>
          <w:top w:w="0" w:type="dxa"/>
          <w:left w:w="0" w:type="dxa"/>
          <w:bottom w:w="0" w:type="dxa"/>
          <w:right w:w="0" w:type="dxa"/>
        </w:tblCellMar>
        <w:tblLook w:val="01E0"/>
      </w:tblPr>
      <w:tblGrid>
        <w:gridCol w:w="5244"/>
        <w:gridCol w:w="4413"/>
      </w:tblGrid>
      <w:tr>
        <w:trPr>
          <w:trHeight w:val="332" w:hRule="exact"/>
        </w:trPr>
        <w:tc>
          <w:tcPr>
            <w:tcW w:w="52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536"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44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2"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r>
        <w:trPr>
          <w:trHeight w:val="654" w:hRule="exact"/>
        </w:trPr>
        <w:tc>
          <w:tcPr>
            <w:tcW w:w="52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）与本公司日常活动相关的政府补助，计入其他收益，不再计入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营业外收入。比较数据不调整。</w:t>
            </w:r>
          </w:p>
        </w:tc>
        <w:tc>
          <w:tcPr>
            <w:tcW w:w="4413"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b/>
                <w:bCs/>
                <w:sz w:val="13"/>
                <w:szCs w:val="13"/>
              </w:rPr>
            </w:pPr>
          </w:p>
          <w:p>
            <w:pPr>
              <w:pStyle w:val="TableParagraph"/>
              <w:spacing w:line="240" w:lineRule="auto"/>
              <w:ind w:left="4" w:right="0"/>
              <w:jc w:val="left"/>
              <w:rPr>
                <w:rFonts w:ascii="宋体" w:hAnsi="宋体" w:cs="宋体" w:eastAsia="宋体" w:hint="default"/>
                <w:sz w:val="18"/>
                <w:szCs w:val="18"/>
              </w:rPr>
            </w:pPr>
            <w:r>
              <w:rPr>
                <w:rFonts w:ascii="宋体" w:hAnsi="宋体" w:cs="宋体" w:eastAsia="宋体" w:hint="default"/>
                <w:sz w:val="18"/>
                <w:szCs w:val="18"/>
              </w:rPr>
              <w:t>本期其他收益金额为</w:t>
            </w:r>
            <w:r>
              <w:rPr>
                <w:rFonts w:ascii="Times New Roman" w:hAnsi="Times New Roman" w:cs="Times New Roman" w:eastAsia="Times New Roman" w:hint="default"/>
                <w:sz w:val="18"/>
                <w:szCs w:val="18"/>
              </w:rPr>
              <w:t>20,231,587.03</w:t>
            </w:r>
            <w:r>
              <w:rPr>
                <w:rFonts w:ascii="宋体" w:hAnsi="宋体" w:cs="宋体" w:eastAsia="宋体" w:hint="default"/>
                <w:sz w:val="18"/>
                <w:szCs w:val="18"/>
              </w:rPr>
              <w:t>元。</w:t>
            </w:r>
          </w:p>
        </w:tc>
      </w:tr>
      <w:tr>
        <w:trPr>
          <w:trHeight w:val="966" w:hRule="exact"/>
        </w:trPr>
        <w:tc>
          <w:tcPr>
            <w:tcW w:w="52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21"/>
              <w:ind w:left="2" w:right="1"/>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）在利润表中新增</w:t>
            </w:r>
            <w:r>
              <w:rPr>
                <w:rFonts w:ascii="Times New Roman" w:hAnsi="Times New Roman" w:cs="Times New Roman" w:eastAsia="Times New Roman" w:hint="default"/>
                <w:sz w:val="18"/>
                <w:szCs w:val="18"/>
              </w:rPr>
              <w:t>“</w:t>
            </w:r>
            <w:r>
              <w:rPr>
                <w:rFonts w:ascii="宋体" w:hAnsi="宋体" w:cs="宋体" w:eastAsia="宋体" w:hint="default"/>
                <w:sz w:val="18"/>
                <w:szCs w:val="18"/>
              </w:rPr>
              <w:t>资产处置收益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项目，将部分原列示为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营业</w:t>
            </w:r>
            <w:r>
              <w:rPr>
                <w:rFonts w:ascii="宋体" w:hAnsi="宋体" w:cs="宋体" w:eastAsia="宋体" w:hint="default"/>
                <w:spacing w:val="-61"/>
                <w:sz w:val="18"/>
                <w:szCs w:val="18"/>
              </w:rPr>
              <w:t> </w:t>
            </w:r>
            <w:r>
              <w:rPr>
                <w:rFonts w:ascii="宋体" w:hAnsi="宋体" w:cs="宋体" w:eastAsia="宋体" w:hint="default"/>
                <w:spacing w:val="-2"/>
                <w:sz w:val="18"/>
                <w:szCs w:val="18"/>
              </w:rPr>
              <w:t>外收入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的资产处置损益重分类至</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资产处置收益</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项目。比较数据相</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应调整。</w:t>
            </w:r>
          </w:p>
        </w:tc>
        <w:tc>
          <w:tcPr>
            <w:tcW w:w="4413"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300" w:lineRule="auto"/>
              <w:ind w:left="4" w:right="3"/>
              <w:jc w:val="left"/>
              <w:rPr>
                <w:rFonts w:ascii="宋体" w:hAnsi="宋体" w:cs="宋体" w:eastAsia="宋体" w:hint="default"/>
                <w:sz w:val="18"/>
                <w:szCs w:val="18"/>
              </w:rPr>
            </w:pPr>
            <w:r>
              <w:rPr>
                <w:rFonts w:ascii="宋体" w:hAnsi="宋体" w:cs="宋体" w:eastAsia="宋体" w:hint="default"/>
                <w:spacing w:val="-1"/>
                <w:sz w:val="18"/>
                <w:szCs w:val="18"/>
              </w:rPr>
              <w:t>上期营业外收入减少</w:t>
            </w:r>
            <w:r>
              <w:rPr>
                <w:rFonts w:ascii="Times New Roman" w:hAnsi="Times New Roman" w:cs="Times New Roman" w:eastAsia="Times New Roman" w:hint="default"/>
                <w:spacing w:val="-1"/>
                <w:sz w:val="18"/>
                <w:szCs w:val="18"/>
              </w:rPr>
              <w:t>209,097.37</w:t>
            </w:r>
            <w:r>
              <w:rPr>
                <w:rFonts w:ascii="宋体" w:hAnsi="宋体" w:cs="宋体" w:eastAsia="宋体" w:hint="default"/>
                <w:spacing w:val="-1"/>
                <w:sz w:val="18"/>
                <w:szCs w:val="18"/>
              </w:rPr>
              <w:t>元，重分类至资产处置收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益。</w:t>
            </w:r>
          </w:p>
        </w:tc>
      </w:tr>
    </w:tbl>
    <w:p>
      <w:pPr>
        <w:spacing w:line="240" w:lineRule="auto" w:before="2"/>
        <w:rPr>
          <w:rFonts w:ascii="宋体" w:hAnsi="宋体" w:cs="宋体" w:eastAsia="宋体" w:hint="default"/>
          <w:b/>
          <w:bCs/>
          <w:sz w:val="18"/>
          <w:szCs w:val="18"/>
        </w:rPr>
      </w:pPr>
    </w:p>
    <w:p>
      <w:pPr>
        <w:pStyle w:val="Heading2"/>
        <w:spacing w:line="240" w:lineRule="auto" w:before="26"/>
        <w:ind w:right="0"/>
        <w:jc w:val="left"/>
        <w:rPr>
          <w:b w:val="0"/>
          <w:bCs w:val="0"/>
        </w:rPr>
      </w:pPr>
      <w:bookmarkStart w:name="七、与上年度财务报告相比，合并报表范围发生变化的情况说明" w:id="71"/>
      <w:bookmarkEnd w:id="71"/>
      <w:r>
        <w:rPr>
          <w:b w:val="0"/>
          <w:bCs w:val="0"/>
        </w:rPr>
      </w:r>
      <w:r>
        <w:rPr/>
        <w:t>七、与上年度财务报告相比，合并报表范围发生变化的情况说明</w:t>
      </w:r>
      <w:r>
        <w:rPr>
          <w:b w:val="0"/>
          <w:bCs w:val="0"/>
        </w:rPr>
      </w:r>
    </w:p>
    <w:p>
      <w:pPr>
        <w:spacing w:line="240" w:lineRule="auto" w:before="7"/>
        <w:rPr>
          <w:rFonts w:ascii="宋体" w:hAnsi="宋体" w:cs="宋体" w:eastAsia="宋体" w:hint="default"/>
          <w:b/>
          <w:bCs/>
          <w:sz w:val="32"/>
          <w:szCs w:val="32"/>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9"/>
          <w:szCs w:val="19"/>
        </w:rPr>
      </w:pPr>
    </w:p>
    <w:p>
      <w:pPr>
        <w:pStyle w:val="Heading4"/>
        <w:spacing w:line="240" w:lineRule="auto"/>
        <w:ind w:left="1134" w:right="0"/>
        <w:jc w:val="left"/>
        <w:rPr>
          <w:b w:val="0"/>
          <w:bCs w:val="0"/>
        </w:rPr>
      </w:pPr>
      <w:r>
        <w:rPr>
          <w:rFonts w:ascii="Times New Roman" w:hAnsi="Times New Roman" w:cs="Times New Roman" w:eastAsia="Times New Roman" w:hint="default"/>
        </w:rPr>
        <w:t>1</w:t>
      </w:r>
      <w:r>
        <w:rPr/>
        <w:t>、处置子公司</w:t>
      </w:r>
      <w:r>
        <w:rPr>
          <w:rFonts w:ascii="Times New Roman" w:hAnsi="Times New Roman" w:cs="Times New Roman" w:eastAsia="Times New Roman" w:hint="default"/>
        </w:rPr>
        <w:t>-</w:t>
      </w:r>
      <w:r>
        <w:rPr/>
        <w:t>单次处置对子公司投资即丧失控制权的情形</w:t>
      </w:r>
      <w:r>
        <w:rPr>
          <w:b w:val="0"/>
          <w:bCs w:val="0"/>
        </w:rPr>
      </w:r>
    </w:p>
    <w:p>
      <w:pPr>
        <w:spacing w:line="240" w:lineRule="auto" w:before="12"/>
        <w:rPr>
          <w:rFonts w:ascii="宋体" w:hAnsi="宋体" w:cs="宋体" w:eastAsia="宋体" w:hint="default"/>
          <w:b/>
          <w:bCs/>
          <w:sz w:val="9"/>
          <w:szCs w:val="9"/>
        </w:rPr>
      </w:pPr>
    </w:p>
    <w:tbl>
      <w:tblPr>
        <w:tblW w:w="0" w:type="auto"/>
        <w:jc w:val="left"/>
        <w:tblInd w:w="1134" w:type="dxa"/>
        <w:tblLayout w:type="fixed"/>
        <w:tblCellMar>
          <w:top w:w="0" w:type="dxa"/>
          <w:left w:w="0" w:type="dxa"/>
          <w:bottom w:w="0" w:type="dxa"/>
          <w:right w:w="0" w:type="dxa"/>
        </w:tblCellMar>
        <w:tblLook w:val="01E0"/>
      </w:tblPr>
      <w:tblGrid>
        <w:gridCol w:w="1359"/>
        <w:gridCol w:w="1279"/>
        <w:gridCol w:w="1155"/>
        <w:gridCol w:w="990"/>
        <w:gridCol w:w="990"/>
        <w:gridCol w:w="1319"/>
        <w:gridCol w:w="2568"/>
      </w:tblGrid>
      <w:tr>
        <w:trPr>
          <w:trHeight w:val="966"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22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27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股权处置价款</w:t>
            </w:r>
          </w:p>
          <w:p>
            <w:pPr>
              <w:pStyle w:val="TableParagraph"/>
              <w:spacing w:line="240" w:lineRule="auto" w:before="76"/>
              <w:ind w:right="0"/>
              <w:jc w:val="center"/>
              <w:rPr>
                <w:rFonts w:ascii="宋体" w:hAnsi="宋体" w:cs="宋体" w:eastAsia="宋体" w:hint="default"/>
                <w:sz w:val="18"/>
                <w:szCs w:val="18"/>
              </w:rPr>
            </w:pPr>
            <w:r>
              <w:rPr>
                <w:rFonts w:ascii="宋体" w:hAnsi="宋体" w:cs="宋体" w:eastAsia="宋体" w:hint="default"/>
                <w:sz w:val="18"/>
                <w:szCs w:val="18"/>
              </w:rPr>
              <w:t>（元）</w:t>
            </w:r>
          </w:p>
        </w:tc>
        <w:tc>
          <w:tcPr>
            <w:tcW w:w="115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股权处置比例</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316" w:lineRule="auto"/>
              <w:ind w:left="400" w:right="37" w:hanging="360"/>
              <w:jc w:val="left"/>
              <w:rPr>
                <w:rFonts w:ascii="宋体" w:hAnsi="宋体" w:cs="宋体" w:eastAsia="宋体" w:hint="default"/>
                <w:sz w:val="18"/>
                <w:szCs w:val="18"/>
              </w:rPr>
            </w:pPr>
            <w:r>
              <w:rPr>
                <w:rFonts w:ascii="宋体" w:hAnsi="宋体" w:cs="宋体" w:eastAsia="宋体" w:hint="default"/>
                <w:sz w:val="18"/>
                <w:szCs w:val="18"/>
              </w:rPr>
              <w:t>股权处置方 式</w:t>
            </w:r>
          </w:p>
        </w:tc>
        <w:tc>
          <w:tcPr>
            <w:tcW w:w="9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316" w:lineRule="auto"/>
              <w:ind w:left="220" w:right="37" w:hanging="180"/>
              <w:jc w:val="left"/>
              <w:rPr>
                <w:rFonts w:ascii="宋体" w:hAnsi="宋体" w:cs="宋体" w:eastAsia="宋体" w:hint="default"/>
                <w:sz w:val="18"/>
                <w:szCs w:val="18"/>
              </w:rPr>
            </w:pPr>
            <w:r>
              <w:rPr>
                <w:rFonts w:ascii="宋体" w:hAnsi="宋体" w:cs="宋体" w:eastAsia="宋体" w:hint="default"/>
                <w:sz w:val="18"/>
                <w:szCs w:val="18"/>
              </w:rPr>
              <w:t>丧失控制权 的时点</w:t>
            </w:r>
          </w:p>
        </w:tc>
        <w:tc>
          <w:tcPr>
            <w:tcW w:w="13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b/>
                <w:bCs/>
                <w:sz w:val="13"/>
                <w:szCs w:val="13"/>
              </w:rPr>
            </w:pPr>
          </w:p>
          <w:p>
            <w:pPr>
              <w:pStyle w:val="TableParagraph"/>
              <w:spacing w:line="316" w:lineRule="auto"/>
              <w:ind w:left="205" w:right="22" w:hanging="180"/>
              <w:jc w:val="left"/>
              <w:rPr>
                <w:rFonts w:ascii="宋体" w:hAnsi="宋体" w:cs="宋体" w:eastAsia="宋体" w:hint="default"/>
                <w:sz w:val="18"/>
                <w:szCs w:val="18"/>
              </w:rPr>
            </w:pPr>
            <w:r>
              <w:rPr>
                <w:rFonts w:ascii="宋体" w:hAnsi="宋体" w:cs="宋体" w:eastAsia="宋体" w:hint="default"/>
                <w:sz w:val="18"/>
                <w:szCs w:val="18"/>
              </w:rPr>
              <w:t>丧失控制权时点 的确定依据</w:t>
            </w:r>
          </w:p>
        </w:tc>
        <w:tc>
          <w:tcPr>
            <w:tcW w:w="25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20"/>
              <w:ind w:left="19" w:right="17"/>
              <w:jc w:val="center"/>
              <w:rPr>
                <w:rFonts w:ascii="宋体" w:hAnsi="宋体" w:cs="宋体" w:eastAsia="宋体" w:hint="default"/>
                <w:sz w:val="18"/>
                <w:szCs w:val="18"/>
              </w:rPr>
            </w:pPr>
            <w:r>
              <w:rPr>
                <w:rFonts w:ascii="宋体" w:hAnsi="宋体" w:cs="宋体" w:eastAsia="宋体" w:hint="default"/>
                <w:sz w:val="18"/>
                <w:szCs w:val="18"/>
              </w:rPr>
              <w:t>处置价款与处置投资对应的合并 财务报表层面享有该子公司净资 产份额的差额（元）</w:t>
            </w:r>
          </w:p>
        </w:tc>
      </w:tr>
      <w:tr>
        <w:trPr>
          <w:trHeight w:val="655" w:hRule="exact"/>
        </w:trPr>
        <w:tc>
          <w:tcPr>
            <w:tcW w:w="13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20"/>
              <w:ind w:left="4" w:right="82"/>
              <w:jc w:val="left"/>
              <w:rPr>
                <w:rFonts w:ascii="宋体" w:hAnsi="宋体" w:cs="宋体" w:eastAsia="宋体" w:hint="default"/>
                <w:sz w:val="18"/>
                <w:szCs w:val="18"/>
              </w:rPr>
            </w:pPr>
            <w:r>
              <w:rPr>
                <w:rFonts w:ascii="宋体" w:hAnsi="宋体" w:cs="宋体" w:eastAsia="宋体" w:hint="default"/>
                <w:sz w:val="18"/>
                <w:szCs w:val="18"/>
              </w:rPr>
              <w:t>重庆泰岳优才科 技有限公司</w:t>
            </w:r>
          </w:p>
        </w:tc>
        <w:tc>
          <w:tcPr>
            <w:tcW w:w="1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750,000.00</w:t>
            </w:r>
          </w:p>
        </w:tc>
        <w:tc>
          <w:tcPr>
            <w:tcW w:w="11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735" w:right="0"/>
              <w:jc w:val="left"/>
              <w:rPr>
                <w:rFonts w:ascii="Times New Roman" w:hAnsi="Times New Roman" w:cs="Times New Roman" w:eastAsia="Times New Roman" w:hint="default"/>
                <w:sz w:val="18"/>
                <w:szCs w:val="18"/>
              </w:rPr>
            </w:pPr>
            <w:r>
              <w:rPr>
                <w:rFonts w:ascii="Times New Roman"/>
                <w:sz w:val="18"/>
              </w:rPr>
              <w:t>75.00</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转让</w:t>
            </w:r>
          </w:p>
        </w:tc>
        <w:tc>
          <w:tcPr>
            <w:tcW w:w="9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3"/>
                <w:szCs w:val="13"/>
              </w:rPr>
            </w:pPr>
          </w:p>
          <w:p>
            <w:pPr>
              <w:pStyle w:val="TableParagraph"/>
              <w:spacing w:line="240" w:lineRule="auto"/>
              <w:ind w:left="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p>
        </w:tc>
        <w:tc>
          <w:tcPr>
            <w:tcW w:w="13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0"/>
              <w:ind w:left="6" w:right="41"/>
              <w:jc w:val="left"/>
              <w:rPr>
                <w:rFonts w:ascii="宋体" w:hAnsi="宋体" w:cs="宋体" w:eastAsia="宋体" w:hint="default"/>
                <w:sz w:val="18"/>
                <w:szCs w:val="18"/>
              </w:rPr>
            </w:pPr>
            <w:r>
              <w:rPr>
                <w:rFonts w:ascii="宋体" w:hAnsi="宋体" w:cs="宋体" w:eastAsia="宋体" w:hint="default"/>
                <w:sz w:val="18"/>
                <w:szCs w:val="18"/>
              </w:rPr>
              <w:t>不再持有该公司 股权</w:t>
            </w:r>
          </w:p>
        </w:tc>
        <w:tc>
          <w:tcPr>
            <w:tcW w:w="2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6"/>
                <w:szCs w:val="16"/>
              </w:rPr>
            </w:pPr>
          </w:p>
          <w:p>
            <w:pPr>
              <w:pStyle w:val="TableParagraph"/>
              <w:spacing w:line="240" w:lineRule="auto"/>
              <w:ind w:left="1609" w:right="0"/>
              <w:jc w:val="left"/>
              <w:rPr>
                <w:rFonts w:ascii="Times New Roman" w:hAnsi="Times New Roman" w:cs="Times New Roman" w:eastAsia="Times New Roman" w:hint="default"/>
                <w:sz w:val="18"/>
                <w:szCs w:val="18"/>
              </w:rPr>
            </w:pPr>
            <w:r>
              <w:rPr>
                <w:rFonts w:ascii="Times New Roman"/>
                <w:sz w:val="18"/>
              </w:rPr>
              <w:t>5,767,898.47</w:t>
            </w:r>
          </w:p>
        </w:tc>
      </w:tr>
    </w:tbl>
    <w:p>
      <w:pPr>
        <w:pStyle w:val="Heading4"/>
        <w:spacing w:line="240" w:lineRule="auto" w:before="88"/>
        <w:ind w:left="1134" w:right="0"/>
        <w:jc w:val="left"/>
        <w:rPr>
          <w:b w:val="0"/>
          <w:bCs w:val="0"/>
        </w:rPr>
      </w:pPr>
      <w:r>
        <w:rPr>
          <w:rFonts w:ascii="Times New Roman" w:hAnsi="Times New Roman" w:cs="Times New Roman" w:eastAsia="Times New Roman" w:hint="default"/>
        </w:rPr>
        <w:t>2</w:t>
      </w:r>
      <w:r>
        <w:rPr/>
        <w:t>、其他原因的合并范围变动</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1</w:t>
      </w:r>
      <w:r>
        <w:rPr/>
        <w:t>）本期因新设纳入合并范围明细如下：</w:t>
      </w:r>
    </w:p>
    <w:p>
      <w:pPr>
        <w:spacing w:line="240" w:lineRule="auto" w:before="5"/>
        <w:rPr>
          <w:rFonts w:ascii="宋体" w:hAnsi="宋体" w:cs="宋体" w:eastAsia="宋体" w:hint="default"/>
          <w:sz w:val="10"/>
          <w:szCs w:val="10"/>
        </w:rPr>
      </w:pPr>
    </w:p>
    <w:tbl>
      <w:tblPr>
        <w:tblW w:w="0" w:type="auto"/>
        <w:jc w:val="left"/>
        <w:tblInd w:w="1136" w:type="dxa"/>
        <w:tblLayout w:type="fixed"/>
        <w:tblCellMar>
          <w:top w:w="0" w:type="dxa"/>
          <w:left w:w="0" w:type="dxa"/>
          <w:bottom w:w="0" w:type="dxa"/>
          <w:right w:w="0" w:type="dxa"/>
        </w:tblCellMar>
        <w:tblLook w:val="01E0"/>
      </w:tblPr>
      <w:tblGrid>
        <w:gridCol w:w="3464"/>
        <w:gridCol w:w="1842"/>
        <w:gridCol w:w="2177"/>
        <w:gridCol w:w="2174"/>
      </w:tblGrid>
      <w:tr>
        <w:trPr>
          <w:trHeight w:val="337"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1096" w:right="0"/>
              <w:jc w:val="left"/>
              <w:rPr>
                <w:rFonts w:ascii="宋体" w:hAnsi="宋体" w:cs="宋体" w:eastAsia="宋体" w:hint="default"/>
                <w:sz w:val="18"/>
                <w:szCs w:val="18"/>
              </w:rPr>
            </w:pPr>
            <w:r>
              <w:rPr>
                <w:rFonts w:ascii="宋体" w:hAnsi="宋体" w:cs="宋体" w:eastAsia="宋体" w:hint="default"/>
                <w:sz w:val="18"/>
                <w:szCs w:val="18"/>
              </w:rPr>
              <w:t>新设子公司名称</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736" w:right="0"/>
              <w:jc w:val="left"/>
              <w:rPr>
                <w:rFonts w:ascii="宋体" w:hAnsi="宋体" w:cs="宋体" w:eastAsia="宋体" w:hint="default"/>
                <w:sz w:val="18"/>
                <w:szCs w:val="18"/>
              </w:rPr>
            </w:pPr>
            <w:r>
              <w:rPr>
                <w:rFonts w:ascii="宋体" w:hAnsi="宋体" w:cs="宋体" w:eastAsia="宋体" w:hint="default"/>
                <w:sz w:val="18"/>
                <w:szCs w:val="18"/>
              </w:rPr>
              <w:t>级次</w:t>
            </w:r>
          </w:p>
        </w:tc>
        <w:tc>
          <w:tcPr>
            <w:tcW w:w="21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1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表决权比例（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北京神州泰核物联网技术有限公司</w:t>
            </w:r>
          </w:p>
        </w:tc>
        <w:tc>
          <w:tcPr>
            <w:tcW w:w="1842"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16"/>
              <w:ind w:left="733"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75</w:t>
            </w:r>
          </w:p>
        </w:tc>
        <w:tc>
          <w:tcPr>
            <w:tcW w:w="217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横琴神州泰奇互动科技有限公司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三级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55</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55</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三级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二级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三级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34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神州泰岳（香港）发展有限公司</w:t>
            </w:r>
          </w:p>
        </w:tc>
        <w:tc>
          <w:tcPr>
            <w:tcW w:w="184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left="733" w:right="0"/>
              <w:jc w:val="left"/>
              <w:rPr>
                <w:rFonts w:ascii="宋体" w:hAnsi="宋体" w:cs="宋体" w:eastAsia="宋体" w:hint="default"/>
                <w:sz w:val="18"/>
                <w:szCs w:val="18"/>
              </w:rPr>
            </w:pPr>
            <w:r>
              <w:rPr>
                <w:rFonts w:ascii="宋体" w:hAnsi="宋体" w:cs="宋体" w:eastAsia="宋体" w:hint="default"/>
                <w:sz w:val="18"/>
                <w:szCs w:val="18"/>
              </w:rPr>
              <w:t>三级</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c>
          <w:tcPr>
            <w:tcW w:w="2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bl>
    <w:p>
      <w:pPr>
        <w:pStyle w:val="BodyText"/>
        <w:spacing w:line="240" w:lineRule="auto" w:before="51"/>
        <w:ind w:left="1134" w:right="0"/>
        <w:jc w:val="left"/>
      </w:pPr>
      <w:r>
        <w:rPr/>
        <w:t>（</w:t>
      </w:r>
      <w:r>
        <w:rPr>
          <w:rFonts w:ascii="Times New Roman" w:hAnsi="Times New Roman" w:cs="Times New Roman" w:eastAsia="Times New Roman" w:hint="default"/>
        </w:rPr>
        <w:t>2</w:t>
      </w:r>
      <w:r>
        <w:rPr/>
        <w:t>）公司本年因清算减少三级子公司北京觉莲软件有限公司。</w:t>
      </w:r>
    </w:p>
    <w:p>
      <w:pPr>
        <w:spacing w:line="240" w:lineRule="auto" w:before="1"/>
        <w:rPr>
          <w:rFonts w:ascii="宋体" w:hAnsi="宋体" w:cs="宋体" w:eastAsia="宋体" w:hint="default"/>
          <w:sz w:val="24"/>
          <w:szCs w:val="24"/>
        </w:rPr>
      </w:pPr>
    </w:p>
    <w:p>
      <w:pPr>
        <w:pStyle w:val="Heading2"/>
        <w:spacing w:line="240" w:lineRule="auto"/>
        <w:ind w:right="0"/>
        <w:jc w:val="left"/>
        <w:rPr>
          <w:b w:val="0"/>
          <w:bCs w:val="0"/>
        </w:rPr>
      </w:pPr>
      <w:bookmarkStart w:name="八、聘任、解聘会计师事务所情况" w:id="72"/>
      <w:bookmarkEnd w:id="72"/>
      <w:r>
        <w:rPr>
          <w:b w:val="0"/>
          <w:bCs w:val="0"/>
        </w:rPr>
      </w:r>
      <w:r>
        <w:rPr/>
        <w:t>八、聘任、解聘会计师事务所情况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134" w:right="0"/>
        <w:jc w:val="left"/>
      </w:pPr>
      <w:r>
        <w:rPr/>
        <w:t>现聘任的会计事务所</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4990"/>
        <w:gridCol w:w="4704"/>
      </w:tblGrid>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2"/>
              <w:jc w:val="righ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200</w:t>
            </w:r>
          </w:p>
        </w:tc>
      </w:tr>
      <w:tr>
        <w:trPr>
          <w:trHeight w:val="578"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12</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3"/>
              <w:jc w:val="right"/>
              <w:rPr>
                <w:rFonts w:ascii="宋体" w:hAnsi="宋体" w:cs="宋体" w:eastAsia="宋体" w:hint="default"/>
                <w:sz w:val="18"/>
                <w:szCs w:val="18"/>
              </w:rPr>
            </w:pPr>
            <w:r>
              <w:rPr>
                <w:rFonts w:ascii="宋体" w:hAnsi="宋体" w:cs="宋体" w:eastAsia="宋体" w:hint="default"/>
                <w:sz w:val="18"/>
                <w:szCs w:val="18"/>
              </w:rPr>
              <w:t>肖菲、陈迅骅</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8"/>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境外会计师事务所名称</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2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境外会计师事务所报酬（万元）</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3"/>
                <w:szCs w:val="13"/>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境外会计师事务所审计服务的连续年限</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3"/>
              <w:jc w:val="right"/>
              <w:rPr>
                <w:rFonts w:ascii="宋体" w:hAnsi="宋体" w:cs="宋体" w:eastAsia="宋体" w:hint="default"/>
                <w:sz w:val="18"/>
                <w:szCs w:val="18"/>
              </w:rPr>
            </w:pPr>
            <w:r>
              <w:rPr>
                <w:rFonts w:ascii="宋体" w:hAnsi="宋体" w:cs="宋体" w:eastAsia="宋体" w:hint="default"/>
                <w:sz w:val="18"/>
                <w:szCs w:val="18"/>
              </w:rPr>
              <w:t>不适用</w:t>
            </w:r>
          </w:p>
        </w:tc>
      </w:tr>
      <w:tr>
        <w:trPr>
          <w:trHeight w:val="577" w:hRule="exact"/>
        </w:trPr>
        <w:tc>
          <w:tcPr>
            <w:tcW w:w="49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9"/>
              <w:ind w:left="22"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境外会计师事务所注册会计师姓名</w:t>
            </w:r>
          </w:p>
        </w:tc>
        <w:tc>
          <w:tcPr>
            <w:tcW w:w="4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23"/>
              <w:jc w:val="righ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是否改聘会计师事务所</w:t>
      </w:r>
    </w:p>
    <w:p>
      <w:pPr>
        <w:spacing w:line="240" w:lineRule="auto" w:before="12"/>
        <w:rPr>
          <w:rFonts w:ascii="宋体" w:hAnsi="宋体" w:cs="宋体" w:eastAsia="宋体" w:hint="default"/>
          <w:sz w:val="20"/>
          <w:szCs w:val="20"/>
        </w:rPr>
      </w:pPr>
    </w:p>
    <w:p>
      <w:pPr>
        <w:pStyle w:val="BodyText"/>
        <w:spacing w:line="489" w:lineRule="auto"/>
        <w:ind w:right="625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b/>
          <w:bCs/>
        </w:rPr>
        <w:t>√ </w:t>
      </w:r>
      <w:r>
        <w:rPr>
          <w:rFonts w:ascii="宋体" w:hAnsi="宋体" w:cs="宋体" w:eastAsia="宋体" w:hint="default"/>
          <w:b/>
          <w:bCs/>
        </w:rPr>
        <w:t>否</w:t>
      </w:r>
      <w:r>
        <w:rPr>
          <w:rFonts w:ascii="宋体" w:hAnsi="宋体" w:cs="宋体" w:eastAsia="宋体" w:hint="default"/>
          <w:b/>
          <w:bCs/>
          <w:w w:val="99"/>
        </w:rPr>
        <w:t> </w:t>
      </w:r>
      <w:r>
        <w:rPr/>
        <w:t>聘请内部控制审计会计师事务所、财务顾问或保荐人情况</w:t>
      </w:r>
    </w:p>
    <w:p>
      <w:pPr>
        <w:spacing w:before="85"/>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5"/>
        <w:ind w:right="0"/>
        <w:jc w:val="left"/>
        <w:rPr>
          <w:b w:val="0"/>
          <w:bCs w:val="0"/>
        </w:rPr>
      </w:pPr>
      <w:bookmarkStart w:name="九、年度报告披露后面临暂停上市和终止上市情况" w:id="73"/>
      <w:bookmarkEnd w:id="73"/>
      <w:r>
        <w:rPr>
          <w:b w:val="0"/>
          <w:bCs w:val="0"/>
        </w:rPr>
      </w:r>
      <w:r>
        <w:rPr/>
        <w:t>九、年度报告披露后面临暂停上市和终止上市情况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十、破产重整相关事项" w:id="74"/>
      <w:bookmarkEnd w:id="74"/>
      <w:r>
        <w:rPr>
          <w:b w:val="0"/>
          <w:bCs w:val="0"/>
        </w:rPr>
      </w:r>
      <w:r>
        <w:rPr/>
        <w:t>十、破产重整相关事项</w:t>
      </w:r>
      <w:r>
        <w:rPr>
          <w:b w:val="0"/>
          <w:bCs w:val="0"/>
        </w:rPr>
      </w:r>
    </w:p>
    <w:p>
      <w:pPr>
        <w:spacing w:line="240" w:lineRule="auto" w:before="7"/>
        <w:rPr>
          <w:rFonts w:ascii="宋体" w:hAnsi="宋体" w:cs="宋体" w:eastAsia="宋体" w:hint="default"/>
          <w:b/>
          <w:bCs/>
          <w:sz w:val="32"/>
          <w:szCs w:val="32"/>
        </w:rPr>
      </w:pPr>
    </w:p>
    <w:p>
      <w:pPr>
        <w:spacing w:line="489" w:lineRule="auto" w:before="0"/>
        <w:ind w:left="1134" w:right="76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公司报告期未发生破产重整相关事项。</w:t>
      </w:r>
    </w:p>
    <w:p>
      <w:pPr>
        <w:spacing w:line="240" w:lineRule="auto" w:before="8"/>
        <w:rPr>
          <w:rFonts w:ascii="宋体" w:hAnsi="宋体" w:cs="宋体" w:eastAsia="宋体" w:hint="default"/>
          <w:sz w:val="16"/>
          <w:szCs w:val="16"/>
        </w:rPr>
      </w:pPr>
    </w:p>
    <w:p>
      <w:pPr>
        <w:pStyle w:val="Heading2"/>
        <w:spacing w:line="240" w:lineRule="auto"/>
        <w:ind w:right="0"/>
        <w:jc w:val="left"/>
        <w:rPr>
          <w:b w:val="0"/>
          <w:bCs w:val="0"/>
        </w:rPr>
      </w:pPr>
      <w:bookmarkStart w:name="十一、重大诉讼、仲裁事项" w:id="75"/>
      <w:bookmarkEnd w:id="75"/>
      <w:r>
        <w:rPr>
          <w:b w:val="0"/>
          <w:bCs w:val="0"/>
        </w:rPr>
      </w:r>
      <w:r>
        <w:rPr/>
        <w:t>十一、重大诉讼、仲裁事项</w:t>
      </w:r>
      <w:r>
        <w:rPr>
          <w:b w:val="0"/>
          <w:bCs w:val="0"/>
        </w:rPr>
      </w:r>
    </w:p>
    <w:p>
      <w:pPr>
        <w:spacing w:line="240" w:lineRule="auto" w:before="8"/>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3"/>
        <w:rPr>
          <w:rFonts w:ascii="宋体" w:hAnsi="宋体" w:cs="宋体" w:eastAsia="宋体" w:hint="default"/>
          <w:sz w:val="13"/>
          <w:szCs w:val="13"/>
        </w:rPr>
      </w:pPr>
    </w:p>
    <w:tbl>
      <w:tblPr>
        <w:tblW w:w="0" w:type="auto"/>
        <w:jc w:val="left"/>
        <w:tblInd w:w="1129" w:type="dxa"/>
        <w:tblLayout w:type="fixed"/>
        <w:tblCellMar>
          <w:top w:w="0" w:type="dxa"/>
          <w:left w:w="0" w:type="dxa"/>
          <w:bottom w:w="0" w:type="dxa"/>
          <w:right w:w="0" w:type="dxa"/>
        </w:tblCellMar>
        <w:tblLook w:val="01E0"/>
      </w:tblPr>
      <w:tblGrid>
        <w:gridCol w:w="1844"/>
        <w:gridCol w:w="959"/>
        <w:gridCol w:w="1134"/>
        <w:gridCol w:w="1026"/>
        <w:gridCol w:w="1559"/>
        <w:gridCol w:w="1385"/>
        <w:gridCol w:w="851"/>
        <w:gridCol w:w="814"/>
      </w:tblGrid>
      <w:tr>
        <w:trPr>
          <w:trHeight w:val="744" w:hRule="exact"/>
        </w:trPr>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35" w:right="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基本情况</w:t>
            </w:r>
          </w:p>
        </w:tc>
        <w:tc>
          <w:tcPr>
            <w:tcW w:w="9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3" w:right="0"/>
              <w:jc w:val="left"/>
              <w:rPr>
                <w:rFonts w:ascii="宋体" w:hAnsi="宋体" w:cs="宋体" w:eastAsia="宋体" w:hint="default"/>
                <w:sz w:val="18"/>
                <w:szCs w:val="18"/>
              </w:rPr>
            </w:pPr>
            <w:r>
              <w:rPr>
                <w:rFonts w:ascii="宋体" w:hAnsi="宋体" w:cs="宋体" w:eastAsia="宋体" w:hint="default"/>
                <w:sz w:val="18"/>
                <w:szCs w:val="18"/>
              </w:rPr>
              <w:t>涉案金额</w:t>
            </w:r>
          </w:p>
          <w:p>
            <w:pPr>
              <w:pStyle w:val="TableParagraph"/>
              <w:spacing w:line="240" w:lineRule="auto" w:before="117"/>
              <w:ind w:left="113"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67"/>
              <w:ind w:left="291" w:right="111" w:hanging="180"/>
              <w:jc w:val="left"/>
              <w:rPr>
                <w:rFonts w:ascii="宋体" w:hAnsi="宋体" w:cs="宋体" w:eastAsia="宋体" w:hint="default"/>
                <w:sz w:val="18"/>
                <w:szCs w:val="18"/>
              </w:rPr>
            </w:pPr>
            <w:r>
              <w:rPr>
                <w:rFonts w:ascii="宋体" w:hAnsi="宋体" w:cs="宋体" w:eastAsia="宋体" w:hint="default"/>
                <w:sz w:val="18"/>
                <w:szCs w:val="18"/>
              </w:rPr>
              <w:t>是否形成预 计负债</w:t>
            </w:r>
          </w:p>
        </w:tc>
        <w:tc>
          <w:tcPr>
            <w:tcW w:w="1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67"/>
              <w:ind w:left="327" w:right="86"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 </w:t>
            </w:r>
            <w:r>
              <w:rPr>
                <w:rFonts w:ascii="宋体" w:hAnsi="宋体" w:cs="宋体" w:eastAsia="宋体" w:hint="default"/>
                <w:sz w:val="18"/>
                <w:szCs w:val="18"/>
              </w:rPr>
              <w:t>进展</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67"/>
              <w:ind w:left="413" w:right="83" w:hanging="33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审理结 果及影响</w:t>
            </w:r>
          </w:p>
        </w:tc>
        <w:tc>
          <w:tcPr>
            <w:tcW w:w="13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67"/>
              <w:ind w:left="326" w:right="86" w:hanging="240"/>
              <w:jc w:val="left"/>
              <w:rPr>
                <w:rFonts w:ascii="宋体" w:hAnsi="宋体" w:cs="宋体" w:eastAsia="宋体" w:hint="default"/>
                <w:sz w:val="18"/>
                <w:szCs w:val="18"/>
              </w:rPr>
            </w:pPr>
            <w:r>
              <w:rPr>
                <w:rFonts w:ascii="宋体" w:hAnsi="宋体" w:cs="宋体" w:eastAsia="宋体" w:hint="default"/>
                <w:sz w:val="18"/>
                <w:szCs w:val="18"/>
              </w:rPr>
              <w:t>诉讼</w:t>
            </w:r>
            <w:r>
              <w:rPr>
                <w:rFonts w:ascii="Times New Roman" w:hAnsi="Times New Roman" w:cs="Times New Roman" w:eastAsia="Times New Roman" w:hint="default"/>
                <w:sz w:val="18"/>
                <w:szCs w:val="18"/>
              </w:rPr>
              <w:t>(</w:t>
            </w:r>
            <w:r>
              <w:rPr>
                <w:rFonts w:ascii="宋体" w:hAnsi="宋体" w:cs="宋体" w:eastAsia="宋体" w:hint="default"/>
                <w:sz w:val="18"/>
                <w:szCs w:val="18"/>
              </w:rPr>
              <w:t>仲裁</w:t>
            </w:r>
            <w:r>
              <w:rPr>
                <w:rFonts w:ascii="Times New Roman" w:hAnsi="Times New Roman" w:cs="Times New Roman" w:eastAsia="Times New Roman" w:hint="default"/>
                <w:sz w:val="18"/>
                <w:szCs w:val="18"/>
              </w:rPr>
              <w:t>)</w:t>
            </w:r>
            <w:r>
              <w:rPr>
                <w:rFonts w:ascii="宋体" w:hAnsi="宋体" w:cs="宋体" w:eastAsia="宋体" w:hint="default"/>
                <w:sz w:val="18"/>
                <w:szCs w:val="18"/>
              </w:rPr>
              <w:t>判决 执行情况</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8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134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7"/>
              <w:ind w:left="22" w:right="22"/>
              <w:jc w:val="both"/>
              <w:rPr>
                <w:rFonts w:ascii="宋体" w:hAnsi="宋体" w:cs="宋体" w:eastAsia="宋体" w:hint="default"/>
                <w:sz w:val="18"/>
                <w:szCs w:val="18"/>
              </w:rPr>
            </w:pPr>
            <w:r>
              <w:rPr>
                <w:rFonts w:ascii="宋体" w:hAnsi="宋体" w:cs="宋体" w:eastAsia="宋体" w:hint="default"/>
                <w:spacing w:val="18"/>
                <w:sz w:val="18"/>
                <w:szCs w:val="18"/>
              </w:rPr>
              <w:t>全资子公司北京神州</w:t>
            </w:r>
            <w:r>
              <w:rPr>
                <w:rFonts w:ascii="宋体" w:hAnsi="宋体" w:cs="宋体" w:eastAsia="宋体" w:hint="default"/>
                <w:sz w:val="18"/>
                <w:szCs w:val="18"/>
              </w:rPr>
              <w:t> </w:t>
            </w:r>
            <w:r>
              <w:rPr>
                <w:rFonts w:ascii="宋体" w:hAnsi="宋体" w:cs="宋体" w:eastAsia="宋体" w:hint="default"/>
                <w:spacing w:val="18"/>
                <w:sz w:val="18"/>
                <w:szCs w:val="18"/>
              </w:rPr>
              <w:t>泰岳系统集成有限公</w:t>
            </w:r>
            <w:r>
              <w:rPr>
                <w:rFonts w:ascii="宋体" w:hAnsi="宋体" w:cs="宋体" w:eastAsia="宋体" w:hint="default"/>
                <w:sz w:val="18"/>
                <w:szCs w:val="18"/>
              </w:rPr>
              <w:t> </w:t>
            </w:r>
            <w:r>
              <w:rPr>
                <w:rFonts w:ascii="宋体" w:hAnsi="宋体" w:cs="宋体" w:eastAsia="宋体" w:hint="default"/>
                <w:spacing w:val="18"/>
                <w:sz w:val="18"/>
                <w:szCs w:val="18"/>
              </w:rPr>
              <w:t>司起诉大唐半导体设</w:t>
            </w:r>
            <w:r>
              <w:rPr>
                <w:rFonts w:ascii="宋体" w:hAnsi="宋体" w:cs="宋体" w:eastAsia="宋体" w:hint="default"/>
                <w:sz w:val="18"/>
                <w:szCs w:val="18"/>
              </w:rPr>
              <w:t> </w:t>
            </w:r>
            <w:r>
              <w:rPr>
                <w:rFonts w:ascii="宋体" w:hAnsi="宋体" w:cs="宋体" w:eastAsia="宋体" w:hint="default"/>
                <w:spacing w:val="-2"/>
                <w:sz w:val="18"/>
                <w:szCs w:val="18"/>
              </w:rPr>
              <w:t>计有限公司，要求其支</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5"/>
                <w:szCs w:val="25"/>
              </w:rPr>
            </w:pPr>
          </w:p>
          <w:p>
            <w:pPr>
              <w:pStyle w:val="TableParagraph"/>
              <w:spacing w:line="240" w:lineRule="auto"/>
              <w:ind w:left="205" w:right="0"/>
              <w:jc w:val="left"/>
              <w:rPr>
                <w:rFonts w:ascii="Times New Roman" w:hAnsi="Times New Roman" w:cs="Times New Roman" w:eastAsia="Times New Roman" w:hint="default"/>
                <w:sz w:val="18"/>
                <w:szCs w:val="18"/>
              </w:rPr>
            </w:pPr>
            <w:r>
              <w:rPr>
                <w:rFonts w:ascii="Times New Roman"/>
                <w:sz w:val="18"/>
              </w:rPr>
              <w:t>31,515.33</w:t>
            </w:r>
          </w:p>
        </w:tc>
        <w:tc>
          <w:tcPr>
            <w:tcW w:w="1134" w:type="dxa"/>
            <w:tcBorders>
              <w:top w:val="single" w:sz="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26" w:type="dxa"/>
            <w:tcBorders>
              <w:top w:val="single" w:sz="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法院已受理</w:t>
            </w:r>
          </w:p>
        </w:tc>
        <w:tc>
          <w:tcPr>
            <w:tcW w:w="1559" w:type="dxa"/>
            <w:tcBorders>
              <w:top w:val="single" w:sz="8" w:space="0" w:color="D2D2D2"/>
              <w:left w:val="single" w:sz="4" w:space="0" w:color="000000"/>
              <w:bottom w:val="single" w:sz="4" w:space="0" w:color="000000"/>
              <w:right w:val="single" w:sz="4" w:space="0" w:color="000000"/>
            </w:tcBorders>
          </w:tcPr>
          <w:p>
            <w:pPr>
              <w:pStyle w:val="TableParagraph"/>
              <w:spacing w:line="316" w:lineRule="auto" w:before="53"/>
              <w:ind w:left="22" w:right="21"/>
              <w:jc w:val="both"/>
              <w:rPr>
                <w:rFonts w:ascii="宋体" w:hAnsi="宋体" w:cs="宋体" w:eastAsia="宋体" w:hint="default"/>
                <w:sz w:val="18"/>
                <w:szCs w:val="18"/>
              </w:rPr>
            </w:pPr>
            <w:r>
              <w:rPr>
                <w:rFonts w:ascii="宋体" w:hAnsi="宋体" w:cs="宋体" w:eastAsia="宋体" w:hint="default"/>
                <w:spacing w:val="7"/>
                <w:sz w:val="18"/>
                <w:szCs w:val="18"/>
              </w:rPr>
              <w:t>上述案件尚未开庭</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审理，其对公司的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影</w:t>
            </w:r>
            <w:r>
              <w:rPr>
                <w:rFonts w:ascii="宋体" w:hAnsi="宋体" w:cs="宋体" w:eastAsia="宋体" w:hint="default"/>
                <w:spacing w:val="-50"/>
                <w:sz w:val="18"/>
                <w:szCs w:val="18"/>
              </w:rPr>
              <w:t> </w:t>
            </w:r>
            <w:r>
              <w:rPr>
                <w:rFonts w:ascii="宋体" w:hAnsi="宋体" w:cs="宋体" w:eastAsia="宋体" w:hint="default"/>
                <w:sz w:val="18"/>
                <w:szCs w:val="18"/>
              </w:rPr>
              <w:t>响</w:t>
            </w:r>
            <w:r>
              <w:rPr>
                <w:rFonts w:ascii="宋体" w:hAnsi="宋体" w:cs="宋体" w:eastAsia="宋体" w:hint="default"/>
                <w:spacing w:val="-50"/>
                <w:sz w:val="18"/>
                <w:szCs w:val="18"/>
              </w:rPr>
              <w:t> </w:t>
            </w:r>
            <w:r>
              <w:rPr>
                <w:rFonts w:ascii="宋体" w:hAnsi="宋体" w:cs="宋体" w:eastAsia="宋体" w:hint="default"/>
                <w:sz w:val="18"/>
                <w:szCs w:val="18"/>
              </w:rPr>
              <w:t>存</w:t>
            </w:r>
            <w:r>
              <w:rPr>
                <w:rFonts w:ascii="宋体" w:hAnsi="宋体" w:cs="宋体" w:eastAsia="宋体" w:hint="default"/>
                <w:spacing w:val="-50"/>
                <w:sz w:val="18"/>
                <w:szCs w:val="18"/>
              </w:rPr>
              <w:t> </w:t>
            </w:r>
            <w:r>
              <w:rPr>
                <w:rFonts w:ascii="宋体" w:hAnsi="宋体" w:cs="宋体" w:eastAsia="宋体" w:hint="default"/>
                <w:sz w:val="18"/>
                <w:szCs w:val="18"/>
              </w:rPr>
              <w:t>在</w:t>
            </w:r>
            <w:r>
              <w:rPr>
                <w:rFonts w:ascii="宋体" w:hAnsi="宋体" w:cs="宋体" w:eastAsia="宋体" w:hint="default"/>
                <w:spacing w:val="-50"/>
                <w:sz w:val="18"/>
                <w:szCs w:val="18"/>
              </w:rPr>
              <w:t> </w:t>
            </w:r>
            <w:r>
              <w:rPr>
                <w:rFonts w:ascii="宋体" w:hAnsi="宋体" w:cs="宋体" w:eastAsia="宋体" w:hint="default"/>
                <w:sz w:val="18"/>
                <w:szCs w:val="18"/>
              </w:rPr>
              <w:t>不</w:t>
            </w:r>
            <w:r>
              <w:rPr>
                <w:rFonts w:ascii="宋体" w:hAnsi="宋体" w:cs="宋体" w:eastAsia="宋体" w:hint="default"/>
                <w:spacing w:val="-51"/>
                <w:sz w:val="18"/>
                <w:szCs w:val="18"/>
              </w:rPr>
              <w:t> </w:t>
            </w:r>
            <w:r>
              <w:rPr>
                <w:rFonts w:ascii="宋体" w:hAnsi="宋体" w:cs="宋体" w:eastAsia="宋体" w:hint="default"/>
                <w:sz w:val="18"/>
                <w:szCs w:val="18"/>
              </w:rPr>
              <w:t>确</w:t>
            </w:r>
            <w:r>
              <w:rPr>
                <w:rFonts w:ascii="宋体" w:hAnsi="宋体" w:cs="宋体" w:eastAsia="宋体" w:hint="default"/>
                <w:spacing w:val="-50"/>
                <w:sz w:val="18"/>
                <w:szCs w:val="18"/>
              </w:rPr>
              <w:t> </w:t>
            </w:r>
            <w:r>
              <w:rPr>
                <w:rFonts w:ascii="宋体" w:hAnsi="宋体" w:cs="宋体" w:eastAsia="宋体" w:hint="default"/>
                <w:sz w:val="18"/>
                <w:szCs w:val="18"/>
              </w:rPr>
              <w:t>定</w:t>
            </w:r>
            <w:r>
              <w:rPr>
                <w:rFonts w:ascii="宋体" w:hAnsi="宋体" w:cs="宋体" w:eastAsia="宋体" w:hint="default"/>
                <w:sz w:val="18"/>
                <w:szCs w:val="18"/>
              </w:rPr>
              <w:t> 性。</w:t>
            </w:r>
          </w:p>
        </w:tc>
        <w:tc>
          <w:tcPr>
            <w:tcW w:w="1385" w:type="dxa"/>
            <w:tcBorders>
              <w:top w:val="single" w:sz="8" w:space="0" w:color="D2D2D2"/>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46" w:right="0"/>
              <w:jc w:val="left"/>
              <w:rPr>
                <w:rFonts w:ascii="宋体" w:hAnsi="宋体" w:cs="宋体" w:eastAsia="宋体" w:hint="default"/>
                <w:sz w:val="18"/>
                <w:szCs w:val="18"/>
              </w:rPr>
            </w:pPr>
            <w:r>
              <w:rPr>
                <w:rFonts w:ascii="宋体" w:hAnsi="宋体" w:cs="宋体" w:eastAsia="宋体" w:hint="default"/>
                <w:sz w:val="18"/>
                <w:szCs w:val="18"/>
              </w:rPr>
              <w:t>目前尚未判决</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不适用</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844"/>
        <w:gridCol w:w="959"/>
        <w:gridCol w:w="1134"/>
        <w:gridCol w:w="1026"/>
        <w:gridCol w:w="1559"/>
        <w:gridCol w:w="1385"/>
        <w:gridCol w:w="851"/>
        <w:gridCol w:w="814"/>
      </w:tblGrid>
      <w:tr>
        <w:trPr>
          <w:trHeight w:val="67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5"/>
              <w:jc w:val="left"/>
              <w:rPr>
                <w:rFonts w:ascii="宋体" w:hAnsi="宋体" w:cs="宋体" w:eastAsia="宋体" w:hint="default"/>
                <w:sz w:val="18"/>
                <w:szCs w:val="18"/>
              </w:rPr>
            </w:pPr>
            <w:r>
              <w:rPr>
                <w:rFonts w:ascii="宋体" w:hAnsi="宋体" w:cs="宋体" w:eastAsia="宋体" w:hint="default"/>
                <w:spacing w:val="18"/>
                <w:sz w:val="18"/>
                <w:szCs w:val="18"/>
              </w:rPr>
              <w:t>付合同款项并支付相</w:t>
            </w:r>
            <w:r>
              <w:rPr>
                <w:rFonts w:ascii="宋体" w:hAnsi="宋体" w:cs="宋体" w:eastAsia="宋体" w:hint="default"/>
                <w:sz w:val="18"/>
                <w:szCs w:val="18"/>
              </w:rPr>
              <w:t> 应违约金。</w:t>
            </w:r>
          </w:p>
        </w:tc>
        <w:tc>
          <w:tcPr>
            <w:tcW w:w="9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026"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851" w:type="dxa"/>
            <w:tcBorders>
              <w:top w:val="single" w:sz="4" w:space="0" w:color="000000"/>
              <w:left w:val="single" w:sz="4" w:space="0" w:color="000000"/>
              <w:bottom w:val="single" w:sz="4" w:space="0" w:color="000000"/>
              <w:right w:val="single" w:sz="4" w:space="0" w:color="000000"/>
            </w:tcBorders>
          </w:tcPr>
          <w:p>
            <w:pPr/>
          </w:p>
        </w:tc>
        <w:tc>
          <w:tcPr>
            <w:tcW w:w="814"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pacing w:val="18"/>
                <w:sz w:val="18"/>
                <w:szCs w:val="18"/>
              </w:rPr>
              <w:t>全资子公司北京神州</w:t>
            </w:r>
            <w:r>
              <w:rPr>
                <w:rFonts w:ascii="宋体" w:hAnsi="宋体" w:cs="宋体" w:eastAsia="宋体" w:hint="default"/>
                <w:sz w:val="18"/>
                <w:szCs w:val="18"/>
              </w:rPr>
              <w:t> </w:t>
            </w:r>
            <w:r>
              <w:rPr>
                <w:rFonts w:ascii="宋体" w:hAnsi="宋体" w:cs="宋体" w:eastAsia="宋体" w:hint="default"/>
                <w:spacing w:val="18"/>
                <w:sz w:val="18"/>
                <w:szCs w:val="18"/>
              </w:rPr>
              <w:t>泰岳系统集成有限公</w:t>
            </w:r>
            <w:r>
              <w:rPr>
                <w:rFonts w:ascii="宋体" w:hAnsi="宋体" w:cs="宋体" w:eastAsia="宋体" w:hint="default"/>
                <w:sz w:val="18"/>
                <w:szCs w:val="18"/>
              </w:rPr>
              <w:t> </w:t>
            </w:r>
            <w:r>
              <w:rPr>
                <w:rFonts w:ascii="宋体" w:hAnsi="宋体" w:cs="宋体" w:eastAsia="宋体" w:hint="default"/>
                <w:spacing w:val="18"/>
                <w:sz w:val="18"/>
                <w:szCs w:val="18"/>
              </w:rPr>
              <w:t>司起诉大唐微电子技</w:t>
            </w:r>
            <w:r>
              <w:rPr>
                <w:rFonts w:ascii="宋体" w:hAnsi="宋体" w:cs="宋体" w:eastAsia="宋体" w:hint="default"/>
                <w:sz w:val="18"/>
                <w:szCs w:val="18"/>
              </w:rPr>
              <w:t> </w:t>
            </w:r>
            <w:r>
              <w:rPr>
                <w:rFonts w:ascii="宋体" w:hAnsi="宋体" w:cs="宋体" w:eastAsia="宋体" w:hint="default"/>
                <w:spacing w:val="-2"/>
                <w:sz w:val="18"/>
                <w:szCs w:val="18"/>
              </w:rPr>
              <w:t>术有限公司，要求其支</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8"/>
                <w:sz w:val="18"/>
                <w:szCs w:val="18"/>
              </w:rPr>
              <w:t>付合同款项并支付相</w:t>
            </w:r>
            <w:r>
              <w:rPr>
                <w:rFonts w:ascii="宋体" w:hAnsi="宋体" w:cs="宋体" w:eastAsia="宋体" w:hint="default"/>
                <w:sz w:val="18"/>
                <w:szCs w:val="18"/>
              </w:rPr>
              <w:t> 应违约金。</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10,006.66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57" w:right="0"/>
              <w:jc w:val="left"/>
              <w:rPr>
                <w:rFonts w:ascii="宋体" w:hAnsi="宋体" w:cs="宋体" w:eastAsia="宋体" w:hint="default"/>
                <w:sz w:val="18"/>
                <w:szCs w:val="18"/>
              </w:rPr>
            </w:pPr>
            <w:r>
              <w:rPr>
                <w:rFonts w:ascii="宋体" w:hAnsi="宋体" w:cs="宋体" w:eastAsia="宋体" w:hint="default"/>
                <w:sz w:val="18"/>
                <w:szCs w:val="18"/>
              </w:rPr>
              <w:t>法院已受理</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21"/>
              <w:jc w:val="both"/>
              <w:rPr>
                <w:rFonts w:ascii="宋体" w:hAnsi="宋体" w:cs="宋体" w:eastAsia="宋体" w:hint="default"/>
                <w:sz w:val="18"/>
                <w:szCs w:val="18"/>
              </w:rPr>
            </w:pPr>
            <w:r>
              <w:rPr>
                <w:rFonts w:ascii="宋体" w:hAnsi="宋体" w:cs="宋体" w:eastAsia="宋体" w:hint="default"/>
                <w:spacing w:val="7"/>
                <w:sz w:val="18"/>
                <w:szCs w:val="18"/>
              </w:rPr>
              <w:t>上述案件尚未开庭</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审理，其对公司的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影</w:t>
            </w:r>
            <w:r>
              <w:rPr>
                <w:rFonts w:ascii="宋体" w:hAnsi="宋体" w:cs="宋体" w:eastAsia="宋体" w:hint="default"/>
                <w:spacing w:val="-50"/>
                <w:sz w:val="18"/>
                <w:szCs w:val="18"/>
              </w:rPr>
              <w:t> </w:t>
            </w:r>
            <w:r>
              <w:rPr>
                <w:rFonts w:ascii="宋体" w:hAnsi="宋体" w:cs="宋体" w:eastAsia="宋体" w:hint="default"/>
                <w:sz w:val="18"/>
                <w:szCs w:val="18"/>
              </w:rPr>
              <w:t>响</w:t>
            </w:r>
            <w:r>
              <w:rPr>
                <w:rFonts w:ascii="宋体" w:hAnsi="宋体" w:cs="宋体" w:eastAsia="宋体" w:hint="default"/>
                <w:spacing w:val="-50"/>
                <w:sz w:val="18"/>
                <w:szCs w:val="18"/>
              </w:rPr>
              <w:t> </w:t>
            </w:r>
            <w:r>
              <w:rPr>
                <w:rFonts w:ascii="宋体" w:hAnsi="宋体" w:cs="宋体" w:eastAsia="宋体" w:hint="default"/>
                <w:sz w:val="18"/>
                <w:szCs w:val="18"/>
              </w:rPr>
              <w:t>存</w:t>
            </w:r>
            <w:r>
              <w:rPr>
                <w:rFonts w:ascii="宋体" w:hAnsi="宋体" w:cs="宋体" w:eastAsia="宋体" w:hint="default"/>
                <w:spacing w:val="-50"/>
                <w:sz w:val="18"/>
                <w:szCs w:val="18"/>
              </w:rPr>
              <w:t> </w:t>
            </w:r>
            <w:r>
              <w:rPr>
                <w:rFonts w:ascii="宋体" w:hAnsi="宋体" w:cs="宋体" w:eastAsia="宋体" w:hint="default"/>
                <w:sz w:val="18"/>
                <w:szCs w:val="18"/>
              </w:rPr>
              <w:t>在</w:t>
            </w:r>
            <w:r>
              <w:rPr>
                <w:rFonts w:ascii="宋体" w:hAnsi="宋体" w:cs="宋体" w:eastAsia="宋体" w:hint="default"/>
                <w:spacing w:val="-50"/>
                <w:sz w:val="18"/>
                <w:szCs w:val="18"/>
              </w:rPr>
              <w:t> </w:t>
            </w:r>
            <w:r>
              <w:rPr>
                <w:rFonts w:ascii="宋体" w:hAnsi="宋体" w:cs="宋体" w:eastAsia="宋体" w:hint="default"/>
                <w:sz w:val="18"/>
                <w:szCs w:val="18"/>
              </w:rPr>
              <w:t>不</w:t>
            </w:r>
            <w:r>
              <w:rPr>
                <w:rFonts w:ascii="宋体" w:hAnsi="宋体" w:cs="宋体" w:eastAsia="宋体" w:hint="default"/>
                <w:spacing w:val="-51"/>
                <w:sz w:val="18"/>
                <w:szCs w:val="18"/>
              </w:rPr>
              <w:t> </w:t>
            </w:r>
            <w:r>
              <w:rPr>
                <w:rFonts w:ascii="宋体" w:hAnsi="宋体" w:cs="宋体" w:eastAsia="宋体" w:hint="default"/>
                <w:sz w:val="18"/>
                <w:szCs w:val="18"/>
              </w:rPr>
              <w:t>确</w:t>
            </w:r>
            <w:r>
              <w:rPr>
                <w:rFonts w:ascii="宋体" w:hAnsi="宋体" w:cs="宋体" w:eastAsia="宋体" w:hint="default"/>
                <w:spacing w:val="-50"/>
                <w:sz w:val="18"/>
                <w:szCs w:val="18"/>
              </w:rPr>
              <w:t> </w:t>
            </w:r>
            <w:r>
              <w:rPr>
                <w:rFonts w:ascii="宋体" w:hAnsi="宋体" w:cs="宋体" w:eastAsia="宋体" w:hint="default"/>
                <w:sz w:val="18"/>
                <w:szCs w:val="18"/>
              </w:rPr>
              <w:t>定</w:t>
            </w:r>
            <w:r>
              <w:rPr>
                <w:rFonts w:ascii="宋体" w:hAnsi="宋体" w:cs="宋体" w:eastAsia="宋体" w:hint="default"/>
                <w:sz w:val="18"/>
                <w:szCs w:val="18"/>
              </w:rPr>
              <w:t> 性。</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0"/>
              <w:jc w:val="center"/>
              <w:rPr>
                <w:rFonts w:ascii="宋体" w:hAnsi="宋体" w:cs="宋体" w:eastAsia="宋体" w:hint="default"/>
                <w:sz w:val="18"/>
                <w:szCs w:val="18"/>
              </w:rPr>
            </w:pPr>
            <w:r>
              <w:rPr>
                <w:rFonts w:ascii="宋体" w:hAnsi="宋体" w:cs="宋体" w:eastAsia="宋体" w:hint="default"/>
                <w:sz w:val="18"/>
                <w:szCs w:val="18"/>
              </w:rPr>
              <w:t>目前尚未判决</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2586"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9"/>
              <w:jc w:val="both"/>
              <w:rPr>
                <w:rFonts w:ascii="宋体" w:hAnsi="宋体" w:cs="宋体" w:eastAsia="宋体" w:hint="default"/>
                <w:sz w:val="18"/>
                <w:szCs w:val="18"/>
              </w:rPr>
            </w:pPr>
            <w:r>
              <w:rPr>
                <w:rFonts w:ascii="宋体" w:hAnsi="宋体" w:cs="宋体" w:eastAsia="宋体" w:hint="default"/>
                <w:spacing w:val="18"/>
                <w:sz w:val="18"/>
                <w:szCs w:val="18"/>
              </w:rPr>
              <w:t>全资子公司北京神州</w:t>
            </w:r>
            <w:r>
              <w:rPr>
                <w:rFonts w:ascii="宋体" w:hAnsi="宋体" w:cs="宋体" w:eastAsia="宋体" w:hint="default"/>
                <w:sz w:val="18"/>
                <w:szCs w:val="18"/>
              </w:rPr>
              <w:t> </w:t>
            </w:r>
            <w:r>
              <w:rPr>
                <w:rFonts w:ascii="宋体" w:hAnsi="宋体" w:cs="宋体" w:eastAsia="宋体" w:hint="default"/>
                <w:spacing w:val="18"/>
                <w:sz w:val="18"/>
                <w:szCs w:val="18"/>
              </w:rPr>
              <w:t>泰岳系统集成有限公</w:t>
            </w:r>
            <w:r>
              <w:rPr>
                <w:rFonts w:ascii="宋体" w:hAnsi="宋体" w:cs="宋体" w:eastAsia="宋体" w:hint="default"/>
                <w:sz w:val="18"/>
                <w:szCs w:val="18"/>
              </w:rPr>
              <w:t> 司提请仲裁，要求安徽 </w:t>
            </w:r>
            <w:r>
              <w:rPr>
                <w:rFonts w:ascii="宋体" w:hAnsi="宋体" w:cs="宋体" w:eastAsia="宋体" w:hint="default"/>
                <w:spacing w:val="18"/>
                <w:sz w:val="18"/>
                <w:szCs w:val="18"/>
              </w:rPr>
              <w:t>善下信息科技有限公</w:t>
            </w:r>
            <w:r>
              <w:rPr>
                <w:rFonts w:ascii="宋体" w:hAnsi="宋体" w:cs="宋体" w:eastAsia="宋体" w:hint="default"/>
                <w:sz w:val="18"/>
                <w:szCs w:val="18"/>
              </w:rPr>
              <w:t> 司支付货款及违约金。</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1,744.12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237" w:right="56" w:hanging="180"/>
              <w:jc w:val="left"/>
              <w:rPr>
                <w:rFonts w:ascii="宋体" w:hAnsi="宋体" w:cs="宋体" w:eastAsia="宋体" w:hint="default"/>
                <w:sz w:val="18"/>
                <w:szCs w:val="18"/>
              </w:rPr>
            </w:pPr>
            <w:r>
              <w:rPr>
                <w:rFonts w:ascii="宋体" w:hAnsi="宋体" w:cs="宋体" w:eastAsia="宋体" w:hint="default"/>
                <w:sz w:val="18"/>
                <w:szCs w:val="18"/>
              </w:rPr>
              <w:t>仲裁委已判 决胜诉</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both"/>
              <w:rPr>
                <w:rFonts w:ascii="宋体" w:hAnsi="宋体" w:cs="宋体" w:eastAsia="宋体" w:hint="default"/>
                <w:sz w:val="18"/>
                <w:szCs w:val="18"/>
              </w:rPr>
            </w:pPr>
            <w:r>
              <w:rPr>
                <w:rFonts w:ascii="宋体" w:hAnsi="宋体" w:cs="宋体" w:eastAsia="宋体" w:hint="default"/>
                <w:spacing w:val="7"/>
                <w:sz w:val="18"/>
                <w:szCs w:val="18"/>
              </w:rPr>
              <w:t>安徽善下信息科技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有限公司支付全部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货款、违约金以及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仲裁费。其股东上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海善下网络科技有</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限公司、高鹏飞对</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7"/>
                <w:sz w:val="18"/>
                <w:szCs w:val="18"/>
              </w:rPr>
              <w:t>应支付的款项承担</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连带清偿责任。</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判决执行中</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2274"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9"/>
              <w:jc w:val="both"/>
              <w:rPr>
                <w:rFonts w:ascii="宋体" w:hAnsi="宋体" w:cs="宋体" w:eastAsia="宋体" w:hint="default"/>
                <w:sz w:val="18"/>
                <w:szCs w:val="18"/>
              </w:rPr>
            </w:pPr>
            <w:r>
              <w:rPr>
                <w:rFonts w:ascii="宋体" w:hAnsi="宋体" w:cs="宋体" w:eastAsia="宋体" w:hint="default"/>
                <w:spacing w:val="18"/>
                <w:sz w:val="18"/>
                <w:szCs w:val="18"/>
              </w:rPr>
              <w:t>北京智芯微电子科技</w:t>
            </w:r>
            <w:r>
              <w:rPr>
                <w:rFonts w:ascii="宋体" w:hAnsi="宋体" w:cs="宋体" w:eastAsia="宋体" w:hint="default"/>
                <w:sz w:val="18"/>
                <w:szCs w:val="18"/>
              </w:rPr>
              <w:t> </w:t>
            </w:r>
            <w:r>
              <w:rPr>
                <w:rFonts w:ascii="宋体" w:hAnsi="宋体" w:cs="宋体" w:eastAsia="宋体" w:hint="default"/>
                <w:spacing w:val="18"/>
                <w:sz w:val="18"/>
                <w:szCs w:val="18"/>
              </w:rPr>
              <w:t>有限公司起诉公司全</w:t>
            </w:r>
            <w:r>
              <w:rPr>
                <w:rFonts w:ascii="宋体" w:hAnsi="宋体" w:cs="宋体" w:eastAsia="宋体" w:hint="default"/>
                <w:sz w:val="18"/>
                <w:szCs w:val="18"/>
              </w:rPr>
              <w:t> </w:t>
            </w:r>
            <w:r>
              <w:rPr>
                <w:rFonts w:ascii="宋体" w:hAnsi="宋体" w:cs="宋体" w:eastAsia="宋体" w:hint="default"/>
                <w:spacing w:val="18"/>
                <w:sz w:val="18"/>
                <w:szCs w:val="18"/>
              </w:rPr>
              <w:t>资子公司北京神州泰</w:t>
            </w:r>
            <w:r>
              <w:rPr>
                <w:rFonts w:ascii="宋体" w:hAnsi="宋体" w:cs="宋体" w:eastAsia="宋体" w:hint="default"/>
                <w:sz w:val="18"/>
                <w:szCs w:val="18"/>
              </w:rPr>
              <w:t> 岳系统集成有限公司、 </w:t>
            </w:r>
            <w:r>
              <w:rPr>
                <w:rFonts w:ascii="宋体" w:hAnsi="宋体" w:cs="宋体" w:eastAsia="宋体" w:hint="default"/>
                <w:spacing w:val="18"/>
                <w:sz w:val="18"/>
                <w:szCs w:val="18"/>
              </w:rPr>
              <w:t>北京实利通和科技发</w:t>
            </w:r>
            <w:r>
              <w:rPr>
                <w:rFonts w:ascii="宋体" w:hAnsi="宋体" w:cs="宋体" w:eastAsia="宋体" w:hint="default"/>
                <w:sz w:val="18"/>
                <w:szCs w:val="18"/>
              </w:rPr>
              <w:t> </w:t>
            </w:r>
            <w:r>
              <w:rPr>
                <w:rFonts w:ascii="宋体" w:hAnsi="宋体" w:cs="宋体" w:eastAsia="宋体" w:hint="default"/>
                <w:spacing w:val="18"/>
                <w:sz w:val="18"/>
                <w:szCs w:val="18"/>
              </w:rPr>
              <w:t>展有限公司要求解除</w:t>
            </w:r>
            <w:r>
              <w:rPr>
                <w:rFonts w:ascii="宋体" w:hAnsi="宋体" w:cs="宋体" w:eastAsia="宋体" w:hint="default"/>
                <w:sz w:val="18"/>
                <w:szCs w:val="18"/>
              </w:rPr>
              <w:t> 合同并赔偿经济损失。</w:t>
            </w:r>
          </w:p>
        </w:tc>
        <w:tc>
          <w:tcPr>
            <w:tcW w:w="9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4,193.42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否</w:t>
            </w:r>
          </w:p>
        </w:tc>
        <w:tc>
          <w:tcPr>
            <w:tcW w:w="10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4"/>
              <w:ind w:left="327" w:right="56" w:hanging="270"/>
              <w:jc w:val="left"/>
              <w:rPr>
                <w:rFonts w:ascii="宋体" w:hAnsi="宋体" w:cs="宋体" w:eastAsia="宋体" w:hint="default"/>
                <w:sz w:val="18"/>
                <w:szCs w:val="18"/>
              </w:rPr>
            </w:pPr>
            <w:r>
              <w:rPr>
                <w:rFonts w:ascii="宋体" w:hAnsi="宋体" w:cs="宋体" w:eastAsia="宋体" w:hint="default"/>
                <w:sz w:val="18"/>
                <w:szCs w:val="18"/>
              </w:rPr>
              <w:t>法院已开庭 审理</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22" w:right="21"/>
              <w:jc w:val="both"/>
              <w:rPr>
                <w:rFonts w:ascii="宋体" w:hAnsi="宋体" w:cs="宋体" w:eastAsia="宋体" w:hint="default"/>
                <w:sz w:val="18"/>
                <w:szCs w:val="18"/>
              </w:rPr>
            </w:pPr>
            <w:r>
              <w:rPr>
                <w:rFonts w:ascii="宋体" w:hAnsi="宋体" w:cs="宋体" w:eastAsia="宋体" w:hint="default"/>
                <w:spacing w:val="7"/>
                <w:sz w:val="18"/>
                <w:szCs w:val="18"/>
              </w:rPr>
              <w:t>法院已开庭审理，</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择</w:t>
            </w:r>
            <w:r>
              <w:rPr>
                <w:rFonts w:ascii="宋体" w:hAnsi="宋体" w:cs="宋体" w:eastAsia="宋体" w:hint="default"/>
                <w:spacing w:val="-50"/>
                <w:sz w:val="18"/>
                <w:szCs w:val="18"/>
              </w:rPr>
              <w:t> </w:t>
            </w:r>
            <w:r>
              <w:rPr>
                <w:rFonts w:ascii="宋体" w:hAnsi="宋体" w:cs="宋体" w:eastAsia="宋体" w:hint="default"/>
                <w:sz w:val="18"/>
                <w:szCs w:val="18"/>
              </w:rPr>
              <w:t>日</w:t>
            </w:r>
            <w:r>
              <w:rPr>
                <w:rFonts w:ascii="宋体" w:hAnsi="宋体" w:cs="宋体" w:eastAsia="宋体" w:hint="default"/>
                <w:spacing w:val="-50"/>
                <w:sz w:val="18"/>
                <w:szCs w:val="18"/>
              </w:rPr>
              <w:t> </w:t>
            </w:r>
            <w:r>
              <w:rPr>
                <w:rFonts w:ascii="宋体" w:hAnsi="宋体" w:cs="宋体" w:eastAsia="宋体" w:hint="default"/>
                <w:sz w:val="18"/>
                <w:szCs w:val="18"/>
              </w:rPr>
              <w:t>宣</w:t>
            </w:r>
            <w:r>
              <w:rPr>
                <w:rFonts w:ascii="宋体" w:hAnsi="宋体" w:cs="宋体" w:eastAsia="宋体" w:hint="default"/>
                <w:spacing w:val="-50"/>
                <w:sz w:val="18"/>
                <w:szCs w:val="18"/>
              </w:rPr>
              <w:t> </w:t>
            </w:r>
            <w:r>
              <w:rPr>
                <w:rFonts w:ascii="宋体" w:hAnsi="宋体" w:cs="宋体" w:eastAsia="宋体" w:hint="default"/>
                <w:sz w:val="18"/>
                <w:szCs w:val="18"/>
              </w:rPr>
              <w:t>布</w:t>
            </w:r>
            <w:r>
              <w:rPr>
                <w:rFonts w:ascii="宋体" w:hAnsi="宋体" w:cs="宋体" w:eastAsia="宋体" w:hint="default"/>
                <w:spacing w:val="-50"/>
                <w:sz w:val="18"/>
                <w:szCs w:val="18"/>
              </w:rPr>
              <w:t> </w:t>
            </w:r>
            <w:r>
              <w:rPr>
                <w:rFonts w:ascii="宋体" w:hAnsi="宋体" w:cs="宋体" w:eastAsia="宋体" w:hint="default"/>
                <w:sz w:val="18"/>
                <w:szCs w:val="18"/>
              </w:rPr>
              <w:t>审</w:t>
            </w:r>
            <w:r>
              <w:rPr>
                <w:rFonts w:ascii="宋体" w:hAnsi="宋体" w:cs="宋体" w:eastAsia="宋体" w:hint="default"/>
                <w:spacing w:val="-51"/>
                <w:sz w:val="18"/>
                <w:szCs w:val="18"/>
              </w:rPr>
              <w:t> </w:t>
            </w:r>
            <w:r>
              <w:rPr>
                <w:rFonts w:ascii="宋体" w:hAnsi="宋体" w:cs="宋体" w:eastAsia="宋体" w:hint="default"/>
                <w:sz w:val="18"/>
                <w:szCs w:val="18"/>
              </w:rPr>
              <w:t>理</w:t>
            </w:r>
            <w:r>
              <w:rPr>
                <w:rFonts w:ascii="宋体" w:hAnsi="宋体" w:cs="宋体" w:eastAsia="宋体" w:hint="default"/>
                <w:spacing w:val="-50"/>
                <w:sz w:val="18"/>
                <w:szCs w:val="18"/>
              </w:rPr>
              <w:t> </w:t>
            </w:r>
            <w:r>
              <w:rPr>
                <w:rFonts w:ascii="宋体" w:hAnsi="宋体" w:cs="宋体" w:eastAsia="宋体" w:hint="default"/>
                <w:sz w:val="18"/>
                <w:szCs w:val="18"/>
              </w:rPr>
              <w:t>结</w:t>
            </w:r>
            <w:r>
              <w:rPr>
                <w:rFonts w:ascii="宋体" w:hAnsi="宋体" w:cs="宋体" w:eastAsia="宋体" w:hint="default"/>
                <w:sz w:val="18"/>
                <w:szCs w:val="18"/>
              </w:rPr>
              <w:t> 果。</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目前尚未判决</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不适用</w:t>
            </w:r>
          </w:p>
        </w:tc>
        <w:tc>
          <w:tcPr>
            <w:tcW w:w="8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十二、处罚及整改情况" w:id="76"/>
      <w:bookmarkEnd w:id="76"/>
      <w:r>
        <w:rPr>
          <w:b w:val="0"/>
          <w:bCs w:val="0"/>
        </w:rPr>
      </w:r>
      <w:r>
        <w:rPr/>
        <w:t>十二、处罚及整改情况</w:t>
      </w:r>
      <w:r>
        <w:rPr>
          <w:b w:val="0"/>
          <w:bCs w:val="0"/>
        </w:rPr>
      </w:r>
    </w:p>
    <w:p>
      <w:pPr>
        <w:spacing w:line="240" w:lineRule="auto" w:before="7"/>
        <w:rPr>
          <w:rFonts w:ascii="宋体" w:hAnsi="宋体" w:cs="宋体" w:eastAsia="宋体" w:hint="default"/>
          <w:b/>
          <w:bCs/>
          <w:sz w:val="32"/>
          <w:szCs w:val="32"/>
        </w:rPr>
      </w:pPr>
    </w:p>
    <w:p>
      <w:pPr>
        <w:spacing w:line="489" w:lineRule="auto" w:before="0"/>
        <w:ind w:left="1134" w:right="787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公司报告期不存在处罚及整改情况。</w:t>
      </w:r>
    </w:p>
    <w:p>
      <w:pPr>
        <w:spacing w:line="240" w:lineRule="auto" w:before="9"/>
        <w:rPr>
          <w:rFonts w:ascii="宋体" w:hAnsi="宋体" w:cs="宋体" w:eastAsia="宋体" w:hint="default"/>
          <w:sz w:val="16"/>
          <w:szCs w:val="16"/>
        </w:rPr>
      </w:pPr>
    </w:p>
    <w:p>
      <w:pPr>
        <w:pStyle w:val="Heading2"/>
        <w:spacing w:line="240" w:lineRule="auto"/>
        <w:ind w:right="0"/>
        <w:jc w:val="left"/>
        <w:rPr>
          <w:b w:val="0"/>
          <w:bCs w:val="0"/>
        </w:rPr>
      </w:pPr>
      <w:bookmarkStart w:name="十三、公司及其控股股东、实际控制人的诚信状况" w:id="77"/>
      <w:bookmarkEnd w:id="77"/>
      <w:r>
        <w:rPr>
          <w:b w:val="0"/>
          <w:bCs w:val="0"/>
        </w:rPr>
      </w:r>
      <w:r>
        <w:rPr/>
        <w:t>十三、公司及其控股股东、实际控制人的诚信状况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十四、公司股权激励计划、员工持股计划或其他员工激励措施的实施情况" w:id="78"/>
      <w:bookmarkEnd w:id="78"/>
      <w:r>
        <w:rPr>
          <w:b w:val="0"/>
          <w:bCs w:val="0"/>
        </w:rPr>
      </w:r>
      <w:r>
        <w:rPr/>
        <w:t>十四、公司股权激励计划、员工持股计划或其他员工激励措施的实施情况</w:t>
      </w:r>
      <w:r>
        <w:rPr>
          <w:b w:val="0"/>
          <w:bCs w:val="0"/>
        </w:rPr>
      </w:r>
    </w:p>
    <w:p>
      <w:pPr>
        <w:spacing w:line="240" w:lineRule="auto" w:before="8"/>
        <w:rPr>
          <w:rFonts w:ascii="宋体" w:hAnsi="宋体" w:cs="宋体" w:eastAsia="宋体" w:hint="default"/>
          <w:b/>
          <w:bCs/>
          <w:sz w:val="32"/>
          <w:szCs w:val="32"/>
        </w:rPr>
      </w:pPr>
    </w:p>
    <w:p>
      <w:pPr>
        <w:spacing w:line="487" w:lineRule="auto" w:before="0"/>
        <w:ind w:left="1495" w:right="8222" w:hanging="362"/>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一、员工持股计划实施情况</w:t>
      </w:r>
      <w:r>
        <w:rPr>
          <w:rFonts w:ascii="宋体" w:hAnsi="宋体" w:cs="宋体" w:eastAsia="宋体" w:hint="default"/>
          <w:sz w:val="18"/>
          <w:szCs w:val="18"/>
        </w:rPr>
      </w:r>
    </w:p>
    <w:p>
      <w:pPr>
        <w:pStyle w:val="BodyText"/>
        <w:spacing w:line="240" w:lineRule="auto" w:before="47"/>
        <w:ind w:left="1493" w:right="0"/>
        <w:jc w:val="left"/>
      </w:pPr>
      <w:r>
        <w:rPr/>
        <w:t>（</w:t>
      </w:r>
      <w:r>
        <w:rPr>
          <w:rFonts w:ascii="Times New Roman" w:hAnsi="Times New Roman" w:cs="Times New Roman" w:eastAsia="Times New Roman" w:hint="default"/>
        </w:rPr>
        <w:t>1</w:t>
      </w:r>
      <w:r>
        <w:rPr/>
        <w:t>）公司因筹划员工持股计划相关事项，经申请于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8</w:t>
      </w:r>
      <w:r>
        <w:rPr/>
        <w:t>日起停牌。并于</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15</w:t>
      </w:r>
      <w:r>
        <w:rPr/>
        <w:t>日开市起复牌。</w:t>
      </w:r>
    </w:p>
    <w:p>
      <w:pPr>
        <w:spacing w:line="240" w:lineRule="auto" w:before="9"/>
        <w:rPr>
          <w:rFonts w:ascii="宋体" w:hAnsi="宋体" w:cs="宋体" w:eastAsia="宋体" w:hint="default"/>
          <w:sz w:val="16"/>
          <w:szCs w:val="16"/>
        </w:rPr>
      </w:pPr>
    </w:p>
    <w:p>
      <w:pPr>
        <w:pStyle w:val="BodyText"/>
        <w:spacing w:line="451" w:lineRule="auto"/>
        <w:ind w:left="1134" w:right="1127" w:firstLine="360"/>
        <w:jc w:val="left"/>
      </w:pPr>
      <w:r>
        <w:rPr>
          <w:spacing w:val="-2"/>
        </w:rPr>
        <w:t>（</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2015</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14</w:t>
      </w:r>
      <w:r>
        <w:rPr>
          <w:spacing w:val="-2"/>
        </w:rPr>
        <w:t>日公司第五届董事会第五十二次会议、第五届监事会第十八次会议审议通过《北京神州泰岳软件股份</w:t>
      </w:r>
      <w:r>
        <w:rPr/>
        <w:t> </w:t>
      </w:r>
      <w:r>
        <w:rPr>
          <w:spacing w:val="-5"/>
        </w:rPr>
        <w:t>有限公司第一期员工持股计划（草案）》及摘要、《关于提请股东大会授权董事会办理公司员工持股计划相关事宜的议案》、</w:t>
      </w:r>
    </w:p>
    <w:p>
      <w:pPr>
        <w:spacing w:after="0" w:line="451"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right="1118"/>
        <w:jc w:val="left"/>
      </w:pPr>
      <w:r>
        <w:rPr>
          <w:spacing w:val="-2"/>
        </w:rPr>
        <w:t>《北京神州泰岳软件股份有限公司第一期员工持股计划管理办法》、《关于召开</w:t>
      </w:r>
      <w:r>
        <w:rPr>
          <w:rFonts w:ascii="Times New Roman" w:hAnsi="Times New Roman" w:cs="Times New Roman" w:eastAsia="Times New Roman" w:hint="default"/>
          <w:spacing w:val="-2"/>
        </w:rPr>
        <w:t>2015</w:t>
      </w:r>
      <w:r>
        <w:rPr>
          <w:spacing w:val="-2"/>
        </w:rPr>
        <w:t>年第三次临时股东大会的议案》等相关</w:t>
      </w:r>
      <w:r>
        <w:rPr>
          <w:spacing w:val="-61"/>
        </w:rPr>
        <w:t> </w:t>
      </w:r>
      <w:r>
        <w:rPr>
          <w:spacing w:val="-61"/>
        </w:rPr>
      </w:r>
      <w:r>
        <w:rPr/>
        <w:t>议案。</w:t>
      </w:r>
    </w:p>
    <w:p>
      <w:pPr>
        <w:pStyle w:val="BodyText"/>
        <w:spacing w:line="463" w:lineRule="auto" w:before="74"/>
        <w:ind w:left="1134" w:right="1132" w:firstLine="360"/>
        <w:jc w:val="both"/>
      </w:pPr>
      <w:r>
        <w:rPr>
          <w:spacing w:val="-5"/>
        </w:rPr>
        <w:t>（</w:t>
      </w:r>
      <w:r>
        <w:rPr>
          <w:rFonts w:ascii="Times New Roman" w:hAnsi="Times New Roman" w:cs="Times New Roman" w:eastAsia="Times New Roman" w:hint="default"/>
          <w:spacing w:val="-5"/>
        </w:rPr>
        <w:t>3</w:t>
      </w:r>
      <w:r>
        <w:rPr>
          <w:spacing w:val="-5"/>
        </w:rPr>
        <w:t>）</w:t>
      </w:r>
      <w:r>
        <w:rPr>
          <w:rFonts w:ascii="Times New Roman" w:hAnsi="Times New Roman" w:cs="Times New Roman" w:eastAsia="Times New Roman" w:hint="default"/>
          <w:spacing w:val="-5"/>
        </w:rPr>
        <w:t>2015</w:t>
      </w:r>
      <w:r>
        <w:rPr>
          <w:spacing w:val="-5"/>
        </w:rPr>
        <w:t>年</w:t>
      </w:r>
      <w:r>
        <w:rPr>
          <w:rFonts w:ascii="Times New Roman" w:hAnsi="Times New Roman" w:cs="Times New Roman" w:eastAsia="Times New Roman" w:hint="default"/>
          <w:spacing w:val="-5"/>
        </w:rPr>
        <w:t>7</w:t>
      </w:r>
      <w:r>
        <w:rPr>
          <w:spacing w:val="-5"/>
        </w:rPr>
        <w:t>月</w:t>
      </w:r>
      <w:r>
        <w:rPr>
          <w:rFonts w:ascii="Times New Roman" w:hAnsi="Times New Roman" w:cs="Times New Roman" w:eastAsia="Times New Roman" w:hint="default"/>
          <w:spacing w:val="-5"/>
        </w:rPr>
        <w:t>30</w:t>
      </w:r>
      <w:r>
        <w:rPr>
          <w:spacing w:val="-5"/>
        </w:rPr>
        <w:t>日公司</w:t>
      </w:r>
      <w:r>
        <w:rPr>
          <w:rFonts w:ascii="Times New Roman" w:hAnsi="Times New Roman" w:cs="Times New Roman" w:eastAsia="Times New Roman" w:hint="default"/>
          <w:spacing w:val="-5"/>
        </w:rPr>
        <w:t>2015</w:t>
      </w:r>
      <w:r>
        <w:rPr>
          <w:spacing w:val="-5"/>
        </w:rPr>
        <w:t>年第三次临时股东大会审议通过《北京神州泰岳软件股份有限公司第一期员工持股计划（草</w:t>
      </w:r>
      <w:r>
        <w:rPr/>
        <w:t> </w:t>
      </w:r>
      <w:r>
        <w:rPr>
          <w:spacing w:val="-2"/>
        </w:rPr>
        <w:t>案）》及摘要、《关于提请股东大会授权董事会办理公司员工持股计划相关事宜的议案》、《北京神州泰岳软件股份有限公</w:t>
      </w:r>
      <w:r>
        <w:rPr>
          <w:spacing w:val="-67"/>
        </w:rPr>
        <w:t> </w:t>
      </w:r>
      <w:r>
        <w:rPr>
          <w:spacing w:val="-67"/>
        </w:rPr>
      </w:r>
      <w:r>
        <w:rPr/>
        <w:t>司第一期员工持股计划管理办法》等相关议案。</w:t>
      </w:r>
    </w:p>
    <w:p>
      <w:pPr>
        <w:pStyle w:val="BodyText"/>
        <w:spacing w:line="451" w:lineRule="auto" w:before="65"/>
        <w:ind w:left="1134" w:right="1040" w:firstLine="360"/>
        <w:jc w:val="both"/>
      </w:pPr>
      <w:r>
        <w:rPr/>
        <w:t>（</w:t>
      </w:r>
      <w:r>
        <w:rPr>
          <w:rFonts w:ascii="Times New Roman" w:hAnsi="Times New Roman" w:cs="Times New Roman" w:eastAsia="Times New Roman" w:hint="default"/>
        </w:rPr>
        <w:t>4</w:t>
      </w:r>
      <w:r>
        <w:rPr/>
        <w:t>）</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日，公司第一期员工持股计划已完成股票购买，共计</w:t>
      </w:r>
      <w:r>
        <w:rPr>
          <w:rFonts w:ascii="Times New Roman" w:hAnsi="Times New Roman" w:cs="Times New Roman" w:eastAsia="Times New Roman" w:hint="default"/>
        </w:rPr>
        <w:t>7,301.08</w:t>
      </w:r>
      <w:r>
        <w:rPr/>
        <w:t>万股，占公司总股本的比例为</w:t>
      </w:r>
      <w:r>
        <w:rPr>
          <w:rFonts w:ascii="Times New Roman" w:hAnsi="Times New Roman" w:cs="Times New Roman" w:eastAsia="Times New Roman" w:hint="default"/>
        </w:rPr>
        <w:t>3.66%</w:t>
      </w:r>
      <w:r>
        <w:rPr/>
        <w:t>， 购买均价为</w:t>
      </w:r>
      <w:r>
        <w:rPr>
          <w:rFonts w:ascii="Times New Roman" w:hAnsi="Times New Roman" w:cs="Times New Roman" w:eastAsia="Times New Roman" w:hint="default"/>
        </w:rPr>
        <w:t>11.08</w:t>
      </w:r>
      <w:r>
        <w:rPr/>
        <w:t>元</w:t>
      </w:r>
      <w:r>
        <w:rPr>
          <w:rFonts w:ascii="Times New Roman" w:hAnsi="Times New Roman" w:cs="Times New Roman" w:eastAsia="Times New Roman" w:hint="default"/>
        </w:rPr>
        <w:t>/</w:t>
      </w:r>
      <w:r>
        <w:rPr/>
        <w:t>股。锁定期为</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25</w:t>
      </w:r>
      <w:r>
        <w:rPr/>
        <w:t>日至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24</w:t>
      </w:r>
      <w:r>
        <w:rPr/>
        <w:t>日。</w:t>
      </w:r>
    </w:p>
    <w:p>
      <w:pPr>
        <w:pStyle w:val="BodyText"/>
        <w:spacing w:line="451" w:lineRule="auto" w:before="43"/>
        <w:ind w:left="1134" w:right="1131" w:firstLine="360"/>
        <w:jc w:val="both"/>
      </w:pPr>
      <w:r>
        <w:rPr/>
        <w:t>（</w:t>
      </w:r>
      <w:r>
        <w:rPr>
          <w:rFonts w:ascii="Times New Roman" w:hAnsi="Times New Roman" w:cs="Times New Roman" w:eastAsia="Times New Roman" w:hint="default"/>
        </w:rPr>
        <w:t>5)</w:t>
      </w:r>
      <w:r>
        <w:rPr>
          <w:rFonts w:ascii="Times New Roman" w:hAnsi="Times New Roman" w:cs="Times New Roman" w:eastAsia="Times New Roman" w:hint="default"/>
          <w:spacing w:val="29"/>
        </w:rPr>
        <w:t> </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23</w:t>
      </w:r>
      <w:r>
        <w:rPr/>
        <w:t>日，公司刊登《公司员工持股计划锁定期届满的提示性公告》，公司员工持股计划锁定期届满，股 票的数量为</w:t>
      </w:r>
      <w:r>
        <w:rPr>
          <w:rFonts w:ascii="Times New Roman" w:hAnsi="Times New Roman" w:cs="Times New Roman" w:eastAsia="Times New Roman" w:hint="default"/>
        </w:rPr>
        <w:t>7,301.08</w:t>
      </w:r>
      <w:r>
        <w:rPr/>
        <w:t>万股，占公司总股本的比例为</w:t>
      </w:r>
      <w:r>
        <w:rPr>
          <w:rFonts w:ascii="Times New Roman" w:hAnsi="Times New Roman" w:cs="Times New Roman" w:eastAsia="Times New Roman" w:hint="default"/>
        </w:rPr>
        <w:t>3.72%</w:t>
      </w:r>
      <w:r>
        <w:rPr/>
        <w:t>。</w:t>
      </w:r>
    </w:p>
    <w:p>
      <w:pPr>
        <w:spacing w:line="477" w:lineRule="auto" w:before="43"/>
        <w:ind w:left="1495" w:right="6433" w:hanging="2"/>
        <w:jc w:val="left"/>
        <w:rPr>
          <w:rFonts w:ascii="宋体" w:hAnsi="宋体" w:cs="宋体" w:eastAsia="宋体" w:hint="default"/>
          <w:sz w:val="18"/>
          <w:szCs w:val="18"/>
        </w:rPr>
      </w:pPr>
      <w:r>
        <w:rPr/>
        <w:pict>
          <v:shape style="position:absolute;margin-left:56.34pt;margin-top:44.521706pt;width:479.6pt;height:317.3pt;mso-position-horizontal-relative:page;mso-position-vertical-relative:paragraph;z-index:1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12"/>
                    <w:gridCol w:w="2267"/>
                    <w:gridCol w:w="3191"/>
                  </w:tblGrid>
                  <w:tr>
                    <w:trPr>
                      <w:trHeight w:val="583" w:hRule="exact"/>
                    </w:trPr>
                    <w:tc>
                      <w:tcPr>
                        <w:tcW w:w="4112"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267"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40"/>
                          <w:ind w:left="547"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191" w:type="dxa"/>
                        <w:tcBorders>
                          <w:top w:val="single" w:sz="6" w:space="0" w:color="000000"/>
                          <w:left w:val="single" w:sz="6" w:space="0" w:color="000000"/>
                          <w:bottom w:val="single" w:sz="6" w:space="0" w:color="000000"/>
                          <w:right w:val="single" w:sz="6" w:space="0" w:color="000000"/>
                        </w:tcBorders>
                        <w:shd w:val="clear" w:color="auto" w:fill="D2D2D2"/>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临时公告披露索引</w:t>
                        </w:r>
                      </w:p>
                    </w:tc>
                  </w:tr>
                  <w:tr>
                    <w:trPr>
                      <w:trHeight w:val="428"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关于筹划员工持股计划的停牌公告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08</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6"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第五届董事会第五十二次会议决议公告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8"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第五届监事会第十八次会议决议公告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第一期员工持股计划（草案）摘要</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第一期员工持股计划（草案）</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关于筹划员工持股计划暨公司复牌的公告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739"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62"/>
                          <w:ind w:left="517" w:right="2" w:hanging="516"/>
                          <w:jc w:val="left"/>
                          <w:rPr>
                            <w:rFonts w:ascii="宋体" w:hAnsi="宋体" w:cs="宋体" w:eastAsia="宋体" w:hint="default"/>
                            <w:sz w:val="18"/>
                            <w:szCs w:val="18"/>
                          </w:rPr>
                        </w:pPr>
                        <w:r>
                          <w:rPr>
                            <w:rFonts w:ascii="宋体" w:hAnsi="宋体" w:cs="宋体" w:eastAsia="宋体" w:hint="default"/>
                            <w:spacing w:val="-3"/>
                            <w:sz w:val="18"/>
                            <w:szCs w:val="18"/>
                          </w:rPr>
                          <w:t>独立董事关于《北京神州泰岳软件股份有限公司第一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期员工持股计划（草案）》的独立意见</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738"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61"/>
                          <w:ind w:left="517" w:right="68" w:hanging="451"/>
                          <w:jc w:val="left"/>
                          <w:rPr>
                            <w:rFonts w:ascii="宋体" w:hAnsi="宋体" w:cs="宋体" w:eastAsia="宋体" w:hint="default"/>
                            <w:sz w:val="18"/>
                            <w:szCs w:val="18"/>
                          </w:rPr>
                        </w:pPr>
                        <w:r>
                          <w:rPr>
                            <w:rFonts w:ascii="宋体" w:hAnsi="宋体" w:cs="宋体" w:eastAsia="宋体" w:hint="default"/>
                            <w:sz w:val="18"/>
                            <w:szCs w:val="18"/>
                          </w:rPr>
                          <w:t>北京市天元律师事务所关于北京神州泰岳软件股份 有限公司实施员工持股计划的法律意见</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年第三次临时股东大会决议公告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07</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关于第一期员工持股计划实施进展的公告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08</w:t>
                        </w:r>
                        <w:r>
                          <w:rPr>
                            <w:rFonts w:ascii="宋体" w:hAnsi="宋体" w:cs="宋体" w:eastAsia="宋体" w:hint="default"/>
                            <w:sz w:val="18"/>
                            <w:szCs w:val="18"/>
                          </w:rPr>
                          <w:t>月</w:t>
                        </w:r>
                        <w:r>
                          <w:rPr>
                            <w:rFonts w:ascii="Times New Roman" w:hAnsi="Times New Roman" w:cs="Times New Roman" w:eastAsia="Times New Roman" w:hint="default"/>
                            <w:sz w:val="18"/>
                            <w:szCs w:val="18"/>
                          </w:rPr>
                          <w:t>29</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关于第一期员工持股计划完成股票购买的公告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关于公司员工持股计划锁定期届满的提示性公告</w:t>
                        </w:r>
                      </w:p>
                    </w:tc>
                    <w:tc>
                      <w:tcPr>
                        <w:tcW w:w="2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49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31">
                          <w:r>
                            <w:rPr>
                              <w:rFonts w:ascii="Times New Roman" w:hAnsi="Times New Roman" w:cs="Times New Roman" w:eastAsia="Times New Roman" w:hint="default"/>
                              <w:sz w:val="18"/>
                              <w:szCs w:val="18"/>
                            </w:rPr>
                            <w:t>www.cninfo.com.cn</w:t>
                          </w:r>
                        </w:hyperlink>
                      </w:p>
                    </w:tc>
                  </w:tr>
                </w:tbl>
                <w:p>
                  <w:pPr/>
                </w:p>
              </w:txbxContent>
            </v:textbox>
            <w10:wrap type="none"/>
          </v:shape>
        </w:pict>
      </w:r>
      <w:r>
        <w:rPr>
          <w:rFonts w:ascii="宋体" w:hAnsi="宋体" w:cs="宋体" w:eastAsia="宋体" w:hint="default"/>
          <w:sz w:val="18"/>
          <w:szCs w:val="18"/>
        </w:rPr>
        <w:t>截止目前公司员工持股计划未卖出，仍在进行中。 </w:t>
      </w:r>
      <w:r>
        <w:rPr>
          <w:rFonts w:ascii="宋体" w:hAnsi="宋体" w:cs="宋体" w:eastAsia="宋体" w:hint="default"/>
          <w:b/>
          <w:bCs/>
          <w:sz w:val="18"/>
          <w:szCs w:val="18"/>
        </w:rPr>
        <w:t>员工持股计划主要事项临时报告披露网站查询</w:t>
      </w:r>
      <w:r>
        <w:rPr>
          <w:rFonts w:ascii="宋体" w:hAnsi="宋体" w:cs="宋体" w:eastAsia="宋体" w:hint="default"/>
          <w:sz w:val="18"/>
          <w:szCs w:val="18"/>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4"/>
          <w:szCs w:val="24"/>
        </w:rPr>
      </w:pPr>
    </w:p>
    <w:p>
      <w:pPr>
        <w:pStyle w:val="Heading2"/>
        <w:spacing w:line="240" w:lineRule="auto" w:before="26"/>
        <w:ind w:right="0"/>
        <w:jc w:val="left"/>
        <w:rPr>
          <w:b w:val="0"/>
          <w:bCs w:val="0"/>
        </w:rPr>
      </w:pPr>
      <w:bookmarkStart w:name="十五、重大关联交易" w:id="79"/>
      <w:bookmarkEnd w:id="79"/>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与日常经营相关的关联交易" w:id="80"/>
      <w:bookmarkEnd w:id="80"/>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7"/>
        <w:rPr>
          <w:rFonts w:ascii="宋体" w:hAnsi="宋体" w:cs="宋体" w:eastAsia="宋体" w:hint="default"/>
          <w:b/>
          <w:bCs/>
          <w:sz w:val="32"/>
          <w:szCs w:val="32"/>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776"/>
        <w:gridCol w:w="689"/>
        <w:gridCol w:w="677"/>
        <w:gridCol w:w="703"/>
        <w:gridCol w:w="680"/>
        <w:gridCol w:w="674"/>
        <w:gridCol w:w="674"/>
        <w:gridCol w:w="674"/>
        <w:gridCol w:w="673"/>
        <w:gridCol w:w="674"/>
        <w:gridCol w:w="675"/>
        <w:gridCol w:w="673"/>
        <w:gridCol w:w="671"/>
        <w:gridCol w:w="644"/>
      </w:tblGrid>
      <w:tr>
        <w:trPr>
          <w:trHeight w:val="317" w:hRule="exact"/>
        </w:trPr>
        <w:tc>
          <w:tcPr>
            <w:tcW w:w="776" w:type="dxa"/>
            <w:tcBorders>
              <w:top w:val="single" w:sz="4" w:space="0" w:color="000000"/>
              <w:left w:val="single" w:sz="4" w:space="0" w:color="000000"/>
              <w:bottom w:val="nil" w:sz="6" w:space="0" w:color="auto"/>
              <w:right w:val="single" w:sz="4" w:space="0" w:color="000000"/>
            </w:tcBorders>
            <w:shd w:val="clear" w:color="auto" w:fill="D9D9D9"/>
          </w:tcPr>
          <w:p>
            <w:pPr/>
          </w:p>
        </w:tc>
        <w:tc>
          <w:tcPr>
            <w:tcW w:w="689" w:type="dxa"/>
            <w:vMerge w:val="restart"/>
            <w:tcBorders>
              <w:top w:val="single" w:sz="4" w:space="0" w:color="000000"/>
              <w:left w:val="single" w:sz="10" w:space="0" w:color="D9D9D9"/>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8" w:right="61" w:hanging="180"/>
              <w:jc w:val="left"/>
              <w:rPr>
                <w:rFonts w:ascii="宋体" w:hAnsi="宋体" w:cs="宋体" w:eastAsia="宋体" w:hint="default"/>
                <w:sz w:val="18"/>
                <w:szCs w:val="18"/>
              </w:rPr>
            </w:pPr>
            <w:r>
              <w:rPr>
                <w:rFonts w:ascii="宋体" w:hAnsi="宋体" w:cs="宋体" w:eastAsia="宋体" w:hint="default"/>
                <w:sz w:val="18"/>
                <w:szCs w:val="18"/>
              </w:rPr>
              <w:t>关联关 系</w:t>
            </w:r>
          </w:p>
        </w:tc>
        <w:tc>
          <w:tcPr>
            <w:tcW w:w="6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63" w:right="61"/>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7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75" w:right="77"/>
              <w:jc w:val="left"/>
              <w:rPr>
                <w:rFonts w:ascii="宋体" w:hAnsi="宋体" w:cs="宋体" w:eastAsia="宋体" w:hint="default"/>
                <w:sz w:val="18"/>
                <w:szCs w:val="18"/>
              </w:rPr>
            </w:pPr>
            <w:r>
              <w:rPr>
                <w:rFonts w:ascii="宋体" w:hAnsi="宋体" w:cs="宋体" w:eastAsia="宋体" w:hint="default"/>
                <w:sz w:val="18"/>
                <w:szCs w:val="18"/>
              </w:rPr>
              <w:t>关联交 易内容</w:t>
            </w:r>
          </w:p>
        </w:tc>
        <w:tc>
          <w:tcPr>
            <w:tcW w:w="68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4" w:right="65"/>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6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61" w:right="60"/>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67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62" w:right="60"/>
              <w:jc w:val="left"/>
              <w:rPr>
                <w:rFonts w:ascii="宋体" w:hAnsi="宋体" w:cs="宋体" w:eastAsia="宋体" w:hint="default"/>
                <w:sz w:val="18"/>
                <w:szCs w:val="18"/>
              </w:rPr>
            </w:pPr>
            <w:r>
              <w:rPr>
                <w:rFonts w:ascii="宋体" w:hAnsi="宋体" w:cs="宋体" w:eastAsia="宋体" w:hint="default"/>
                <w:sz w:val="18"/>
                <w:szCs w:val="18"/>
              </w:rPr>
              <w:t>关联交 易金额</w:t>
            </w:r>
          </w:p>
          <w:p>
            <w:pPr>
              <w:pStyle w:val="TableParagraph"/>
              <w:spacing w:line="319" w:lineRule="auto" w:before="19"/>
              <w:ind w:left="152" w:right="150"/>
              <w:jc w:val="left"/>
              <w:rPr>
                <w:rFonts w:ascii="宋体" w:hAnsi="宋体" w:cs="宋体" w:eastAsia="宋体" w:hint="default"/>
                <w:sz w:val="18"/>
                <w:szCs w:val="18"/>
              </w:rPr>
            </w:pPr>
            <w:r>
              <w:rPr>
                <w:rFonts w:ascii="宋体" w:hAnsi="宋体" w:cs="宋体" w:eastAsia="宋体" w:hint="default"/>
                <w:sz w:val="18"/>
                <w:szCs w:val="18"/>
              </w:rPr>
              <w:t>（万 元）</w:t>
            </w:r>
          </w:p>
        </w:tc>
        <w:tc>
          <w:tcPr>
            <w:tcW w:w="674"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61" w:right="61"/>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67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61" w:right="60"/>
              <w:jc w:val="both"/>
              <w:rPr>
                <w:rFonts w:ascii="宋体" w:hAnsi="宋体" w:cs="宋体" w:eastAsia="宋体" w:hint="default"/>
                <w:sz w:val="18"/>
                <w:szCs w:val="18"/>
              </w:rPr>
            </w:pPr>
            <w:r>
              <w:rPr>
                <w:rFonts w:ascii="宋体" w:hAnsi="宋体" w:cs="宋体" w:eastAsia="宋体" w:hint="default"/>
                <w:sz w:val="18"/>
                <w:szCs w:val="18"/>
              </w:rPr>
              <w:t>获批的 交易额 度（万 元）</w:t>
            </w:r>
          </w:p>
        </w:tc>
        <w:tc>
          <w:tcPr>
            <w:tcW w:w="6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2" w:right="60"/>
              <w:jc w:val="both"/>
              <w:rPr>
                <w:rFonts w:ascii="宋体" w:hAnsi="宋体" w:cs="宋体" w:eastAsia="宋体" w:hint="default"/>
                <w:sz w:val="18"/>
                <w:szCs w:val="18"/>
              </w:rPr>
            </w:pPr>
            <w:r>
              <w:rPr>
                <w:rFonts w:ascii="宋体" w:hAnsi="宋体" w:cs="宋体" w:eastAsia="宋体" w:hint="default"/>
                <w:sz w:val="18"/>
                <w:szCs w:val="18"/>
              </w:rPr>
              <w:t>是否超 过获批 额度</w:t>
            </w:r>
          </w:p>
        </w:tc>
        <w:tc>
          <w:tcPr>
            <w:tcW w:w="67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1" w:right="63"/>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673"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61" w:right="60"/>
              <w:jc w:val="center"/>
              <w:rPr>
                <w:rFonts w:ascii="宋体" w:hAnsi="宋体" w:cs="宋体" w:eastAsia="宋体" w:hint="default"/>
                <w:sz w:val="18"/>
                <w:szCs w:val="18"/>
              </w:rPr>
            </w:pPr>
            <w:r>
              <w:rPr>
                <w:rFonts w:ascii="宋体" w:hAnsi="宋体" w:cs="宋体" w:eastAsia="宋体" w:hint="default"/>
                <w:sz w:val="18"/>
                <w:szCs w:val="18"/>
              </w:rPr>
              <w:t>可获得 的同类 交易市 价</w:t>
            </w:r>
          </w:p>
        </w:tc>
        <w:tc>
          <w:tcPr>
            <w:tcW w:w="6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1" w:right="59"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64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6" w:right="47" w:hanging="180"/>
              <w:jc w:val="left"/>
              <w:rPr>
                <w:rFonts w:ascii="宋体" w:hAnsi="宋体" w:cs="宋体" w:eastAsia="宋体" w:hint="default"/>
                <w:sz w:val="18"/>
                <w:szCs w:val="18"/>
              </w:rPr>
            </w:pPr>
            <w:r>
              <w:rPr>
                <w:rFonts w:ascii="宋体" w:hAnsi="宋体" w:cs="宋体" w:eastAsia="宋体" w:hint="default"/>
                <w:sz w:val="18"/>
                <w:szCs w:val="18"/>
              </w:rPr>
              <w:t>披露索 引</w:t>
            </w:r>
          </w:p>
        </w:tc>
      </w:tr>
      <w:tr>
        <w:trPr>
          <w:trHeight w:val="704" w:hRule="exact"/>
        </w:trPr>
        <w:tc>
          <w:tcPr>
            <w:tcW w:w="77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9" w:lineRule="auto" w:before="51"/>
              <w:ind w:left="292" w:right="22" w:hanging="270"/>
              <w:jc w:val="left"/>
              <w:rPr>
                <w:rFonts w:ascii="宋体" w:hAnsi="宋体" w:cs="宋体" w:eastAsia="宋体" w:hint="default"/>
                <w:sz w:val="18"/>
                <w:szCs w:val="18"/>
              </w:rPr>
            </w:pPr>
            <w:r>
              <w:rPr>
                <w:rFonts w:ascii="宋体" w:hAnsi="宋体" w:cs="宋体" w:eastAsia="宋体" w:hint="default"/>
                <w:sz w:val="18"/>
                <w:szCs w:val="18"/>
              </w:rPr>
              <w:t>关联交易 方</w:t>
            </w:r>
          </w:p>
        </w:tc>
        <w:tc>
          <w:tcPr>
            <w:tcW w:w="689" w:type="dxa"/>
            <w:vMerge/>
            <w:tcBorders>
              <w:left w:val="single" w:sz="10" w:space="0" w:color="D9D9D9"/>
              <w:right w:val="single" w:sz="4" w:space="0" w:color="000000"/>
            </w:tcBorders>
            <w:shd w:val="clear" w:color="auto" w:fill="D2D2D2"/>
          </w:tcPr>
          <w:p>
            <w:pPr/>
          </w:p>
        </w:tc>
        <w:tc>
          <w:tcPr>
            <w:tcW w:w="677" w:type="dxa"/>
            <w:vMerge/>
            <w:tcBorders>
              <w:left w:val="single" w:sz="4" w:space="0" w:color="000000"/>
              <w:right w:val="single" w:sz="4" w:space="0" w:color="000000"/>
            </w:tcBorders>
            <w:shd w:val="clear" w:color="auto" w:fill="D2D2D2"/>
          </w:tcPr>
          <w:p>
            <w:pPr/>
          </w:p>
        </w:tc>
        <w:tc>
          <w:tcPr>
            <w:tcW w:w="703" w:type="dxa"/>
            <w:vMerge/>
            <w:tcBorders>
              <w:left w:val="single" w:sz="4" w:space="0" w:color="000000"/>
              <w:right w:val="single" w:sz="4" w:space="0" w:color="000000"/>
            </w:tcBorders>
            <w:shd w:val="clear" w:color="auto" w:fill="D2D2D2"/>
          </w:tcPr>
          <w:p>
            <w:pPr/>
          </w:p>
        </w:tc>
        <w:tc>
          <w:tcPr>
            <w:tcW w:w="680" w:type="dxa"/>
            <w:vMerge/>
            <w:tcBorders>
              <w:left w:val="single" w:sz="4" w:space="0" w:color="000000"/>
              <w:right w:val="single" w:sz="4" w:space="0" w:color="000000"/>
            </w:tcBorders>
            <w:shd w:val="clear" w:color="auto" w:fill="D2D2D2"/>
          </w:tcPr>
          <w:p>
            <w:pPr/>
          </w:p>
        </w:tc>
        <w:tc>
          <w:tcPr>
            <w:tcW w:w="674" w:type="dxa"/>
            <w:vMerge/>
            <w:tcBorders>
              <w:left w:val="single" w:sz="4" w:space="0" w:color="000000"/>
              <w:right w:val="single" w:sz="4" w:space="0" w:color="000000"/>
            </w:tcBorders>
            <w:shd w:val="clear" w:color="auto" w:fill="D2D2D2"/>
          </w:tcPr>
          <w:p>
            <w:pPr/>
          </w:p>
        </w:tc>
        <w:tc>
          <w:tcPr>
            <w:tcW w:w="674" w:type="dxa"/>
            <w:vMerge/>
            <w:tcBorders>
              <w:left w:val="single" w:sz="4" w:space="0" w:color="000000"/>
              <w:right w:val="single" w:sz="4" w:space="0" w:color="000000"/>
            </w:tcBorders>
            <w:shd w:val="clear" w:color="auto" w:fill="D2D2D2"/>
          </w:tcPr>
          <w:p>
            <w:pPr/>
          </w:p>
        </w:tc>
        <w:tc>
          <w:tcPr>
            <w:tcW w:w="674" w:type="dxa"/>
            <w:vMerge/>
            <w:tcBorders>
              <w:left w:val="single" w:sz="4" w:space="0" w:color="000000"/>
              <w:right w:val="single" w:sz="4" w:space="0" w:color="000000"/>
            </w:tcBorders>
            <w:shd w:val="clear" w:color="auto" w:fill="D2D2D2"/>
          </w:tcPr>
          <w:p>
            <w:pPr/>
          </w:p>
        </w:tc>
        <w:tc>
          <w:tcPr>
            <w:tcW w:w="673" w:type="dxa"/>
            <w:vMerge/>
            <w:tcBorders>
              <w:left w:val="single" w:sz="4" w:space="0" w:color="000000"/>
              <w:right w:val="single" w:sz="4" w:space="0" w:color="000000"/>
            </w:tcBorders>
            <w:shd w:val="clear" w:color="auto" w:fill="D2D2D2"/>
          </w:tcPr>
          <w:p>
            <w:pPr/>
          </w:p>
        </w:tc>
        <w:tc>
          <w:tcPr>
            <w:tcW w:w="674" w:type="dxa"/>
            <w:vMerge/>
            <w:tcBorders>
              <w:left w:val="single" w:sz="4" w:space="0" w:color="000000"/>
              <w:right w:val="single" w:sz="4" w:space="0" w:color="000000"/>
            </w:tcBorders>
            <w:shd w:val="clear" w:color="auto" w:fill="D2D2D2"/>
          </w:tcPr>
          <w:p>
            <w:pPr/>
          </w:p>
        </w:tc>
        <w:tc>
          <w:tcPr>
            <w:tcW w:w="675" w:type="dxa"/>
            <w:vMerge/>
            <w:tcBorders>
              <w:left w:val="single" w:sz="4" w:space="0" w:color="000000"/>
              <w:right w:val="single" w:sz="4" w:space="0" w:color="000000"/>
            </w:tcBorders>
            <w:shd w:val="clear" w:color="auto" w:fill="D2D2D2"/>
          </w:tcPr>
          <w:p>
            <w:pPr/>
          </w:p>
        </w:tc>
        <w:tc>
          <w:tcPr>
            <w:tcW w:w="673" w:type="dxa"/>
            <w:vMerge/>
            <w:tcBorders>
              <w:left w:val="single" w:sz="4" w:space="0" w:color="000000"/>
              <w:right w:val="single" w:sz="4" w:space="0" w:color="000000"/>
            </w:tcBorders>
            <w:shd w:val="clear" w:color="auto" w:fill="D2D2D2"/>
          </w:tcPr>
          <w:p>
            <w:pPr/>
          </w:p>
        </w:tc>
        <w:tc>
          <w:tcPr>
            <w:tcW w:w="671" w:type="dxa"/>
            <w:vMerge/>
            <w:tcBorders>
              <w:left w:val="single" w:sz="4" w:space="0" w:color="000000"/>
              <w:right w:val="single" w:sz="4" w:space="0" w:color="000000"/>
            </w:tcBorders>
            <w:shd w:val="clear" w:color="auto" w:fill="D2D2D2"/>
          </w:tcPr>
          <w:p>
            <w:pPr/>
          </w:p>
        </w:tc>
        <w:tc>
          <w:tcPr>
            <w:tcW w:w="644" w:type="dxa"/>
            <w:vMerge/>
            <w:tcBorders>
              <w:left w:val="single" w:sz="4" w:space="0" w:color="000000"/>
              <w:right w:val="single" w:sz="4" w:space="0" w:color="000000"/>
            </w:tcBorders>
            <w:shd w:val="clear" w:color="auto" w:fill="D2D2D2"/>
          </w:tcPr>
          <w:p>
            <w:pPr/>
          </w:p>
        </w:tc>
      </w:tr>
      <w:tr>
        <w:trPr>
          <w:trHeight w:val="317" w:hRule="exact"/>
        </w:trPr>
        <w:tc>
          <w:tcPr>
            <w:tcW w:w="776" w:type="dxa"/>
            <w:tcBorders>
              <w:top w:val="nil" w:sz="6" w:space="0" w:color="auto"/>
              <w:left w:val="single" w:sz="4" w:space="0" w:color="000000"/>
              <w:bottom w:val="single" w:sz="4" w:space="0" w:color="000000"/>
              <w:right w:val="single" w:sz="4" w:space="0" w:color="000000"/>
            </w:tcBorders>
            <w:shd w:val="clear" w:color="auto" w:fill="D9D9D9"/>
          </w:tcPr>
          <w:p>
            <w:pPr/>
          </w:p>
        </w:tc>
        <w:tc>
          <w:tcPr>
            <w:tcW w:w="689" w:type="dxa"/>
            <w:vMerge/>
            <w:tcBorders>
              <w:left w:val="single" w:sz="10" w:space="0" w:color="D9D9D9"/>
              <w:bottom w:val="single" w:sz="4" w:space="0" w:color="000000"/>
              <w:right w:val="single" w:sz="4" w:space="0" w:color="000000"/>
            </w:tcBorders>
            <w:shd w:val="clear" w:color="auto" w:fill="D2D2D2"/>
          </w:tcPr>
          <w:p>
            <w:pPr/>
          </w:p>
        </w:tc>
        <w:tc>
          <w:tcPr>
            <w:tcW w:w="677" w:type="dxa"/>
            <w:vMerge/>
            <w:tcBorders>
              <w:left w:val="single" w:sz="4" w:space="0" w:color="000000"/>
              <w:bottom w:val="single" w:sz="4" w:space="0" w:color="000000"/>
              <w:right w:val="single" w:sz="4" w:space="0" w:color="000000"/>
            </w:tcBorders>
            <w:shd w:val="clear" w:color="auto" w:fill="D2D2D2"/>
          </w:tcPr>
          <w:p>
            <w:pPr/>
          </w:p>
        </w:tc>
        <w:tc>
          <w:tcPr>
            <w:tcW w:w="703" w:type="dxa"/>
            <w:vMerge/>
            <w:tcBorders>
              <w:left w:val="single" w:sz="4" w:space="0" w:color="000000"/>
              <w:bottom w:val="single" w:sz="4" w:space="0" w:color="000000"/>
              <w:right w:val="single" w:sz="4" w:space="0" w:color="000000"/>
            </w:tcBorders>
            <w:shd w:val="clear" w:color="auto" w:fill="D2D2D2"/>
          </w:tcPr>
          <w:p>
            <w:pPr/>
          </w:p>
        </w:tc>
        <w:tc>
          <w:tcPr>
            <w:tcW w:w="680" w:type="dxa"/>
            <w:vMerge/>
            <w:tcBorders>
              <w:left w:val="single" w:sz="4" w:space="0" w:color="000000"/>
              <w:bottom w:val="single" w:sz="4" w:space="0" w:color="000000"/>
              <w:right w:val="single" w:sz="4" w:space="0" w:color="000000"/>
            </w:tcBorders>
            <w:shd w:val="clear" w:color="auto" w:fill="D2D2D2"/>
          </w:tcPr>
          <w:p>
            <w:pPr/>
          </w:p>
        </w:tc>
        <w:tc>
          <w:tcPr>
            <w:tcW w:w="674" w:type="dxa"/>
            <w:vMerge/>
            <w:tcBorders>
              <w:left w:val="single" w:sz="4" w:space="0" w:color="000000"/>
              <w:bottom w:val="single" w:sz="4" w:space="0" w:color="000000"/>
              <w:right w:val="single" w:sz="4" w:space="0" w:color="000000"/>
            </w:tcBorders>
            <w:shd w:val="clear" w:color="auto" w:fill="D2D2D2"/>
          </w:tcPr>
          <w:p>
            <w:pPr/>
          </w:p>
        </w:tc>
        <w:tc>
          <w:tcPr>
            <w:tcW w:w="674" w:type="dxa"/>
            <w:vMerge/>
            <w:tcBorders>
              <w:left w:val="single" w:sz="4" w:space="0" w:color="000000"/>
              <w:bottom w:val="single" w:sz="4" w:space="0" w:color="000000"/>
              <w:right w:val="single" w:sz="4" w:space="0" w:color="000000"/>
            </w:tcBorders>
            <w:shd w:val="clear" w:color="auto" w:fill="D2D2D2"/>
          </w:tcPr>
          <w:p>
            <w:pPr/>
          </w:p>
        </w:tc>
        <w:tc>
          <w:tcPr>
            <w:tcW w:w="674" w:type="dxa"/>
            <w:vMerge/>
            <w:tcBorders>
              <w:left w:val="single" w:sz="4" w:space="0" w:color="000000"/>
              <w:bottom w:val="single" w:sz="4" w:space="0" w:color="000000"/>
              <w:right w:val="single" w:sz="4" w:space="0" w:color="000000"/>
            </w:tcBorders>
            <w:shd w:val="clear" w:color="auto" w:fill="D2D2D2"/>
          </w:tcPr>
          <w:p>
            <w:pPr/>
          </w:p>
        </w:tc>
        <w:tc>
          <w:tcPr>
            <w:tcW w:w="673" w:type="dxa"/>
            <w:vMerge/>
            <w:tcBorders>
              <w:left w:val="single" w:sz="4" w:space="0" w:color="000000"/>
              <w:bottom w:val="single" w:sz="4" w:space="0" w:color="000000"/>
              <w:right w:val="single" w:sz="4" w:space="0" w:color="000000"/>
            </w:tcBorders>
            <w:shd w:val="clear" w:color="auto" w:fill="D2D2D2"/>
          </w:tcPr>
          <w:p>
            <w:pPr/>
          </w:p>
        </w:tc>
        <w:tc>
          <w:tcPr>
            <w:tcW w:w="674" w:type="dxa"/>
            <w:vMerge/>
            <w:tcBorders>
              <w:left w:val="single" w:sz="4" w:space="0" w:color="000000"/>
              <w:bottom w:val="single" w:sz="4" w:space="0" w:color="000000"/>
              <w:right w:val="single" w:sz="4" w:space="0" w:color="000000"/>
            </w:tcBorders>
            <w:shd w:val="clear" w:color="auto" w:fill="D2D2D2"/>
          </w:tcPr>
          <w:p>
            <w:pPr/>
          </w:p>
        </w:tc>
        <w:tc>
          <w:tcPr>
            <w:tcW w:w="675" w:type="dxa"/>
            <w:vMerge/>
            <w:tcBorders>
              <w:left w:val="single" w:sz="4" w:space="0" w:color="000000"/>
              <w:bottom w:val="single" w:sz="4" w:space="0" w:color="000000"/>
              <w:right w:val="single" w:sz="4" w:space="0" w:color="000000"/>
            </w:tcBorders>
            <w:shd w:val="clear" w:color="auto" w:fill="D2D2D2"/>
          </w:tcPr>
          <w:p>
            <w:pPr/>
          </w:p>
        </w:tc>
        <w:tc>
          <w:tcPr>
            <w:tcW w:w="673" w:type="dxa"/>
            <w:vMerge/>
            <w:tcBorders>
              <w:left w:val="single" w:sz="4" w:space="0" w:color="000000"/>
              <w:bottom w:val="single" w:sz="4" w:space="0" w:color="000000"/>
              <w:right w:val="single" w:sz="4" w:space="0" w:color="000000"/>
            </w:tcBorders>
            <w:shd w:val="clear" w:color="auto" w:fill="D2D2D2"/>
          </w:tcPr>
          <w:p>
            <w:pPr/>
          </w:p>
        </w:tc>
        <w:tc>
          <w:tcPr>
            <w:tcW w:w="671" w:type="dxa"/>
            <w:vMerge/>
            <w:tcBorders>
              <w:left w:val="single" w:sz="4" w:space="0" w:color="000000"/>
              <w:bottom w:val="single" w:sz="4" w:space="0" w:color="000000"/>
              <w:right w:val="single" w:sz="4" w:space="0" w:color="000000"/>
            </w:tcBorders>
            <w:shd w:val="clear" w:color="auto" w:fill="D2D2D2"/>
          </w:tcPr>
          <w:p>
            <w:pPr/>
          </w:p>
        </w:tc>
        <w:tc>
          <w:tcPr>
            <w:tcW w:w="644" w:type="dxa"/>
            <w:vMerge/>
            <w:tcBorders>
              <w:left w:val="single" w:sz="4" w:space="0" w:color="000000"/>
              <w:bottom w:val="single" w:sz="4" w:space="0" w:color="000000"/>
              <w:right w:val="single" w:sz="4" w:space="0" w:color="000000"/>
            </w:tcBorders>
            <w:shd w:val="clear" w:color="auto" w:fill="D2D2D2"/>
          </w:tcPr>
          <w:p>
            <w:pPr/>
          </w:p>
        </w:tc>
      </w:tr>
      <w:tr>
        <w:trPr>
          <w:trHeight w:val="161" w:hRule="exact"/>
        </w:trPr>
        <w:tc>
          <w:tcPr>
            <w:tcW w:w="776" w:type="dxa"/>
            <w:tcBorders>
              <w:top w:val="single" w:sz="4" w:space="0" w:color="000000"/>
              <w:left w:val="single" w:sz="4" w:space="0" w:color="000000"/>
              <w:bottom w:val="nil" w:sz="6" w:space="0" w:color="auto"/>
              <w:right w:val="single" w:sz="4" w:space="0" w:color="000000"/>
            </w:tcBorders>
            <w:shd w:val="clear" w:color="auto" w:fill="D9D9D9"/>
          </w:tcPr>
          <w:p>
            <w:pPr/>
          </w:p>
        </w:tc>
        <w:tc>
          <w:tcPr>
            <w:tcW w:w="689" w:type="dxa"/>
            <w:vMerge w:val="restart"/>
            <w:tcBorders>
              <w:top w:val="single" w:sz="4" w:space="0" w:color="000000"/>
              <w:left w:val="single" w:sz="10" w:space="0" w:color="D9D9D9"/>
              <w:right w:val="single" w:sz="4" w:space="0" w:color="000000"/>
            </w:tcBorders>
          </w:tcPr>
          <w:p>
            <w:pPr>
              <w:pStyle w:val="TableParagraph"/>
              <w:spacing w:line="319" w:lineRule="auto" w:before="51"/>
              <w:ind w:left="27" w:right="102"/>
              <w:jc w:val="both"/>
              <w:rPr>
                <w:rFonts w:ascii="宋体" w:hAnsi="宋体" w:cs="宋体" w:eastAsia="宋体" w:hint="default"/>
                <w:sz w:val="18"/>
                <w:szCs w:val="18"/>
              </w:rPr>
            </w:pPr>
            <w:r>
              <w:rPr>
                <w:rFonts w:ascii="宋体" w:hAnsi="宋体" w:cs="宋体" w:eastAsia="宋体" w:hint="default"/>
                <w:sz w:val="18"/>
                <w:szCs w:val="18"/>
              </w:rPr>
              <w:t>公司高 管担任 执行董 事的公 司</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02"/>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70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28"/>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6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07"/>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233.49</w:t>
            </w:r>
          </w:p>
          <w:p>
            <w:pPr>
              <w:pStyle w:val="TableParagraph"/>
              <w:spacing w:line="240" w:lineRule="auto" w:before="66"/>
              <w:ind w:left="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47" w:right="0"/>
              <w:jc w:val="left"/>
              <w:rPr>
                <w:rFonts w:ascii="Times New Roman" w:hAnsi="Times New Roman" w:cs="Times New Roman" w:eastAsia="Times New Roman" w:hint="default"/>
                <w:sz w:val="18"/>
                <w:szCs w:val="18"/>
              </w:rPr>
            </w:pPr>
            <w:r>
              <w:rPr>
                <w:rFonts w:ascii="Times New Roman"/>
                <w:sz w:val="18"/>
              </w:rPr>
              <w:t>233.49</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0.38%</w:t>
            </w:r>
          </w:p>
        </w:tc>
        <w:tc>
          <w:tcPr>
            <w:tcW w:w="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233.49</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233.49</w:t>
            </w:r>
          </w:p>
          <w:p>
            <w:pPr>
              <w:pStyle w:val="TableParagraph"/>
              <w:spacing w:line="240" w:lineRule="auto" w:before="66"/>
              <w:ind w:left="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671" w:type="dxa"/>
            <w:vMerge w:val="restart"/>
            <w:tcBorders>
              <w:top w:val="single" w:sz="4" w:space="0" w:color="000000"/>
              <w:left w:val="single" w:sz="4" w:space="0" w:color="000000"/>
              <w:right w:val="single" w:sz="4" w:space="0" w:color="000000"/>
            </w:tcBorders>
          </w:tcPr>
          <w:p>
            <w:pPr/>
          </w:p>
        </w:tc>
        <w:tc>
          <w:tcPr>
            <w:tcW w:w="644" w:type="dxa"/>
            <w:vMerge w:val="restart"/>
            <w:tcBorders>
              <w:top w:val="single" w:sz="4" w:space="0" w:color="000000"/>
              <w:left w:val="single" w:sz="4" w:space="0" w:color="000000"/>
              <w:right w:val="single" w:sz="4" w:space="0" w:color="000000"/>
            </w:tcBorders>
          </w:tcPr>
          <w:p>
            <w:pPr/>
          </w:p>
        </w:tc>
      </w:tr>
      <w:tr>
        <w:trPr>
          <w:trHeight w:val="1328" w:hRule="exact"/>
        </w:trPr>
        <w:tc>
          <w:tcPr>
            <w:tcW w:w="77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9" w:lineRule="auto" w:before="51"/>
              <w:ind w:left="11" w:right="33"/>
              <w:jc w:val="both"/>
              <w:rPr>
                <w:rFonts w:ascii="宋体" w:hAnsi="宋体" w:cs="宋体" w:eastAsia="宋体" w:hint="default"/>
                <w:sz w:val="18"/>
                <w:szCs w:val="18"/>
              </w:rPr>
            </w:pPr>
            <w:r>
              <w:rPr>
                <w:rFonts w:ascii="宋体" w:hAnsi="宋体" w:cs="宋体" w:eastAsia="宋体" w:hint="default"/>
                <w:sz w:val="18"/>
                <w:szCs w:val="18"/>
              </w:rPr>
              <w:t>北京国信 安石科技 有限责任 公司</w:t>
            </w:r>
          </w:p>
        </w:tc>
        <w:tc>
          <w:tcPr>
            <w:tcW w:w="689" w:type="dxa"/>
            <w:vMerge/>
            <w:tcBorders>
              <w:left w:val="single" w:sz="10" w:space="0" w:color="D9D9D9"/>
              <w:right w:val="single" w:sz="4" w:space="0" w:color="000000"/>
            </w:tcBorders>
          </w:tcPr>
          <w:p>
            <w:pPr/>
          </w:p>
        </w:tc>
        <w:tc>
          <w:tcPr>
            <w:tcW w:w="677" w:type="dxa"/>
            <w:vMerge/>
            <w:tcBorders>
              <w:left w:val="single" w:sz="4" w:space="0" w:color="000000"/>
              <w:right w:val="single" w:sz="4" w:space="0" w:color="000000"/>
            </w:tcBorders>
          </w:tcPr>
          <w:p>
            <w:pPr/>
          </w:p>
        </w:tc>
        <w:tc>
          <w:tcPr>
            <w:tcW w:w="703" w:type="dxa"/>
            <w:vMerge/>
            <w:tcBorders>
              <w:left w:val="single" w:sz="4" w:space="0" w:color="000000"/>
              <w:right w:val="single" w:sz="4" w:space="0" w:color="000000"/>
            </w:tcBorders>
          </w:tcPr>
          <w:p>
            <w:pPr/>
          </w:p>
        </w:tc>
        <w:tc>
          <w:tcPr>
            <w:tcW w:w="680"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3"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5" w:type="dxa"/>
            <w:vMerge/>
            <w:tcBorders>
              <w:left w:val="single" w:sz="4" w:space="0" w:color="000000"/>
              <w:right w:val="single" w:sz="4" w:space="0" w:color="000000"/>
            </w:tcBorders>
          </w:tcPr>
          <w:p>
            <w:pPr/>
          </w:p>
        </w:tc>
        <w:tc>
          <w:tcPr>
            <w:tcW w:w="673" w:type="dxa"/>
            <w:vMerge/>
            <w:tcBorders>
              <w:left w:val="single" w:sz="4" w:space="0" w:color="000000"/>
              <w:right w:val="single" w:sz="4" w:space="0" w:color="000000"/>
            </w:tcBorders>
          </w:tcPr>
          <w:p>
            <w:pPr/>
          </w:p>
        </w:tc>
        <w:tc>
          <w:tcPr>
            <w:tcW w:w="671" w:type="dxa"/>
            <w:vMerge/>
            <w:tcBorders>
              <w:left w:val="single" w:sz="4" w:space="0" w:color="000000"/>
              <w:right w:val="single" w:sz="4" w:space="0" w:color="000000"/>
            </w:tcBorders>
          </w:tcPr>
          <w:p>
            <w:pPr/>
          </w:p>
        </w:tc>
        <w:tc>
          <w:tcPr>
            <w:tcW w:w="644" w:type="dxa"/>
            <w:vMerge/>
            <w:tcBorders>
              <w:left w:val="single" w:sz="4" w:space="0" w:color="000000"/>
              <w:right w:val="single" w:sz="4" w:space="0" w:color="000000"/>
            </w:tcBorders>
          </w:tcPr>
          <w:p>
            <w:pPr/>
          </w:p>
        </w:tc>
      </w:tr>
      <w:tr>
        <w:trPr>
          <w:trHeight w:val="161" w:hRule="exact"/>
        </w:trPr>
        <w:tc>
          <w:tcPr>
            <w:tcW w:w="776" w:type="dxa"/>
            <w:tcBorders>
              <w:top w:val="nil" w:sz="6" w:space="0" w:color="auto"/>
              <w:left w:val="single" w:sz="4" w:space="0" w:color="000000"/>
              <w:bottom w:val="single" w:sz="4" w:space="0" w:color="000000"/>
              <w:right w:val="single" w:sz="4" w:space="0" w:color="000000"/>
            </w:tcBorders>
            <w:shd w:val="clear" w:color="auto" w:fill="D9D9D9"/>
          </w:tcPr>
          <w:p>
            <w:pPr/>
          </w:p>
        </w:tc>
        <w:tc>
          <w:tcPr>
            <w:tcW w:w="689" w:type="dxa"/>
            <w:vMerge/>
            <w:tcBorders>
              <w:left w:val="single" w:sz="10" w:space="0" w:color="D9D9D9"/>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03" w:type="dxa"/>
            <w:vMerge/>
            <w:tcBorders>
              <w:left w:val="single" w:sz="4" w:space="0" w:color="000000"/>
              <w:bottom w:val="single" w:sz="4" w:space="0" w:color="000000"/>
              <w:right w:val="single" w:sz="4" w:space="0" w:color="000000"/>
            </w:tcBorders>
          </w:tcPr>
          <w:p>
            <w:pPr/>
          </w:p>
        </w:tc>
        <w:tc>
          <w:tcPr>
            <w:tcW w:w="680"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3"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5" w:type="dxa"/>
            <w:vMerge/>
            <w:tcBorders>
              <w:left w:val="single" w:sz="4" w:space="0" w:color="000000"/>
              <w:bottom w:val="single" w:sz="4" w:space="0" w:color="000000"/>
              <w:right w:val="single" w:sz="4" w:space="0" w:color="000000"/>
            </w:tcBorders>
          </w:tcPr>
          <w:p>
            <w:pPr/>
          </w:p>
        </w:tc>
        <w:tc>
          <w:tcPr>
            <w:tcW w:w="673" w:type="dxa"/>
            <w:vMerge/>
            <w:tcBorders>
              <w:left w:val="single" w:sz="4" w:space="0" w:color="000000"/>
              <w:bottom w:val="single" w:sz="4" w:space="0" w:color="000000"/>
              <w:right w:val="single" w:sz="4" w:space="0" w:color="000000"/>
            </w:tcBorders>
          </w:tcPr>
          <w:p>
            <w:pPr/>
          </w:p>
        </w:tc>
        <w:tc>
          <w:tcPr>
            <w:tcW w:w="671" w:type="dxa"/>
            <w:vMerge/>
            <w:tcBorders>
              <w:left w:val="single" w:sz="4" w:space="0" w:color="000000"/>
              <w:bottom w:val="single" w:sz="4" w:space="0" w:color="000000"/>
              <w:right w:val="single" w:sz="4" w:space="0" w:color="000000"/>
            </w:tcBorders>
          </w:tcPr>
          <w:p>
            <w:pPr/>
          </w:p>
        </w:tc>
        <w:tc>
          <w:tcPr>
            <w:tcW w:w="644" w:type="dxa"/>
            <w:vMerge/>
            <w:tcBorders>
              <w:left w:val="single" w:sz="4" w:space="0" w:color="000000"/>
              <w:bottom w:val="single" w:sz="4" w:space="0" w:color="000000"/>
              <w:right w:val="single" w:sz="4" w:space="0" w:color="000000"/>
            </w:tcBorders>
          </w:tcPr>
          <w:p>
            <w:pPr/>
          </w:p>
        </w:tc>
      </w:tr>
      <w:tr>
        <w:trPr>
          <w:trHeight w:val="1338" w:hRule="exact"/>
        </w:trPr>
        <w:tc>
          <w:tcPr>
            <w:tcW w:w="7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1" w:right="33"/>
              <w:jc w:val="both"/>
              <w:rPr>
                <w:rFonts w:ascii="宋体" w:hAnsi="宋体" w:cs="宋体" w:eastAsia="宋体" w:hint="default"/>
                <w:sz w:val="18"/>
                <w:szCs w:val="18"/>
              </w:rPr>
            </w:pPr>
            <w:r>
              <w:rPr>
                <w:rFonts w:ascii="宋体" w:hAnsi="宋体" w:cs="宋体" w:eastAsia="宋体" w:hint="default"/>
                <w:sz w:val="18"/>
                <w:szCs w:val="18"/>
              </w:rPr>
              <w:t>北京光合 起源网络 科技有限 公司</w:t>
            </w:r>
          </w:p>
        </w:tc>
        <w:tc>
          <w:tcPr>
            <w:tcW w:w="689" w:type="dxa"/>
            <w:tcBorders>
              <w:top w:val="single" w:sz="4" w:space="0" w:color="000000"/>
              <w:left w:val="single" w:sz="13" w:space="0" w:color="D9D9D9"/>
              <w:bottom w:val="single" w:sz="4" w:space="0" w:color="000000"/>
              <w:right w:val="single" w:sz="4" w:space="0" w:color="000000"/>
            </w:tcBorders>
          </w:tcPr>
          <w:p>
            <w:pPr>
              <w:pStyle w:val="TableParagraph"/>
              <w:spacing w:line="319" w:lineRule="auto" w:before="51"/>
              <w:ind w:left="22" w:right="102"/>
              <w:jc w:val="both"/>
              <w:rPr>
                <w:rFonts w:ascii="宋体" w:hAnsi="宋体" w:cs="宋体" w:eastAsia="宋体" w:hint="default"/>
                <w:sz w:val="18"/>
                <w:szCs w:val="18"/>
              </w:rPr>
            </w:pPr>
            <w:r>
              <w:rPr>
                <w:rFonts w:ascii="宋体" w:hAnsi="宋体" w:cs="宋体" w:eastAsia="宋体" w:hint="default"/>
                <w:sz w:val="18"/>
                <w:szCs w:val="18"/>
              </w:rPr>
              <w:t>公司董 事担任 董事的 公司</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02"/>
              <w:jc w:val="left"/>
              <w:rPr>
                <w:rFonts w:ascii="宋体" w:hAnsi="宋体" w:cs="宋体" w:eastAsia="宋体" w:hint="default"/>
                <w:sz w:val="18"/>
                <w:szCs w:val="18"/>
              </w:rPr>
            </w:pPr>
            <w:r>
              <w:rPr>
                <w:rFonts w:ascii="宋体" w:hAnsi="宋体" w:cs="宋体" w:eastAsia="宋体" w:hint="default"/>
                <w:sz w:val="18"/>
                <w:szCs w:val="18"/>
              </w:rPr>
              <w:t>接受劳 务</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购买版 </w:t>
            </w:r>
            <w:r>
              <w:rPr>
                <w:rFonts w:ascii="宋体" w:hAnsi="宋体" w:cs="宋体" w:eastAsia="宋体" w:hint="default"/>
                <w:spacing w:val="-19"/>
                <w:sz w:val="18"/>
                <w:szCs w:val="18"/>
              </w:rPr>
              <w:t>权金、支</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付分成 款</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107"/>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8"/>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18.83</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万 元</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18.83</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0.03%</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18.83</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80"/>
              <w:jc w:val="right"/>
              <w:rPr>
                <w:rFonts w:ascii="宋体" w:hAnsi="宋体" w:cs="宋体" w:eastAsia="宋体" w:hint="default"/>
                <w:sz w:val="18"/>
                <w:szCs w:val="18"/>
              </w:rPr>
            </w:pPr>
            <w:r>
              <w:rPr>
                <w:rFonts w:ascii="宋体" w:hAnsi="宋体" w:cs="宋体" w:eastAsia="宋体" w:hint="default"/>
                <w:sz w:val="18"/>
                <w:szCs w:val="18"/>
              </w:rPr>
              <w:t>现金</w:t>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8"/>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18.83</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 元</w:t>
            </w:r>
          </w:p>
        </w:tc>
        <w:tc>
          <w:tcPr>
            <w:tcW w:w="671" w:type="dxa"/>
            <w:tcBorders>
              <w:top w:val="single" w:sz="4" w:space="0" w:color="000000"/>
              <w:left w:val="single" w:sz="4" w:space="0" w:color="000000"/>
              <w:bottom w:val="single" w:sz="4" w:space="0" w:color="000000"/>
              <w:right w:val="single" w:sz="4" w:space="0" w:color="000000"/>
            </w:tcBorders>
          </w:tcPr>
          <w:p>
            <w:pPr/>
          </w:p>
        </w:tc>
        <w:tc>
          <w:tcPr>
            <w:tcW w:w="644"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776" w:type="dxa"/>
            <w:tcBorders>
              <w:top w:val="single" w:sz="4" w:space="0" w:color="000000"/>
              <w:left w:val="single" w:sz="4" w:space="0" w:color="000000"/>
              <w:bottom w:val="nil" w:sz="6" w:space="0" w:color="auto"/>
              <w:right w:val="single" w:sz="4" w:space="0" w:color="000000"/>
            </w:tcBorders>
            <w:shd w:val="clear" w:color="auto" w:fill="D9D9D9"/>
          </w:tcPr>
          <w:p>
            <w:pPr/>
          </w:p>
        </w:tc>
        <w:tc>
          <w:tcPr>
            <w:tcW w:w="689" w:type="dxa"/>
            <w:vMerge w:val="restart"/>
            <w:tcBorders>
              <w:top w:val="single" w:sz="4" w:space="0" w:color="000000"/>
              <w:left w:val="single" w:sz="10" w:space="0" w:color="D9D9D9"/>
              <w:right w:val="single" w:sz="4" w:space="0" w:color="000000"/>
            </w:tcBorders>
          </w:tcPr>
          <w:p>
            <w:pPr>
              <w:pStyle w:val="TableParagraph"/>
              <w:spacing w:line="319" w:lineRule="auto" w:before="51"/>
              <w:ind w:left="27" w:right="102"/>
              <w:jc w:val="both"/>
              <w:rPr>
                <w:rFonts w:ascii="宋体" w:hAnsi="宋体" w:cs="宋体" w:eastAsia="宋体" w:hint="default"/>
                <w:sz w:val="18"/>
                <w:szCs w:val="18"/>
              </w:rPr>
            </w:pPr>
            <w:r>
              <w:rPr>
                <w:rFonts w:ascii="宋体" w:hAnsi="宋体" w:cs="宋体" w:eastAsia="宋体" w:hint="default"/>
                <w:sz w:val="18"/>
                <w:szCs w:val="18"/>
              </w:rPr>
              <w:t>公司董 事担任 董事的 联营公 司</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02"/>
              <w:jc w:val="left"/>
              <w:rPr>
                <w:rFonts w:ascii="宋体" w:hAnsi="宋体" w:cs="宋体" w:eastAsia="宋体" w:hint="default"/>
                <w:sz w:val="18"/>
                <w:szCs w:val="18"/>
              </w:rPr>
            </w:pPr>
            <w:r>
              <w:rPr>
                <w:rFonts w:ascii="宋体" w:hAnsi="宋体" w:cs="宋体" w:eastAsia="宋体" w:hint="default"/>
                <w:sz w:val="18"/>
                <w:szCs w:val="18"/>
              </w:rPr>
              <w:t>出售商 品</w:t>
            </w:r>
          </w:p>
        </w:tc>
        <w:tc>
          <w:tcPr>
            <w:tcW w:w="70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28"/>
              <w:jc w:val="left"/>
              <w:rPr>
                <w:rFonts w:ascii="宋体" w:hAnsi="宋体" w:cs="宋体" w:eastAsia="宋体" w:hint="default"/>
                <w:sz w:val="18"/>
                <w:szCs w:val="18"/>
              </w:rPr>
            </w:pPr>
            <w:r>
              <w:rPr>
                <w:rFonts w:ascii="宋体" w:hAnsi="宋体" w:cs="宋体" w:eastAsia="宋体" w:hint="default"/>
                <w:sz w:val="18"/>
                <w:szCs w:val="18"/>
              </w:rPr>
              <w:t>出售商 品</w:t>
            </w:r>
          </w:p>
        </w:tc>
        <w:tc>
          <w:tcPr>
            <w:tcW w:w="6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07"/>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2"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75.08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万 元</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75.08</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0.04%</w:t>
            </w:r>
          </w:p>
        </w:tc>
        <w:tc>
          <w:tcPr>
            <w:tcW w:w="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75.08</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02" w:lineRule="auto"/>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75.08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 元</w:t>
            </w:r>
          </w:p>
        </w:tc>
        <w:tc>
          <w:tcPr>
            <w:tcW w:w="671" w:type="dxa"/>
            <w:vMerge w:val="restart"/>
            <w:tcBorders>
              <w:top w:val="single" w:sz="4" w:space="0" w:color="000000"/>
              <w:left w:val="single" w:sz="4" w:space="0" w:color="000000"/>
              <w:right w:val="single" w:sz="4" w:space="0" w:color="000000"/>
            </w:tcBorders>
          </w:tcPr>
          <w:p>
            <w:pPr/>
          </w:p>
        </w:tc>
        <w:tc>
          <w:tcPr>
            <w:tcW w:w="644" w:type="dxa"/>
            <w:vMerge w:val="restart"/>
            <w:tcBorders>
              <w:top w:val="single" w:sz="4" w:space="0" w:color="000000"/>
              <w:left w:val="single" w:sz="4" w:space="0" w:color="000000"/>
              <w:right w:val="single" w:sz="4" w:space="0" w:color="000000"/>
            </w:tcBorders>
          </w:tcPr>
          <w:p>
            <w:pPr/>
          </w:p>
        </w:tc>
      </w:tr>
      <w:tr>
        <w:trPr>
          <w:trHeight w:val="1328" w:hRule="exact"/>
        </w:trPr>
        <w:tc>
          <w:tcPr>
            <w:tcW w:w="77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9" w:lineRule="auto" w:before="51"/>
              <w:ind w:left="11" w:right="33"/>
              <w:jc w:val="both"/>
              <w:rPr>
                <w:rFonts w:ascii="宋体" w:hAnsi="宋体" w:cs="宋体" w:eastAsia="宋体" w:hint="default"/>
                <w:sz w:val="18"/>
                <w:szCs w:val="18"/>
              </w:rPr>
            </w:pPr>
            <w:r>
              <w:rPr>
                <w:rFonts w:ascii="宋体" w:hAnsi="宋体" w:cs="宋体" w:eastAsia="宋体" w:hint="default"/>
                <w:sz w:val="18"/>
                <w:szCs w:val="18"/>
              </w:rPr>
              <w:t>大连华信 计算机技 术股份有 限公司</w:t>
            </w:r>
          </w:p>
        </w:tc>
        <w:tc>
          <w:tcPr>
            <w:tcW w:w="689" w:type="dxa"/>
            <w:vMerge/>
            <w:tcBorders>
              <w:left w:val="single" w:sz="10" w:space="0" w:color="D9D9D9"/>
              <w:right w:val="single" w:sz="4" w:space="0" w:color="000000"/>
            </w:tcBorders>
          </w:tcPr>
          <w:p>
            <w:pPr/>
          </w:p>
        </w:tc>
        <w:tc>
          <w:tcPr>
            <w:tcW w:w="677" w:type="dxa"/>
            <w:vMerge/>
            <w:tcBorders>
              <w:left w:val="single" w:sz="4" w:space="0" w:color="000000"/>
              <w:right w:val="single" w:sz="4" w:space="0" w:color="000000"/>
            </w:tcBorders>
          </w:tcPr>
          <w:p>
            <w:pPr/>
          </w:p>
        </w:tc>
        <w:tc>
          <w:tcPr>
            <w:tcW w:w="703" w:type="dxa"/>
            <w:vMerge/>
            <w:tcBorders>
              <w:left w:val="single" w:sz="4" w:space="0" w:color="000000"/>
              <w:right w:val="single" w:sz="4" w:space="0" w:color="000000"/>
            </w:tcBorders>
          </w:tcPr>
          <w:p>
            <w:pPr/>
          </w:p>
        </w:tc>
        <w:tc>
          <w:tcPr>
            <w:tcW w:w="680"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3"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5" w:type="dxa"/>
            <w:vMerge/>
            <w:tcBorders>
              <w:left w:val="single" w:sz="4" w:space="0" w:color="000000"/>
              <w:right w:val="single" w:sz="4" w:space="0" w:color="000000"/>
            </w:tcBorders>
          </w:tcPr>
          <w:p>
            <w:pPr/>
          </w:p>
        </w:tc>
        <w:tc>
          <w:tcPr>
            <w:tcW w:w="673" w:type="dxa"/>
            <w:vMerge/>
            <w:tcBorders>
              <w:left w:val="single" w:sz="4" w:space="0" w:color="000000"/>
              <w:right w:val="single" w:sz="4" w:space="0" w:color="000000"/>
            </w:tcBorders>
          </w:tcPr>
          <w:p>
            <w:pPr/>
          </w:p>
        </w:tc>
        <w:tc>
          <w:tcPr>
            <w:tcW w:w="671" w:type="dxa"/>
            <w:vMerge/>
            <w:tcBorders>
              <w:left w:val="single" w:sz="4" w:space="0" w:color="000000"/>
              <w:right w:val="single" w:sz="4" w:space="0" w:color="000000"/>
            </w:tcBorders>
          </w:tcPr>
          <w:p>
            <w:pPr/>
          </w:p>
        </w:tc>
        <w:tc>
          <w:tcPr>
            <w:tcW w:w="644" w:type="dxa"/>
            <w:vMerge/>
            <w:tcBorders>
              <w:left w:val="single" w:sz="4" w:space="0" w:color="000000"/>
              <w:right w:val="single" w:sz="4" w:space="0" w:color="000000"/>
            </w:tcBorders>
          </w:tcPr>
          <w:p>
            <w:pPr/>
          </w:p>
        </w:tc>
      </w:tr>
      <w:tr>
        <w:trPr>
          <w:trHeight w:val="161" w:hRule="exact"/>
        </w:trPr>
        <w:tc>
          <w:tcPr>
            <w:tcW w:w="776" w:type="dxa"/>
            <w:tcBorders>
              <w:top w:val="nil" w:sz="6" w:space="0" w:color="auto"/>
              <w:left w:val="single" w:sz="4" w:space="0" w:color="000000"/>
              <w:bottom w:val="single" w:sz="4" w:space="0" w:color="000000"/>
              <w:right w:val="single" w:sz="4" w:space="0" w:color="000000"/>
            </w:tcBorders>
            <w:shd w:val="clear" w:color="auto" w:fill="D9D9D9"/>
          </w:tcPr>
          <w:p>
            <w:pPr/>
          </w:p>
        </w:tc>
        <w:tc>
          <w:tcPr>
            <w:tcW w:w="689" w:type="dxa"/>
            <w:vMerge/>
            <w:tcBorders>
              <w:left w:val="single" w:sz="10" w:space="0" w:color="D9D9D9"/>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03" w:type="dxa"/>
            <w:vMerge/>
            <w:tcBorders>
              <w:left w:val="single" w:sz="4" w:space="0" w:color="000000"/>
              <w:bottom w:val="single" w:sz="4" w:space="0" w:color="000000"/>
              <w:right w:val="single" w:sz="4" w:space="0" w:color="000000"/>
            </w:tcBorders>
          </w:tcPr>
          <w:p>
            <w:pPr/>
          </w:p>
        </w:tc>
        <w:tc>
          <w:tcPr>
            <w:tcW w:w="680"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3"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5" w:type="dxa"/>
            <w:vMerge/>
            <w:tcBorders>
              <w:left w:val="single" w:sz="4" w:space="0" w:color="000000"/>
              <w:bottom w:val="single" w:sz="4" w:space="0" w:color="000000"/>
              <w:right w:val="single" w:sz="4" w:space="0" w:color="000000"/>
            </w:tcBorders>
          </w:tcPr>
          <w:p>
            <w:pPr/>
          </w:p>
        </w:tc>
        <w:tc>
          <w:tcPr>
            <w:tcW w:w="673" w:type="dxa"/>
            <w:vMerge/>
            <w:tcBorders>
              <w:left w:val="single" w:sz="4" w:space="0" w:color="000000"/>
              <w:bottom w:val="single" w:sz="4" w:space="0" w:color="000000"/>
              <w:right w:val="single" w:sz="4" w:space="0" w:color="000000"/>
            </w:tcBorders>
          </w:tcPr>
          <w:p>
            <w:pPr/>
          </w:p>
        </w:tc>
        <w:tc>
          <w:tcPr>
            <w:tcW w:w="671" w:type="dxa"/>
            <w:vMerge/>
            <w:tcBorders>
              <w:left w:val="single" w:sz="4" w:space="0" w:color="000000"/>
              <w:bottom w:val="single" w:sz="4" w:space="0" w:color="000000"/>
              <w:right w:val="single" w:sz="4" w:space="0" w:color="000000"/>
            </w:tcBorders>
          </w:tcPr>
          <w:p>
            <w:pPr/>
          </w:p>
        </w:tc>
        <w:tc>
          <w:tcPr>
            <w:tcW w:w="644" w:type="dxa"/>
            <w:vMerge/>
            <w:tcBorders>
              <w:left w:val="single" w:sz="4" w:space="0" w:color="000000"/>
              <w:bottom w:val="single" w:sz="4" w:space="0" w:color="000000"/>
              <w:right w:val="single" w:sz="4" w:space="0" w:color="000000"/>
            </w:tcBorders>
          </w:tcPr>
          <w:p>
            <w:pPr/>
          </w:p>
        </w:tc>
      </w:tr>
      <w:tr>
        <w:trPr>
          <w:trHeight w:val="473" w:hRule="exact"/>
        </w:trPr>
        <w:tc>
          <w:tcPr>
            <w:tcW w:w="776" w:type="dxa"/>
            <w:tcBorders>
              <w:top w:val="single" w:sz="4" w:space="0" w:color="000000"/>
              <w:left w:val="single" w:sz="4" w:space="0" w:color="000000"/>
              <w:bottom w:val="nil" w:sz="6" w:space="0" w:color="auto"/>
              <w:right w:val="single" w:sz="4" w:space="0" w:color="000000"/>
            </w:tcBorders>
            <w:shd w:val="clear" w:color="auto" w:fill="D9D9D9"/>
          </w:tcPr>
          <w:p>
            <w:pPr/>
          </w:p>
        </w:tc>
        <w:tc>
          <w:tcPr>
            <w:tcW w:w="689" w:type="dxa"/>
            <w:vMerge w:val="restart"/>
            <w:tcBorders>
              <w:top w:val="single" w:sz="4" w:space="0" w:color="000000"/>
              <w:left w:val="single" w:sz="10" w:space="0" w:color="D9D9D9"/>
              <w:right w:val="single" w:sz="4" w:space="0" w:color="000000"/>
            </w:tcBorders>
          </w:tcPr>
          <w:p>
            <w:pPr>
              <w:pStyle w:val="TableParagraph"/>
              <w:spacing w:line="319" w:lineRule="auto" w:before="51"/>
              <w:ind w:left="27" w:right="102"/>
              <w:jc w:val="left"/>
              <w:rPr>
                <w:rFonts w:ascii="宋体" w:hAnsi="宋体" w:cs="宋体" w:eastAsia="宋体" w:hint="default"/>
                <w:sz w:val="18"/>
                <w:szCs w:val="18"/>
              </w:rPr>
            </w:pPr>
            <w:r>
              <w:rPr>
                <w:rFonts w:ascii="宋体" w:hAnsi="宋体" w:cs="宋体" w:eastAsia="宋体" w:hint="default"/>
                <w:sz w:val="18"/>
                <w:szCs w:val="18"/>
              </w:rPr>
              <w:t>公司董 事担任 董事 长、高 管任监 事的联 营公司</w:t>
            </w:r>
          </w:p>
        </w:tc>
        <w:tc>
          <w:tcPr>
            <w:tcW w:w="677"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102"/>
              <w:jc w:val="both"/>
              <w:rPr>
                <w:rFonts w:ascii="宋体" w:hAnsi="宋体" w:cs="宋体" w:eastAsia="宋体" w:hint="default"/>
                <w:sz w:val="18"/>
                <w:szCs w:val="18"/>
              </w:rPr>
            </w:pPr>
            <w:r>
              <w:rPr>
                <w:rFonts w:ascii="宋体" w:hAnsi="宋体" w:cs="宋体" w:eastAsia="宋体" w:hint="default"/>
                <w:sz w:val="18"/>
                <w:szCs w:val="18"/>
              </w:rPr>
              <w:t>出售商 品、提 供劳务</w:t>
            </w:r>
          </w:p>
        </w:tc>
        <w:tc>
          <w:tcPr>
            <w:tcW w:w="70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22"/>
              <w:jc w:val="left"/>
              <w:rPr>
                <w:rFonts w:ascii="宋体" w:hAnsi="宋体" w:cs="宋体" w:eastAsia="宋体" w:hint="default"/>
                <w:sz w:val="18"/>
                <w:szCs w:val="18"/>
              </w:rPr>
            </w:pPr>
            <w:r>
              <w:rPr>
                <w:rFonts w:ascii="宋体" w:hAnsi="宋体" w:cs="宋体" w:eastAsia="宋体" w:hint="default"/>
                <w:sz w:val="18"/>
                <w:szCs w:val="18"/>
              </w:rPr>
              <w:t>出售商 </w:t>
            </w:r>
            <w:r>
              <w:rPr>
                <w:rFonts w:ascii="宋体" w:hAnsi="宋体" w:cs="宋体" w:eastAsia="宋体" w:hint="default"/>
                <w:spacing w:val="-19"/>
                <w:sz w:val="18"/>
                <w:szCs w:val="18"/>
              </w:rPr>
              <w:t>品、提供</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劳务</w:t>
            </w:r>
          </w:p>
        </w:tc>
        <w:tc>
          <w:tcPr>
            <w:tcW w:w="6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5"/>
              <w:ind w:left="22" w:right="107"/>
              <w:jc w:val="left"/>
              <w:rPr>
                <w:rFonts w:ascii="宋体" w:hAnsi="宋体" w:cs="宋体" w:eastAsia="宋体" w:hint="default"/>
                <w:sz w:val="18"/>
                <w:szCs w:val="18"/>
              </w:rPr>
            </w:pPr>
            <w:r>
              <w:rPr>
                <w:rFonts w:ascii="宋体" w:hAnsi="宋体" w:cs="宋体" w:eastAsia="宋体" w:hint="default"/>
                <w:sz w:val="18"/>
                <w:szCs w:val="18"/>
              </w:rPr>
              <w:t>市场化 原则</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5"/>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93.48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万 元</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7" w:right="0"/>
              <w:jc w:val="left"/>
              <w:rPr>
                <w:rFonts w:ascii="Times New Roman" w:hAnsi="Times New Roman" w:cs="Times New Roman" w:eastAsia="Times New Roman" w:hint="default"/>
                <w:sz w:val="18"/>
                <w:szCs w:val="18"/>
              </w:rPr>
            </w:pPr>
            <w:r>
              <w:rPr>
                <w:rFonts w:ascii="Times New Roman"/>
                <w:sz w:val="18"/>
              </w:rPr>
              <w:t>93.48</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0.05%</w:t>
            </w:r>
          </w:p>
        </w:tc>
        <w:tc>
          <w:tcPr>
            <w:tcW w:w="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236" w:right="0"/>
              <w:jc w:val="left"/>
              <w:rPr>
                <w:rFonts w:ascii="Times New Roman" w:hAnsi="Times New Roman" w:cs="Times New Roman" w:eastAsia="Times New Roman" w:hint="default"/>
                <w:sz w:val="18"/>
                <w:szCs w:val="18"/>
              </w:rPr>
            </w:pPr>
            <w:r>
              <w:rPr>
                <w:rFonts w:ascii="Times New Roman"/>
                <w:sz w:val="18"/>
              </w:rPr>
              <w:t>93.48</w:t>
            </w:r>
          </w:p>
        </w:tc>
        <w:tc>
          <w:tcPr>
            <w:tcW w:w="67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7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6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02" w:lineRule="auto" w:before="125"/>
              <w:ind w:left="22" w:right="20"/>
              <w:jc w:val="left"/>
              <w:rPr>
                <w:rFonts w:ascii="宋体" w:hAnsi="宋体" w:cs="宋体" w:eastAsia="宋体" w:hint="default"/>
                <w:sz w:val="18"/>
                <w:szCs w:val="18"/>
              </w:rPr>
            </w:pPr>
            <w:r>
              <w:rPr>
                <w:rFonts w:ascii="Times New Roman" w:hAnsi="Times New Roman" w:cs="Times New Roman" w:eastAsia="Times New Roman" w:hint="default"/>
                <w:sz w:val="18"/>
                <w:szCs w:val="18"/>
              </w:rPr>
              <w:t>93.48</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万 元</w:t>
            </w:r>
          </w:p>
        </w:tc>
        <w:tc>
          <w:tcPr>
            <w:tcW w:w="671" w:type="dxa"/>
            <w:vMerge w:val="restart"/>
            <w:tcBorders>
              <w:top w:val="single" w:sz="4" w:space="0" w:color="000000"/>
              <w:left w:val="single" w:sz="4" w:space="0" w:color="000000"/>
              <w:right w:val="single" w:sz="4" w:space="0" w:color="000000"/>
            </w:tcBorders>
          </w:tcPr>
          <w:p>
            <w:pPr/>
          </w:p>
        </w:tc>
        <w:tc>
          <w:tcPr>
            <w:tcW w:w="644" w:type="dxa"/>
            <w:vMerge w:val="restart"/>
            <w:tcBorders>
              <w:top w:val="single" w:sz="4" w:space="0" w:color="000000"/>
              <w:left w:val="single" w:sz="4" w:space="0" w:color="000000"/>
              <w:right w:val="single" w:sz="4" w:space="0" w:color="000000"/>
            </w:tcBorders>
          </w:tcPr>
          <w:p>
            <w:pPr/>
          </w:p>
        </w:tc>
      </w:tr>
      <w:tr>
        <w:trPr>
          <w:trHeight w:val="1329" w:hRule="exact"/>
        </w:trPr>
        <w:tc>
          <w:tcPr>
            <w:tcW w:w="776" w:type="dxa"/>
            <w:tcBorders>
              <w:top w:val="nil" w:sz="6" w:space="0" w:color="auto"/>
              <w:left w:val="single" w:sz="4" w:space="0" w:color="000000"/>
              <w:bottom w:val="nil" w:sz="6" w:space="0" w:color="auto"/>
              <w:right w:val="single" w:sz="4" w:space="0" w:color="000000"/>
            </w:tcBorders>
            <w:shd w:val="clear" w:color="auto" w:fill="D9D9D9"/>
          </w:tcPr>
          <w:p>
            <w:pPr>
              <w:pStyle w:val="TableParagraph"/>
              <w:spacing w:line="319" w:lineRule="auto" w:before="51"/>
              <w:ind w:left="11" w:right="33"/>
              <w:jc w:val="both"/>
              <w:rPr>
                <w:rFonts w:ascii="宋体" w:hAnsi="宋体" w:cs="宋体" w:eastAsia="宋体" w:hint="default"/>
                <w:sz w:val="18"/>
                <w:szCs w:val="18"/>
              </w:rPr>
            </w:pPr>
            <w:r>
              <w:rPr>
                <w:rFonts w:ascii="宋体" w:hAnsi="宋体" w:cs="宋体" w:eastAsia="宋体" w:hint="default"/>
                <w:sz w:val="18"/>
                <w:szCs w:val="18"/>
              </w:rPr>
              <w:t>北京云中 融信网络 科技有限 公司</w:t>
            </w:r>
          </w:p>
        </w:tc>
        <w:tc>
          <w:tcPr>
            <w:tcW w:w="689" w:type="dxa"/>
            <w:vMerge/>
            <w:tcBorders>
              <w:left w:val="single" w:sz="10" w:space="0" w:color="D9D9D9"/>
              <w:right w:val="single" w:sz="4" w:space="0" w:color="000000"/>
            </w:tcBorders>
          </w:tcPr>
          <w:p>
            <w:pPr/>
          </w:p>
        </w:tc>
        <w:tc>
          <w:tcPr>
            <w:tcW w:w="677" w:type="dxa"/>
            <w:vMerge/>
            <w:tcBorders>
              <w:left w:val="single" w:sz="4" w:space="0" w:color="000000"/>
              <w:right w:val="single" w:sz="4" w:space="0" w:color="000000"/>
            </w:tcBorders>
          </w:tcPr>
          <w:p>
            <w:pPr/>
          </w:p>
        </w:tc>
        <w:tc>
          <w:tcPr>
            <w:tcW w:w="703" w:type="dxa"/>
            <w:vMerge/>
            <w:tcBorders>
              <w:left w:val="single" w:sz="4" w:space="0" w:color="000000"/>
              <w:right w:val="single" w:sz="4" w:space="0" w:color="000000"/>
            </w:tcBorders>
          </w:tcPr>
          <w:p>
            <w:pPr/>
          </w:p>
        </w:tc>
        <w:tc>
          <w:tcPr>
            <w:tcW w:w="680"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3" w:type="dxa"/>
            <w:vMerge/>
            <w:tcBorders>
              <w:left w:val="single" w:sz="4" w:space="0" w:color="000000"/>
              <w:right w:val="single" w:sz="4" w:space="0" w:color="000000"/>
            </w:tcBorders>
          </w:tcPr>
          <w:p>
            <w:pPr/>
          </w:p>
        </w:tc>
        <w:tc>
          <w:tcPr>
            <w:tcW w:w="674" w:type="dxa"/>
            <w:vMerge/>
            <w:tcBorders>
              <w:left w:val="single" w:sz="4" w:space="0" w:color="000000"/>
              <w:right w:val="single" w:sz="4" w:space="0" w:color="000000"/>
            </w:tcBorders>
          </w:tcPr>
          <w:p>
            <w:pPr/>
          </w:p>
        </w:tc>
        <w:tc>
          <w:tcPr>
            <w:tcW w:w="675" w:type="dxa"/>
            <w:vMerge/>
            <w:tcBorders>
              <w:left w:val="single" w:sz="4" w:space="0" w:color="000000"/>
              <w:right w:val="single" w:sz="4" w:space="0" w:color="000000"/>
            </w:tcBorders>
          </w:tcPr>
          <w:p>
            <w:pPr/>
          </w:p>
        </w:tc>
        <w:tc>
          <w:tcPr>
            <w:tcW w:w="673" w:type="dxa"/>
            <w:vMerge/>
            <w:tcBorders>
              <w:left w:val="single" w:sz="4" w:space="0" w:color="000000"/>
              <w:right w:val="single" w:sz="4" w:space="0" w:color="000000"/>
            </w:tcBorders>
          </w:tcPr>
          <w:p>
            <w:pPr/>
          </w:p>
        </w:tc>
        <w:tc>
          <w:tcPr>
            <w:tcW w:w="671" w:type="dxa"/>
            <w:vMerge/>
            <w:tcBorders>
              <w:left w:val="single" w:sz="4" w:space="0" w:color="000000"/>
              <w:right w:val="single" w:sz="4" w:space="0" w:color="000000"/>
            </w:tcBorders>
          </w:tcPr>
          <w:p>
            <w:pPr/>
          </w:p>
        </w:tc>
        <w:tc>
          <w:tcPr>
            <w:tcW w:w="644" w:type="dxa"/>
            <w:vMerge/>
            <w:tcBorders>
              <w:left w:val="single" w:sz="4" w:space="0" w:color="000000"/>
              <w:right w:val="single" w:sz="4" w:space="0" w:color="000000"/>
            </w:tcBorders>
          </w:tcPr>
          <w:p>
            <w:pPr/>
          </w:p>
        </w:tc>
      </w:tr>
      <w:tr>
        <w:trPr>
          <w:trHeight w:val="473" w:hRule="exact"/>
        </w:trPr>
        <w:tc>
          <w:tcPr>
            <w:tcW w:w="776" w:type="dxa"/>
            <w:tcBorders>
              <w:top w:val="nil" w:sz="6" w:space="0" w:color="auto"/>
              <w:left w:val="single" w:sz="4" w:space="0" w:color="000000"/>
              <w:bottom w:val="single" w:sz="4" w:space="0" w:color="000000"/>
              <w:right w:val="single" w:sz="4" w:space="0" w:color="000000"/>
            </w:tcBorders>
            <w:shd w:val="clear" w:color="auto" w:fill="D9D9D9"/>
          </w:tcPr>
          <w:p>
            <w:pPr/>
          </w:p>
        </w:tc>
        <w:tc>
          <w:tcPr>
            <w:tcW w:w="689" w:type="dxa"/>
            <w:vMerge/>
            <w:tcBorders>
              <w:left w:val="single" w:sz="10" w:space="0" w:color="D9D9D9"/>
              <w:bottom w:val="single" w:sz="4" w:space="0" w:color="000000"/>
              <w:right w:val="single" w:sz="4" w:space="0" w:color="000000"/>
            </w:tcBorders>
          </w:tcPr>
          <w:p>
            <w:pPr/>
          </w:p>
        </w:tc>
        <w:tc>
          <w:tcPr>
            <w:tcW w:w="677" w:type="dxa"/>
            <w:vMerge/>
            <w:tcBorders>
              <w:left w:val="single" w:sz="4" w:space="0" w:color="000000"/>
              <w:bottom w:val="single" w:sz="4" w:space="0" w:color="000000"/>
              <w:right w:val="single" w:sz="4" w:space="0" w:color="000000"/>
            </w:tcBorders>
          </w:tcPr>
          <w:p>
            <w:pPr/>
          </w:p>
        </w:tc>
        <w:tc>
          <w:tcPr>
            <w:tcW w:w="703" w:type="dxa"/>
            <w:vMerge/>
            <w:tcBorders>
              <w:left w:val="single" w:sz="4" w:space="0" w:color="000000"/>
              <w:bottom w:val="single" w:sz="4" w:space="0" w:color="000000"/>
              <w:right w:val="single" w:sz="4" w:space="0" w:color="000000"/>
            </w:tcBorders>
          </w:tcPr>
          <w:p>
            <w:pPr/>
          </w:p>
        </w:tc>
        <w:tc>
          <w:tcPr>
            <w:tcW w:w="680"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3" w:type="dxa"/>
            <w:vMerge/>
            <w:tcBorders>
              <w:left w:val="single" w:sz="4" w:space="0" w:color="000000"/>
              <w:bottom w:val="single" w:sz="4" w:space="0" w:color="000000"/>
              <w:right w:val="single" w:sz="4" w:space="0" w:color="000000"/>
            </w:tcBorders>
          </w:tcPr>
          <w:p>
            <w:pPr/>
          </w:p>
        </w:tc>
        <w:tc>
          <w:tcPr>
            <w:tcW w:w="674" w:type="dxa"/>
            <w:vMerge/>
            <w:tcBorders>
              <w:left w:val="single" w:sz="4" w:space="0" w:color="000000"/>
              <w:bottom w:val="single" w:sz="4" w:space="0" w:color="000000"/>
              <w:right w:val="single" w:sz="4" w:space="0" w:color="000000"/>
            </w:tcBorders>
          </w:tcPr>
          <w:p>
            <w:pPr/>
          </w:p>
        </w:tc>
        <w:tc>
          <w:tcPr>
            <w:tcW w:w="675" w:type="dxa"/>
            <w:vMerge/>
            <w:tcBorders>
              <w:left w:val="single" w:sz="4" w:space="0" w:color="000000"/>
              <w:bottom w:val="single" w:sz="4" w:space="0" w:color="000000"/>
              <w:right w:val="single" w:sz="4" w:space="0" w:color="000000"/>
            </w:tcBorders>
          </w:tcPr>
          <w:p>
            <w:pPr/>
          </w:p>
        </w:tc>
        <w:tc>
          <w:tcPr>
            <w:tcW w:w="673" w:type="dxa"/>
            <w:vMerge/>
            <w:tcBorders>
              <w:left w:val="single" w:sz="4" w:space="0" w:color="000000"/>
              <w:bottom w:val="single" w:sz="4" w:space="0" w:color="000000"/>
              <w:right w:val="single" w:sz="4" w:space="0" w:color="000000"/>
            </w:tcBorders>
          </w:tcPr>
          <w:p>
            <w:pPr/>
          </w:p>
        </w:tc>
        <w:tc>
          <w:tcPr>
            <w:tcW w:w="671" w:type="dxa"/>
            <w:vMerge/>
            <w:tcBorders>
              <w:left w:val="single" w:sz="4" w:space="0" w:color="000000"/>
              <w:bottom w:val="single" w:sz="4" w:space="0" w:color="000000"/>
              <w:right w:val="single" w:sz="4" w:space="0" w:color="000000"/>
            </w:tcBorders>
          </w:tcPr>
          <w:p>
            <w:pPr/>
          </w:p>
        </w:tc>
        <w:tc>
          <w:tcPr>
            <w:tcW w:w="644" w:type="dxa"/>
            <w:vMerge/>
            <w:tcBorders>
              <w:left w:val="single" w:sz="4" w:space="0" w:color="000000"/>
              <w:bottom w:val="single" w:sz="4" w:space="0" w:color="000000"/>
              <w:right w:val="single" w:sz="4" w:space="0" w:color="000000"/>
            </w:tcBorders>
          </w:tcPr>
          <w:p>
            <w:pPr/>
          </w:p>
        </w:tc>
      </w:tr>
      <w:tr>
        <w:trPr>
          <w:trHeight w:val="402" w:hRule="exact"/>
        </w:trPr>
        <w:tc>
          <w:tcPr>
            <w:tcW w:w="2845" w:type="dxa"/>
            <w:gridSpan w:val="4"/>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80" w:type="dxa"/>
            <w:tcBorders>
              <w:top w:val="single" w:sz="4" w:space="0" w:color="000000"/>
              <w:left w:val="single" w:sz="13" w:space="0" w:color="D9D9D9"/>
              <w:bottom w:val="single" w:sz="4" w:space="0" w:color="000000"/>
              <w:right w:val="single" w:sz="4" w:space="0" w:color="000000"/>
            </w:tcBorders>
            <w:shd w:val="clear" w:color="auto" w:fill="D2D2D2"/>
          </w:tcPr>
          <w:p>
            <w:pPr>
              <w:pStyle w:val="TableParagraph"/>
              <w:spacing w:line="240" w:lineRule="auto" w:before="91"/>
              <w:ind w:right="10"/>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420.88</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420.88</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6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71"/>
              <w:jc w:val="right"/>
              <w:rPr>
                <w:rFonts w:ascii="Times New Roman" w:hAnsi="Times New Roman" w:cs="Times New Roman" w:eastAsia="Times New Roman" w:hint="default"/>
                <w:sz w:val="18"/>
                <w:szCs w:val="18"/>
              </w:rPr>
            </w:pPr>
            <w:r>
              <w:rPr>
                <w:rFonts w:ascii="Times New Roman"/>
                <w:sz w:val="18"/>
              </w:rPr>
              <w:t>--</w:t>
            </w:r>
          </w:p>
        </w:tc>
        <w:tc>
          <w:tcPr>
            <w:tcW w:w="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28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6714" w:type="dxa"/>
            <w:gridSpan w:val="10"/>
            <w:tcBorders>
              <w:top w:val="single" w:sz="4" w:space="0" w:color="000000"/>
              <w:left w:val="single" w:sz="13" w:space="0" w:color="D9D9D9"/>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026" w:hRule="exact"/>
        </w:trPr>
        <w:tc>
          <w:tcPr>
            <w:tcW w:w="28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 </w:t>
            </w:r>
            <w:r>
              <w:rPr>
                <w:rFonts w:ascii="宋体" w:hAnsi="宋体" w:cs="宋体" w:eastAsia="宋体" w:hint="default"/>
                <w:spacing w:val="-6"/>
                <w:sz w:val="18"/>
                <w:szCs w:val="18"/>
              </w:rPr>
              <w:t>易进行总金额预计的，在报告期内的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实际履行情况（如有）</w:t>
            </w:r>
          </w:p>
        </w:tc>
        <w:tc>
          <w:tcPr>
            <w:tcW w:w="6714" w:type="dxa"/>
            <w:gridSpan w:val="10"/>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45"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1" w:right="123"/>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 的原因（如适用）</w:t>
            </w:r>
          </w:p>
        </w:tc>
        <w:tc>
          <w:tcPr>
            <w:tcW w:w="6714" w:type="dxa"/>
            <w:gridSpan w:val="10"/>
            <w:tcBorders>
              <w:top w:val="single" w:sz="4" w:space="0" w:color="000000"/>
              <w:left w:val="single" w:sz="13"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资产或股权收购、出售发生的关联交易" w:id="81"/>
      <w:bookmarkEnd w:id="81"/>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7"/>
        <w:rPr>
          <w:rFonts w:ascii="宋体" w:hAnsi="宋体" w:cs="宋体" w:eastAsia="宋体" w:hint="default"/>
          <w:b/>
          <w:bCs/>
          <w:sz w:val="32"/>
          <w:szCs w:val="32"/>
        </w:rPr>
      </w:pPr>
    </w:p>
    <w:p>
      <w:pPr>
        <w:pStyle w:val="BodyText"/>
        <w:spacing w:line="489" w:lineRule="auto"/>
        <w:ind w:left="1134" w:right="64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公司报告期未发生资产或股权收购、出售的关联交易。</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3、共同对外投资的关联交易" w:id="82"/>
      <w:bookmarkEnd w:id="82"/>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8"/>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320" w:bottom="1160" w:left="0" w:right="0"/>
        </w:sectPr>
      </w:pPr>
    </w:p>
    <w:p>
      <w:pPr>
        <w:spacing w:line="240" w:lineRule="auto" w:before="5"/>
        <w:rPr>
          <w:rFonts w:ascii="宋体" w:hAnsi="宋体" w:cs="宋体" w:eastAsia="宋体" w:hint="default"/>
          <w:b/>
          <w:bCs/>
          <w:sz w:val="11"/>
          <w:szCs w:val="11"/>
        </w:rPr>
      </w:pPr>
    </w:p>
    <w:p>
      <w:pPr>
        <w:pStyle w:val="BodyText"/>
        <w:spacing w:line="240" w:lineRule="auto" w:before="44"/>
        <w:ind w:left="1134" w:right="0"/>
        <w:jc w:val="left"/>
      </w:pPr>
      <w:r>
        <w:rPr/>
        <w:t>公司报告期未发生共同对外投资的关联交易。</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4、关联债权债务往来" w:id="83"/>
      <w:bookmarkEnd w:id="83"/>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32"/>
          <w:szCs w:val="32"/>
        </w:rPr>
      </w:pPr>
    </w:p>
    <w:p>
      <w:pPr>
        <w:pStyle w:val="BodyText"/>
        <w:spacing w:line="489" w:lineRule="auto"/>
        <w:ind w:left="1134" w:right="7872"/>
        <w:jc w:val="left"/>
      </w:pPr>
      <w:r>
        <w:rPr>
          <w:rFonts w:ascii="Times New Roman" w:hAnsi="Times New Roman" w:cs="Times New Roman" w:eastAsia="Times New Roman" w:hint="default"/>
          <w:b/>
          <w:bCs/>
        </w:rPr>
        <w:t>√ </w:t>
      </w:r>
      <w:r>
        <w:rPr>
          <w:rFonts w:ascii="宋体" w:hAnsi="宋体" w:cs="宋体" w:eastAsia="宋体" w:hint="default"/>
          <w:b/>
          <w:bCs/>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是否存在非经营性关联债权债务往来</w:t>
      </w:r>
    </w:p>
    <w:p>
      <w:pPr>
        <w:spacing w:line="489" w:lineRule="auto" w:before="86"/>
        <w:ind w:left="1133" w:right="9488"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 </w:t>
      </w:r>
      <w:r>
        <w:rPr>
          <w:rFonts w:ascii="宋体" w:hAnsi="宋体" w:cs="宋体" w:eastAsia="宋体" w:hint="default"/>
          <w:b/>
          <w:bCs/>
          <w:sz w:val="18"/>
          <w:szCs w:val="18"/>
        </w:rPr>
        <w:t>应收关联方债权</w:t>
      </w:r>
      <w:r>
        <w:rPr>
          <w:rFonts w:ascii="宋体" w:hAnsi="宋体" w:cs="宋体" w:eastAsia="宋体" w:hint="default"/>
          <w:sz w:val="18"/>
          <w:szCs w:val="18"/>
        </w:rPr>
      </w:r>
    </w:p>
    <w:tbl>
      <w:tblPr>
        <w:tblW w:w="0" w:type="auto"/>
        <w:jc w:val="left"/>
        <w:tblInd w:w="1140" w:type="dxa"/>
        <w:tblLayout w:type="fixed"/>
        <w:tblCellMar>
          <w:top w:w="0" w:type="dxa"/>
          <w:left w:w="0" w:type="dxa"/>
          <w:bottom w:w="0" w:type="dxa"/>
          <w:right w:w="0" w:type="dxa"/>
        </w:tblCellMar>
        <w:tblLook w:val="01E0"/>
      </w:tblPr>
      <w:tblGrid>
        <w:gridCol w:w="923"/>
        <w:gridCol w:w="943"/>
        <w:gridCol w:w="958"/>
        <w:gridCol w:w="957"/>
        <w:gridCol w:w="958"/>
        <w:gridCol w:w="956"/>
        <w:gridCol w:w="958"/>
        <w:gridCol w:w="957"/>
        <w:gridCol w:w="958"/>
        <w:gridCol w:w="992"/>
      </w:tblGrid>
      <w:tr>
        <w:trPr>
          <w:trHeight w:val="1025" w:hRule="exact"/>
        </w:trPr>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179"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106"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112"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47"/>
              <w:ind w:left="22" w:right="22"/>
              <w:jc w:val="center"/>
              <w:rPr>
                <w:rFonts w:ascii="宋体" w:hAnsi="宋体" w:cs="宋体" w:eastAsia="宋体" w:hint="default"/>
                <w:sz w:val="18"/>
                <w:szCs w:val="18"/>
              </w:rPr>
            </w:pPr>
            <w:r>
              <w:rPr>
                <w:rFonts w:ascii="宋体" w:hAnsi="宋体" w:cs="宋体" w:eastAsia="宋体" w:hint="default"/>
                <w:sz w:val="18"/>
                <w:szCs w:val="18"/>
              </w:rPr>
              <w:t>是否存在非 经营性资金 占用</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76"/>
              <w:ind w:left="11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316" w:lineRule="auto"/>
              <w:ind w:left="22" w:right="23"/>
              <w:jc w:val="left"/>
              <w:rPr>
                <w:rFonts w:ascii="宋体" w:hAnsi="宋体" w:cs="宋体" w:eastAsia="宋体" w:hint="default"/>
                <w:sz w:val="18"/>
                <w:szCs w:val="18"/>
              </w:rPr>
            </w:pPr>
            <w:r>
              <w:rPr>
                <w:rFonts w:ascii="宋体" w:hAnsi="宋体" w:cs="宋体" w:eastAsia="宋体" w:hint="default"/>
                <w:sz w:val="18"/>
                <w:szCs w:val="18"/>
              </w:rPr>
              <w:t>本期新增金 额（万元）</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316" w:lineRule="auto"/>
              <w:ind w:left="22" w:right="23"/>
              <w:jc w:val="left"/>
              <w:rPr>
                <w:rFonts w:ascii="宋体" w:hAnsi="宋体" w:cs="宋体" w:eastAsia="宋体" w:hint="default"/>
                <w:sz w:val="18"/>
                <w:szCs w:val="18"/>
              </w:rPr>
            </w:pPr>
            <w:r>
              <w:rPr>
                <w:rFonts w:ascii="宋体" w:hAnsi="宋体" w:cs="宋体" w:eastAsia="宋体" w:hint="default"/>
                <w:sz w:val="18"/>
                <w:szCs w:val="18"/>
              </w:rPr>
              <w:t>本期收回金 额（万元）</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92" w:right="0"/>
              <w:jc w:val="left"/>
              <w:rPr>
                <w:rFonts w:ascii="宋体" w:hAnsi="宋体" w:cs="宋体" w:eastAsia="宋体" w:hint="default"/>
                <w:sz w:val="18"/>
                <w:szCs w:val="18"/>
              </w:rPr>
            </w:pPr>
            <w:r>
              <w:rPr>
                <w:rFonts w:ascii="宋体" w:hAnsi="宋体" w:cs="宋体" w:eastAsia="宋体" w:hint="default"/>
                <w:sz w:val="18"/>
                <w:szCs w:val="18"/>
              </w:rPr>
              <w:t>利率</w:t>
            </w:r>
          </w:p>
        </w:tc>
        <w:tc>
          <w:tcPr>
            <w:tcW w:w="9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本期利息</w:t>
            </w:r>
          </w:p>
          <w:p>
            <w:pPr>
              <w:pStyle w:val="TableParagraph"/>
              <w:spacing w:line="240" w:lineRule="auto" w:before="76"/>
              <w:ind w:left="11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76"/>
              <w:ind w:left="130"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1026" w:hRule="exact"/>
        </w:trPr>
        <w:tc>
          <w:tcPr>
            <w:tcW w:w="9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8"/>
              <w:ind w:left="89" w:right="101"/>
              <w:jc w:val="both"/>
              <w:rPr>
                <w:rFonts w:ascii="宋体" w:hAnsi="宋体" w:cs="宋体" w:eastAsia="宋体" w:hint="default"/>
                <w:sz w:val="18"/>
                <w:szCs w:val="18"/>
              </w:rPr>
            </w:pPr>
            <w:r>
              <w:rPr>
                <w:rFonts w:ascii="宋体" w:hAnsi="宋体" w:cs="宋体" w:eastAsia="宋体" w:hint="default"/>
                <w:sz w:val="18"/>
                <w:szCs w:val="18"/>
              </w:rPr>
              <w:t>重庆泰岳 优才科技 有限公司</w:t>
            </w:r>
          </w:p>
        </w:tc>
        <w:tc>
          <w:tcPr>
            <w:tcW w:w="943" w:type="dxa"/>
            <w:tcBorders>
              <w:top w:val="single" w:sz="4" w:space="0" w:color="000000"/>
              <w:left w:val="single" w:sz="13" w:space="0" w:color="D9D9D9"/>
              <w:bottom w:val="single" w:sz="4" w:space="0" w:color="000000"/>
              <w:right w:val="single" w:sz="4" w:space="0" w:color="000000"/>
            </w:tcBorders>
          </w:tcPr>
          <w:p>
            <w:pPr>
              <w:pStyle w:val="TableParagraph"/>
              <w:spacing w:line="316" w:lineRule="auto" w:before="48"/>
              <w:ind w:left="94" w:right="104"/>
              <w:jc w:val="both"/>
              <w:rPr>
                <w:rFonts w:ascii="宋体" w:hAnsi="宋体" w:cs="宋体" w:eastAsia="宋体" w:hint="default"/>
                <w:sz w:val="18"/>
                <w:szCs w:val="18"/>
              </w:rPr>
            </w:pPr>
            <w:r>
              <w:rPr>
                <w:rFonts w:ascii="宋体" w:hAnsi="宋体" w:cs="宋体" w:eastAsia="宋体" w:hint="default"/>
                <w:sz w:val="18"/>
                <w:szCs w:val="18"/>
              </w:rPr>
              <w:t>公司董事 担任董事 的公司</w:t>
            </w:r>
          </w:p>
        </w:tc>
        <w:tc>
          <w:tcPr>
            <w:tcW w:w="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资金往来</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4"/>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58" w:type="dxa"/>
            <w:tcBorders>
              <w:top w:val="single" w:sz="4" w:space="0" w:color="000000"/>
              <w:left w:val="single" w:sz="4" w:space="0" w:color="000000"/>
              <w:bottom w:val="single" w:sz="4" w:space="0" w:color="000000"/>
              <w:right w:val="single" w:sz="4" w:space="0" w:color="000000"/>
            </w:tcBorders>
          </w:tcPr>
          <w:p>
            <w:pP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29" w:right="0"/>
              <w:jc w:val="left"/>
              <w:rPr>
                <w:rFonts w:ascii="Times New Roman" w:hAnsi="Times New Roman" w:cs="Times New Roman" w:eastAsia="Times New Roman" w:hint="default"/>
                <w:sz w:val="18"/>
                <w:szCs w:val="18"/>
              </w:rPr>
            </w:pPr>
            <w:r>
              <w:rPr>
                <w:rFonts w:ascii="Times New Roman"/>
                <w:sz w:val="18"/>
              </w:rPr>
              <w:t>540.59</w:t>
            </w:r>
          </w:p>
        </w:tc>
        <w:tc>
          <w:tcPr>
            <w:tcW w:w="958" w:type="dxa"/>
            <w:tcBorders>
              <w:top w:val="single" w:sz="4" w:space="0" w:color="000000"/>
              <w:left w:val="single" w:sz="4" w:space="0" w:color="000000"/>
              <w:bottom w:val="single" w:sz="4" w:space="0" w:color="000000"/>
              <w:right w:val="single" w:sz="4" w:space="0" w:color="000000"/>
            </w:tcBorders>
          </w:tcPr>
          <w:p>
            <w:pPr/>
          </w:p>
        </w:tc>
        <w:tc>
          <w:tcPr>
            <w:tcW w:w="957" w:type="dxa"/>
            <w:tcBorders>
              <w:top w:val="single" w:sz="4" w:space="0" w:color="000000"/>
              <w:left w:val="single" w:sz="4" w:space="0" w:color="000000"/>
              <w:bottom w:val="single" w:sz="4" w:space="0" w:color="000000"/>
              <w:right w:val="single" w:sz="4" w:space="0" w:color="000000"/>
            </w:tcBorders>
          </w:tcPr>
          <w:p>
            <w:pPr/>
          </w:p>
        </w:tc>
        <w:tc>
          <w:tcPr>
            <w:tcW w:w="95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465" w:right="0"/>
              <w:jc w:val="left"/>
              <w:rPr>
                <w:rFonts w:ascii="Times New Roman" w:hAnsi="Times New Roman" w:cs="Times New Roman" w:eastAsia="Times New Roman" w:hint="default"/>
                <w:sz w:val="18"/>
                <w:szCs w:val="18"/>
              </w:rPr>
            </w:pPr>
            <w:r>
              <w:rPr>
                <w:rFonts w:ascii="Times New Roman"/>
                <w:sz w:val="18"/>
              </w:rPr>
              <w:t>540.59</w:t>
            </w:r>
          </w:p>
        </w:tc>
      </w:tr>
      <w:tr>
        <w:trPr>
          <w:trHeight w:val="715" w:hRule="exact"/>
        </w:trPr>
        <w:tc>
          <w:tcPr>
            <w:tcW w:w="186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48"/>
              <w:ind w:left="11" w:right="42"/>
              <w:jc w:val="left"/>
              <w:rPr>
                <w:rFonts w:ascii="宋体" w:hAnsi="宋体" w:cs="宋体" w:eastAsia="宋体" w:hint="default"/>
                <w:sz w:val="18"/>
                <w:szCs w:val="18"/>
              </w:rPr>
            </w:pPr>
            <w:r>
              <w:rPr>
                <w:rFonts w:ascii="宋体" w:hAnsi="宋体" w:cs="宋体" w:eastAsia="宋体" w:hint="default"/>
                <w:sz w:val="18"/>
                <w:szCs w:val="18"/>
              </w:rPr>
              <w:t>关联债权对公司经营成 果及财务状况的影响</w:t>
            </w:r>
          </w:p>
        </w:tc>
        <w:tc>
          <w:tcPr>
            <w:tcW w:w="7693" w:type="dxa"/>
            <w:gridSpan w:val="8"/>
            <w:tcBorders>
              <w:top w:val="single" w:sz="4" w:space="0" w:color="000000"/>
              <w:left w:val="single" w:sz="13" w:space="0" w:color="D9D9D9"/>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影响非常小</w:t>
            </w:r>
          </w:p>
        </w:tc>
      </w:tr>
    </w:tbl>
    <w:p>
      <w:pPr>
        <w:spacing w:line="240" w:lineRule="auto" w:before="11"/>
        <w:rPr>
          <w:rFonts w:ascii="宋体" w:hAnsi="宋体" w:cs="宋体" w:eastAsia="宋体" w:hint="default"/>
          <w:b/>
          <w:bCs/>
          <w:sz w:val="18"/>
          <w:szCs w:val="18"/>
        </w:rPr>
      </w:pPr>
    </w:p>
    <w:p>
      <w:pPr>
        <w:pStyle w:val="Heading3"/>
        <w:spacing w:line="240" w:lineRule="auto" w:before="35"/>
        <w:ind w:right="0"/>
        <w:jc w:val="left"/>
        <w:rPr>
          <w:b w:val="0"/>
          <w:bCs w:val="0"/>
        </w:rPr>
      </w:pPr>
      <w:bookmarkStart w:name="5、其他重大关联交易" w:id="84"/>
      <w:bookmarkEnd w:id="84"/>
      <w:r>
        <w:rPr>
          <w:b w:val="0"/>
          <w:bCs w:val="0"/>
        </w:rPr>
      </w:r>
      <w:r>
        <w:rPr>
          <w:rFonts w:ascii="Times New Roman" w:hAnsi="Times New Roman" w:cs="Times New Roman" w:eastAsia="Times New Roman" w:hint="default"/>
        </w:rPr>
        <w:t>5</w:t>
      </w:r>
      <w:r>
        <w:rPr/>
        <w:t>、其他重大关联交易</w:t>
      </w:r>
      <w:r>
        <w:rPr>
          <w:b w:val="0"/>
          <w:bCs w:val="0"/>
        </w:rPr>
      </w:r>
    </w:p>
    <w:p>
      <w:pPr>
        <w:spacing w:line="500" w:lineRule="atLeast" w:before="175"/>
        <w:ind w:left="1134" w:right="7688"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关联租赁情况</w:t>
      </w:r>
      <w:r>
        <w:rPr>
          <w:rFonts w:ascii="Times New Roman" w:hAnsi="Times New Roman" w:cs="Times New Roman" w:eastAsia="Times New Roman" w:hint="default"/>
          <w:b/>
          <w:bCs/>
          <w:sz w:val="18"/>
          <w:szCs w:val="18"/>
        </w:rPr>
        <w:t>——</w:t>
      </w:r>
      <w:r>
        <w:rPr>
          <w:rFonts w:ascii="宋体" w:hAnsi="宋体" w:cs="宋体" w:eastAsia="宋体" w:hint="default"/>
          <w:sz w:val="18"/>
          <w:szCs w:val="18"/>
        </w:rPr>
        <w:t>本公司作为出租方：</w:t>
      </w:r>
    </w:p>
    <w:p>
      <w:pPr>
        <w:pStyle w:val="BodyText"/>
        <w:spacing w:line="240" w:lineRule="auto" w:before="141"/>
        <w:ind w:left="630" w:right="1130"/>
        <w:jc w:val="right"/>
      </w:pPr>
      <w:r>
        <w:rPr/>
        <w:t>单位：元</w:t>
      </w:r>
    </w:p>
    <w:p>
      <w:pPr>
        <w:spacing w:line="240" w:lineRule="auto" w:before="6"/>
        <w:rPr>
          <w:rFonts w:ascii="宋体" w:hAnsi="宋体" w:cs="宋体" w:eastAsia="宋体" w:hint="default"/>
          <w:sz w:val="5"/>
          <w:szCs w:val="5"/>
        </w:rPr>
      </w:pPr>
    </w:p>
    <w:tbl>
      <w:tblPr>
        <w:tblW w:w="0" w:type="auto"/>
        <w:jc w:val="left"/>
        <w:tblInd w:w="1131" w:type="dxa"/>
        <w:tblLayout w:type="fixed"/>
        <w:tblCellMar>
          <w:top w:w="0" w:type="dxa"/>
          <w:left w:w="0" w:type="dxa"/>
          <w:bottom w:w="0" w:type="dxa"/>
          <w:right w:w="0" w:type="dxa"/>
        </w:tblCellMar>
        <w:tblLook w:val="01E0"/>
      </w:tblPr>
      <w:tblGrid>
        <w:gridCol w:w="3353"/>
        <w:gridCol w:w="2012"/>
        <w:gridCol w:w="2146"/>
        <w:gridCol w:w="2146"/>
      </w:tblGrid>
      <w:tr>
        <w:trPr>
          <w:trHeight w:val="337"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承租方名称</w:t>
            </w:r>
          </w:p>
        </w:tc>
        <w:tc>
          <w:tcPr>
            <w:tcW w:w="20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承租资产种类</w:t>
            </w:r>
          </w:p>
        </w:tc>
        <w:tc>
          <w:tcPr>
            <w:tcW w:w="21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257"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1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257"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2012"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16"/>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2"/>
              <w:jc w:val="right"/>
              <w:rPr>
                <w:rFonts w:ascii="Times New Roman" w:hAnsi="Times New Roman" w:cs="Times New Roman" w:eastAsia="Times New Roman" w:hint="default"/>
                <w:sz w:val="18"/>
                <w:szCs w:val="18"/>
              </w:rPr>
            </w:pPr>
            <w:r>
              <w:rPr>
                <w:rFonts w:ascii="Times New Roman"/>
                <w:spacing w:val="-1"/>
                <w:sz w:val="18"/>
              </w:rPr>
              <w:t>3,409,057.60</w:t>
            </w:r>
          </w:p>
        </w:tc>
        <w:tc>
          <w:tcPr>
            <w:tcW w:w="2146"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2"/>
              <w:jc w:val="right"/>
              <w:rPr>
                <w:rFonts w:ascii="Times New Roman" w:hAnsi="Times New Roman" w:cs="Times New Roman" w:eastAsia="Times New Roman" w:hint="default"/>
                <w:sz w:val="18"/>
                <w:szCs w:val="18"/>
              </w:rPr>
            </w:pPr>
            <w:r>
              <w:rPr>
                <w:rFonts w:ascii="Times New Roman"/>
                <w:spacing w:val="-1"/>
                <w:sz w:val="18"/>
              </w:rPr>
              <w:t>3,890,132.30</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北京中清龙图网络技术有限公司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417,214.26</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4,091,493.88</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207,654.41</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517,167.25</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573,203.81</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486,662.86</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北京神州良品电子商务科技股份有限公司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1,327,917.60</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1,013,570.11</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112,468.99</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120,557.13</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214,430.21</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401,857.13</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1,245,775.23</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315,733.34</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1,864,784.76</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1,356,799.98</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北京良业环境技术有限公司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4,754,803.10</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698,924.29</w:t>
            </w:r>
          </w:p>
        </w:tc>
      </w:tr>
      <w:tr>
        <w:trPr>
          <w:trHeight w:val="342" w:hRule="exact"/>
        </w:trPr>
        <w:tc>
          <w:tcPr>
            <w:tcW w:w="33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2012"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21"/>
              <w:ind w:right="2"/>
              <w:jc w:val="center"/>
              <w:rPr>
                <w:rFonts w:ascii="宋体" w:hAnsi="宋体" w:cs="宋体" w:eastAsia="宋体" w:hint="default"/>
                <w:sz w:val="18"/>
                <w:szCs w:val="18"/>
              </w:rPr>
            </w:pPr>
            <w:r>
              <w:rPr>
                <w:rFonts w:ascii="宋体" w:hAnsi="宋体" w:cs="宋体" w:eastAsia="宋体" w:hint="default"/>
                <w:sz w:val="18"/>
                <w:szCs w:val="18"/>
              </w:rPr>
              <w:t>房屋建筑物</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z w:val="18"/>
              </w:rPr>
              <w:t>560,312.38</w:t>
            </w:r>
          </w:p>
        </w:tc>
        <w:tc>
          <w:tcPr>
            <w:tcW w:w="2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2"/>
        <w:spacing w:line="240" w:lineRule="auto" w:before="9"/>
        <w:ind w:right="0"/>
        <w:jc w:val="left"/>
        <w:rPr>
          <w:b w:val="0"/>
          <w:bCs w:val="0"/>
        </w:rPr>
      </w:pPr>
      <w:bookmarkStart w:name="十六、重大合同及其履行情况" w:id="85"/>
      <w:bookmarkEnd w:id="85"/>
      <w:r>
        <w:rPr>
          <w:b w:val="0"/>
          <w:bCs w:val="0"/>
        </w:rPr>
      </w:r>
      <w:r>
        <w:rPr/>
        <w:t>十六、重大合同及其履行情况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托管、承包、租赁事项情况" w:id="86"/>
      <w:bookmarkEnd w:id="86"/>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托管情况" w:id="87"/>
      <w:bookmarkEnd w:id="87"/>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7"/>
        <w:rPr>
          <w:rFonts w:ascii="宋体" w:hAnsi="宋体" w:cs="宋体" w:eastAsia="宋体" w:hint="default"/>
          <w:b/>
          <w:bCs/>
          <w:sz w:val="32"/>
          <w:szCs w:val="32"/>
        </w:rPr>
      </w:pPr>
    </w:p>
    <w:p>
      <w:pPr>
        <w:spacing w:line="489" w:lineRule="auto" w:before="0"/>
        <w:ind w:left="113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公司报告期不存在托管情况。</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2）承包情况" w:id="88"/>
      <w:bookmarkEnd w:id="88"/>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8"/>
        <w:rPr>
          <w:rFonts w:ascii="宋体" w:hAnsi="宋体" w:cs="宋体" w:eastAsia="宋体" w:hint="default"/>
          <w:b/>
          <w:bCs/>
          <w:sz w:val="32"/>
          <w:szCs w:val="32"/>
        </w:rPr>
      </w:pPr>
    </w:p>
    <w:p>
      <w:pPr>
        <w:spacing w:line="489" w:lineRule="auto" w:before="0"/>
        <w:ind w:left="113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公司报告期不存在承包情况。</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3）租赁情况" w:id="89"/>
      <w:bookmarkEnd w:id="89"/>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7"/>
        <w:rPr>
          <w:rFonts w:ascii="宋体" w:hAnsi="宋体" w:cs="宋体" w:eastAsia="宋体" w:hint="default"/>
          <w:b/>
          <w:bCs/>
          <w:sz w:val="32"/>
          <w:szCs w:val="32"/>
        </w:rPr>
      </w:pPr>
    </w:p>
    <w:p>
      <w:pPr>
        <w:spacing w:line="451" w:lineRule="auto" w:before="0"/>
        <w:ind w:left="1134" w:right="9282"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 租赁情况说明</w:t>
      </w:r>
    </w:p>
    <w:p>
      <w:pPr>
        <w:pStyle w:val="BodyText"/>
        <w:spacing w:line="451" w:lineRule="auto" w:before="74"/>
        <w:ind w:right="3283"/>
        <w:jc w:val="left"/>
      </w:pPr>
      <w:r>
        <w:rPr/>
        <w:t>公司将北辰泰岳大厦部分楼层及停车位用于经营租赁租出，本年共取得租赁收入</w:t>
      </w:r>
      <w:r>
        <w:rPr>
          <w:rFonts w:ascii="Times New Roman" w:hAnsi="Times New Roman" w:cs="Times New Roman" w:eastAsia="Times New Roman" w:hint="default"/>
        </w:rPr>
        <w:t>2,999.42</w:t>
      </w:r>
      <w:r>
        <w:rPr/>
        <w:t>万元。 为公司带来的损益达到公司报告期利润总额</w:t>
      </w:r>
      <w:r>
        <w:rPr>
          <w:spacing w:val="-46"/>
        </w:rPr>
        <w:t> </w:t>
      </w:r>
      <w:r>
        <w:rPr>
          <w:rFonts w:ascii="Times New Roman" w:hAnsi="Times New Roman" w:cs="Times New Roman" w:eastAsia="Times New Roman" w:hint="default"/>
        </w:rPr>
        <w:t>10%</w:t>
      </w:r>
      <w:r>
        <w:rPr/>
        <w:t>以上的项目</w:t>
      </w:r>
    </w:p>
    <w:p>
      <w:pPr>
        <w:spacing w:before="43"/>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1"/>
        <w:rPr>
          <w:rFonts w:ascii="宋体" w:hAnsi="宋体" w:cs="宋体" w:eastAsia="宋体" w:hint="default"/>
          <w:b/>
          <w:bCs/>
          <w:sz w:val="19"/>
          <w:szCs w:val="19"/>
        </w:rPr>
      </w:pPr>
    </w:p>
    <w:p>
      <w:pPr>
        <w:pStyle w:val="BodyText"/>
        <w:spacing w:line="240" w:lineRule="auto"/>
        <w:ind w:left="1134" w:right="0"/>
        <w:jc w:val="left"/>
      </w:pPr>
      <w:r>
        <w:rPr/>
        <w:t>公司报告期不存在为公司带来的损益达到公司报告期利润总额</w:t>
      </w:r>
      <w:r>
        <w:rPr>
          <w:spacing w:val="-45"/>
        </w:rPr>
        <w:t> </w:t>
      </w:r>
      <w:r>
        <w:rPr>
          <w:rFonts w:ascii="Times New Roman" w:hAnsi="Times New Roman" w:cs="Times New Roman" w:eastAsia="Times New Roman" w:hint="default"/>
        </w:rPr>
        <w:t>10%</w:t>
      </w:r>
      <w:r>
        <w:rPr/>
        <w:t>以上的租赁项目。</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Heading3"/>
        <w:spacing w:line="240" w:lineRule="auto"/>
        <w:ind w:left="1133" w:right="0"/>
        <w:jc w:val="left"/>
        <w:rPr>
          <w:b w:val="0"/>
          <w:bCs w:val="0"/>
        </w:rPr>
      </w:pPr>
      <w:bookmarkStart w:name="2、重大担保" w:id="90"/>
      <w:bookmarkEnd w:id="90"/>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25"/>
          <w:szCs w:val="25"/>
        </w:rPr>
      </w:pPr>
    </w:p>
    <w:p>
      <w:pPr>
        <w:pStyle w:val="Heading3"/>
        <w:spacing w:line="240" w:lineRule="auto"/>
        <w:ind w:right="0"/>
        <w:jc w:val="left"/>
        <w:rPr>
          <w:b w:val="0"/>
          <w:bCs w:val="0"/>
        </w:rPr>
      </w:pPr>
      <w:bookmarkStart w:name="（1）担保情况" w:id="91"/>
      <w:bookmarkEnd w:id="91"/>
      <w:r>
        <w:rPr>
          <w:b w:val="0"/>
          <w:bCs w:val="0"/>
        </w:rPr>
      </w:r>
      <w:r>
        <w:rPr/>
        <w:t>（</w:t>
      </w:r>
      <w:r>
        <w:rPr>
          <w:rFonts w:ascii="Times New Roman" w:hAnsi="Times New Roman" w:cs="Times New Roman" w:eastAsia="Times New Roman" w:hint="default"/>
        </w:rPr>
        <w:t>1</w:t>
      </w:r>
      <w:r>
        <w:rPr/>
        <w:t>）担保情况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021" w:type="dxa"/>
        <w:tblLayout w:type="fixed"/>
        <w:tblCellMar>
          <w:top w:w="0" w:type="dxa"/>
          <w:left w:w="0" w:type="dxa"/>
          <w:bottom w:w="0" w:type="dxa"/>
          <w:right w:w="0" w:type="dxa"/>
        </w:tblCellMar>
        <w:tblLook w:val="01E0"/>
      </w:tblPr>
      <w:tblGrid>
        <w:gridCol w:w="1556"/>
        <w:gridCol w:w="1134"/>
        <w:gridCol w:w="850"/>
        <w:gridCol w:w="1134"/>
        <w:gridCol w:w="1390"/>
        <w:gridCol w:w="1304"/>
        <w:gridCol w:w="709"/>
        <w:gridCol w:w="719"/>
        <w:gridCol w:w="780"/>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53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026" w:hRule="exact"/>
        </w:trPr>
        <w:tc>
          <w:tcPr>
            <w:tcW w:w="15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11" w:right="110"/>
              <w:jc w:val="center"/>
              <w:rPr>
                <w:rFonts w:ascii="宋体" w:hAnsi="宋体" w:cs="宋体" w:eastAsia="宋体" w:hint="default"/>
                <w:sz w:val="18"/>
                <w:szCs w:val="18"/>
              </w:rPr>
            </w:pPr>
            <w:r>
              <w:rPr>
                <w:rFonts w:ascii="宋体" w:hAnsi="宋体" w:cs="宋体" w:eastAsia="宋体" w:hint="default"/>
                <w:sz w:val="18"/>
                <w:szCs w:val="18"/>
              </w:rPr>
              <w:t>担保额度相 关公告披露 日期</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330" w:right="149"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11" w:right="111"/>
              <w:jc w:val="center"/>
              <w:rPr>
                <w:rFonts w:ascii="宋体" w:hAnsi="宋体" w:cs="宋体" w:eastAsia="宋体" w:hint="default"/>
                <w:sz w:val="18"/>
                <w:szCs w:val="18"/>
              </w:rPr>
            </w:pPr>
            <w:r>
              <w:rPr>
                <w:rFonts w:ascii="宋体" w:hAnsi="宋体" w:cs="宋体" w:eastAsia="宋体" w:hint="default"/>
                <w:sz w:val="18"/>
                <w:szCs w:val="18"/>
              </w:rPr>
              <w:t>实际发生日 期（协议签 署日）</w:t>
            </w:r>
          </w:p>
        </w:tc>
        <w:tc>
          <w:tcPr>
            <w:tcW w:w="1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48"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86"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59" w:right="168" w:hanging="90"/>
              <w:jc w:val="left"/>
              <w:rPr>
                <w:rFonts w:ascii="宋体" w:hAnsi="宋体" w:cs="宋体" w:eastAsia="宋体" w:hint="default"/>
                <w:sz w:val="18"/>
                <w:szCs w:val="18"/>
              </w:rPr>
            </w:pPr>
            <w:r>
              <w:rPr>
                <w:rFonts w:ascii="宋体" w:hAnsi="宋体" w:cs="宋体" w:eastAsia="宋体" w:hint="default"/>
                <w:sz w:val="18"/>
                <w:szCs w:val="18"/>
              </w:rPr>
              <w:t>担保 期</w:t>
            </w:r>
          </w:p>
        </w:tc>
        <w:tc>
          <w:tcPr>
            <w:tcW w:w="7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73" w:right="173"/>
              <w:jc w:val="both"/>
              <w:rPr>
                <w:rFonts w:ascii="宋体" w:hAnsi="宋体" w:cs="宋体" w:eastAsia="宋体" w:hint="default"/>
                <w:sz w:val="18"/>
                <w:szCs w:val="18"/>
              </w:rPr>
            </w:pPr>
            <w:r>
              <w:rPr>
                <w:rFonts w:ascii="宋体" w:hAnsi="宋体" w:cs="宋体" w:eastAsia="宋体" w:hint="default"/>
                <w:sz w:val="18"/>
                <w:szCs w:val="18"/>
              </w:rPr>
              <w:t>是否 履行 完毕</w:t>
            </w:r>
          </w:p>
        </w:tc>
        <w:tc>
          <w:tcPr>
            <w:tcW w:w="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13" w:right="114"/>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402"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19"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4"/>
              <w:jc w:val="left"/>
              <w:rPr>
                <w:rFonts w:ascii="宋体" w:hAnsi="宋体" w:cs="宋体" w:eastAsia="宋体" w:hint="default"/>
                <w:sz w:val="18"/>
                <w:szCs w:val="18"/>
              </w:rPr>
            </w:pPr>
            <w:r>
              <w:rPr>
                <w:rFonts w:ascii="宋体" w:hAnsi="宋体" w:cs="宋体" w:eastAsia="宋体" w:hint="default"/>
                <w:sz w:val="18"/>
                <w:szCs w:val="18"/>
              </w:rPr>
              <w:t>报告期内审批的对外担保额度 合计（</w:t>
            </w:r>
            <w:r>
              <w:rPr>
                <w:rFonts w:ascii="Times New Roman" w:hAnsi="Times New Roman" w:cs="Times New Roman" w:eastAsia="Times New Roman" w:hint="default"/>
                <w:sz w:val="18"/>
                <w:szCs w:val="18"/>
              </w:rPr>
              <w:t>A1</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8"/>
              <w:jc w:val="left"/>
              <w:rPr>
                <w:rFonts w:ascii="宋体" w:hAnsi="宋体" w:cs="宋体" w:eastAsia="宋体" w:hint="default"/>
                <w:sz w:val="18"/>
                <w:szCs w:val="18"/>
              </w:rPr>
            </w:pPr>
            <w:r>
              <w:rPr>
                <w:rFonts w:ascii="宋体" w:hAnsi="宋体" w:cs="宋体" w:eastAsia="宋体" w:hint="default"/>
                <w:sz w:val="18"/>
                <w:szCs w:val="18"/>
              </w:rPr>
              <w:t>报告期内对外担保实际发生额 合计（</w:t>
            </w:r>
            <w:r>
              <w:rPr>
                <w:rFonts w:ascii="Times New Roman" w:hAnsi="Times New Roman" w:cs="Times New Roman" w:eastAsia="Times New Roman" w:hint="default"/>
                <w:sz w:val="18"/>
                <w:szCs w:val="18"/>
              </w:rPr>
              <w:t>A2</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报告期末已审批的对外担保额</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报告期末实际对外担保余额合</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4"/>
        <w:rPr>
          <w:rFonts w:ascii="Times New Roman" w:hAnsi="Times New Roman" w:cs="Times New Roman" w:eastAsia="Times New Roman" w:hint="default"/>
          <w:sz w:val="3"/>
          <w:szCs w:val="3"/>
        </w:rPr>
      </w:pPr>
    </w:p>
    <w:p>
      <w:pPr>
        <w:spacing w:line="20" w:lineRule="exact"/>
        <w:ind w:left="109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4"/>
          <w:szCs w:val="4"/>
        </w:rPr>
      </w:pPr>
    </w:p>
    <w:tbl>
      <w:tblPr>
        <w:tblW w:w="0" w:type="auto"/>
        <w:jc w:val="left"/>
        <w:tblInd w:w="1021" w:type="dxa"/>
        <w:tblLayout w:type="fixed"/>
        <w:tblCellMar>
          <w:top w:w="0" w:type="dxa"/>
          <w:left w:w="0" w:type="dxa"/>
          <w:bottom w:w="0" w:type="dxa"/>
          <w:right w:w="0" w:type="dxa"/>
        </w:tblCellMar>
        <w:tblLook w:val="01E0"/>
      </w:tblPr>
      <w:tblGrid>
        <w:gridCol w:w="1556"/>
        <w:gridCol w:w="1134"/>
        <w:gridCol w:w="850"/>
        <w:gridCol w:w="1134"/>
        <w:gridCol w:w="851"/>
        <w:gridCol w:w="539"/>
        <w:gridCol w:w="1304"/>
        <w:gridCol w:w="709"/>
        <w:gridCol w:w="714"/>
        <w:gridCol w:w="785"/>
      </w:tblGrid>
      <w:tr>
        <w:trPr>
          <w:trHeight w:val="367"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度合计（</w:t>
            </w:r>
            <w:r>
              <w:rPr>
                <w:rFonts w:ascii="Times New Roman" w:hAnsi="Times New Roman" w:cs="Times New Roman" w:eastAsia="Times New Roman" w:hint="default"/>
                <w:sz w:val="18"/>
                <w:szCs w:val="18"/>
              </w:rPr>
              <w:t>A3</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计（</w:t>
            </w:r>
            <w:r>
              <w:rPr>
                <w:rFonts w:ascii="Times New Roman" w:hAnsi="Times New Roman" w:cs="Times New Roman" w:eastAsia="Times New Roman" w:hint="default"/>
                <w:sz w:val="18"/>
                <w:szCs w:val="18"/>
              </w:rPr>
              <w:t>A4</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
        </w:tc>
      </w:tr>
      <w:tr>
        <w:trPr>
          <w:trHeight w:val="397" w:hRule="exact"/>
        </w:trPr>
        <w:tc>
          <w:tcPr>
            <w:tcW w:w="9575" w:type="dxa"/>
            <w:gridSpan w:val="10"/>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026" w:hRule="exact"/>
        </w:trPr>
        <w:tc>
          <w:tcPr>
            <w:tcW w:w="15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11" w:right="110"/>
              <w:jc w:val="center"/>
              <w:rPr>
                <w:rFonts w:ascii="宋体" w:hAnsi="宋体" w:cs="宋体" w:eastAsia="宋体" w:hint="default"/>
                <w:sz w:val="18"/>
                <w:szCs w:val="18"/>
              </w:rPr>
            </w:pPr>
            <w:r>
              <w:rPr>
                <w:rFonts w:ascii="宋体" w:hAnsi="宋体" w:cs="宋体" w:eastAsia="宋体" w:hint="default"/>
                <w:sz w:val="18"/>
                <w:szCs w:val="18"/>
              </w:rPr>
              <w:t>担保额度相 关公告披露 日期</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330" w:right="149"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11" w:right="111"/>
              <w:jc w:val="center"/>
              <w:rPr>
                <w:rFonts w:ascii="宋体" w:hAnsi="宋体" w:cs="宋体" w:eastAsia="宋体" w:hint="default"/>
                <w:sz w:val="18"/>
                <w:szCs w:val="18"/>
              </w:rPr>
            </w:pPr>
            <w:r>
              <w:rPr>
                <w:rFonts w:ascii="宋体" w:hAnsi="宋体" w:cs="宋体" w:eastAsia="宋体" w:hint="default"/>
                <w:sz w:val="18"/>
                <w:szCs w:val="18"/>
              </w:rPr>
              <w:t>实际发生日 期（协议签 署日）</w:t>
            </w:r>
          </w:p>
        </w:tc>
        <w:tc>
          <w:tcPr>
            <w:tcW w:w="85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50" w:right="149"/>
              <w:jc w:val="left"/>
              <w:rPr>
                <w:rFonts w:ascii="宋体" w:hAnsi="宋体" w:cs="宋体" w:eastAsia="宋体" w:hint="default"/>
                <w:sz w:val="18"/>
                <w:szCs w:val="18"/>
              </w:rPr>
            </w:pPr>
            <w:r>
              <w:rPr>
                <w:rFonts w:ascii="宋体" w:hAnsi="宋体" w:cs="宋体" w:eastAsia="宋体" w:hint="default"/>
                <w:sz w:val="18"/>
                <w:szCs w:val="18"/>
              </w:rPr>
              <w:t>实际担 保金额</w:t>
            </w: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555"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59" w:right="168" w:hanging="90"/>
              <w:jc w:val="left"/>
              <w:rPr>
                <w:rFonts w:ascii="宋体" w:hAnsi="宋体" w:cs="宋体" w:eastAsia="宋体" w:hint="default"/>
                <w:sz w:val="18"/>
                <w:szCs w:val="18"/>
              </w:rPr>
            </w:pPr>
            <w:r>
              <w:rPr>
                <w:rFonts w:ascii="宋体" w:hAnsi="宋体" w:cs="宋体" w:eastAsia="宋体" w:hint="default"/>
                <w:sz w:val="18"/>
                <w:szCs w:val="18"/>
              </w:rPr>
              <w:t>担保 期</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73" w:right="168"/>
              <w:jc w:val="both"/>
              <w:rPr>
                <w:rFonts w:ascii="宋体" w:hAnsi="宋体" w:cs="宋体" w:eastAsia="宋体" w:hint="default"/>
                <w:sz w:val="18"/>
                <w:szCs w:val="18"/>
              </w:rPr>
            </w:pPr>
            <w:r>
              <w:rPr>
                <w:rFonts w:ascii="宋体" w:hAnsi="宋体" w:cs="宋体" w:eastAsia="宋体" w:hint="default"/>
                <w:sz w:val="18"/>
                <w:szCs w:val="18"/>
              </w:rPr>
              <w:t>是否 履行 完毕</w:t>
            </w:r>
          </w:p>
        </w:tc>
        <w:tc>
          <w:tcPr>
            <w:tcW w:w="7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18" w:right="114"/>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714"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42" w:right="141"/>
              <w:jc w:val="left"/>
              <w:rPr>
                <w:rFonts w:ascii="宋体" w:hAnsi="宋体" w:cs="宋体" w:eastAsia="宋体" w:hint="default"/>
                <w:sz w:val="18"/>
                <w:szCs w:val="18"/>
              </w:rPr>
            </w:pPr>
            <w:r>
              <w:rPr>
                <w:rFonts w:ascii="宋体" w:hAnsi="宋体" w:cs="宋体" w:eastAsia="宋体" w:hint="default"/>
                <w:sz w:val="18"/>
                <w:szCs w:val="18"/>
              </w:rPr>
              <w:t>北京神州泰岳软 件股份有限公司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3,800</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质押</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一年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22" w:right="141" w:hanging="180"/>
              <w:jc w:val="left"/>
              <w:rPr>
                <w:rFonts w:ascii="宋体" w:hAnsi="宋体" w:cs="宋体" w:eastAsia="宋体" w:hint="default"/>
                <w:sz w:val="18"/>
                <w:szCs w:val="18"/>
              </w:rPr>
            </w:pPr>
            <w:r>
              <w:rPr>
                <w:rFonts w:ascii="宋体" w:hAnsi="宋体" w:cs="宋体" w:eastAsia="宋体" w:hint="default"/>
                <w:sz w:val="18"/>
                <w:szCs w:val="18"/>
              </w:rPr>
              <w:t>北京新媒传信科 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75"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两年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42" w:right="141"/>
              <w:jc w:val="left"/>
              <w:rPr>
                <w:rFonts w:ascii="宋体" w:hAnsi="宋体" w:cs="宋体" w:eastAsia="宋体" w:hint="default"/>
                <w:sz w:val="18"/>
                <w:szCs w:val="18"/>
              </w:rPr>
            </w:pPr>
            <w:r>
              <w:rPr>
                <w:rFonts w:ascii="宋体" w:hAnsi="宋体" w:cs="宋体" w:eastAsia="宋体" w:hint="default"/>
                <w:sz w:val="18"/>
                <w:szCs w:val="18"/>
              </w:rPr>
              <w:t>北京神州泰岳系 统集成有限公司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75"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两年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42" w:right="141"/>
              <w:jc w:val="left"/>
              <w:rPr>
                <w:rFonts w:ascii="宋体" w:hAnsi="宋体" w:cs="宋体" w:eastAsia="宋体" w:hint="default"/>
                <w:sz w:val="18"/>
                <w:szCs w:val="18"/>
              </w:rPr>
            </w:pPr>
            <w:r>
              <w:rPr>
                <w:rFonts w:ascii="宋体" w:hAnsi="宋体" w:cs="宋体" w:eastAsia="宋体" w:hint="default"/>
                <w:sz w:val="18"/>
                <w:szCs w:val="18"/>
              </w:rPr>
              <w:t>北京神州泰岳系 统集成有限公司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04</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19,444.6</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375" w:right="0"/>
              <w:jc w:val="left"/>
              <w:rPr>
                <w:rFonts w:ascii="宋体" w:hAnsi="宋体" w:cs="宋体" w:eastAsia="宋体" w:hint="default"/>
                <w:sz w:val="18"/>
                <w:szCs w:val="18"/>
              </w:rPr>
            </w:pPr>
            <w:r>
              <w:rPr>
                <w:rFonts w:ascii="宋体" w:hAnsi="宋体" w:cs="宋体" w:eastAsia="宋体" w:hint="default"/>
                <w:sz w:val="18"/>
                <w:szCs w:val="18"/>
              </w:rPr>
              <w:t>连带责任保证</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两年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22" w:right="141" w:hanging="180"/>
              <w:jc w:val="left"/>
              <w:rPr>
                <w:rFonts w:ascii="宋体" w:hAnsi="宋体" w:cs="宋体" w:eastAsia="宋体" w:hint="default"/>
                <w:sz w:val="18"/>
                <w:szCs w:val="18"/>
              </w:rPr>
            </w:pPr>
            <w:r>
              <w:rPr>
                <w:rFonts w:ascii="宋体" w:hAnsi="宋体" w:cs="宋体" w:eastAsia="宋体" w:hint="default"/>
                <w:sz w:val="18"/>
                <w:szCs w:val="18"/>
              </w:rPr>
              <w:t>北京新媒传信科 技有限公司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left="242" w:right="0"/>
              <w:jc w:val="left"/>
              <w:rPr>
                <w:rFonts w:ascii="Times New Roman" w:hAnsi="Times New Roman" w:cs="Times New Roman" w:eastAsia="Times New Roman" w:hint="default"/>
                <w:sz w:val="18"/>
                <w:szCs w:val="18"/>
              </w:rPr>
            </w:pPr>
            <w:r>
              <w:rPr>
                <w:rFonts w:ascii="Times New Roman"/>
                <w:sz w:val="18"/>
              </w:rPr>
              <w:t>10,000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95" w:right="105" w:hanging="90"/>
              <w:jc w:val="left"/>
              <w:rPr>
                <w:rFonts w:ascii="宋体" w:hAnsi="宋体" w:cs="宋体" w:eastAsia="宋体" w:hint="default"/>
                <w:sz w:val="18"/>
                <w:szCs w:val="18"/>
              </w:rPr>
            </w:pPr>
            <w:r>
              <w:rPr>
                <w:rFonts w:ascii="宋体" w:hAnsi="宋体" w:cs="宋体" w:eastAsia="宋体" w:hint="default"/>
                <w:sz w:val="18"/>
                <w:szCs w:val="18"/>
              </w:rPr>
              <w:t>连带责任保证，与母 公司共用授信额度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一年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42" w:right="141"/>
              <w:jc w:val="left"/>
              <w:rPr>
                <w:rFonts w:ascii="宋体" w:hAnsi="宋体" w:cs="宋体" w:eastAsia="宋体" w:hint="default"/>
                <w:sz w:val="18"/>
                <w:szCs w:val="18"/>
              </w:rPr>
            </w:pPr>
            <w:r>
              <w:rPr>
                <w:rFonts w:ascii="宋体" w:hAnsi="宋体" w:cs="宋体" w:eastAsia="宋体" w:hint="default"/>
                <w:sz w:val="18"/>
                <w:szCs w:val="18"/>
              </w:rPr>
              <w:t>北京神州泰岳系 统集成有限公司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vMerge/>
            <w:tcBorders>
              <w:left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95" w:right="105" w:hanging="90"/>
              <w:jc w:val="left"/>
              <w:rPr>
                <w:rFonts w:ascii="宋体" w:hAnsi="宋体" w:cs="宋体" w:eastAsia="宋体" w:hint="default"/>
                <w:sz w:val="18"/>
                <w:szCs w:val="18"/>
              </w:rPr>
            </w:pPr>
            <w:r>
              <w:rPr>
                <w:rFonts w:ascii="宋体" w:hAnsi="宋体" w:cs="宋体" w:eastAsia="宋体" w:hint="default"/>
                <w:sz w:val="18"/>
                <w:szCs w:val="18"/>
              </w:rPr>
              <w:t>连带责任保证，与母 公司共用授信额度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一年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026"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
              <w:jc w:val="center"/>
              <w:rPr>
                <w:rFonts w:ascii="宋体" w:hAnsi="宋体" w:cs="宋体" w:eastAsia="宋体" w:hint="default"/>
                <w:sz w:val="18"/>
                <w:szCs w:val="18"/>
              </w:rPr>
            </w:pPr>
            <w:r>
              <w:rPr>
                <w:rFonts w:ascii="宋体" w:hAnsi="宋体" w:cs="宋体" w:eastAsia="宋体" w:hint="default"/>
                <w:spacing w:val="-2"/>
                <w:sz w:val="18"/>
                <w:szCs w:val="18"/>
              </w:rPr>
              <w:t>中科鼎富（北京）</w:t>
            </w:r>
            <w:r>
              <w:rPr>
                <w:rFonts w:ascii="宋体" w:hAnsi="宋体" w:cs="宋体" w:eastAsia="宋体" w:hint="default"/>
                <w:sz w:val="18"/>
                <w:szCs w:val="18"/>
              </w:rPr>
              <w:t> 科技发展有限公 司</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57"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0" w:type="dxa"/>
            <w:vMerge/>
            <w:tcBorders>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247"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84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95" w:right="105" w:hanging="90"/>
              <w:jc w:val="left"/>
              <w:rPr>
                <w:rFonts w:ascii="宋体" w:hAnsi="宋体" w:cs="宋体" w:eastAsia="宋体" w:hint="default"/>
                <w:sz w:val="18"/>
                <w:szCs w:val="18"/>
              </w:rPr>
            </w:pPr>
            <w:r>
              <w:rPr>
                <w:rFonts w:ascii="宋体" w:hAnsi="宋体" w:cs="宋体" w:eastAsia="宋体" w:hint="default"/>
                <w:sz w:val="18"/>
                <w:szCs w:val="18"/>
              </w:rPr>
              <w:t>连带责任保证，与母 公司共用授信额度</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一年</w:t>
            </w:r>
          </w:p>
        </w:tc>
        <w:tc>
          <w:tcPr>
            <w:tcW w:w="7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6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98"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4"/>
              <w:jc w:val="left"/>
              <w:rPr>
                <w:rFonts w:ascii="宋体" w:hAnsi="宋体" w:cs="宋体" w:eastAsia="宋体" w:hint="default"/>
                <w:sz w:val="18"/>
                <w:szCs w:val="18"/>
              </w:rPr>
            </w:pPr>
            <w:r>
              <w:rPr>
                <w:rFonts w:ascii="宋体" w:hAnsi="宋体" w:cs="宋体" w:eastAsia="宋体" w:hint="default"/>
                <w:sz w:val="18"/>
                <w:szCs w:val="18"/>
              </w:rPr>
              <w:t>报告期内审批对子公司担保额 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61,000</w:t>
            </w: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8"/>
              <w:jc w:val="left"/>
              <w:rPr>
                <w:rFonts w:ascii="宋体" w:hAnsi="宋体" w:cs="宋体" w:eastAsia="宋体" w:hint="default"/>
                <w:sz w:val="18"/>
                <w:szCs w:val="18"/>
              </w:rPr>
            </w:pPr>
            <w:r>
              <w:rPr>
                <w:rFonts w:ascii="宋体" w:hAnsi="宋体" w:cs="宋体" w:eastAsia="宋体" w:hint="default"/>
                <w:sz w:val="18"/>
                <w:szCs w:val="18"/>
              </w:rPr>
              <w:t>报告期内对子公司担保实际发 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26,244.6</w:t>
            </w:r>
          </w:p>
        </w:tc>
      </w:tr>
      <w:tr>
        <w:trPr>
          <w:trHeight w:val="719"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4"/>
              <w:jc w:val="left"/>
              <w:rPr>
                <w:rFonts w:ascii="宋体" w:hAnsi="宋体" w:cs="宋体" w:eastAsia="宋体" w:hint="default"/>
                <w:sz w:val="18"/>
                <w:szCs w:val="18"/>
              </w:rPr>
            </w:pPr>
            <w:r>
              <w:rPr>
                <w:rFonts w:ascii="宋体" w:hAnsi="宋体" w:cs="宋体" w:eastAsia="宋体" w:hint="default"/>
                <w:sz w:val="18"/>
                <w:szCs w:val="18"/>
              </w:rPr>
              <w:t>报告期末已审批的对子公司担 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61,000</w:t>
            </w: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8"/>
              <w:jc w:val="left"/>
              <w:rPr>
                <w:rFonts w:ascii="宋体" w:hAnsi="宋体" w:cs="宋体" w:eastAsia="宋体" w:hint="default"/>
                <w:sz w:val="18"/>
                <w:szCs w:val="18"/>
              </w:rPr>
            </w:pPr>
            <w:r>
              <w:rPr>
                <w:rFonts w:ascii="宋体" w:hAnsi="宋体" w:cs="宋体" w:eastAsia="宋体" w:hint="default"/>
                <w:sz w:val="18"/>
                <w:szCs w:val="18"/>
              </w:rPr>
              <w:t>报告期末对子公司实际担保余 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19,444.6</w:t>
            </w:r>
          </w:p>
        </w:tc>
      </w:tr>
      <w:tr>
        <w:trPr>
          <w:trHeight w:val="397" w:hRule="exact"/>
        </w:trPr>
        <w:tc>
          <w:tcPr>
            <w:tcW w:w="9575" w:type="dxa"/>
            <w:gridSpan w:val="10"/>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026" w:hRule="exact"/>
        </w:trPr>
        <w:tc>
          <w:tcPr>
            <w:tcW w:w="15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11" w:right="110"/>
              <w:jc w:val="center"/>
              <w:rPr>
                <w:rFonts w:ascii="宋体" w:hAnsi="宋体" w:cs="宋体" w:eastAsia="宋体" w:hint="default"/>
                <w:sz w:val="18"/>
                <w:szCs w:val="18"/>
              </w:rPr>
            </w:pPr>
            <w:r>
              <w:rPr>
                <w:rFonts w:ascii="宋体" w:hAnsi="宋体" w:cs="宋体" w:eastAsia="宋体" w:hint="default"/>
                <w:sz w:val="18"/>
                <w:szCs w:val="18"/>
              </w:rPr>
              <w:t>担保额度相 关公告披露 日期</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330" w:right="149"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11" w:right="111"/>
              <w:jc w:val="center"/>
              <w:rPr>
                <w:rFonts w:ascii="宋体" w:hAnsi="宋体" w:cs="宋体" w:eastAsia="宋体" w:hint="default"/>
                <w:sz w:val="18"/>
                <w:szCs w:val="18"/>
              </w:rPr>
            </w:pPr>
            <w:r>
              <w:rPr>
                <w:rFonts w:ascii="宋体" w:hAnsi="宋体" w:cs="宋体" w:eastAsia="宋体" w:hint="default"/>
                <w:sz w:val="18"/>
                <w:szCs w:val="18"/>
              </w:rPr>
              <w:t>实际发生日 期（协议签 署日）</w:t>
            </w:r>
          </w:p>
        </w:tc>
        <w:tc>
          <w:tcPr>
            <w:tcW w:w="13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48" w:right="0"/>
              <w:jc w:val="left"/>
              <w:rPr>
                <w:rFonts w:ascii="宋体" w:hAnsi="宋体" w:cs="宋体" w:eastAsia="宋体" w:hint="default"/>
                <w:sz w:val="18"/>
                <w:szCs w:val="18"/>
              </w:rPr>
            </w:pPr>
            <w:r>
              <w:rPr>
                <w:rFonts w:ascii="宋体" w:hAnsi="宋体" w:cs="宋体" w:eastAsia="宋体" w:hint="default"/>
                <w:sz w:val="18"/>
                <w:szCs w:val="18"/>
              </w:rPr>
              <w:t>实际担保金额</w:t>
            </w:r>
          </w:p>
        </w:tc>
        <w:tc>
          <w:tcPr>
            <w:tcW w:w="13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86" w:right="0"/>
              <w:jc w:val="left"/>
              <w:rPr>
                <w:rFonts w:ascii="宋体" w:hAnsi="宋体" w:cs="宋体" w:eastAsia="宋体" w:hint="default"/>
                <w:sz w:val="18"/>
                <w:szCs w:val="18"/>
              </w:rPr>
            </w:pPr>
            <w:r>
              <w:rPr>
                <w:rFonts w:ascii="宋体" w:hAnsi="宋体" w:cs="宋体" w:eastAsia="宋体" w:hint="default"/>
                <w:sz w:val="18"/>
                <w:szCs w:val="18"/>
              </w:rPr>
              <w:t>担保类型</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59" w:right="168" w:hanging="90"/>
              <w:jc w:val="left"/>
              <w:rPr>
                <w:rFonts w:ascii="宋体" w:hAnsi="宋体" w:cs="宋体" w:eastAsia="宋体" w:hint="default"/>
                <w:sz w:val="18"/>
                <w:szCs w:val="18"/>
              </w:rPr>
            </w:pPr>
            <w:r>
              <w:rPr>
                <w:rFonts w:ascii="宋体" w:hAnsi="宋体" w:cs="宋体" w:eastAsia="宋体" w:hint="default"/>
                <w:sz w:val="18"/>
                <w:szCs w:val="18"/>
              </w:rPr>
              <w:t>担保 期</w:t>
            </w:r>
          </w:p>
        </w:tc>
        <w:tc>
          <w:tcPr>
            <w:tcW w:w="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69" w:right="173"/>
              <w:jc w:val="both"/>
              <w:rPr>
                <w:rFonts w:ascii="宋体" w:hAnsi="宋体" w:cs="宋体" w:eastAsia="宋体" w:hint="default"/>
                <w:sz w:val="18"/>
                <w:szCs w:val="18"/>
              </w:rPr>
            </w:pPr>
            <w:r>
              <w:rPr>
                <w:rFonts w:ascii="宋体" w:hAnsi="宋体" w:cs="宋体" w:eastAsia="宋体" w:hint="default"/>
                <w:sz w:val="18"/>
                <w:szCs w:val="18"/>
              </w:rPr>
              <w:t>是否 履行 完毕</w:t>
            </w:r>
          </w:p>
        </w:tc>
        <w:tc>
          <w:tcPr>
            <w:tcW w:w="7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13" w:right="119"/>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402" w:hRule="exact"/>
        </w:trPr>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无</w:t>
            </w:r>
          </w:p>
        </w:tc>
        <w:tc>
          <w:tcPr>
            <w:tcW w:w="1134"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1390" w:type="dxa"/>
            <w:gridSpan w:val="2"/>
            <w:tcBorders>
              <w:top w:val="single" w:sz="4" w:space="0" w:color="000000"/>
              <w:left w:val="single" w:sz="4" w:space="0" w:color="000000"/>
              <w:bottom w:val="single" w:sz="4" w:space="0" w:color="000000"/>
              <w:right w:val="single" w:sz="4" w:space="0" w:color="000000"/>
            </w:tcBorders>
          </w:tcPr>
          <w:p>
            <w:pPr/>
          </w:p>
        </w:tc>
        <w:tc>
          <w:tcPr>
            <w:tcW w:w="1304" w:type="dxa"/>
            <w:tcBorders>
              <w:top w:val="single" w:sz="4" w:space="0" w:color="000000"/>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714" w:type="dxa"/>
            <w:tcBorders>
              <w:top w:val="single" w:sz="4" w:space="0" w:color="000000"/>
              <w:left w:val="single" w:sz="4" w:space="0" w:color="000000"/>
              <w:bottom w:val="single" w:sz="4" w:space="0" w:color="000000"/>
              <w:right w:val="single" w:sz="4" w:space="0" w:color="000000"/>
            </w:tcBorders>
          </w:tcPr>
          <w:p>
            <w:pPr/>
          </w:p>
        </w:tc>
        <w:tc>
          <w:tcPr>
            <w:tcW w:w="78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4"/>
              <w:jc w:val="left"/>
              <w:rPr>
                <w:rFonts w:ascii="宋体" w:hAnsi="宋体" w:cs="宋体" w:eastAsia="宋体" w:hint="default"/>
                <w:sz w:val="18"/>
                <w:szCs w:val="18"/>
              </w:rPr>
            </w:pPr>
            <w:r>
              <w:rPr>
                <w:rFonts w:ascii="宋体" w:hAnsi="宋体" w:cs="宋体" w:eastAsia="宋体" w:hint="default"/>
                <w:sz w:val="18"/>
                <w:szCs w:val="18"/>
              </w:rPr>
              <w:t>报告期内审批对子公司担保额 度合计（</w:t>
            </w:r>
            <w:r>
              <w:rPr>
                <w:rFonts w:ascii="Times New Roman" w:hAnsi="Times New Roman" w:cs="Times New Roman" w:eastAsia="Times New Roman" w:hint="default"/>
                <w:sz w:val="18"/>
                <w:szCs w:val="18"/>
              </w:rPr>
              <w:t>C1</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8"/>
              <w:jc w:val="left"/>
              <w:rPr>
                <w:rFonts w:ascii="宋体" w:hAnsi="宋体" w:cs="宋体" w:eastAsia="宋体" w:hint="default"/>
                <w:sz w:val="18"/>
                <w:szCs w:val="18"/>
              </w:rPr>
            </w:pPr>
            <w:r>
              <w:rPr>
                <w:rFonts w:ascii="宋体" w:hAnsi="宋体" w:cs="宋体" w:eastAsia="宋体" w:hint="default"/>
                <w:sz w:val="18"/>
                <w:szCs w:val="18"/>
              </w:rPr>
              <w:t>报告期内对子公司担保实际发 生额合计（</w:t>
            </w:r>
            <w:r>
              <w:rPr>
                <w:rFonts w:ascii="Times New Roman" w:hAnsi="Times New Roman" w:cs="Times New Roman" w:eastAsia="Times New Roman" w:hint="default"/>
                <w:sz w:val="18"/>
                <w:szCs w:val="18"/>
              </w:rPr>
              <w:t>C2</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719"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4"/>
              <w:jc w:val="left"/>
              <w:rPr>
                <w:rFonts w:ascii="宋体" w:hAnsi="宋体" w:cs="宋体" w:eastAsia="宋体" w:hint="default"/>
                <w:sz w:val="18"/>
                <w:szCs w:val="18"/>
              </w:rPr>
            </w:pPr>
            <w:r>
              <w:rPr>
                <w:rFonts w:ascii="宋体" w:hAnsi="宋体" w:cs="宋体" w:eastAsia="宋体" w:hint="default"/>
                <w:sz w:val="18"/>
                <w:szCs w:val="18"/>
              </w:rPr>
              <w:t>报告期末已审批的对子公司担 保额度合计（</w:t>
            </w:r>
            <w:r>
              <w:rPr>
                <w:rFonts w:ascii="Times New Roman" w:hAnsi="Times New Roman" w:cs="Times New Roman" w:eastAsia="Times New Roman" w:hint="default"/>
                <w:sz w:val="18"/>
                <w:szCs w:val="18"/>
              </w:rPr>
              <w:t>C3</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8"/>
              <w:jc w:val="left"/>
              <w:rPr>
                <w:rFonts w:ascii="宋体" w:hAnsi="宋体" w:cs="宋体" w:eastAsia="宋体" w:hint="default"/>
                <w:sz w:val="18"/>
                <w:szCs w:val="18"/>
              </w:rPr>
            </w:pPr>
            <w:r>
              <w:rPr>
                <w:rFonts w:ascii="宋体" w:hAnsi="宋体" w:cs="宋体" w:eastAsia="宋体" w:hint="default"/>
                <w:sz w:val="18"/>
                <w:szCs w:val="18"/>
              </w:rPr>
              <w:t>报告期末对子公司实际担保余 额合计（</w:t>
            </w:r>
            <w:r>
              <w:rPr>
                <w:rFonts w:ascii="Times New Roman" w:hAnsi="Times New Roman" w:cs="Times New Roman" w:eastAsia="Times New Roman" w:hint="default"/>
                <w:sz w:val="18"/>
                <w:szCs w:val="18"/>
              </w:rPr>
              <w:t>C4</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392" w:hRule="exact"/>
        </w:trPr>
        <w:tc>
          <w:tcPr>
            <w:tcW w:w="9575" w:type="dxa"/>
            <w:gridSpan w:val="10"/>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61,000</w:t>
            </w: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报告期内担保实际发生额合计</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1"/>
                <w:szCs w:val="21"/>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26,244.6</w:t>
            </w:r>
          </w:p>
        </w:tc>
      </w:tr>
      <w:tr>
        <w:trPr>
          <w:trHeight w:val="714" w:hRule="exact"/>
        </w:trPr>
        <w:tc>
          <w:tcPr>
            <w:tcW w:w="269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3" w:right="234"/>
              <w:jc w:val="left"/>
              <w:rPr>
                <w:rFonts w:ascii="宋体" w:hAnsi="宋体" w:cs="宋体" w:eastAsia="宋体" w:hint="default"/>
                <w:sz w:val="18"/>
                <w:szCs w:val="18"/>
              </w:rPr>
            </w:pPr>
            <w:r>
              <w:rPr>
                <w:rFonts w:ascii="宋体" w:hAnsi="宋体" w:cs="宋体" w:eastAsia="宋体" w:hint="default"/>
                <w:sz w:val="18"/>
                <w:szCs w:val="18"/>
              </w:rPr>
              <w:t>报告期末已审批的担保额度合 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19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61,000</w:t>
            </w:r>
          </w:p>
        </w:tc>
        <w:tc>
          <w:tcPr>
            <w:tcW w:w="2693"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报告期末实际担保余额合计</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20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3" w:right="0"/>
              <w:jc w:val="left"/>
              <w:rPr>
                <w:rFonts w:ascii="Times New Roman" w:hAnsi="Times New Roman" w:cs="Times New Roman" w:eastAsia="Times New Roman" w:hint="default"/>
                <w:sz w:val="18"/>
                <w:szCs w:val="18"/>
              </w:rPr>
            </w:pPr>
            <w:r>
              <w:rPr>
                <w:rFonts w:ascii="Times New Roman"/>
                <w:sz w:val="18"/>
              </w:rPr>
              <w:t>19,444.6</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021" w:type="dxa"/>
        <w:tblLayout w:type="fixed"/>
        <w:tblCellMar>
          <w:top w:w="0" w:type="dxa"/>
          <w:left w:w="0" w:type="dxa"/>
          <w:bottom w:w="0" w:type="dxa"/>
          <w:right w:w="0" w:type="dxa"/>
        </w:tblCellMar>
        <w:tblLook w:val="01E0"/>
      </w:tblPr>
      <w:tblGrid>
        <w:gridCol w:w="4674"/>
        <w:gridCol w:w="4901"/>
      </w:tblGrid>
      <w:tr>
        <w:trPr>
          <w:trHeight w:val="407"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3.78%</w:t>
            </w:r>
          </w:p>
        </w:tc>
      </w:tr>
      <w:tr>
        <w:trPr>
          <w:trHeight w:val="392" w:hRule="exact"/>
        </w:trPr>
        <w:tc>
          <w:tcPr>
            <w:tcW w:w="957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r>
      <w:tr>
        <w:trPr>
          <w:trHeight w:val="407"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为股东、实际控制人及其关联方提供担保的余额（</w:t>
            </w:r>
            <w:r>
              <w:rPr>
                <w:rFonts w:ascii="Times New Roman" w:hAnsi="Times New Roman" w:cs="Times New Roman" w:eastAsia="Times New Roman" w:hint="default"/>
                <w:sz w:val="18"/>
                <w:szCs w:val="18"/>
              </w:rPr>
              <w:t>D</w:t>
            </w:r>
            <w:r>
              <w:rPr>
                <w:rFonts w:ascii="宋体" w:hAnsi="宋体" w:cs="宋体" w:eastAsia="宋体" w:hint="default"/>
                <w:sz w:val="18"/>
                <w:szCs w:val="18"/>
              </w:rPr>
              <w:t>）</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2"/>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03" w:right="225"/>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的被担保对象提供的 债务担保余额（</w:t>
            </w:r>
            <w:r>
              <w:rPr>
                <w:rFonts w:ascii="Times New Roman" w:hAnsi="Times New Roman" w:cs="Times New Roman" w:eastAsia="Times New Roman" w:hint="default"/>
                <w:sz w:val="18"/>
                <w:szCs w:val="18"/>
              </w:rPr>
              <w:t>E</w:t>
            </w:r>
            <w:r>
              <w:rPr>
                <w:rFonts w:ascii="宋体" w:hAnsi="宋体" w:cs="宋体" w:eastAsia="宋体" w:hint="default"/>
                <w:sz w:val="18"/>
                <w:szCs w:val="18"/>
              </w:rPr>
              <w:t>）</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19,444.6</w:t>
            </w:r>
          </w:p>
        </w:tc>
      </w:tr>
      <w:tr>
        <w:trPr>
          <w:trHeight w:val="402"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50%</w:t>
            </w:r>
            <w:r>
              <w:rPr>
                <w:rFonts w:ascii="宋体" w:hAnsi="宋体" w:cs="宋体" w:eastAsia="宋体" w:hint="default"/>
                <w:sz w:val="18"/>
                <w:szCs w:val="18"/>
              </w:rPr>
              <w:t>部分的金额（</w:t>
            </w:r>
            <w:r>
              <w:rPr>
                <w:rFonts w:ascii="Times New Roman" w:hAnsi="Times New Roman" w:cs="Times New Roman" w:eastAsia="Times New Roman" w:hint="default"/>
                <w:sz w:val="18"/>
                <w:szCs w:val="18"/>
              </w:rPr>
              <w:t>F</w:t>
            </w:r>
            <w:r>
              <w:rPr>
                <w:rFonts w:ascii="宋体" w:hAnsi="宋体" w:cs="宋体" w:eastAsia="宋体" w:hint="default"/>
                <w:sz w:val="18"/>
                <w:szCs w:val="18"/>
              </w:rPr>
              <w:t>）</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Times New Roman" w:hAnsi="Times New Roman" w:cs="Times New Roman" w:eastAsia="Times New Roman" w:hint="default"/>
                <w:sz w:val="18"/>
                <w:szCs w:val="18"/>
              </w:rPr>
              <w:t>D+E+F</w:t>
            </w:r>
            <w:r>
              <w:rPr>
                <w:rFonts w:ascii="宋体" w:hAnsi="宋体" w:cs="宋体" w:eastAsia="宋体" w:hint="default"/>
                <w:sz w:val="18"/>
                <w:szCs w:val="18"/>
              </w:rPr>
              <w:t>）</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19,444.6</w:t>
            </w:r>
          </w:p>
        </w:tc>
      </w:tr>
      <w:tr>
        <w:trPr>
          <w:trHeight w:val="714"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103" w:right="103"/>
              <w:jc w:val="left"/>
              <w:rPr>
                <w:rFonts w:ascii="宋体" w:hAnsi="宋体" w:cs="宋体" w:eastAsia="宋体" w:hint="default"/>
                <w:sz w:val="18"/>
                <w:szCs w:val="18"/>
              </w:rPr>
            </w:pPr>
            <w:r>
              <w:rPr>
                <w:rFonts w:ascii="宋体" w:hAnsi="宋体" w:cs="宋体" w:eastAsia="宋体" w:hint="default"/>
                <w:spacing w:val="-2"/>
                <w:sz w:val="18"/>
                <w:szCs w:val="18"/>
              </w:rPr>
              <w:t>对未到期担保，报告期内已发生担保责任或可能承担连带</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清偿责任的情况说明</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174"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46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违反规定程序对外提供担保的说明</w:t>
            </w:r>
          </w:p>
        </w:tc>
        <w:tc>
          <w:tcPr>
            <w:tcW w:w="4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74"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2）违规对外担保情况" w:id="92"/>
      <w:bookmarkEnd w:id="92"/>
      <w:r>
        <w:rPr>
          <w:b w:val="0"/>
          <w:bCs w:val="0"/>
        </w:rPr>
      </w:r>
      <w:r>
        <w:rPr/>
        <w:t>（</w:t>
      </w:r>
      <w:r>
        <w:rPr>
          <w:rFonts w:ascii="Times New Roman" w:hAnsi="Times New Roman" w:cs="Times New Roman" w:eastAsia="Times New Roman" w:hint="default"/>
        </w:rPr>
        <w:t>2</w:t>
      </w:r>
      <w:r>
        <w:rPr/>
        <w:t>）违规对外担保情况</w:t>
      </w:r>
      <w:r>
        <w:rPr>
          <w:b w:val="0"/>
          <w:bCs w:val="0"/>
        </w:rPr>
      </w:r>
    </w:p>
    <w:p>
      <w:pPr>
        <w:spacing w:line="240" w:lineRule="auto" w:before="7"/>
        <w:rPr>
          <w:rFonts w:ascii="宋体" w:hAnsi="宋体" w:cs="宋体" w:eastAsia="宋体" w:hint="default"/>
          <w:b/>
          <w:bCs/>
          <w:sz w:val="32"/>
          <w:szCs w:val="32"/>
        </w:rPr>
      </w:pPr>
    </w:p>
    <w:p>
      <w:pPr>
        <w:spacing w:line="489" w:lineRule="auto" w:before="0"/>
        <w:ind w:left="1134" w:right="67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公司报告期无违规对外担保情况。</w:t>
      </w:r>
    </w:p>
    <w:p>
      <w:pPr>
        <w:spacing w:line="240" w:lineRule="auto" w:before="5"/>
        <w:rPr>
          <w:rFonts w:ascii="宋体" w:hAnsi="宋体" w:cs="宋体" w:eastAsia="宋体" w:hint="default"/>
          <w:sz w:val="18"/>
          <w:szCs w:val="18"/>
        </w:rPr>
      </w:pPr>
    </w:p>
    <w:p>
      <w:pPr>
        <w:pStyle w:val="Heading3"/>
        <w:spacing w:line="240" w:lineRule="auto"/>
        <w:ind w:right="0"/>
        <w:jc w:val="left"/>
        <w:rPr>
          <w:b w:val="0"/>
          <w:bCs w:val="0"/>
        </w:rPr>
      </w:pPr>
      <w:bookmarkStart w:name="3、委托他人进行现金资产管理情况" w:id="93"/>
      <w:bookmarkEnd w:id="93"/>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委托理财情况" w:id="94"/>
      <w:bookmarkEnd w:id="94"/>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8"/>
        <w:rPr>
          <w:rFonts w:ascii="宋体" w:hAnsi="宋体" w:cs="宋体" w:eastAsia="宋体" w:hint="default"/>
          <w:b/>
          <w:bCs/>
          <w:sz w:val="32"/>
          <w:szCs w:val="32"/>
        </w:rPr>
      </w:pPr>
    </w:p>
    <w:p>
      <w:pPr>
        <w:spacing w:line="489" w:lineRule="auto" w:before="0"/>
        <w:ind w:left="1134" w:right="8945"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不适用 </w:t>
      </w:r>
      <w:r>
        <w:rPr>
          <w:rFonts w:ascii="宋体" w:hAnsi="宋体" w:cs="宋体" w:eastAsia="宋体" w:hint="default"/>
          <w:b/>
          <w:bCs/>
          <w:sz w:val="18"/>
          <w:szCs w:val="18"/>
        </w:rPr>
        <w:t>报告期内委托理财概况</w:t>
      </w:r>
      <w:r>
        <w:rPr>
          <w:rFonts w:ascii="宋体" w:hAnsi="宋体" w:cs="宋体" w:eastAsia="宋体" w:hint="default"/>
          <w:sz w:val="18"/>
          <w:szCs w:val="18"/>
        </w:rPr>
      </w:r>
    </w:p>
    <w:p>
      <w:pPr>
        <w:pStyle w:val="BodyText"/>
        <w:spacing w:line="240" w:lineRule="auto" w:before="8"/>
        <w:ind w:left="63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1673"/>
        <w:gridCol w:w="2470"/>
        <w:gridCol w:w="1939"/>
        <w:gridCol w:w="1408"/>
        <w:gridCol w:w="2204"/>
      </w:tblGrid>
      <w:tr>
        <w:trPr>
          <w:trHeight w:val="402" w:hRule="exact"/>
        </w:trPr>
        <w:tc>
          <w:tcPr>
            <w:tcW w:w="1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具体类型</w:t>
            </w:r>
          </w:p>
        </w:tc>
        <w:tc>
          <w:tcPr>
            <w:tcW w:w="24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3"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8"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7"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银行理财产品</w:t>
            </w:r>
          </w:p>
        </w:tc>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自有资金</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62,529</w:t>
            </w: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20,200</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14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62,529</w:t>
            </w:r>
          </w:p>
        </w:tc>
        <w:tc>
          <w:tcPr>
            <w:tcW w:w="1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20,200</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pStyle w:val="Heading4"/>
        <w:spacing w:line="240" w:lineRule="auto" w:before="51"/>
        <w:ind w:left="1134" w:right="0"/>
        <w:jc w:val="left"/>
        <w:rPr>
          <w:b w:val="0"/>
          <w:bCs w:val="0"/>
        </w:rPr>
      </w:pPr>
      <w:r>
        <w:rPr/>
        <w:t>单项金额重大或安全性较低、流动性较差、不保本的高风险委托理财具体情况</w:t>
      </w:r>
      <w:r>
        <w:rPr>
          <w:b w:val="0"/>
          <w:bCs w:val="0"/>
        </w:rPr>
      </w:r>
    </w:p>
    <w:p>
      <w:pPr>
        <w:spacing w:line="240" w:lineRule="auto" w:before="12"/>
        <w:rPr>
          <w:rFonts w:ascii="宋体" w:hAnsi="宋体" w:cs="宋体" w:eastAsia="宋体" w:hint="default"/>
          <w:b/>
          <w:bCs/>
          <w:sz w:val="14"/>
          <w:szCs w:val="14"/>
        </w:rPr>
      </w:pPr>
    </w:p>
    <w:p>
      <w:pPr>
        <w:pStyle w:val="Heading4"/>
        <w:spacing w:line="489" w:lineRule="auto"/>
        <w:ind w:left="1134" w:right="4993"/>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r>
        <w:rPr>
          <w:w w:val="99"/>
        </w:rPr>
        <w:t> </w:t>
      </w:r>
      <w:r>
        <w:rPr>
          <w:w w:val="95"/>
        </w:rPr>
        <w:t>委托理财出现预期无法收回本金或存在其他可能导致减值的情形</w:t>
      </w:r>
      <w:r>
        <w:rPr>
          <w:b w:val="0"/>
          <w:bCs w:val="0"/>
        </w:rPr>
      </w:r>
    </w:p>
    <w:p>
      <w:pPr>
        <w:spacing w:before="86"/>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2）委托贷款情况" w:id="95"/>
      <w:bookmarkEnd w:id="95"/>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32"/>
          <w:szCs w:val="32"/>
        </w:rPr>
      </w:pPr>
    </w:p>
    <w:p>
      <w:pPr>
        <w:spacing w:line="489" w:lineRule="auto" w:before="0"/>
        <w:ind w:left="1134" w:right="84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公司报告期不存在委托贷款。</w:t>
      </w:r>
    </w:p>
    <w:p>
      <w:pPr>
        <w:spacing w:after="0" w:line="489"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4、其他重大合同" w:id="96"/>
      <w:bookmarkEnd w:id="96"/>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2"/>
          <w:szCs w:val="12"/>
        </w:rPr>
      </w:pPr>
    </w:p>
    <w:tbl>
      <w:tblPr>
        <w:tblW w:w="0" w:type="auto"/>
        <w:jc w:val="left"/>
        <w:tblInd w:w="562" w:type="dxa"/>
        <w:tblLayout w:type="fixed"/>
        <w:tblCellMar>
          <w:top w:w="0" w:type="dxa"/>
          <w:left w:w="0" w:type="dxa"/>
          <w:bottom w:w="0" w:type="dxa"/>
          <w:right w:w="0" w:type="dxa"/>
        </w:tblCellMar>
        <w:tblLook w:val="01E0"/>
      </w:tblPr>
      <w:tblGrid>
        <w:gridCol w:w="1101"/>
        <w:gridCol w:w="742"/>
        <w:gridCol w:w="568"/>
        <w:gridCol w:w="710"/>
        <w:gridCol w:w="640"/>
        <w:gridCol w:w="639"/>
        <w:gridCol w:w="640"/>
        <w:gridCol w:w="638"/>
        <w:gridCol w:w="637"/>
        <w:gridCol w:w="917"/>
        <w:gridCol w:w="567"/>
        <w:gridCol w:w="431"/>
        <w:gridCol w:w="986"/>
        <w:gridCol w:w="709"/>
        <w:gridCol w:w="709"/>
      </w:tblGrid>
      <w:tr>
        <w:trPr>
          <w:trHeight w:val="1650" w:hRule="exact"/>
        </w:trPr>
        <w:tc>
          <w:tcPr>
            <w:tcW w:w="1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305" w:right="65" w:hanging="240"/>
              <w:jc w:val="left"/>
              <w:rPr>
                <w:rFonts w:ascii="宋体" w:hAnsi="宋体" w:cs="宋体" w:eastAsia="宋体" w:hint="default"/>
                <w:sz w:val="16"/>
                <w:szCs w:val="16"/>
              </w:rPr>
            </w:pPr>
            <w:r>
              <w:rPr>
                <w:rFonts w:ascii="宋体" w:hAnsi="宋体" w:cs="宋体" w:eastAsia="宋体" w:hint="default"/>
                <w:sz w:val="16"/>
                <w:szCs w:val="16"/>
              </w:rPr>
              <w:t>合同订立公司</w:t>
            </w:r>
            <w:r>
              <w:rPr>
                <w:rFonts w:ascii="宋体" w:hAnsi="宋体" w:cs="宋体" w:eastAsia="宋体" w:hint="default"/>
                <w:w w:val="99"/>
                <w:sz w:val="16"/>
                <w:szCs w:val="16"/>
              </w:rPr>
              <w:t> </w:t>
            </w:r>
            <w:r>
              <w:rPr>
                <w:rFonts w:ascii="宋体" w:hAnsi="宋体" w:cs="宋体" w:eastAsia="宋体" w:hint="default"/>
                <w:sz w:val="16"/>
                <w:szCs w:val="16"/>
              </w:rPr>
              <w:t>方名称</w:t>
            </w:r>
          </w:p>
        </w:tc>
        <w:tc>
          <w:tcPr>
            <w:tcW w:w="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45" w:right="47"/>
              <w:jc w:val="left"/>
              <w:rPr>
                <w:rFonts w:ascii="宋体" w:hAnsi="宋体" w:cs="宋体" w:eastAsia="宋体" w:hint="default"/>
                <w:sz w:val="16"/>
                <w:szCs w:val="16"/>
              </w:rPr>
            </w:pPr>
            <w:r>
              <w:rPr>
                <w:rFonts w:ascii="宋体" w:hAnsi="宋体" w:cs="宋体" w:eastAsia="宋体" w:hint="default"/>
                <w:sz w:val="16"/>
                <w:szCs w:val="16"/>
              </w:rPr>
              <w:t>合同订立</w:t>
            </w:r>
            <w:r>
              <w:rPr>
                <w:rFonts w:ascii="宋体" w:hAnsi="宋体" w:cs="宋体" w:eastAsia="宋体" w:hint="default"/>
                <w:w w:val="99"/>
                <w:sz w:val="16"/>
                <w:szCs w:val="16"/>
              </w:rPr>
              <w:t> </w:t>
            </w:r>
            <w:r>
              <w:rPr>
                <w:rFonts w:ascii="宋体" w:hAnsi="宋体" w:cs="宋体" w:eastAsia="宋体" w:hint="default"/>
                <w:sz w:val="16"/>
                <w:szCs w:val="16"/>
              </w:rPr>
              <w:t>对方名称</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199" w:right="38" w:hanging="161"/>
              <w:jc w:val="left"/>
              <w:rPr>
                <w:rFonts w:ascii="宋体" w:hAnsi="宋体" w:cs="宋体" w:eastAsia="宋体" w:hint="default"/>
                <w:sz w:val="16"/>
                <w:szCs w:val="16"/>
              </w:rPr>
            </w:pPr>
            <w:r>
              <w:rPr>
                <w:rFonts w:ascii="宋体" w:hAnsi="宋体" w:cs="宋体" w:eastAsia="宋体" w:hint="default"/>
                <w:sz w:val="16"/>
                <w:szCs w:val="16"/>
              </w:rPr>
              <w:t>合同标</w:t>
            </w:r>
            <w:r>
              <w:rPr>
                <w:rFonts w:ascii="宋体" w:hAnsi="宋体" w:cs="宋体" w:eastAsia="宋体" w:hint="default"/>
                <w:w w:val="99"/>
                <w:sz w:val="16"/>
                <w:szCs w:val="16"/>
              </w:rPr>
              <w:t> </w:t>
            </w:r>
            <w:r>
              <w:rPr>
                <w:rFonts w:ascii="宋体" w:hAnsi="宋体" w:cs="宋体" w:eastAsia="宋体" w:hint="default"/>
                <w:sz w:val="16"/>
                <w:szCs w:val="16"/>
              </w:rPr>
              <w:t>的</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189" w:right="30" w:hanging="160"/>
              <w:jc w:val="left"/>
              <w:rPr>
                <w:rFonts w:ascii="宋体" w:hAnsi="宋体" w:cs="宋体" w:eastAsia="宋体" w:hint="default"/>
                <w:sz w:val="16"/>
                <w:szCs w:val="16"/>
              </w:rPr>
            </w:pPr>
            <w:r>
              <w:rPr>
                <w:rFonts w:ascii="宋体" w:hAnsi="宋体" w:cs="宋体" w:eastAsia="宋体" w:hint="default"/>
                <w:sz w:val="16"/>
                <w:szCs w:val="16"/>
              </w:rPr>
              <w:t>合同签订</w:t>
            </w:r>
            <w:r>
              <w:rPr>
                <w:rFonts w:ascii="宋体" w:hAnsi="宋体" w:cs="宋体" w:eastAsia="宋体" w:hint="default"/>
                <w:w w:val="99"/>
                <w:sz w:val="16"/>
                <w:szCs w:val="16"/>
              </w:rPr>
              <w:t> </w:t>
            </w:r>
            <w:r>
              <w:rPr>
                <w:rFonts w:ascii="宋体" w:hAnsi="宋体" w:cs="宋体" w:eastAsia="宋体" w:hint="default"/>
                <w:sz w:val="16"/>
                <w:szCs w:val="16"/>
              </w:rPr>
              <w:t>日期</w:t>
            </w:r>
          </w:p>
        </w:tc>
        <w:tc>
          <w:tcPr>
            <w:tcW w:w="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7" w:lineRule="auto" w:before="67"/>
              <w:ind w:left="24" w:right="21" w:hanging="1"/>
              <w:jc w:val="center"/>
              <w:rPr>
                <w:rFonts w:ascii="宋体" w:hAnsi="宋体" w:cs="宋体" w:eastAsia="宋体" w:hint="default"/>
                <w:sz w:val="16"/>
                <w:szCs w:val="16"/>
              </w:rPr>
            </w:pPr>
            <w:r>
              <w:rPr>
                <w:rFonts w:ascii="宋体" w:hAnsi="宋体" w:cs="宋体" w:eastAsia="宋体" w:hint="default"/>
                <w:sz w:val="16"/>
                <w:szCs w:val="16"/>
              </w:rPr>
              <w:t>合同涉</w:t>
            </w:r>
            <w:r>
              <w:rPr>
                <w:rFonts w:ascii="宋体" w:hAnsi="宋体" w:cs="宋体" w:eastAsia="宋体" w:hint="default"/>
                <w:w w:val="99"/>
                <w:sz w:val="16"/>
                <w:szCs w:val="16"/>
              </w:rPr>
              <w:t> </w:t>
            </w:r>
            <w:r>
              <w:rPr>
                <w:rFonts w:ascii="宋体" w:hAnsi="宋体" w:cs="宋体" w:eastAsia="宋体" w:hint="default"/>
                <w:sz w:val="16"/>
                <w:szCs w:val="16"/>
              </w:rPr>
              <w:t>及资产</w:t>
            </w:r>
            <w:r>
              <w:rPr>
                <w:rFonts w:ascii="宋体" w:hAnsi="宋体" w:cs="宋体" w:eastAsia="宋体" w:hint="default"/>
                <w:w w:val="99"/>
                <w:sz w:val="16"/>
                <w:szCs w:val="16"/>
              </w:rPr>
              <w:t> </w:t>
            </w:r>
            <w:r>
              <w:rPr>
                <w:rFonts w:ascii="宋体" w:hAnsi="宋体" w:cs="宋体" w:eastAsia="宋体" w:hint="default"/>
                <w:sz w:val="16"/>
                <w:szCs w:val="16"/>
              </w:rPr>
              <w:t>的账面</w:t>
            </w:r>
            <w:r>
              <w:rPr>
                <w:rFonts w:ascii="宋体" w:hAnsi="宋体" w:cs="宋体" w:eastAsia="宋体" w:hint="default"/>
                <w:w w:val="99"/>
                <w:sz w:val="16"/>
                <w:szCs w:val="16"/>
              </w:rPr>
              <w:t> </w:t>
            </w:r>
            <w:r>
              <w:rPr>
                <w:rFonts w:ascii="宋体" w:hAnsi="宋体" w:cs="宋体" w:eastAsia="宋体" w:hint="default"/>
                <w:spacing w:val="-15"/>
                <w:sz w:val="16"/>
                <w:szCs w:val="16"/>
              </w:rPr>
              <w:t>价值（万</w:t>
            </w:r>
            <w:r>
              <w:rPr>
                <w:rFonts w:ascii="宋体" w:hAnsi="宋体" w:cs="宋体" w:eastAsia="宋体" w:hint="default"/>
                <w:w w:val="99"/>
                <w:sz w:val="16"/>
                <w:szCs w:val="16"/>
              </w:rPr>
              <w:t> </w:t>
            </w:r>
            <w:r>
              <w:rPr>
                <w:rFonts w:ascii="宋体" w:hAnsi="宋体" w:cs="宋体" w:eastAsia="宋体" w:hint="default"/>
                <w:sz w:val="16"/>
                <w:szCs w:val="16"/>
              </w:rPr>
              <w:t>元）</w:t>
            </w:r>
          </w:p>
        </w:tc>
        <w:tc>
          <w:tcPr>
            <w:tcW w:w="6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57" w:lineRule="auto" w:before="67"/>
              <w:ind w:left="22" w:right="22" w:hanging="1"/>
              <w:jc w:val="center"/>
              <w:rPr>
                <w:rFonts w:ascii="宋体" w:hAnsi="宋体" w:cs="宋体" w:eastAsia="宋体" w:hint="default"/>
                <w:sz w:val="16"/>
                <w:szCs w:val="16"/>
              </w:rPr>
            </w:pPr>
            <w:r>
              <w:rPr>
                <w:rFonts w:ascii="宋体" w:hAnsi="宋体" w:cs="宋体" w:eastAsia="宋体" w:hint="default"/>
                <w:sz w:val="16"/>
                <w:szCs w:val="16"/>
              </w:rPr>
              <w:t>合同涉</w:t>
            </w:r>
            <w:r>
              <w:rPr>
                <w:rFonts w:ascii="宋体" w:hAnsi="宋体" w:cs="宋体" w:eastAsia="宋体" w:hint="default"/>
                <w:w w:val="99"/>
                <w:sz w:val="16"/>
                <w:szCs w:val="16"/>
              </w:rPr>
              <w:t> </w:t>
            </w:r>
            <w:r>
              <w:rPr>
                <w:rFonts w:ascii="宋体" w:hAnsi="宋体" w:cs="宋体" w:eastAsia="宋体" w:hint="default"/>
                <w:sz w:val="16"/>
                <w:szCs w:val="16"/>
              </w:rPr>
              <w:t>及资产</w:t>
            </w:r>
            <w:r>
              <w:rPr>
                <w:rFonts w:ascii="宋体" w:hAnsi="宋体" w:cs="宋体" w:eastAsia="宋体" w:hint="default"/>
                <w:w w:val="99"/>
                <w:sz w:val="16"/>
                <w:szCs w:val="16"/>
              </w:rPr>
              <w:t> </w:t>
            </w:r>
            <w:r>
              <w:rPr>
                <w:rFonts w:ascii="宋体" w:hAnsi="宋体" w:cs="宋体" w:eastAsia="宋体" w:hint="default"/>
                <w:sz w:val="16"/>
                <w:szCs w:val="16"/>
              </w:rPr>
              <w:t>的评估</w:t>
            </w:r>
            <w:r>
              <w:rPr>
                <w:rFonts w:ascii="宋体" w:hAnsi="宋体" w:cs="宋体" w:eastAsia="宋体" w:hint="default"/>
                <w:w w:val="99"/>
                <w:sz w:val="16"/>
                <w:szCs w:val="16"/>
              </w:rPr>
              <w:t> </w:t>
            </w:r>
            <w:r>
              <w:rPr>
                <w:rFonts w:ascii="宋体" w:hAnsi="宋体" w:cs="宋体" w:eastAsia="宋体" w:hint="default"/>
                <w:spacing w:val="-15"/>
                <w:sz w:val="16"/>
                <w:szCs w:val="16"/>
              </w:rPr>
              <w:t>价值（万</w:t>
            </w:r>
            <w:r>
              <w:rPr>
                <w:rFonts w:ascii="宋体" w:hAnsi="宋体" w:cs="宋体" w:eastAsia="宋体" w:hint="default"/>
                <w:w w:val="99"/>
                <w:sz w:val="16"/>
                <w:szCs w:val="16"/>
              </w:rPr>
              <w:t> </w:t>
            </w:r>
            <w:r>
              <w:rPr>
                <w:rFonts w:ascii="宋体" w:hAnsi="宋体" w:cs="宋体" w:eastAsia="宋体" w:hint="default"/>
                <w:sz w:val="16"/>
                <w:szCs w:val="16"/>
              </w:rPr>
              <w:t>元）</w:t>
            </w:r>
          </w:p>
        </w:tc>
        <w:tc>
          <w:tcPr>
            <w:tcW w:w="6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355" w:lineRule="auto"/>
              <w:ind w:left="75" w:right="73"/>
              <w:jc w:val="left"/>
              <w:rPr>
                <w:rFonts w:ascii="宋体" w:hAnsi="宋体" w:cs="宋体" w:eastAsia="宋体" w:hint="default"/>
                <w:sz w:val="16"/>
                <w:szCs w:val="16"/>
              </w:rPr>
            </w:pPr>
            <w:r>
              <w:rPr>
                <w:rFonts w:ascii="宋体" w:hAnsi="宋体" w:cs="宋体" w:eastAsia="宋体" w:hint="default"/>
                <w:sz w:val="16"/>
                <w:szCs w:val="16"/>
              </w:rPr>
              <w:t>评估机</w:t>
            </w:r>
            <w:r>
              <w:rPr>
                <w:rFonts w:ascii="宋体" w:hAnsi="宋体" w:cs="宋体" w:eastAsia="宋体" w:hint="default"/>
                <w:w w:val="99"/>
                <w:sz w:val="16"/>
                <w:szCs w:val="16"/>
              </w:rPr>
              <w:t> </w:t>
            </w:r>
            <w:r>
              <w:rPr>
                <w:rFonts w:ascii="宋体" w:hAnsi="宋体" w:cs="宋体" w:eastAsia="宋体" w:hint="default"/>
                <w:sz w:val="16"/>
                <w:szCs w:val="16"/>
              </w:rPr>
              <w:t>构名称</w:t>
            </w:r>
          </w:p>
          <w:p>
            <w:pPr>
              <w:pStyle w:val="TableParagraph"/>
              <w:spacing w:line="240" w:lineRule="auto" w:before="27"/>
              <w:ind w:left="23" w:right="-33"/>
              <w:jc w:val="left"/>
              <w:rPr>
                <w:rFonts w:ascii="宋体" w:hAnsi="宋体" w:cs="宋体" w:eastAsia="宋体" w:hint="default"/>
                <w:sz w:val="16"/>
                <w:szCs w:val="16"/>
              </w:rPr>
            </w:pPr>
            <w:r>
              <w:rPr>
                <w:rFonts w:ascii="宋体" w:hAnsi="宋体" w:cs="宋体" w:eastAsia="宋体" w:hint="default"/>
                <w:sz w:val="16"/>
                <w:szCs w:val="16"/>
              </w:rPr>
              <w:t>（如有）</w:t>
            </w:r>
          </w:p>
        </w:tc>
        <w:tc>
          <w:tcPr>
            <w:tcW w:w="6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357" w:lineRule="auto"/>
              <w:ind w:left="22" w:right="23" w:hanging="2"/>
              <w:jc w:val="center"/>
              <w:rPr>
                <w:rFonts w:ascii="宋体" w:hAnsi="宋体" w:cs="宋体" w:eastAsia="宋体" w:hint="default"/>
                <w:sz w:val="16"/>
                <w:szCs w:val="16"/>
              </w:rPr>
            </w:pPr>
            <w:r>
              <w:rPr>
                <w:rFonts w:ascii="宋体" w:hAnsi="宋体" w:cs="宋体" w:eastAsia="宋体" w:hint="default"/>
                <w:sz w:val="16"/>
                <w:szCs w:val="16"/>
              </w:rPr>
              <w:t>评估基</w:t>
            </w:r>
            <w:r>
              <w:rPr>
                <w:rFonts w:ascii="宋体" w:hAnsi="宋体" w:cs="宋体" w:eastAsia="宋体" w:hint="default"/>
                <w:w w:val="99"/>
                <w:sz w:val="16"/>
                <w:szCs w:val="16"/>
              </w:rPr>
              <w:t> </w:t>
            </w:r>
            <w:r>
              <w:rPr>
                <w:rFonts w:ascii="宋体" w:hAnsi="宋体" w:cs="宋体" w:eastAsia="宋体" w:hint="default"/>
                <w:spacing w:val="-15"/>
                <w:sz w:val="16"/>
                <w:szCs w:val="16"/>
              </w:rPr>
              <w:t>准日（如</w:t>
            </w:r>
            <w:r>
              <w:rPr>
                <w:rFonts w:ascii="宋体" w:hAnsi="宋体" w:cs="宋体" w:eastAsia="宋体" w:hint="default"/>
                <w:w w:val="99"/>
                <w:sz w:val="16"/>
                <w:szCs w:val="16"/>
              </w:rPr>
              <w:t> </w:t>
            </w:r>
            <w:r>
              <w:rPr>
                <w:rFonts w:ascii="宋体" w:hAnsi="宋体" w:cs="宋体" w:eastAsia="宋体" w:hint="default"/>
                <w:sz w:val="16"/>
                <w:szCs w:val="16"/>
              </w:rPr>
              <w:t>有）</w:t>
            </w:r>
          </w:p>
        </w:tc>
        <w:tc>
          <w:tcPr>
            <w:tcW w:w="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233" w:right="73" w:hanging="161"/>
              <w:jc w:val="left"/>
              <w:rPr>
                <w:rFonts w:ascii="宋体" w:hAnsi="宋体" w:cs="宋体" w:eastAsia="宋体" w:hint="default"/>
                <w:sz w:val="16"/>
                <w:szCs w:val="16"/>
              </w:rPr>
            </w:pPr>
            <w:r>
              <w:rPr>
                <w:rFonts w:ascii="宋体" w:hAnsi="宋体" w:cs="宋体" w:eastAsia="宋体" w:hint="default"/>
                <w:sz w:val="16"/>
                <w:szCs w:val="16"/>
              </w:rPr>
              <w:t>定价原</w:t>
            </w:r>
            <w:r>
              <w:rPr>
                <w:rFonts w:ascii="宋体" w:hAnsi="宋体" w:cs="宋体" w:eastAsia="宋体" w:hint="default"/>
                <w:w w:val="99"/>
                <w:sz w:val="16"/>
                <w:szCs w:val="16"/>
              </w:rPr>
              <w:t> </w:t>
            </w:r>
            <w:r>
              <w:rPr>
                <w:rFonts w:ascii="宋体" w:hAnsi="宋体" w:cs="宋体" w:eastAsia="宋体" w:hint="default"/>
                <w:sz w:val="16"/>
                <w:szCs w:val="16"/>
              </w:rPr>
              <w:t>则</w:t>
            </w:r>
          </w:p>
        </w:tc>
        <w:tc>
          <w:tcPr>
            <w:tcW w:w="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6"/>
              <w:ind w:left="133" w:right="0"/>
              <w:jc w:val="left"/>
              <w:rPr>
                <w:rFonts w:ascii="宋体" w:hAnsi="宋体" w:cs="宋体" w:eastAsia="宋体" w:hint="default"/>
                <w:sz w:val="16"/>
                <w:szCs w:val="16"/>
              </w:rPr>
            </w:pPr>
            <w:r>
              <w:rPr>
                <w:rFonts w:ascii="宋体" w:hAnsi="宋体" w:cs="宋体" w:eastAsia="宋体" w:hint="default"/>
                <w:sz w:val="16"/>
                <w:szCs w:val="16"/>
              </w:rPr>
              <w:t>交易价格</w:t>
            </w:r>
          </w:p>
          <w:p>
            <w:pPr>
              <w:pStyle w:val="TableParagraph"/>
              <w:spacing w:line="240" w:lineRule="auto" w:before="102"/>
              <w:ind w:left="133" w:right="0"/>
              <w:jc w:val="left"/>
              <w:rPr>
                <w:rFonts w:ascii="宋体" w:hAnsi="宋体" w:cs="宋体" w:eastAsia="宋体" w:hint="default"/>
                <w:sz w:val="16"/>
                <w:szCs w:val="16"/>
              </w:rPr>
            </w:pPr>
            <w:r>
              <w:rPr>
                <w:rFonts w:ascii="宋体" w:hAnsi="宋体" w:cs="宋体" w:eastAsia="宋体" w:hint="default"/>
                <w:sz w:val="16"/>
                <w:szCs w:val="16"/>
              </w:rPr>
              <w:t>（万元）</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38" w:right="39"/>
              <w:jc w:val="left"/>
              <w:rPr>
                <w:rFonts w:ascii="宋体" w:hAnsi="宋体" w:cs="宋体" w:eastAsia="宋体" w:hint="default"/>
                <w:sz w:val="16"/>
                <w:szCs w:val="16"/>
              </w:rPr>
            </w:pPr>
            <w:r>
              <w:rPr>
                <w:rFonts w:ascii="宋体" w:hAnsi="宋体" w:cs="宋体" w:eastAsia="宋体" w:hint="default"/>
                <w:sz w:val="16"/>
                <w:szCs w:val="16"/>
              </w:rPr>
              <w:t>是否关</w:t>
            </w:r>
            <w:r>
              <w:rPr>
                <w:rFonts w:ascii="宋体" w:hAnsi="宋体" w:cs="宋体" w:eastAsia="宋体" w:hint="default"/>
                <w:w w:val="99"/>
                <w:sz w:val="16"/>
                <w:szCs w:val="16"/>
              </w:rPr>
              <w:t> </w:t>
            </w:r>
            <w:r>
              <w:rPr>
                <w:rFonts w:ascii="宋体" w:hAnsi="宋体" w:cs="宋体" w:eastAsia="宋体" w:hint="default"/>
                <w:sz w:val="16"/>
                <w:szCs w:val="16"/>
              </w:rPr>
              <w:t>联交易</w:t>
            </w:r>
          </w:p>
        </w:tc>
        <w:tc>
          <w:tcPr>
            <w:tcW w:w="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357" w:lineRule="auto" w:before="116"/>
              <w:ind w:left="50" w:right="49"/>
              <w:jc w:val="left"/>
              <w:rPr>
                <w:rFonts w:ascii="宋体" w:hAnsi="宋体" w:cs="宋体" w:eastAsia="宋体" w:hint="default"/>
                <w:sz w:val="16"/>
                <w:szCs w:val="16"/>
              </w:rPr>
            </w:pPr>
            <w:r>
              <w:rPr>
                <w:rFonts w:ascii="宋体" w:hAnsi="宋体" w:cs="宋体" w:eastAsia="宋体" w:hint="default"/>
                <w:sz w:val="16"/>
                <w:szCs w:val="16"/>
              </w:rPr>
              <w:t>关联</w:t>
            </w:r>
            <w:r>
              <w:rPr>
                <w:rFonts w:ascii="宋体" w:hAnsi="宋体" w:cs="宋体" w:eastAsia="宋体" w:hint="default"/>
                <w:w w:val="99"/>
                <w:sz w:val="16"/>
                <w:szCs w:val="16"/>
              </w:rPr>
              <w:t> </w:t>
            </w:r>
            <w:r>
              <w:rPr>
                <w:rFonts w:ascii="宋体" w:hAnsi="宋体" w:cs="宋体" w:eastAsia="宋体" w:hint="default"/>
                <w:sz w:val="16"/>
                <w:szCs w:val="16"/>
              </w:rPr>
              <w:t>关系</w:t>
            </w:r>
          </w:p>
        </w:tc>
        <w:tc>
          <w:tcPr>
            <w:tcW w:w="9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357" w:lineRule="auto"/>
              <w:ind w:left="87" w:right="88"/>
              <w:jc w:val="center"/>
              <w:rPr>
                <w:rFonts w:ascii="宋体" w:hAnsi="宋体" w:cs="宋体" w:eastAsia="宋体" w:hint="default"/>
                <w:sz w:val="16"/>
                <w:szCs w:val="16"/>
              </w:rPr>
            </w:pPr>
            <w:r>
              <w:rPr>
                <w:rFonts w:ascii="宋体" w:hAnsi="宋体" w:cs="宋体" w:eastAsia="宋体" w:hint="default"/>
                <w:sz w:val="16"/>
                <w:szCs w:val="16"/>
              </w:rPr>
              <w:t>截至报告期</w:t>
            </w:r>
            <w:r>
              <w:rPr>
                <w:rFonts w:ascii="宋体" w:hAnsi="宋体" w:cs="宋体" w:eastAsia="宋体" w:hint="default"/>
                <w:w w:val="99"/>
                <w:sz w:val="16"/>
                <w:szCs w:val="16"/>
              </w:rPr>
              <w:t> </w:t>
            </w:r>
            <w:r>
              <w:rPr>
                <w:rFonts w:ascii="宋体" w:hAnsi="宋体" w:cs="宋体" w:eastAsia="宋体" w:hint="default"/>
                <w:sz w:val="16"/>
                <w:szCs w:val="16"/>
              </w:rPr>
              <w:t>末的执行情</w:t>
            </w:r>
            <w:r>
              <w:rPr>
                <w:rFonts w:ascii="宋体" w:hAnsi="宋体" w:cs="宋体" w:eastAsia="宋体" w:hint="default"/>
                <w:w w:val="99"/>
                <w:sz w:val="16"/>
                <w:szCs w:val="16"/>
              </w:rPr>
              <w:t> </w:t>
            </w:r>
            <w:r>
              <w:rPr>
                <w:rFonts w:ascii="宋体" w:hAnsi="宋体" w:cs="宋体" w:eastAsia="宋体" w:hint="default"/>
                <w:sz w:val="16"/>
                <w:szCs w:val="16"/>
              </w:rPr>
              <w:t>况</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16"/>
                <w:szCs w:val="16"/>
              </w:rPr>
            </w:pPr>
            <w:r>
              <w:rPr>
                <w:rFonts w:ascii="宋体" w:hAnsi="宋体" w:cs="宋体" w:eastAsia="宋体" w:hint="default"/>
                <w:sz w:val="16"/>
                <w:szCs w:val="16"/>
              </w:rPr>
              <w:t>披露日期</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2"/>
              <w:jc w:val="center"/>
              <w:rPr>
                <w:rFonts w:ascii="宋体" w:hAnsi="宋体" w:cs="宋体" w:eastAsia="宋体" w:hint="default"/>
                <w:sz w:val="16"/>
                <w:szCs w:val="16"/>
              </w:rPr>
            </w:pPr>
            <w:r>
              <w:rPr>
                <w:rFonts w:ascii="宋体" w:hAnsi="宋体" w:cs="宋体" w:eastAsia="宋体" w:hint="default"/>
                <w:sz w:val="16"/>
                <w:szCs w:val="16"/>
              </w:rPr>
              <w:t>披露索引</w:t>
            </w:r>
          </w:p>
        </w:tc>
      </w:tr>
      <w:tr>
        <w:trPr>
          <w:trHeight w:val="1027" w:hRule="exact"/>
        </w:trPr>
        <w:tc>
          <w:tcPr>
            <w:tcW w:w="1101"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65" w:right="65"/>
              <w:jc w:val="center"/>
              <w:rPr>
                <w:rFonts w:ascii="宋体" w:hAnsi="宋体" w:cs="宋体" w:eastAsia="宋体" w:hint="default"/>
                <w:sz w:val="16"/>
                <w:szCs w:val="16"/>
              </w:rPr>
            </w:pPr>
            <w:r>
              <w:rPr>
                <w:rFonts w:ascii="宋体" w:hAnsi="宋体" w:cs="宋体" w:eastAsia="宋体" w:hint="default"/>
                <w:sz w:val="16"/>
                <w:szCs w:val="16"/>
              </w:rPr>
              <w:t>北京神州泰岳</w:t>
            </w:r>
            <w:r>
              <w:rPr>
                <w:rFonts w:ascii="宋体" w:hAnsi="宋体" w:cs="宋体" w:eastAsia="宋体" w:hint="default"/>
                <w:w w:val="99"/>
                <w:sz w:val="16"/>
                <w:szCs w:val="16"/>
              </w:rPr>
              <w:t> </w:t>
            </w:r>
            <w:r>
              <w:rPr>
                <w:rFonts w:ascii="宋体" w:hAnsi="宋体" w:cs="宋体" w:eastAsia="宋体" w:hint="default"/>
                <w:sz w:val="16"/>
                <w:szCs w:val="16"/>
              </w:rPr>
              <w:t>系统集成有限</w:t>
            </w:r>
            <w:r>
              <w:rPr>
                <w:rFonts w:ascii="宋体" w:hAnsi="宋体" w:cs="宋体" w:eastAsia="宋体" w:hint="default"/>
                <w:w w:val="99"/>
                <w:sz w:val="16"/>
                <w:szCs w:val="16"/>
              </w:rPr>
              <w:t> </w:t>
            </w:r>
            <w:r>
              <w:rPr>
                <w:rFonts w:ascii="宋体" w:hAnsi="宋体" w:cs="宋体" w:eastAsia="宋体" w:hint="default"/>
                <w:sz w:val="16"/>
                <w:szCs w:val="16"/>
              </w:rPr>
              <w:t>公司</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357" w:lineRule="auto" w:before="67"/>
              <w:ind w:left="45" w:right="47"/>
              <w:jc w:val="center"/>
              <w:rPr>
                <w:rFonts w:ascii="宋体" w:hAnsi="宋体" w:cs="宋体" w:eastAsia="宋体" w:hint="default"/>
                <w:sz w:val="16"/>
                <w:szCs w:val="16"/>
              </w:rPr>
            </w:pPr>
            <w:r>
              <w:rPr>
                <w:rFonts w:ascii="宋体" w:hAnsi="宋体" w:cs="宋体" w:eastAsia="宋体" w:hint="default"/>
                <w:sz w:val="16"/>
                <w:szCs w:val="16"/>
              </w:rPr>
              <w:t>北讯电信</w:t>
            </w:r>
            <w:r>
              <w:rPr>
                <w:rFonts w:ascii="宋体" w:hAnsi="宋体" w:cs="宋体" w:eastAsia="宋体" w:hint="default"/>
                <w:w w:val="99"/>
                <w:sz w:val="16"/>
                <w:szCs w:val="16"/>
              </w:rPr>
              <w:t> </w:t>
            </w:r>
            <w:r>
              <w:rPr>
                <w:rFonts w:ascii="宋体" w:hAnsi="宋体" w:cs="宋体" w:eastAsia="宋体" w:hint="default"/>
                <w:sz w:val="16"/>
                <w:szCs w:val="16"/>
              </w:rPr>
              <w:t>股份有限</w:t>
            </w:r>
            <w:r>
              <w:rPr>
                <w:rFonts w:ascii="宋体" w:hAnsi="宋体" w:cs="宋体" w:eastAsia="宋体" w:hint="default"/>
                <w:w w:val="99"/>
                <w:sz w:val="16"/>
                <w:szCs w:val="16"/>
              </w:rPr>
              <w:t> </w:t>
            </w:r>
            <w:r>
              <w:rPr>
                <w:rFonts w:ascii="宋体" w:hAnsi="宋体" w:cs="宋体" w:eastAsia="宋体" w:hint="default"/>
                <w:sz w:val="16"/>
                <w:szCs w:val="16"/>
              </w:rPr>
              <w:t>公司</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357" w:lineRule="auto"/>
              <w:ind w:left="38" w:right="38"/>
              <w:jc w:val="left"/>
              <w:rPr>
                <w:rFonts w:ascii="宋体" w:hAnsi="宋体" w:cs="宋体" w:eastAsia="宋体" w:hint="default"/>
                <w:sz w:val="16"/>
                <w:szCs w:val="16"/>
              </w:rPr>
            </w:pPr>
            <w:r>
              <w:rPr>
                <w:rFonts w:ascii="宋体" w:hAnsi="宋体" w:cs="宋体" w:eastAsia="宋体" w:hint="default"/>
                <w:sz w:val="16"/>
                <w:szCs w:val="16"/>
              </w:rPr>
              <w:t>设备采</w:t>
            </w:r>
            <w:r>
              <w:rPr>
                <w:rFonts w:ascii="宋体" w:hAnsi="宋体" w:cs="宋体" w:eastAsia="宋体" w:hint="default"/>
                <w:w w:val="99"/>
                <w:sz w:val="16"/>
                <w:szCs w:val="16"/>
              </w:rPr>
              <w:t> </w:t>
            </w:r>
            <w:r>
              <w:rPr>
                <w:rFonts w:ascii="宋体" w:hAnsi="宋体" w:cs="宋体" w:eastAsia="宋体" w:hint="default"/>
                <w:sz w:val="16"/>
                <w:szCs w:val="16"/>
              </w:rPr>
              <w:t>购协议</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w w:val="99"/>
                <w:sz w:val="16"/>
              </w:rPr>
              <w:t>0</w:t>
            </w:r>
            <w:r>
              <w:rPr>
                <w:rFonts w:ascii="Times New Roman"/>
                <w:sz w:val="16"/>
              </w:rPr>
            </w:r>
          </w:p>
        </w:tc>
        <w:tc>
          <w:tcPr>
            <w:tcW w:w="6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0"/>
              <w:jc w:val="center"/>
              <w:rPr>
                <w:rFonts w:ascii="Times New Roman" w:hAnsi="Times New Roman" w:cs="Times New Roman" w:eastAsia="Times New Roman" w:hint="default"/>
                <w:sz w:val="16"/>
                <w:szCs w:val="16"/>
              </w:rPr>
            </w:pPr>
            <w:r>
              <w:rPr>
                <w:rFonts w:ascii="Times New Roman"/>
                <w:w w:val="99"/>
                <w:sz w:val="16"/>
              </w:rPr>
              <w:t>0</w:t>
            </w:r>
            <w:r>
              <w:rPr>
                <w:rFonts w:ascii="Times New Roman"/>
                <w:sz w:val="16"/>
              </w:rPr>
            </w:r>
          </w:p>
        </w:tc>
        <w:tc>
          <w:tcPr>
            <w:tcW w:w="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6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73"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73" w:right="0"/>
              <w:jc w:val="left"/>
              <w:rPr>
                <w:rFonts w:ascii="宋体" w:hAnsi="宋体" w:cs="宋体" w:eastAsia="宋体" w:hint="default"/>
                <w:sz w:val="16"/>
                <w:szCs w:val="16"/>
              </w:rPr>
            </w:pPr>
            <w:r>
              <w:rPr>
                <w:rFonts w:ascii="宋体" w:hAnsi="宋体" w:cs="宋体" w:eastAsia="宋体" w:hint="default"/>
                <w:sz w:val="16"/>
                <w:szCs w:val="16"/>
              </w:rPr>
              <w:t>不适用</w:t>
            </w:r>
          </w:p>
        </w:tc>
        <w:tc>
          <w:tcPr>
            <w:tcW w:w="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92" w:right="0"/>
              <w:jc w:val="left"/>
              <w:rPr>
                <w:rFonts w:ascii="Times New Roman" w:hAnsi="Times New Roman" w:cs="Times New Roman" w:eastAsia="Times New Roman" w:hint="default"/>
                <w:sz w:val="16"/>
                <w:szCs w:val="16"/>
              </w:rPr>
            </w:pPr>
            <w:r>
              <w:rPr>
                <w:rFonts w:ascii="Times New Roman"/>
                <w:sz w:val="16"/>
              </w:rPr>
              <w:t>154,916.04</w:t>
            </w:r>
          </w:p>
        </w:tc>
        <w:tc>
          <w:tcPr>
            <w:tcW w:w="5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c>
          <w:tcPr>
            <w:tcW w:w="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130" w:right="0"/>
              <w:jc w:val="left"/>
              <w:rPr>
                <w:rFonts w:ascii="宋体" w:hAnsi="宋体" w:cs="宋体" w:eastAsia="宋体" w:hint="default"/>
                <w:sz w:val="16"/>
                <w:szCs w:val="16"/>
              </w:rPr>
            </w:pPr>
            <w:r>
              <w:rPr>
                <w:rFonts w:ascii="宋体" w:hAnsi="宋体" w:cs="宋体" w:eastAsia="宋体" w:hint="default"/>
                <w:w w:val="99"/>
                <w:sz w:val="16"/>
                <w:szCs w:val="16"/>
              </w:rPr>
              <w:t>否</w:t>
            </w:r>
            <w:r>
              <w:rPr>
                <w:rFonts w:ascii="宋体" w:hAnsi="宋体" w:cs="宋体" w:eastAsia="宋体" w:hint="default"/>
                <w:sz w:val="16"/>
                <w:szCs w:val="16"/>
              </w:rPr>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3"/>
                <w:szCs w:val="13"/>
              </w:rPr>
            </w:pPr>
          </w:p>
          <w:p>
            <w:pPr>
              <w:pStyle w:val="TableParagraph"/>
              <w:spacing w:line="240" w:lineRule="auto"/>
              <w:ind w:left="87" w:right="0"/>
              <w:jc w:val="left"/>
              <w:rPr>
                <w:rFonts w:ascii="宋体" w:hAnsi="宋体" w:cs="宋体" w:eastAsia="宋体" w:hint="default"/>
                <w:sz w:val="16"/>
                <w:szCs w:val="16"/>
              </w:rPr>
            </w:pPr>
            <w:r>
              <w:rPr>
                <w:rFonts w:ascii="宋体" w:hAnsi="宋体" w:cs="宋体" w:eastAsia="宋体" w:hint="default"/>
                <w:sz w:val="16"/>
                <w:szCs w:val="16"/>
              </w:rPr>
              <w:t>已执行完毕</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7"/>
              <w:ind w:right="1"/>
              <w:jc w:val="center"/>
              <w:rPr>
                <w:rFonts w:ascii="宋体" w:hAnsi="宋体" w:cs="宋体" w:eastAsia="宋体" w:hint="default"/>
                <w:sz w:val="16"/>
                <w:szCs w:val="16"/>
              </w:rPr>
            </w:pPr>
            <w:r>
              <w:rPr>
                <w:rFonts w:ascii="Times New Roman" w:hAnsi="Times New Roman" w:cs="Times New Roman" w:eastAsia="Times New Roman" w:hint="default"/>
                <w:sz w:val="16"/>
                <w:szCs w:val="16"/>
              </w:rPr>
              <w:t>2017</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w:t>
            </w:r>
          </w:p>
          <w:p>
            <w:pPr>
              <w:pStyle w:val="TableParagraph"/>
              <w:spacing w:line="240" w:lineRule="auto" w:before="89"/>
              <w:ind w:right="0"/>
              <w:jc w:val="center"/>
              <w:rPr>
                <w:rFonts w:ascii="Times New Roman" w:hAnsi="Times New Roman" w:cs="Times New Roman" w:eastAsia="Times New Roman" w:hint="default"/>
                <w:sz w:val="16"/>
                <w:szCs w:val="16"/>
              </w:rPr>
            </w:pPr>
            <w:r>
              <w:rPr>
                <w:rFonts w:ascii="Times New Roman" w:hAnsi="Times New Roman" w:cs="Times New Roman" w:eastAsia="Times New Roman" w:hint="default"/>
                <w:sz w:val="16"/>
                <w:szCs w:val="16"/>
              </w:rPr>
              <w:t>07 </w:t>
            </w:r>
            <w:r>
              <w:rPr>
                <w:rFonts w:ascii="宋体" w:hAnsi="宋体" w:cs="宋体" w:eastAsia="宋体" w:hint="default"/>
                <w:sz w:val="16"/>
                <w:szCs w:val="16"/>
              </w:rPr>
              <w:t>月</w:t>
            </w:r>
            <w:r>
              <w:rPr>
                <w:rFonts w:ascii="宋体" w:hAnsi="宋体" w:cs="宋体" w:eastAsia="宋体" w:hint="default"/>
                <w:spacing w:val="-43"/>
                <w:sz w:val="16"/>
                <w:szCs w:val="16"/>
              </w:rPr>
              <w:t> </w:t>
            </w:r>
            <w:r>
              <w:rPr>
                <w:rFonts w:ascii="Times New Roman" w:hAnsi="Times New Roman" w:cs="Times New Roman" w:eastAsia="Times New Roman" w:hint="default"/>
                <w:sz w:val="16"/>
                <w:szCs w:val="16"/>
              </w:rPr>
              <w:t>05</w:t>
            </w:r>
          </w:p>
          <w:p>
            <w:pPr>
              <w:pStyle w:val="TableParagraph"/>
              <w:spacing w:line="240" w:lineRule="auto" w:before="91"/>
              <w:ind w:right="0"/>
              <w:jc w:val="center"/>
              <w:rPr>
                <w:rFonts w:ascii="宋体" w:hAnsi="宋体" w:cs="宋体" w:eastAsia="宋体" w:hint="default"/>
                <w:sz w:val="16"/>
                <w:szCs w:val="16"/>
              </w:rPr>
            </w:pPr>
            <w:r>
              <w:rPr>
                <w:rFonts w:ascii="宋体" w:hAnsi="宋体" w:cs="宋体" w:eastAsia="宋体" w:hint="default"/>
                <w:w w:val="99"/>
                <w:sz w:val="16"/>
                <w:szCs w:val="16"/>
              </w:rPr>
              <w:t>日</w:t>
            </w:r>
            <w:r>
              <w:rPr>
                <w:rFonts w:ascii="宋体" w:hAnsi="宋体" w:cs="宋体" w:eastAsia="宋体" w:hint="default"/>
                <w:sz w:val="16"/>
                <w:szCs w:val="16"/>
              </w:rPr>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right="1"/>
              <w:jc w:val="center"/>
              <w:rPr>
                <w:rFonts w:ascii="Times New Roman" w:hAnsi="Times New Roman" w:cs="Times New Roman" w:eastAsia="Times New Roman" w:hint="default"/>
                <w:sz w:val="16"/>
                <w:szCs w:val="16"/>
              </w:rPr>
            </w:pPr>
            <w:r>
              <w:rPr>
                <w:rFonts w:ascii="Times New Roman"/>
                <w:sz w:val="16"/>
              </w:rPr>
              <w:t>2017-027</w:t>
            </w:r>
          </w:p>
        </w:tc>
      </w:tr>
    </w:tbl>
    <w:p>
      <w:pPr>
        <w:spacing w:line="240" w:lineRule="auto" w:before="6"/>
        <w:rPr>
          <w:rFonts w:ascii="宋体" w:hAnsi="宋体" w:cs="宋体" w:eastAsia="宋体" w:hint="default"/>
          <w:sz w:val="6"/>
          <w:szCs w:val="6"/>
        </w:rPr>
      </w:pPr>
    </w:p>
    <w:p>
      <w:pPr>
        <w:pStyle w:val="BodyText"/>
        <w:spacing w:line="463" w:lineRule="auto" w:before="44"/>
        <w:ind w:right="1033"/>
        <w:jc w:val="left"/>
      </w:pPr>
      <w:r>
        <w:rPr>
          <w:spacing w:val="-2"/>
        </w:rPr>
        <w:t>注：北京神州泰岳系统集成有限公司分别与北讯电信股份有限公司、北讯电信（上海）有限公司、北讯电信（天津）有限公</w:t>
      </w:r>
      <w:r>
        <w:rPr>
          <w:spacing w:val="-72"/>
        </w:rPr>
        <w:t> </w:t>
      </w:r>
      <w:r>
        <w:rPr>
          <w:spacing w:val="-72"/>
        </w:rPr>
      </w:r>
      <w:r>
        <w:rPr/>
        <w:t>司、北讯电信（深圳）有限公司、广东北讯电信有限公司签署了设备采购协议，其均为北讯电信股份有限公司全资子公司，</w:t>
      </w:r>
      <w:r>
        <w:rPr>
          <w:spacing w:val="-84"/>
        </w:rPr>
        <w:t> </w:t>
      </w:r>
      <w:r>
        <w:rPr>
          <w:spacing w:val="-84"/>
        </w:rPr>
      </w:r>
      <w:r>
        <w:rPr/>
        <w:t>属于同一交易对手方。鉴于上游供货商可能无法及时执行供货情况，</w:t>
      </w:r>
      <w:r>
        <w:rPr>
          <w:rFonts w:ascii="Times New Roman" w:hAnsi="Times New Roman" w:cs="Times New Roman" w:eastAsia="Times New Roman" w:hint="default"/>
        </w:rPr>
        <w:t>2017</w:t>
      </w:r>
      <w:r>
        <w:rPr>
          <w:rFonts w:ascii="Times New Roman" w:hAnsi="Times New Roman" w:cs="Times New Roman" w:eastAsia="Times New Roman" w:hint="default"/>
          <w:spacing w:val="-9"/>
        </w:rPr>
        <w:t> </w:t>
      </w:r>
      <w:r>
        <w:rPr/>
        <w:t>年</w:t>
      </w:r>
      <w:r>
        <w:rPr>
          <w:spacing w:val="-54"/>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t>月，双方经友好协商后签署补充协议，系统 集成公司与广东北讯交易金额</w:t>
      </w:r>
      <w:r>
        <w:rPr>
          <w:spacing w:val="-46"/>
        </w:rPr>
        <w:t> </w:t>
      </w:r>
      <w:r>
        <w:rPr>
          <w:rFonts w:ascii="Times New Roman" w:hAnsi="Times New Roman" w:cs="Times New Roman" w:eastAsia="Times New Roman" w:hint="default"/>
        </w:rPr>
        <w:t>24,872.23 </w:t>
      </w:r>
      <w:r>
        <w:rPr/>
        <w:t>万元；与上海北讯交易金额</w:t>
      </w:r>
      <w:r>
        <w:rPr>
          <w:spacing w:val="-45"/>
        </w:rPr>
        <w:t> </w:t>
      </w:r>
      <w:r>
        <w:rPr>
          <w:rFonts w:ascii="Times New Roman" w:hAnsi="Times New Roman" w:cs="Times New Roman" w:eastAsia="Times New Roman" w:hint="default"/>
        </w:rPr>
        <w:t>33,342.01</w:t>
      </w:r>
      <w:r>
        <w:rPr>
          <w:rFonts w:ascii="Times New Roman" w:hAnsi="Times New Roman" w:cs="Times New Roman" w:eastAsia="Times New Roman" w:hint="default"/>
          <w:spacing w:val="-1"/>
        </w:rPr>
        <w:t> </w:t>
      </w:r>
      <w:r>
        <w:rPr/>
        <w:t>万元；与天津北讯交易金额</w:t>
      </w:r>
      <w:r>
        <w:rPr>
          <w:spacing w:val="-45"/>
        </w:rPr>
        <w:t> </w:t>
      </w:r>
      <w:r>
        <w:rPr>
          <w:rFonts w:ascii="Times New Roman" w:hAnsi="Times New Roman" w:cs="Times New Roman" w:eastAsia="Times New Roman" w:hint="default"/>
        </w:rPr>
        <w:t>30,243.31 </w:t>
      </w:r>
      <w:r>
        <w:rPr/>
        <w:t>万元， 双方合作已执行完毕。</w:t>
      </w:r>
    </w:p>
    <w:p>
      <w:pPr>
        <w:spacing w:line="240" w:lineRule="auto" w:before="2"/>
        <w:rPr>
          <w:rFonts w:ascii="宋体" w:hAnsi="宋体" w:cs="宋体" w:eastAsia="宋体" w:hint="default"/>
          <w:sz w:val="18"/>
          <w:szCs w:val="18"/>
        </w:rPr>
      </w:pPr>
    </w:p>
    <w:p>
      <w:pPr>
        <w:pStyle w:val="Heading2"/>
        <w:spacing w:line="240" w:lineRule="auto"/>
        <w:ind w:left="1133" w:right="0"/>
        <w:jc w:val="left"/>
        <w:rPr>
          <w:b w:val="0"/>
          <w:bCs w:val="0"/>
        </w:rPr>
      </w:pPr>
      <w:bookmarkStart w:name="十七、社会责任情况" w:id="97"/>
      <w:bookmarkEnd w:id="97"/>
      <w:r>
        <w:rPr>
          <w:b w:val="0"/>
          <w:bCs w:val="0"/>
        </w:rPr>
      </w:r>
      <w:r>
        <w:rPr/>
        <w:t>十七、社会责任情况</w:t>
      </w:r>
      <w:r>
        <w:rPr>
          <w:b w:val="0"/>
          <w:bCs w:val="0"/>
        </w:rPr>
      </w:r>
    </w:p>
    <w:p>
      <w:pPr>
        <w:spacing w:line="240" w:lineRule="auto" w:before="10"/>
        <w:rPr>
          <w:rFonts w:ascii="宋体" w:hAnsi="宋体" w:cs="宋体" w:eastAsia="宋体" w:hint="default"/>
          <w:b/>
          <w:bCs/>
          <w:sz w:val="24"/>
          <w:szCs w:val="24"/>
        </w:rPr>
      </w:pPr>
    </w:p>
    <w:p>
      <w:pPr>
        <w:spacing w:line="547" w:lineRule="auto" w:before="0"/>
        <w:ind w:left="1133" w:right="3528" w:firstLine="0"/>
        <w:jc w:val="left"/>
        <w:rPr>
          <w:rFonts w:ascii="宋体" w:hAnsi="宋体" w:cs="宋体" w:eastAsia="宋体" w:hint="default"/>
          <w:sz w:val="21"/>
          <w:szCs w:val="21"/>
        </w:rPr>
      </w:pPr>
      <w:bookmarkStart w:name="1、履行社会责任情况" w:id="98"/>
      <w:bookmarkEnd w:id="98"/>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b/>
          <w:bCs/>
          <w:spacing w:val="1"/>
          <w:w w:val="99"/>
          <w:sz w:val="21"/>
          <w:szCs w:val="21"/>
        </w:rPr>
        <w:t> </w:t>
      </w:r>
      <w:r>
        <w:rPr>
          <w:rFonts w:ascii="宋体" w:hAnsi="宋体" w:cs="宋体" w:eastAsia="宋体" w:hint="default"/>
          <w:sz w:val="18"/>
          <w:szCs w:val="18"/>
        </w:rPr>
        <w:t>具体事项详见披露于中国证监会指定的创业板信息披露网（</w:t>
      </w:r>
      <w:hyperlink r:id="rId31">
        <w:r>
          <w:rPr>
            <w:rFonts w:ascii="Times New Roman" w:hAnsi="Times New Roman" w:cs="Times New Roman" w:eastAsia="Times New Roman" w:hint="default"/>
            <w:sz w:val="18"/>
            <w:szCs w:val="18"/>
          </w:rPr>
          <w:t>www.cninfo.com.cn</w:t>
        </w:r>
      </w:hyperlink>
      <w:r>
        <w:rPr>
          <w:rFonts w:ascii="宋体" w:hAnsi="宋体" w:cs="宋体" w:eastAsia="宋体" w:hint="default"/>
          <w:sz w:val="18"/>
          <w:szCs w:val="18"/>
        </w:rPr>
        <w:t>）相关公告。</w:t>
      </w:r>
      <w:r>
        <w:rPr>
          <w:rFonts w:ascii="宋体" w:hAnsi="宋体" w:cs="宋体" w:eastAsia="宋体" w:hint="default"/>
          <w:w w:val="99"/>
          <w:sz w:val="18"/>
          <w:szCs w:val="18"/>
        </w:rPr>
        <w:t> </w:t>
      </w:r>
      <w:bookmarkStart w:name="2、履行精准扶贫社会责任情况" w:id="99"/>
      <w:bookmarkEnd w:id="99"/>
      <w:r>
        <w:rPr>
          <w:rFonts w:ascii="宋体" w:hAnsi="宋体" w:cs="宋体" w:eastAsia="宋体" w:hint="default"/>
          <w:w w:val="99"/>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pStyle w:val="BodyText"/>
        <w:spacing w:line="240" w:lineRule="auto" w:before="49"/>
        <w:ind w:right="0"/>
        <w:jc w:val="left"/>
      </w:pPr>
      <w:r>
        <w:rPr/>
        <w:t>公司报告年度暂未开展精准扶贫工作，也暂无后续精准扶贫计划。</w:t>
      </w:r>
    </w:p>
    <w:p>
      <w:pPr>
        <w:spacing w:line="240" w:lineRule="auto" w:before="12"/>
        <w:rPr>
          <w:rFonts w:ascii="宋体" w:hAnsi="宋体" w:cs="宋体" w:eastAsia="宋体" w:hint="default"/>
          <w:sz w:val="26"/>
          <w:szCs w:val="26"/>
        </w:rPr>
      </w:pPr>
    </w:p>
    <w:p>
      <w:pPr>
        <w:pStyle w:val="Heading3"/>
        <w:spacing w:line="240" w:lineRule="auto"/>
        <w:ind w:left="1133" w:right="0"/>
        <w:jc w:val="left"/>
        <w:rPr>
          <w:b w:val="0"/>
          <w:bCs w:val="0"/>
        </w:rPr>
      </w:pPr>
      <w:bookmarkStart w:name="3、环境保护相关的情况" w:id="100"/>
      <w:bookmarkEnd w:id="100"/>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7"/>
        <w:rPr>
          <w:rFonts w:ascii="宋体" w:hAnsi="宋体" w:cs="宋体" w:eastAsia="宋体" w:hint="default"/>
          <w:b/>
          <w:bCs/>
          <w:sz w:val="32"/>
          <w:szCs w:val="32"/>
        </w:rPr>
      </w:pPr>
    </w:p>
    <w:p>
      <w:pPr>
        <w:pStyle w:val="Heading4"/>
        <w:spacing w:line="518" w:lineRule="auto"/>
        <w:ind w:left="1133" w:right="5786"/>
        <w:jc w:val="left"/>
        <w:rPr>
          <w:b w:val="0"/>
          <w:bCs w:val="0"/>
        </w:rPr>
      </w:pPr>
      <w:r>
        <w:rPr>
          <w:w w:val="95"/>
        </w:rPr>
        <w:t>上市公司及其子公司是否属于环境保护部门公布的重点排污单位 </w:t>
      </w:r>
      <w:r>
        <w:rPr>
          <w:spacing w:val="74"/>
          <w:w w:val="95"/>
        </w:rPr>
        <w:t> </w:t>
      </w:r>
      <w:r>
        <w:rPr>
          <w:spacing w:val="74"/>
          <w:w w:val="95"/>
        </w:rPr>
      </w:r>
      <w:r>
        <w:rPr/>
        <w:t>否</w:t>
      </w:r>
      <w:r>
        <w:rPr>
          <w:b w:val="0"/>
          <w:bCs w:val="0"/>
        </w:rPr>
      </w:r>
    </w:p>
    <w:p>
      <w:pPr>
        <w:spacing w:line="240" w:lineRule="auto" w:before="13"/>
        <w:rPr>
          <w:rFonts w:ascii="宋体" w:hAnsi="宋体" w:cs="宋体" w:eastAsia="宋体" w:hint="default"/>
          <w:b/>
          <w:bCs/>
          <w:sz w:val="14"/>
          <w:szCs w:val="14"/>
        </w:rPr>
      </w:pPr>
    </w:p>
    <w:p>
      <w:pPr>
        <w:pStyle w:val="Heading2"/>
        <w:spacing w:line="240" w:lineRule="auto"/>
        <w:ind w:left="1133" w:right="0"/>
        <w:jc w:val="left"/>
        <w:rPr>
          <w:b w:val="0"/>
          <w:bCs w:val="0"/>
        </w:rPr>
      </w:pPr>
      <w:bookmarkStart w:name="十八、其他重大事项的说明" w:id="101"/>
      <w:bookmarkEnd w:id="101"/>
      <w:r>
        <w:rPr>
          <w:b w:val="0"/>
          <w:bCs w:val="0"/>
        </w:rPr>
      </w:r>
      <w:r>
        <w:rPr/>
        <w:t>十八、其他重大事项的说明</w:t>
      </w:r>
      <w:r>
        <w:rPr>
          <w:b w:val="0"/>
          <w:bCs w:val="0"/>
        </w:rPr>
      </w:r>
    </w:p>
    <w:p>
      <w:pPr>
        <w:spacing w:line="240" w:lineRule="auto" w:before="9"/>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3"/>
          <w:szCs w:val="13"/>
        </w:rPr>
      </w:pPr>
    </w:p>
    <w:p>
      <w:pPr>
        <w:pStyle w:val="BodyText"/>
        <w:spacing w:line="451" w:lineRule="auto"/>
        <w:ind w:right="1132" w:firstLine="360"/>
        <w:jc w:val="both"/>
      </w:pPr>
      <w:r>
        <w:rPr>
          <w:spacing w:val="-2"/>
        </w:rPr>
        <w:t>（</w:t>
      </w:r>
      <w:r>
        <w:rPr>
          <w:rFonts w:ascii="Times New Roman" w:hAnsi="Times New Roman" w:cs="Times New Roman" w:eastAsia="Times New Roman" w:hint="default"/>
          <w:spacing w:val="-2"/>
        </w:rPr>
        <w:t>1</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17</w:t>
      </w:r>
      <w:r>
        <w:rPr>
          <w:spacing w:val="-2"/>
        </w:rPr>
        <w:t>日，公司第六届董事会第二十次会议审议通过《关于对外投资设立全资子公司的议案》，公司以自有</w:t>
      </w:r>
      <w:r>
        <w:rPr/>
        <w:t> </w:t>
      </w:r>
      <w:r>
        <w:rPr>
          <w:spacing w:val="-2"/>
        </w:rPr>
        <w:t>资金出资在北京市房山区设立全资子公司，注册资本</w:t>
      </w:r>
      <w:r>
        <w:rPr>
          <w:rFonts w:ascii="Times New Roman" w:hAnsi="Times New Roman" w:cs="Times New Roman" w:eastAsia="Times New Roman" w:hint="default"/>
          <w:spacing w:val="-2"/>
        </w:rPr>
        <w:t>1,000</w:t>
      </w:r>
      <w:r>
        <w:rPr>
          <w:spacing w:val="-2"/>
        </w:rPr>
        <w:t>万元。设立完成后，公司向新子公司增资不超过</w:t>
      </w:r>
      <w:r>
        <w:rPr>
          <w:rFonts w:ascii="Times New Roman" w:hAnsi="Times New Roman" w:cs="Times New Roman" w:eastAsia="Times New Roman" w:hint="default"/>
          <w:spacing w:val="-2"/>
        </w:rPr>
        <w:t>40,000</w:t>
      </w:r>
      <w:r>
        <w:rPr>
          <w:spacing w:val="-2"/>
        </w:rPr>
        <w:t>万元，用于</w:t>
      </w:r>
      <w:r>
        <w:rPr>
          <w:spacing w:val="-58"/>
        </w:rPr>
        <w:t> </w:t>
      </w:r>
      <w:r>
        <w:rPr>
          <w:spacing w:val="-58"/>
        </w:rPr>
      </w:r>
      <w:r>
        <w:rPr>
          <w:spacing w:val="11"/>
        </w:rPr>
        <w:t>与北京市房山新城建设工程有限责任公司等单位共同组建项目公司，通过参与招拍挂方式竞买北京市房山区长阳镇</w:t>
      </w:r>
    </w:p>
    <w:p>
      <w:pPr>
        <w:spacing w:after="0" w:line="451" w:lineRule="auto"/>
        <w:jc w:val="both"/>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pStyle w:val="BodyText"/>
        <w:spacing w:line="451" w:lineRule="auto" w:before="44"/>
        <w:ind w:right="0"/>
        <w:jc w:val="left"/>
      </w:pPr>
      <w:r>
        <w:rPr>
          <w:rFonts w:ascii="Times New Roman" w:hAnsi="Times New Roman" w:cs="Times New Roman" w:eastAsia="Times New Roman" w:hint="default"/>
          <w:spacing w:val="-1"/>
        </w:rPr>
        <w:t>FS00-LX10-0092</w:t>
      </w:r>
      <w:r>
        <w:rPr>
          <w:spacing w:val="-1"/>
        </w:rPr>
        <w:t>等地块，该目标地块未来建设完成后，公司预计将获得总建筑面积不超过</w:t>
      </w:r>
      <w:r>
        <w:rPr>
          <w:rFonts w:ascii="Times New Roman" w:hAnsi="Times New Roman" w:cs="Times New Roman" w:eastAsia="Times New Roman" w:hint="default"/>
          <w:spacing w:val="-1"/>
        </w:rPr>
        <w:t>4</w:t>
      </w:r>
      <w:r>
        <w:rPr>
          <w:spacing w:val="-1"/>
        </w:rPr>
        <w:t>万平方米的房产主要用于研发办</w:t>
      </w:r>
      <w:r>
        <w:rPr>
          <w:spacing w:val="-42"/>
        </w:rPr>
        <w:t> </w:t>
      </w:r>
      <w:r>
        <w:rPr/>
        <w:t>公。目前后续事项正在进行。</w:t>
      </w:r>
    </w:p>
    <w:p>
      <w:pPr>
        <w:pStyle w:val="BodyText"/>
        <w:spacing w:line="451" w:lineRule="auto" w:before="74"/>
        <w:ind w:right="1130" w:firstLine="360"/>
        <w:jc w:val="both"/>
      </w:pPr>
      <w:r>
        <w:rPr>
          <w:spacing w:val="-2"/>
        </w:rPr>
        <w:t>（</w:t>
      </w:r>
      <w:r>
        <w:rPr>
          <w:rFonts w:ascii="Times New Roman" w:hAnsi="Times New Roman" w:cs="Times New Roman" w:eastAsia="Times New Roman" w:hint="default"/>
          <w:spacing w:val="-2"/>
        </w:rPr>
        <w:t>2</w:t>
      </w:r>
      <w:r>
        <w:rPr>
          <w:spacing w:val="-2"/>
        </w:rPr>
        <w:t>）</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4</w:t>
      </w:r>
      <w:r>
        <w:rPr>
          <w:spacing w:val="-2"/>
        </w:rPr>
        <w:t>月</w:t>
      </w:r>
      <w:r>
        <w:rPr>
          <w:rFonts w:ascii="Times New Roman" w:hAnsi="Times New Roman" w:cs="Times New Roman" w:eastAsia="Times New Roman" w:hint="default"/>
          <w:spacing w:val="-2"/>
        </w:rPr>
        <w:t>24</w:t>
      </w:r>
      <w:r>
        <w:rPr>
          <w:spacing w:val="-2"/>
        </w:rPr>
        <w:t>日，公司第六届董事会第二十一次会议审议通过《关于转让参股公司股权的议案》，公司将所持有的</w:t>
      </w:r>
      <w:r>
        <w:rPr/>
        <w:t> </w:t>
      </w:r>
      <w:r>
        <w:rPr>
          <w:spacing w:val="-1"/>
        </w:rPr>
        <w:t>北京中清龙图网络技术有限公司全部股权以</w:t>
      </w:r>
      <w:r>
        <w:rPr>
          <w:rFonts w:ascii="Times New Roman" w:hAnsi="Times New Roman" w:cs="Times New Roman" w:eastAsia="Times New Roman" w:hint="default"/>
          <w:spacing w:val="-1"/>
        </w:rPr>
        <w:t>32,300</w:t>
      </w:r>
      <w:r>
        <w:rPr>
          <w:spacing w:val="-1"/>
        </w:rPr>
        <w:t>万元的价格转让给上海润良泰物联网科技合伙企业（有限合伙），转让完</w:t>
      </w:r>
      <w:r>
        <w:rPr>
          <w:spacing w:val="-74"/>
        </w:rPr>
        <w:t> </w:t>
      </w:r>
      <w:r>
        <w:rPr>
          <w:spacing w:val="-74"/>
        </w:rPr>
      </w:r>
      <w:r>
        <w:rPr/>
        <w:t>成后，公司不再持有中清龙图的股权。目前该事项已执行完毕。</w:t>
      </w:r>
    </w:p>
    <w:p>
      <w:pPr>
        <w:pStyle w:val="BodyText"/>
        <w:spacing w:line="458" w:lineRule="auto" w:before="74"/>
        <w:ind w:left="1134" w:right="1130" w:firstLine="360"/>
        <w:jc w:val="both"/>
      </w:pPr>
      <w:r>
        <w:rPr/>
        <w:t>（</w:t>
      </w:r>
      <w:r>
        <w:rPr>
          <w:rFonts w:ascii="Times New Roman" w:hAnsi="Times New Roman" w:cs="Times New Roman" w:eastAsia="Times New Roman" w:hint="default"/>
        </w:rPr>
        <w:t>3</w:t>
      </w:r>
      <w:r>
        <w:rPr/>
        <w:t>）公司第六届董事会第十九次会议及</w:t>
      </w:r>
      <w:r>
        <w:rPr>
          <w:rFonts w:ascii="Times New Roman" w:hAnsi="Times New Roman" w:cs="Times New Roman" w:eastAsia="Times New Roman" w:hint="default"/>
        </w:rPr>
        <w:t>2016</w:t>
      </w:r>
      <w:r>
        <w:rPr/>
        <w:t>年年度股东大会审议通过了《关于使用节余超募资金永久性补充流动资金 </w:t>
      </w:r>
      <w:r>
        <w:rPr>
          <w:spacing w:val="-2"/>
        </w:rPr>
        <w:t>的议案》鉴于公司募集资金承诺项目及超募资金投向已全部规划并完成，公司将节余资金永久性补充流动资金，用于公司日</w:t>
      </w:r>
      <w:r>
        <w:rPr>
          <w:spacing w:val="-66"/>
        </w:rPr>
        <w:t> </w:t>
      </w:r>
      <w:r>
        <w:rPr>
          <w:spacing w:val="-66"/>
        </w:rPr>
      </w:r>
      <w:r>
        <w:rPr/>
        <w:t>常生产经营活动，同时注销募集资金专户。</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21</w:t>
      </w:r>
      <w:r>
        <w:rPr/>
        <w:t>日公司发布《关于注销募集资金专户的公告》。至此，公司募集资</w:t>
      </w:r>
      <w:r>
        <w:rPr>
          <w:spacing w:val="-83"/>
        </w:rPr>
        <w:t> </w:t>
      </w:r>
      <w:r>
        <w:rPr>
          <w:spacing w:val="-83"/>
        </w:rPr>
      </w:r>
      <w:r>
        <w:rPr/>
        <w:t>金承诺项目及超募资金投向已全部规划并完成，募集资金专户已全部注销完毕。</w:t>
      </w:r>
    </w:p>
    <w:tbl>
      <w:tblPr>
        <w:tblW w:w="0" w:type="auto"/>
        <w:jc w:val="left"/>
        <w:tblInd w:w="1162" w:type="dxa"/>
        <w:tblLayout w:type="fixed"/>
        <w:tblCellMar>
          <w:top w:w="0" w:type="dxa"/>
          <w:left w:w="0" w:type="dxa"/>
          <w:bottom w:w="0" w:type="dxa"/>
          <w:right w:w="0" w:type="dxa"/>
        </w:tblCellMar>
        <w:tblLook w:val="01E0"/>
      </w:tblPr>
      <w:tblGrid>
        <w:gridCol w:w="3189"/>
        <w:gridCol w:w="3190"/>
        <w:gridCol w:w="3192"/>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1"/>
              <w:ind w:left="1" w:right="0"/>
              <w:jc w:val="center"/>
              <w:rPr>
                <w:rFonts w:ascii="宋体" w:hAnsi="宋体" w:cs="宋体" w:eastAsia="宋体" w:hint="default"/>
                <w:sz w:val="18"/>
                <w:szCs w:val="18"/>
              </w:rPr>
            </w:pPr>
            <w:r>
              <w:rPr>
                <w:rFonts w:ascii="宋体" w:hAnsi="宋体" w:cs="宋体" w:eastAsia="宋体" w:hint="default"/>
                <w:sz w:val="18"/>
                <w:szCs w:val="18"/>
              </w:rPr>
              <w:t>重要事项概述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31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临时报告披露网站查询索引</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宋体" w:hAnsi="宋体" w:cs="宋体" w:eastAsia="宋体" w:hint="default"/>
                <w:sz w:val="18"/>
                <w:szCs w:val="18"/>
              </w:rPr>
              <w:t>关于注销募集资金专户的公告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公告编号 </w:t>
            </w:r>
            <w:r>
              <w:rPr>
                <w:rFonts w:ascii="Times New Roman" w:hAnsi="Times New Roman" w:cs="Times New Roman" w:eastAsia="Times New Roman" w:hint="default"/>
                <w:sz w:val="18"/>
                <w:szCs w:val="18"/>
              </w:rPr>
              <w:t>2017-038</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Heading2"/>
        <w:spacing w:line="240" w:lineRule="auto" w:before="26"/>
        <w:ind w:right="0"/>
        <w:jc w:val="left"/>
        <w:rPr>
          <w:b w:val="0"/>
          <w:bCs w:val="0"/>
        </w:rPr>
      </w:pPr>
      <w:bookmarkStart w:name="十九、公司子公司重大事项" w:id="102"/>
      <w:bookmarkEnd w:id="102"/>
      <w:r>
        <w:rPr>
          <w:b w:val="0"/>
          <w:bCs w:val="0"/>
        </w:rPr>
      </w:r>
      <w:r>
        <w:rPr/>
        <w:t>十九、公司子公司重大事项</w:t>
      </w:r>
      <w:r>
        <w:rPr>
          <w:b w:val="0"/>
          <w:bCs w:val="0"/>
        </w:rPr>
      </w:r>
    </w:p>
    <w:p>
      <w:pPr>
        <w:spacing w:line="240" w:lineRule="auto" w:before="8"/>
        <w:rPr>
          <w:rFonts w:ascii="宋体" w:hAnsi="宋体" w:cs="宋体" w:eastAsia="宋体" w:hint="default"/>
          <w:b/>
          <w:bCs/>
          <w:sz w:val="32"/>
          <w:szCs w:val="32"/>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9"/>
        <w:rPr>
          <w:rFonts w:ascii="宋体" w:hAnsi="宋体" w:cs="宋体" w:eastAsia="宋体" w:hint="default"/>
          <w:sz w:val="19"/>
          <w:szCs w:val="19"/>
        </w:rPr>
      </w:pPr>
    </w:p>
    <w:p>
      <w:pPr>
        <w:pStyle w:val="BodyText"/>
        <w:spacing w:line="451" w:lineRule="auto"/>
        <w:ind w:right="1139" w:firstLine="360"/>
        <w:jc w:val="both"/>
      </w:pPr>
      <w:r>
        <w:rPr/>
        <w:t>（</w:t>
      </w:r>
      <w:r>
        <w:rPr>
          <w:rFonts w:ascii="Times New Roman" w:hAnsi="Times New Roman" w:cs="Times New Roman" w:eastAsia="Times New Roman" w:hint="default"/>
        </w:rPr>
        <w:t>1</w:t>
      </w:r>
      <w:r>
        <w:rPr/>
        <w:t>）全资子公司北京神州泰岳系统集成有限公司起诉大唐半导体设计有限公司、大唐微电子技术有限公司，要求其支 付合同款项并支付相应违约金，合计涉案金额约</w:t>
      </w:r>
      <w:r>
        <w:rPr>
          <w:spacing w:val="-46"/>
        </w:rPr>
        <w:t> </w:t>
      </w:r>
      <w:r>
        <w:rPr>
          <w:rFonts w:ascii="Times New Roman" w:hAnsi="Times New Roman" w:cs="Times New Roman" w:eastAsia="Times New Roman" w:hint="default"/>
        </w:rPr>
        <w:t>41,521.99</w:t>
      </w:r>
      <w:r>
        <w:rPr>
          <w:rFonts w:ascii="Times New Roman" w:hAnsi="Times New Roman" w:cs="Times New Roman" w:eastAsia="Times New Roman" w:hint="default"/>
          <w:spacing w:val="-2"/>
        </w:rPr>
        <w:t> </w:t>
      </w:r>
      <w:r>
        <w:rPr/>
        <w:t>万元，目前仍处于法院已受理阶段，尚未开庭审理。</w:t>
      </w:r>
    </w:p>
    <w:p>
      <w:pPr>
        <w:pStyle w:val="BodyText"/>
        <w:spacing w:line="465" w:lineRule="auto" w:before="82"/>
        <w:ind w:right="1129" w:firstLine="360"/>
        <w:jc w:val="both"/>
      </w:pPr>
      <w:r>
        <w:rPr/>
        <w:t>（</w:t>
      </w:r>
      <w:r>
        <w:rPr>
          <w:rFonts w:ascii="Times New Roman" w:hAnsi="Times New Roman" w:cs="Times New Roman" w:eastAsia="Times New Roman" w:hint="default"/>
        </w:rPr>
        <w:t>2</w:t>
      </w:r>
      <w:r>
        <w:rPr/>
        <w:t>）控股子公司奇点新源国际技术开发（北京）有限公司与中国广核集团签署了有关通信与物联网的战略合作协议， </w:t>
      </w:r>
      <w:r>
        <w:rPr>
          <w:spacing w:val="-2"/>
        </w:rPr>
        <w:t>合作成立通信与物联网应用实验室，研究针对核电通信与物联网相关技术、合作起草核电行业无线通信技术标准并申报与落</w:t>
      </w:r>
      <w:r>
        <w:rPr>
          <w:spacing w:val="-64"/>
        </w:rPr>
        <w:t> </w:t>
      </w:r>
      <w:r>
        <w:rPr>
          <w:spacing w:val="-64"/>
        </w:rPr>
      </w:r>
      <w:r>
        <w:rPr/>
        <w:t>地、开展核电无线通信及物联网相关智能化应用等方向的深度合作。</w:t>
      </w:r>
    </w:p>
    <w:p>
      <w:pPr>
        <w:spacing w:after="0" w:line="465" w:lineRule="auto"/>
        <w:jc w:val="both"/>
        <w:sectPr>
          <w:pgSz w:w="11910" w:h="16840"/>
          <w:pgMar w:header="851" w:footer="979" w:top="1320" w:bottom="1160" w:left="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1"/>
        <w:spacing w:line="240" w:lineRule="auto"/>
        <w:ind w:left="3946" w:right="0"/>
        <w:jc w:val="left"/>
        <w:rPr>
          <w:b w:val="0"/>
          <w:bCs w:val="0"/>
        </w:rPr>
      </w:pPr>
      <w:bookmarkStart w:name="第六节 股份变动及股东情况" w:id="103"/>
      <w:bookmarkEnd w:id="103"/>
      <w:r>
        <w:rPr>
          <w:b w:val="0"/>
          <w:bCs w:val="0"/>
        </w:rPr>
      </w:r>
      <w:bookmarkStart w:name="_bookmark5" w:id="104"/>
      <w:bookmarkEnd w:id="104"/>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left="1133" w:right="0"/>
        <w:jc w:val="left"/>
        <w:rPr>
          <w:b w:val="0"/>
          <w:bCs w:val="0"/>
        </w:rPr>
      </w:pPr>
      <w:bookmarkStart w:name="一、股份变动情况" w:id="105"/>
      <w:bookmarkEnd w:id="105"/>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股份变动情况" w:id="106"/>
      <w:bookmarkEnd w:id="106"/>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单位：股</w:t>
      </w:r>
    </w:p>
    <w:p>
      <w:pPr>
        <w:spacing w:line="240" w:lineRule="auto" w:before="1"/>
        <w:rPr>
          <w:rFonts w:ascii="宋体" w:hAnsi="宋体" w:cs="宋体" w:eastAsia="宋体" w:hint="default"/>
          <w:sz w:val="8"/>
          <w:szCs w:val="8"/>
        </w:rPr>
      </w:pPr>
    </w:p>
    <w:tbl>
      <w:tblPr>
        <w:tblW w:w="0" w:type="auto"/>
        <w:jc w:val="left"/>
        <w:tblInd w:w="784" w:type="dxa"/>
        <w:tblLayout w:type="fixed"/>
        <w:tblCellMar>
          <w:top w:w="0" w:type="dxa"/>
          <w:left w:w="0" w:type="dxa"/>
          <w:bottom w:w="0" w:type="dxa"/>
          <w:right w:w="0" w:type="dxa"/>
        </w:tblCellMar>
        <w:tblLook w:val="01E0"/>
      </w:tblPr>
      <w:tblGrid>
        <w:gridCol w:w="1962"/>
        <w:gridCol w:w="1218"/>
        <w:gridCol w:w="708"/>
        <w:gridCol w:w="852"/>
        <w:gridCol w:w="636"/>
        <w:gridCol w:w="708"/>
        <w:gridCol w:w="1067"/>
        <w:gridCol w:w="1060"/>
        <w:gridCol w:w="1348"/>
        <w:gridCol w:w="780"/>
      </w:tblGrid>
      <w:tr>
        <w:trPr>
          <w:trHeight w:val="402" w:hRule="exact"/>
        </w:trPr>
        <w:tc>
          <w:tcPr>
            <w:tcW w:w="196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3"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32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66"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21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61" w:hRule="exact"/>
        </w:trPr>
        <w:tc>
          <w:tcPr>
            <w:tcW w:w="1962" w:type="dxa"/>
            <w:vMerge w:val="restart"/>
            <w:tcBorders>
              <w:top w:val="nil" w:sz="6" w:space="0" w:color="auto"/>
              <w:left w:val="single" w:sz="4" w:space="0" w:color="000000"/>
              <w:right w:val="single" w:sz="4" w:space="0" w:color="000000"/>
            </w:tcBorders>
            <w:shd w:val="clear" w:color="auto" w:fill="D2D2D2"/>
          </w:tcPr>
          <w:p>
            <w:pPr/>
          </w:p>
        </w:tc>
        <w:tc>
          <w:tcPr>
            <w:tcW w:w="12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8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3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69" w:right="77"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06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0" w:type="dxa"/>
            <w:tcBorders>
              <w:top w:val="single" w:sz="4" w:space="0" w:color="000000"/>
              <w:left w:val="single" w:sz="4" w:space="0" w:color="000000"/>
              <w:bottom w:val="nil" w:sz="6" w:space="0" w:color="auto"/>
              <w:right w:val="single" w:sz="4" w:space="0" w:color="000000"/>
            </w:tcBorders>
            <w:shd w:val="clear" w:color="auto" w:fill="D2D2D2"/>
          </w:tcPr>
          <w:p>
            <w:pPr/>
          </w:p>
        </w:tc>
        <w:tc>
          <w:tcPr>
            <w:tcW w:w="1348" w:type="dxa"/>
            <w:tcBorders>
              <w:top w:val="single" w:sz="4" w:space="0" w:color="000000"/>
              <w:left w:val="single" w:sz="4" w:space="0" w:color="000000"/>
              <w:bottom w:val="nil" w:sz="6" w:space="0" w:color="auto"/>
              <w:right w:val="single" w:sz="4" w:space="0" w:color="000000"/>
            </w:tcBorders>
            <w:shd w:val="clear" w:color="auto" w:fill="D2D2D2"/>
          </w:tcPr>
          <w:p>
            <w:pPr/>
          </w:p>
        </w:tc>
        <w:tc>
          <w:tcPr>
            <w:tcW w:w="780"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962" w:type="dxa"/>
            <w:vMerge/>
            <w:tcBorders>
              <w:left w:val="single" w:sz="4" w:space="0" w:color="000000"/>
              <w:bottom w:val="nil" w:sz="6" w:space="0" w:color="auto"/>
              <w:right w:val="single" w:sz="4" w:space="0" w:color="000000"/>
            </w:tcBorders>
            <w:shd w:val="clear" w:color="auto" w:fill="D2D2D2"/>
          </w:tcPr>
          <w:p>
            <w:pPr/>
          </w:p>
        </w:tc>
        <w:tc>
          <w:tcPr>
            <w:tcW w:w="12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5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63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3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vMerge/>
            <w:tcBorders>
              <w:left w:val="single" w:sz="4" w:space="0" w:color="000000"/>
              <w:right w:val="single" w:sz="4" w:space="0" w:color="000000"/>
            </w:tcBorders>
            <w:shd w:val="clear" w:color="auto" w:fill="D2D2D2"/>
          </w:tcPr>
          <w:p>
            <w:pPr/>
          </w:p>
        </w:tc>
        <w:tc>
          <w:tcPr>
            <w:tcW w:w="106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4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6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34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数量</w:t>
            </w:r>
          </w:p>
        </w:tc>
        <w:tc>
          <w:tcPr>
            <w:tcW w:w="7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05"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2" w:hRule="exact"/>
        </w:trPr>
        <w:tc>
          <w:tcPr>
            <w:tcW w:w="1962" w:type="dxa"/>
            <w:vMerge w:val="restart"/>
            <w:tcBorders>
              <w:top w:val="nil" w:sz="6" w:space="0" w:color="auto"/>
              <w:left w:val="single" w:sz="4" w:space="0" w:color="000000"/>
              <w:right w:val="single" w:sz="4" w:space="0" w:color="000000"/>
            </w:tcBorders>
            <w:shd w:val="clear" w:color="auto" w:fill="D2D2D2"/>
          </w:tcPr>
          <w:p>
            <w:pPr/>
          </w:p>
        </w:tc>
        <w:tc>
          <w:tcPr>
            <w:tcW w:w="1218"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bottom w:val="nil" w:sz="6" w:space="0" w:color="auto"/>
              <w:right w:val="single" w:sz="4" w:space="0" w:color="000000"/>
            </w:tcBorders>
            <w:shd w:val="clear" w:color="auto" w:fill="D2D2D2"/>
          </w:tcPr>
          <w:p>
            <w:pPr/>
          </w:p>
        </w:tc>
        <w:tc>
          <w:tcPr>
            <w:tcW w:w="852" w:type="dxa"/>
            <w:vMerge/>
            <w:tcBorders>
              <w:left w:val="single" w:sz="4" w:space="0" w:color="000000"/>
              <w:bottom w:val="nil" w:sz="6" w:space="0" w:color="auto"/>
              <w:right w:val="single" w:sz="4" w:space="0" w:color="000000"/>
            </w:tcBorders>
            <w:shd w:val="clear" w:color="auto" w:fill="D2D2D2"/>
          </w:tcPr>
          <w:p>
            <w:pPr/>
          </w:p>
        </w:tc>
        <w:tc>
          <w:tcPr>
            <w:tcW w:w="636" w:type="dxa"/>
            <w:vMerge/>
            <w:tcBorders>
              <w:left w:val="single" w:sz="4" w:space="0" w:color="000000"/>
              <w:bottom w:val="nil" w:sz="6" w:space="0" w:color="auto"/>
              <w:right w:val="single" w:sz="4" w:space="0" w:color="000000"/>
            </w:tcBorders>
            <w:shd w:val="clear" w:color="auto" w:fill="D2D2D2"/>
          </w:tcPr>
          <w:p>
            <w:pPr/>
          </w:p>
        </w:tc>
        <w:tc>
          <w:tcPr>
            <w:tcW w:w="708" w:type="dxa"/>
            <w:vMerge/>
            <w:tcBorders>
              <w:left w:val="single" w:sz="4" w:space="0" w:color="000000"/>
              <w:right w:val="single" w:sz="4" w:space="0" w:color="000000"/>
            </w:tcBorders>
            <w:shd w:val="clear" w:color="auto" w:fill="D2D2D2"/>
          </w:tcPr>
          <w:p>
            <w:pPr/>
          </w:p>
        </w:tc>
        <w:tc>
          <w:tcPr>
            <w:tcW w:w="1067" w:type="dxa"/>
            <w:vMerge/>
            <w:tcBorders>
              <w:left w:val="single" w:sz="4" w:space="0" w:color="000000"/>
              <w:bottom w:val="nil" w:sz="6" w:space="0" w:color="auto"/>
              <w:right w:val="single" w:sz="4" w:space="0" w:color="000000"/>
            </w:tcBorders>
            <w:shd w:val="clear" w:color="auto" w:fill="D2D2D2"/>
          </w:tcPr>
          <w:p>
            <w:pPr/>
          </w:p>
        </w:tc>
        <w:tc>
          <w:tcPr>
            <w:tcW w:w="1060" w:type="dxa"/>
            <w:vMerge/>
            <w:tcBorders>
              <w:left w:val="single" w:sz="4" w:space="0" w:color="000000"/>
              <w:bottom w:val="nil" w:sz="6" w:space="0" w:color="auto"/>
              <w:right w:val="single" w:sz="4" w:space="0" w:color="000000"/>
            </w:tcBorders>
            <w:shd w:val="clear" w:color="auto" w:fill="D2D2D2"/>
          </w:tcPr>
          <w:p>
            <w:pPr/>
          </w:p>
        </w:tc>
        <w:tc>
          <w:tcPr>
            <w:tcW w:w="1348" w:type="dxa"/>
            <w:vMerge/>
            <w:tcBorders>
              <w:left w:val="single" w:sz="4" w:space="0" w:color="000000"/>
              <w:bottom w:val="nil" w:sz="6" w:space="0" w:color="auto"/>
              <w:right w:val="single" w:sz="4" w:space="0" w:color="000000"/>
            </w:tcBorders>
            <w:shd w:val="clear" w:color="auto" w:fill="D2D2D2"/>
          </w:tcPr>
          <w:p>
            <w:pPr/>
          </w:p>
        </w:tc>
        <w:tc>
          <w:tcPr>
            <w:tcW w:w="780" w:type="dxa"/>
            <w:vMerge/>
            <w:tcBorders>
              <w:left w:val="single" w:sz="4" w:space="0" w:color="000000"/>
              <w:bottom w:val="nil" w:sz="6" w:space="0" w:color="auto"/>
              <w:right w:val="single" w:sz="4" w:space="0" w:color="000000"/>
            </w:tcBorders>
            <w:shd w:val="clear" w:color="auto" w:fill="D2D2D2"/>
          </w:tcPr>
          <w:p>
            <w:pPr/>
          </w:p>
        </w:tc>
      </w:tr>
      <w:tr>
        <w:trPr>
          <w:trHeight w:val="161" w:hRule="exact"/>
        </w:trPr>
        <w:tc>
          <w:tcPr>
            <w:tcW w:w="1962" w:type="dxa"/>
            <w:vMerge/>
            <w:tcBorders>
              <w:left w:val="single" w:sz="4" w:space="0" w:color="000000"/>
              <w:bottom w:val="single" w:sz="4" w:space="0" w:color="000000"/>
              <w:right w:val="single" w:sz="4" w:space="0" w:color="000000"/>
            </w:tcBorders>
            <w:shd w:val="clear" w:color="auto" w:fill="D2D2D2"/>
          </w:tcPr>
          <w:p>
            <w:pPr/>
          </w:p>
        </w:tc>
        <w:tc>
          <w:tcPr>
            <w:tcW w:w="12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852" w:type="dxa"/>
            <w:tcBorders>
              <w:top w:val="nil" w:sz="6" w:space="0" w:color="auto"/>
              <w:left w:val="single" w:sz="4" w:space="0" w:color="000000"/>
              <w:bottom w:val="single" w:sz="4" w:space="0" w:color="000000"/>
              <w:right w:val="single" w:sz="4" w:space="0" w:color="000000"/>
            </w:tcBorders>
            <w:shd w:val="clear" w:color="auto" w:fill="D2D2D2"/>
          </w:tcPr>
          <w:p>
            <w:pPr/>
          </w:p>
        </w:tc>
        <w:tc>
          <w:tcPr>
            <w:tcW w:w="636"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0" w:type="dxa"/>
            <w:tcBorders>
              <w:top w:val="nil" w:sz="6" w:space="0" w:color="auto"/>
              <w:left w:val="single" w:sz="4" w:space="0" w:color="000000"/>
              <w:bottom w:val="single" w:sz="4" w:space="0" w:color="000000"/>
              <w:right w:val="single" w:sz="4" w:space="0" w:color="000000"/>
            </w:tcBorders>
            <w:shd w:val="clear" w:color="auto" w:fill="D2D2D2"/>
          </w:tcPr>
          <w:p>
            <w:pPr/>
          </w:p>
        </w:tc>
        <w:tc>
          <w:tcPr>
            <w:tcW w:w="1348" w:type="dxa"/>
            <w:tcBorders>
              <w:top w:val="nil" w:sz="6" w:space="0" w:color="auto"/>
              <w:left w:val="single" w:sz="4" w:space="0" w:color="000000"/>
              <w:bottom w:val="single" w:sz="4" w:space="0" w:color="000000"/>
              <w:right w:val="single" w:sz="4" w:space="0" w:color="000000"/>
            </w:tcBorders>
            <w:shd w:val="clear" w:color="auto" w:fill="D2D2D2"/>
          </w:tcPr>
          <w:p>
            <w:pPr/>
          </w:p>
        </w:tc>
        <w:tc>
          <w:tcPr>
            <w:tcW w:w="780"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651,391,538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33.22%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-73,681,053</w:t>
            </w:r>
            <w:r>
              <w:rPr>
                <w:rFonts w:ascii="Times New Roman"/>
                <w:sz w:val="18"/>
              </w:rPr>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-73,681,053</w:t>
            </w:r>
            <w:r>
              <w:rPr>
                <w:rFonts w:ascii="Times New Roman"/>
                <w:sz w:val="18"/>
              </w:rPr>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29.46%</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651,391,538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33.22%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-73,681,053</w:t>
            </w:r>
            <w:r>
              <w:rPr>
                <w:rFonts w:ascii="Times New Roman"/>
                <w:sz w:val="18"/>
              </w:rPr>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-73,681,053</w:t>
            </w:r>
            <w:r>
              <w:rPr>
                <w:rFonts w:ascii="Times New Roman"/>
                <w:sz w:val="18"/>
              </w:rPr>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29.46%</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13,579,660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0.69%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-13,579,660</w:t>
            </w:r>
            <w:r>
              <w:rPr>
                <w:rFonts w:ascii="Times New Roman"/>
                <w:sz w:val="18"/>
              </w:rPr>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-13,579,660</w:t>
            </w:r>
            <w:r>
              <w:rPr>
                <w:rFonts w:ascii="Times New Roman"/>
                <w:sz w:val="18"/>
              </w:rPr>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38"/>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637,811,878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32.52%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-60,101,393</w:t>
            </w:r>
            <w:r>
              <w:rPr>
                <w:rFonts w:ascii="Times New Roman"/>
                <w:sz w:val="18"/>
              </w:rPr>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-60,101,393</w:t>
            </w:r>
            <w:r>
              <w:rPr>
                <w:rFonts w:ascii="Times New Roman"/>
                <w:sz w:val="18"/>
              </w:rPr>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29.46%</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38"/>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1,309,700,446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66.78%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73,681,053</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73,681,053</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1,383,381,499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70.54%</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1,309,700,446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66.78%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73,681,053</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73,681,053</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1,383,381,499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70.54%</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1,961,091,984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股份变动的原因</w:t>
      </w:r>
      <w:r>
        <w:rPr>
          <w:b w:val="0"/>
          <w:bCs w:val="0"/>
        </w:rPr>
      </w:r>
    </w:p>
    <w:p>
      <w:pPr>
        <w:spacing w:line="240" w:lineRule="auto" w:before="12"/>
        <w:rPr>
          <w:rFonts w:ascii="宋体" w:hAnsi="宋体" w:cs="宋体" w:eastAsia="宋体" w:hint="default"/>
          <w:b/>
          <w:bCs/>
          <w:sz w:val="20"/>
          <w:szCs w:val="20"/>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0"/>
        <w:rPr>
          <w:rFonts w:ascii="宋体" w:hAnsi="宋体" w:cs="宋体" w:eastAsia="宋体" w:hint="default"/>
          <w:sz w:val="19"/>
          <w:szCs w:val="19"/>
        </w:rPr>
      </w:pPr>
    </w:p>
    <w:p>
      <w:pPr>
        <w:pStyle w:val="BodyText"/>
        <w:spacing w:line="240" w:lineRule="auto"/>
        <w:ind w:left="1134" w:right="0"/>
        <w:jc w:val="left"/>
      </w:pPr>
      <w:r>
        <w:rPr>
          <w:rFonts w:ascii="Times New Roman" w:hAnsi="Times New Roman" w:cs="Times New Roman" w:eastAsia="Times New Roman" w:hint="default"/>
        </w:rPr>
        <w:t>1</w:t>
      </w:r>
      <w:r>
        <w:rPr/>
        <w:t>、报告期内，高管锁定股解除锁定</w:t>
      </w:r>
      <w:r>
        <w:rPr>
          <w:spacing w:val="-47"/>
        </w:rPr>
        <w:t> </w:t>
      </w:r>
      <w:r>
        <w:rPr>
          <w:rFonts w:ascii="Times New Roman" w:hAnsi="Times New Roman" w:cs="Times New Roman" w:eastAsia="Times New Roman" w:hint="default"/>
        </w:rPr>
        <w:t>9,754,099</w:t>
      </w:r>
      <w:r>
        <w:rPr>
          <w:rFonts w:ascii="Times New Roman" w:hAnsi="Times New Roman" w:cs="Times New Roman" w:eastAsia="Times New Roman" w:hint="default"/>
          <w:spacing w:val="-2"/>
        </w:rPr>
        <w:t> </w:t>
      </w:r>
      <w:r>
        <w:rPr/>
        <w:t>股；</w:t>
      </w:r>
    </w:p>
    <w:p>
      <w:pPr>
        <w:spacing w:line="240" w:lineRule="auto" w:before="10"/>
        <w:rPr>
          <w:rFonts w:ascii="宋体" w:hAnsi="宋体" w:cs="宋体" w:eastAsia="宋体" w:hint="default"/>
          <w:sz w:val="19"/>
          <w:szCs w:val="19"/>
        </w:rPr>
      </w:pPr>
    </w:p>
    <w:p>
      <w:pPr>
        <w:spacing w:line="489" w:lineRule="auto" w:before="0"/>
        <w:ind w:left="1134" w:right="6841"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、报告期内，解除首发后限售股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63,926,</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954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 </w:t>
      </w:r>
      <w:r>
        <w:rPr>
          <w:rFonts w:ascii="宋体" w:hAnsi="宋体" w:cs="宋体" w:eastAsia="宋体" w:hint="default"/>
          <w:b/>
          <w:bCs/>
          <w:sz w:val="18"/>
          <w:szCs w:val="18"/>
        </w:rPr>
        <w:t>股份变动的批准情况</w:t>
      </w:r>
      <w:r>
        <w:rPr>
          <w:rFonts w:ascii="宋体" w:hAnsi="宋体" w:cs="宋体" w:eastAsia="宋体" w:hint="default"/>
          <w:sz w:val="18"/>
          <w:szCs w:val="18"/>
        </w:rPr>
      </w:r>
    </w:p>
    <w:p>
      <w:pPr>
        <w:spacing w:line="489" w:lineRule="auto" w:before="85"/>
        <w:ind w:left="1134" w:right="912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3"/>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股份变动的过户情况</w:t>
      </w:r>
      <w:r>
        <w:rPr>
          <w:rFonts w:ascii="宋体" w:hAnsi="宋体" w:cs="宋体" w:eastAsia="宋体" w:hint="default"/>
          <w:sz w:val="18"/>
          <w:szCs w:val="18"/>
        </w:rPr>
      </w:r>
    </w:p>
    <w:p>
      <w:pPr>
        <w:spacing w:after="0" w:line="489"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5"/>
        <w:rPr>
          <w:rFonts w:ascii="宋体" w:hAnsi="宋体" w:cs="宋体" w:eastAsia="宋体" w:hint="default"/>
          <w:b/>
          <w:bCs/>
          <w:sz w:val="11"/>
          <w:szCs w:val="11"/>
        </w:rPr>
      </w:pPr>
    </w:p>
    <w:p>
      <w:pPr>
        <w:pStyle w:val="Heading4"/>
        <w:spacing w:line="489" w:lineRule="auto" w:before="44"/>
        <w:ind w:left="1134" w:right="1752"/>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r>
        <w:rPr>
          <w:w w:val="99"/>
        </w:rPr>
        <w:t> </w:t>
      </w:r>
      <w:r>
        <w:rPr>
          <w:w w:val="95"/>
        </w:rPr>
        <w:t>股份变动对最近一年和最近一期基本每股收益和稀释每股收益、归属于公司普通股股东的每股净资产等财务指标的影响</w:t>
      </w:r>
      <w:r>
        <w:rPr>
          <w:b w:val="0"/>
          <w:bCs w:val="0"/>
        </w:rPr>
      </w:r>
    </w:p>
    <w:p>
      <w:pPr>
        <w:pStyle w:val="Heading4"/>
        <w:spacing w:line="489" w:lineRule="auto" w:before="86"/>
        <w:ind w:left="1134" w:right="6776"/>
        <w:jc w:val="left"/>
        <w:rPr>
          <w:b w:val="0"/>
          <w:bCs w:val="0"/>
        </w:rPr>
      </w:pPr>
      <w:r>
        <w:rPr>
          <w:rFonts w:ascii="Times New Roman" w:hAnsi="Times New Roman" w:cs="Times New Roman" w:eastAsia="Times New Roman" w:hint="default"/>
          <w:b w:val="0"/>
          <w:bCs w:val="0"/>
        </w:rPr>
        <w:t>□ </w:t>
      </w:r>
      <w:r>
        <w:rPr>
          <w:rFonts w:ascii="宋体" w:hAnsi="宋体" w:cs="宋体" w:eastAsia="宋体" w:hint="default"/>
          <w:b w:val="0"/>
          <w:bCs w:val="0"/>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r>
        <w:rPr>
          <w:w w:val="99"/>
        </w:rPr>
        <w:t> </w:t>
      </w:r>
      <w:r>
        <w:rPr/>
        <w:t>公司认为必要或证券监管机构要求披露的其他内容</w:t>
      </w:r>
      <w:r>
        <w:rPr>
          <w:b w:val="0"/>
          <w:bCs w:val="0"/>
        </w:rPr>
      </w:r>
    </w:p>
    <w:p>
      <w:pPr>
        <w:spacing w:before="85"/>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10"/>
        <w:rPr>
          <w:rFonts w:ascii="宋体" w:hAnsi="宋体" w:cs="宋体" w:eastAsia="宋体" w:hint="default"/>
          <w:b/>
          <w:bCs/>
          <w:sz w:val="13"/>
          <w:szCs w:val="13"/>
        </w:rPr>
      </w:pPr>
    </w:p>
    <w:p>
      <w:pPr>
        <w:pStyle w:val="Heading3"/>
        <w:spacing w:line="240" w:lineRule="auto"/>
        <w:ind w:right="0"/>
        <w:jc w:val="left"/>
        <w:rPr>
          <w:b w:val="0"/>
          <w:bCs w:val="0"/>
        </w:rPr>
      </w:pPr>
      <w:bookmarkStart w:name="2、限售股份变动情况" w:id="107"/>
      <w:bookmarkEnd w:id="107"/>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7"/>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2"/>
        <w:rPr>
          <w:rFonts w:ascii="宋体" w:hAnsi="宋体" w:cs="宋体" w:eastAsia="宋体" w:hint="default"/>
          <w:sz w:val="13"/>
          <w:szCs w:val="13"/>
        </w:rPr>
      </w:pPr>
    </w:p>
    <w:p>
      <w:pPr>
        <w:pStyle w:val="BodyText"/>
        <w:spacing w:line="240" w:lineRule="auto"/>
        <w:ind w:left="630" w:right="1130"/>
        <w:jc w:val="right"/>
      </w:pPr>
      <w:r>
        <w:rPr/>
        <w:t>单位：股</w:t>
      </w:r>
    </w:p>
    <w:p>
      <w:pPr>
        <w:spacing w:line="240" w:lineRule="auto" w:before="13"/>
        <w:rPr>
          <w:rFonts w:ascii="宋体" w:hAnsi="宋体" w:cs="宋体" w:eastAsia="宋体" w:hint="default"/>
          <w:sz w:val="7"/>
          <w:szCs w:val="7"/>
        </w:rPr>
      </w:pPr>
    </w:p>
    <w:tbl>
      <w:tblPr>
        <w:tblW w:w="0" w:type="auto"/>
        <w:jc w:val="left"/>
        <w:tblInd w:w="1075" w:type="dxa"/>
        <w:tblLayout w:type="fixed"/>
        <w:tblCellMar>
          <w:top w:w="0" w:type="dxa"/>
          <w:left w:w="0" w:type="dxa"/>
          <w:bottom w:w="0" w:type="dxa"/>
          <w:right w:w="0" w:type="dxa"/>
        </w:tblCellMar>
        <w:tblLook w:val="01E0"/>
      </w:tblPr>
      <w:tblGrid>
        <w:gridCol w:w="1330"/>
        <w:gridCol w:w="1277"/>
        <w:gridCol w:w="1670"/>
        <w:gridCol w:w="1571"/>
        <w:gridCol w:w="1168"/>
        <w:gridCol w:w="1370"/>
        <w:gridCol w:w="1362"/>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3"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6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 w:right="0"/>
              <w:jc w:val="left"/>
              <w:rPr>
                <w:rFonts w:ascii="宋体" w:hAnsi="宋体" w:cs="宋体" w:eastAsia="宋体" w:hint="default"/>
                <w:sz w:val="18"/>
                <w:szCs w:val="18"/>
              </w:rPr>
            </w:pPr>
            <w:r>
              <w:rPr>
                <w:rFonts w:ascii="宋体" w:hAnsi="宋体" w:cs="宋体" w:eastAsia="宋体" w:hint="default"/>
                <w:sz w:val="18"/>
                <w:szCs w:val="18"/>
              </w:rPr>
              <w:t>本期解除限售股数</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9"/>
              <w:jc w:val="right"/>
              <w:rPr>
                <w:rFonts w:ascii="宋体" w:hAnsi="宋体" w:cs="宋体" w:eastAsia="宋体" w:hint="default"/>
                <w:sz w:val="18"/>
                <w:szCs w:val="18"/>
              </w:rPr>
            </w:pPr>
            <w:r>
              <w:rPr>
                <w:rFonts w:ascii="宋体" w:hAnsi="宋体" w:cs="宋体" w:eastAsia="宋体" w:hint="default"/>
                <w:sz w:val="18"/>
                <w:szCs w:val="18"/>
              </w:rPr>
              <w:t>本期增加限售股数</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7"/>
              <w:jc w:val="right"/>
              <w:rPr>
                <w:rFonts w:ascii="宋体" w:hAnsi="宋体" w:cs="宋体" w:eastAsia="宋体" w:hint="default"/>
                <w:sz w:val="18"/>
                <w:szCs w:val="18"/>
              </w:rPr>
            </w:pPr>
            <w:r>
              <w:rPr>
                <w:rFonts w:ascii="宋体" w:hAnsi="宋体" w:cs="宋体" w:eastAsia="宋体" w:hint="default"/>
                <w:sz w:val="18"/>
                <w:szCs w:val="18"/>
              </w:rPr>
              <w:t>期末限售股数</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限售原因</w:t>
            </w: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拟解除限售日期</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95,218,958</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95,218,958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安梅</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95,218,955</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9,749,998</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85,468,957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192,605,477</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192,605,477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85,738,801</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85,738,801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43,730,362</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43,730,362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32,094,198</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32,094,198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7,887,797</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7,887,797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7,256,914</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7,256,914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301,001</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301,001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1,351,501</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1,351,501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75,000</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2,400</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4,434,152</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4,434,151</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每年解锁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李毅</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67,365,710</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45,820,742</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21,544,968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99" w:right="48" w:hanging="450"/>
              <w:jc w:val="left"/>
              <w:rPr>
                <w:rFonts w:ascii="宋体" w:hAnsi="宋体" w:cs="宋体" w:eastAsia="宋体" w:hint="default"/>
                <w:sz w:val="18"/>
                <w:szCs w:val="18"/>
              </w:rPr>
            </w:pPr>
            <w:r>
              <w:rPr>
                <w:rFonts w:ascii="宋体" w:hAnsi="宋体" w:cs="宋体" w:eastAsia="宋体" w:hint="default"/>
                <w:sz w:val="18"/>
                <w:szCs w:val="18"/>
              </w:rPr>
              <w:t>首发后个人类限 售股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日</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李章晶</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4,526,552</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4,526,552</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499" w:right="48" w:hanging="450"/>
              <w:jc w:val="left"/>
              <w:rPr>
                <w:rFonts w:ascii="宋体" w:hAnsi="宋体" w:cs="宋体" w:eastAsia="宋体" w:hint="default"/>
                <w:sz w:val="18"/>
                <w:szCs w:val="18"/>
              </w:rPr>
            </w:pPr>
            <w:r>
              <w:rPr>
                <w:rFonts w:ascii="宋体" w:hAnsi="宋体" w:cs="宋体" w:eastAsia="宋体" w:hint="default"/>
                <w:sz w:val="18"/>
                <w:szCs w:val="18"/>
              </w:rPr>
              <w:t>首发后个人类限 售股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r>
        <w:trPr>
          <w:trHeight w:val="1026"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0" w:right="28"/>
              <w:jc w:val="left"/>
              <w:rPr>
                <w:rFonts w:ascii="宋体" w:hAnsi="宋体" w:cs="宋体" w:eastAsia="宋体" w:hint="default"/>
                <w:sz w:val="18"/>
                <w:szCs w:val="18"/>
              </w:rPr>
            </w:pPr>
            <w:r>
              <w:rPr>
                <w:rFonts w:ascii="宋体" w:hAnsi="宋体" w:cs="宋体" w:eastAsia="宋体" w:hint="default"/>
                <w:sz w:val="18"/>
                <w:szCs w:val="18"/>
              </w:rPr>
              <w:t>天津骆壳科技信 息咨询合伙企业</w:t>
            </w:r>
          </w:p>
          <w:p>
            <w:pPr>
              <w:pStyle w:val="TableParagraph"/>
              <w:spacing w:line="240" w:lineRule="auto" w:before="20"/>
              <w:ind w:left="120"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13,579,660</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13,579,660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499" w:right="48" w:hanging="450"/>
              <w:jc w:val="left"/>
              <w:rPr>
                <w:rFonts w:ascii="宋体" w:hAnsi="宋体" w:cs="宋体" w:eastAsia="宋体" w:hint="default"/>
                <w:sz w:val="18"/>
                <w:szCs w:val="18"/>
              </w:rPr>
            </w:pPr>
            <w:r>
              <w:rPr>
                <w:rFonts w:ascii="宋体" w:hAnsi="宋体" w:cs="宋体" w:eastAsia="宋体" w:hint="default"/>
                <w:sz w:val="18"/>
                <w:szCs w:val="18"/>
              </w:rPr>
              <w:t>首发后机构类限 售股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刘丁</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4,100</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4,100</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高管锁定</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651,391,538</w:t>
            </w:r>
          </w:p>
        </w:tc>
        <w:tc>
          <w:tcPr>
            <w:tcW w:w="1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73,681,053</w:t>
            </w:r>
          </w:p>
        </w:tc>
        <w:tc>
          <w:tcPr>
            <w:tcW w:w="15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577,710,485</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2"/>
        <w:spacing w:line="240" w:lineRule="auto" w:before="9"/>
        <w:ind w:right="0"/>
        <w:jc w:val="left"/>
        <w:rPr>
          <w:b w:val="0"/>
          <w:bCs w:val="0"/>
        </w:rPr>
      </w:pPr>
      <w:bookmarkStart w:name="二、证券发行与上市情况" w:id="108"/>
      <w:bookmarkEnd w:id="108"/>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报告期内证券发行（不含优先股）情况" w:id="109"/>
      <w:bookmarkEnd w:id="109"/>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公司股份总数及股东结构的变动、公司资产和负债结构的变动情况说明" w:id="110"/>
      <w:bookmarkEnd w:id="110"/>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3"/>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3、现存的内部职工股情况" w:id="111"/>
      <w:bookmarkEnd w:id="111"/>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24"/>
          <w:szCs w:val="24"/>
        </w:rPr>
      </w:pPr>
    </w:p>
    <w:p>
      <w:pPr>
        <w:pStyle w:val="Heading2"/>
        <w:spacing w:line="240" w:lineRule="auto"/>
        <w:ind w:right="0"/>
        <w:jc w:val="left"/>
        <w:rPr>
          <w:b w:val="0"/>
          <w:bCs w:val="0"/>
        </w:rPr>
      </w:pPr>
      <w:bookmarkStart w:name="三、股东和实际控制人情况" w:id="112"/>
      <w:bookmarkEnd w:id="112"/>
      <w:r>
        <w:rPr>
          <w:b w:val="0"/>
          <w:bCs w:val="0"/>
        </w:rPr>
      </w:r>
      <w:r>
        <w:rPr/>
        <w:t>三、股东和实际控制人情况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公司股东数量及持股情况" w:id="113"/>
      <w:bookmarkEnd w:id="113"/>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单位：股</w:t>
      </w:r>
    </w:p>
    <w:p>
      <w:pPr>
        <w:spacing w:line="240" w:lineRule="auto" w:before="1"/>
        <w:rPr>
          <w:rFonts w:ascii="宋体" w:hAnsi="宋体" w:cs="宋体" w:eastAsia="宋体" w:hint="default"/>
          <w:sz w:val="8"/>
          <w:szCs w:val="8"/>
        </w:rPr>
      </w:pPr>
    </w:p>
    <w:tbl>
      <w:tblPr>
        <w:tblW w:w="0" w:type="auto"/>
        <w:jc w:val="left"/>
        <w:tblInd w:w="1101" w:type="dxa"/>
        <w:tblLayout w:type="fixed"/>
        <w:tblCellMar>
          <w:top w:w="0" w:type="dxa"/>
          <w:left w:w="0" w:type="dxa"/>
          <w:bottom w:w="0" w:type="dxa"/>
          <w:right w:w="0" w:type="dxa"/>
        </w:tblCellMar>
        <w:tblLook w:val="01E0"/>
      </w:tblPr>
      <w:tblGrid>
        <w:gridCol w:w="1275"/>
        <w:gridCol w:w="772"/>
        <w:gridCol w:w="316"/>
        <w:gridCol w:w="878"/>
        <w:gridCol w:w="157"/>
        <w:gridCol w:w="830"/>
        <w:gridCol w:w="313"/>
        <w:gridCol w:w="699"/>
        <w:gridCol w:w="537"/>
        <w:gridCol w:w="579"/>
        <w:gridCol w:w="613"/>
        <w:gridCol w:w="450"/>
        <w:gridCol w:w="1300"/>
        <w:gridCol w:w="977"/>
      </w:tblGrid>
      <w:tr>
        <w:trPr>
          <w:trHeight w:val="161" w:hRule="exact"/>
        </w:trPr>
        <w:tc>
          <w:tcPr>
            <w:tcW w:w="1275" w:type="dxa"/>
            <w:tcBorders>
              <w:top w:val="single" w:sz="4" w:space="0" w:color="000000"/>
              <w:left w:val="single" w:sz="4" w:space="0" w:color="000000"/>
              <w:bottom w:val="nil" w:sz="6" w:space="0" w:color="auto"/>
              <w:right w:val="single" w:sz="4" w:space="0" w:color="000000"/>
            </w:tcBorders>
            <w:shd w:val="clear" w:color="auto" w:fill="D2D2D2"/>
          </w:tcPr>
          <w:p>
            <w:pPr/>
          </w:p>
        </w:tc>
        <w:tc>
          <w:tcPr>
            <w:tcW w:w="772" w:type="dxa"/>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5" w:right="0"/>
              <w:jc w:val="left"/>
              <w:rPr>
                <w:rFonts w:ascii="Times New Roman" w:hAnsi="Times New Roman" w:cs="Times New Roman" w:eastAsia="Times New Roman" w:hint="default"/>
                <w:sz w:val="18"/>
                <w:szCs w:val="18"/>
              </w:rPr>
            </w:pPr>
            <w:r>
              <w:rPr>
                <w:rFonts w:ascii="Times New Roman"/>
                <w:sz w:val="18"/>
              </w:rPr>
              <w:t>57,847</w:t>
            </w:r>
          </w:p>
        </w:tc>
        <w:tc>
          <w:tcPr>
            <w:tcW w:w="135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68"/>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143" w:type="dxa"/>
            <w:gridSpan w:val="2"/>
            <w:vMerge w:val="restart"/>
            <w:tcBorders>
              <w:top w:val="single" w:sz="4" w:space="0" w:color="000000"/>
              <w:left w:val="single" w:sz="13"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593" w:right="0"/>
              <w:jc w:val="left"/>
              <w:rPr>
                <w:rFonts w:ascii="Times New Roman" w:hAnsi="Times New Roman" w:cs="Times New Roman" w:eastAsia="Times New Roman" w:hint="default"/>
                <w:sz w:val="18"/>
                <w:szCs w:val="18"/>
              </w:rPr>
            </w:pPr>
            <w:r>
              <w:rPr>
                <w:rFonts w:ascii="Times New Roman"/>
                <w:sz w:val="18"/>
              </w:rPr>
              <w:t>56,723</w:t>
            </w:r>
          </w:p>
        </w:tc>
        <w:tc>
          <w:tcPr>
            <w:tcW w:w="123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134"/>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tc>
        <w:tc>
          <w:tcPr>
            <w:tcW w:w="1192" w:type="dxa"/>
            <w:gridSpan w:val="2"/>
            <w:vMerge w:val="restart"/>
            <w:tcBorders>
              <w:top w:val="single" w:sz="4" w:space="0" w:color="000000"/>
              <w:left w:val="single" w:sz="13" w:space="0" w:color="D2D2D2"/>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174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1" w:right="106"/>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w:t>
            </w:r>
          </w:p>
        </w:tc>
        <w:tc>
          <w:tcPr>
            <w:tcW w:w="977" w:type="dxa"/>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04" w:hRule="exact"/>
        </w:trPr>
        <w:tc>
          <w:tcPr>
            <w:tcW w:w="127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160"/>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772" w:type="dxa"/>
            <w:vMerge/>
            <w:tcBorders>
              <w:left w:val="single" w:sz="9" w:space="0" w:color="D2D2D2"/>
              <w:right w:val="single" w:sz="9" w:space="0" w:color="D2D2D2"/>
            </w:tcBorders>
          </w:tcPr>
          <w:p>
            <w:pPr/>
          </w:p>
        </w:tc>
        <w:tc>
          <w:tcPr>
            <w:tcW w:w="1351" w:type="dxa"/>
            <w:gridSpan w:val="3"/>
            <w:vMerge/>
            <w:tcBorders>
              <w:left w:val="single" w:sz="4" w:space="0" w:color="000000"/>
              <w:right w:val="single" w:sz="4" w:space="0" w:color="000000"/>
            </w:tcBorders>
            <w:shd w:val="clear" w:color="auto" w:fill="D2D2D2"/>
          </w:tcPr>
          <w:p>
            <w:pPr/>
          </w:p>
        </w:tc>
        <w:tc>
          <w:tcPr>
            <w:tcW w:w="1143" w:type="dxa"/>
            <w:gridSpan w:val="2"/>
            <w:vMerge/>
            <w:tcBorders>
              <w:left w:val="single" w:sz="13" w:space="0" w:color="D2D2D2"/>
              <w:right w:val="single" w:sz="13" w:space="0" w:color="D2D2D2"/>
            </w:tcBorders>
          </w:tcPr>
          <w:p>
            <w:pPr/>
          </w:p>
        </w:tc>
        <w:tc>
          <w:tcPr>
            <w:tcW w:w="1236" w:type="dxa"/>
            <w:gridSpan w:val="2"/>
            <w:vMerge/>
            <w:tcBorders>
              <w:left w:val="single" w:sz="4" w:space="0" w:color="000000"/>
              <w:right w:val="single" w:sz="4" w:space="0" w:color="000000"/>
            </w:tcBorders>
            <w:shd w:val="clear" w:color="auto" w:fill="D2D2D2"/>
          </w:tcPr>
          <w:p>
            <w:pPr/>
          </w:p>
        </w:tc>
        <w:tc>
          <w:tcPr>
            <w:tcW w:w="1192" w:type="dxa"/>
            <w:gridSpan w:val="2"/>
            <w:vMerge/>
            <w:tcBorders>
              <w:left w:val="single" w:sz="13" w:space="0" w:color="D2D2D2"/>
              <w:right w:val="single" w:sz="13" w:space="0" w:color="D2D2D2"/>
            </w:tcBorders>
          </w:tcPr>
          <w:p>
            <w:pPr/>
          </w:p>
        </w:tc>
        <w:tc>
          <w:tcPr>
            <w:tcW w:w="1749" w:type="dxa"/>
            <w:gridSpan w:val="2"/>
            <w:vMerge/>
            <w:tcBorders>
              <w:left w:val="single" w:sz="4" w:space="0" w:color="000000"/>
              <w:right w:val="single" w:sz="4" w:space="0" w:color="000000"/>
            </w:tcBorders>
            <w:shd w:val="clear" w:color="auto" w:fill="D2D2D2"/>
          </w:tcPr>
          <w:p>
            <w:pPr/>
          </w:p>
        </w:tc>
        <w:tc>
          <w:tcPr>
            <w:tcW w:w="977" w:type="dxa"/>
            <w:vMerge/>
            <w:tcBorders>
              <w:left w:val="single" w:sz="13" w:space="0" w:color="D2D2D2"/>
              <w:right w:val="single" w:sz="4" w:space="0" w:color="000000"/>
            </w:tcBorders>
          </w:tcPr>
          <w:p>
            <w:pPr/>
          </w:p>
        </w:tc>
      </w:tr>
      <w:tr>
        <w:trPr>
          <w:trHeight w:val="166" w:hRule="exact"/>
        </w:trPr>
        <w:tc>
          <w:tcPr>
            <w:tcW w:w="12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72" w:type="dxa"/>
            <w:vMerge/>
            <w:tcBorders>
              <w:left w:val="single" w:sz="9" w:space="0" w:color="D2D2D2"/>
              <w:bottom w:val="single" w:sz="4" w:space="0" w:color="000000"/>
              <w:right w:val="single" w:sz="9" w:space="0" w:color="D2D2D2"/>
            </w:tcBorders>
          </w:tcPr>
          <w:p>
            <w:pPr/>
          </w:p>
        </w:tc>
        <w:tc>
          <w:tcPr>
            <w:tcW w:w="1351" w:type="dxa"/>
            <w:gridSpan w:val="3"/>
            <w:vMerge/>
            <w:tcBorders>
              <w:left w:val="single" w:sz="4" w:space="0" w:color="000000"/>
              <w:bottom w:val="single" w:sz="4" w:space="0" w:color="000000"/>
              <w:right w:val="single" w:sz="4" w:space="0" w:color="000000"/>
            </w:tcBorders>
            <w:shd w:val="clear" w:color="auto" w:fill="D2D2D2"/>
          </w:tcPr>
          <w:p>
            <w:pPr/>
          </w:p>
        </w:tc>
        <w:tc>
          <w:tcPr>
            <w:tcW w:w="1143" w:type="dxa"/>
            <w:gridSpan w:val="2"/>
            <w:vMerge/>
            <w:tcBorders>
              <w:left w:val="single" w:sz="13" w:space="0" w:color="D2D2D2"/>
              <w:bottom w:val="single" w:sz="4" w:space="0" w:color="000000"/>
              <w:right w:val="single" w:sz="13" w:space="0" w:color="D2D2D2"/>
            </w:tcBorders>
          </w:tcPr>
          <w:p>
            <w:pPr/>
          </w:p>
        </w:tc>
        <w:tc>
          <w:tcPr>
            <w:tcW w:w="1236" w:type="dxa"/>
            <w:gridSpan w:val="2"/>
            <w:vMerge/>
            <w:tcBorders>
              <w:left w:val="single" w:sz="4" w:space="0" w:color="000000"/>
              <w:bottom w:val="single" w:sz="4" w:space="0" w:color="000000"/>
              <w:right w:val="single" w:sz="4" w:space="0" w:color="000000"/>
            </w:tcBorders>
            <w:shd w:val="clear" w:color="auto" w:fill="D2D2D2"/>
          </w:tcPr>
          <w:p>
            <w:pPr/>
          </w:p>
        </w:tc>
        <w:tc>
          <w:tcPr>
            <w:tcW w:w="1192" w:type="dxa"/>
            <w:gridSpan w:val="2"/>
            <w:vMerge/>
            <w:tcBorders>
              <w:left w:val="single" w:sz="13" w:space="0" w:color="D2D2D2"/>
              <w:bottom w:val="single" w:sz="4" w:space="0" w:color="000000"/>
              <w:right w:val="single" w:sz="13" w:space="0" w:color="D2D2D2"/>
            </w:tcBorders>
          </w:tcPr>
          <w:p>
            <w:pPr/>
          </w:p>
        </w:tc>
        <w:tc>
          <w:tcPr>
            <w:tcW w:w="1749" w:type="dxa"/>
            <w:gridSpan w:val="2"/>
            <w:vMerge/>
            <w:tcBorders>
              <w:left w:val="single" w:sz="4" w:space="0" w:color="000000"/>
              <w:bottom w:val="single" w:sz="4" w:space="0" w:color="000000"/>
              <w:right w:val="single" w:sz="4" w:space="0" w:color="000000"/>
            </w:tcBorders>
            <w:shd w:val="clear" w:color="auto" w:fill="D2D2D2"/>
          </w:tcPr>
          <w:p>
            <w:pPr/>
          </w:p>
        </w:tc>
        <w:tc>
          <w:tcPr>
            <w:tcW w:w="977" w:type="dxa"/>
            <w:vMerge/>
            <w:tcBorders>
              <w:left w:val="single" w:sz="13" w:space="0" w:color="D2D2D2"/>
              <w:bottom w:val="single" w:sz="4" w:space="0" w:color="000000"/>
              <w:right w:val="single" w:sz="4" w:space="0" w:color="000000"/>
            </w:tcBorders>
          </w:tcPr>
          <w:p>
            <w:pPr/>
          </w:p>
        </w:tc>
      </w:tr>
      <w:tr>
        <w:trPr>
          <w:trHeight w:val="393" w:hRule="exact"/>
        </w:trPr>
        <w:tc>
          <w:tcPr>
            <w:tcW w:w="9695"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7"/>
              <w:ind w:left="3125"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275" w:type="dxa"/>
            <w:vMerge w:val="restart"/>
            <w:tcBorders>
              <w:top w:val="single" w:sz="4" w:space="0" w:color="000000"/>
              <w:left w:val="single" w:sz="4" w:space="0" w:color="000000"/>
              <w:right w:val="single" w:sz="4" w:space="0" w:color="000000"/>
            </w:tcBorders>
            <w:shd w:val="clear" w:color="auto" w:fill="D2D2D2"/>
          </w:tcPr>
          <w:p>
            <w:pPr/>
          </w:p>
        </w:tc>
        <w:tc>
          <w:tcPr>
            <w:tcW w:w="1088" w:type="dxa"/>
            <w:gridSpan w:val="2"/>
            <w:vMerge w:val="restart"/>
            <w:tcBorders>
              <w:top w:val="single" w:sz="4" w:space="0" w:color="000000"/>
              <w:left w:val="single" w:sz="4" w:space="0" w:color="000000"/>
              <w:right w:val="single" w:sz="4" w:space="0" w:color="000000"/>
            </w:tcBorders>
            <w:shd w:val="clear" w:color="auto" w:fill="D2D2D2"/>
          </w:tcPr>
          <w:p>
            <w:pPr/>
          </w:p>
        </w:tc>
        <w:tc>
          <w:tcPr>
            <w:tcW w:w="878" w:type="dxa"/>
            <w:vMerge w:val="restart"/>
            <w:tcBorders>
              <w:top w:val="single" w:sz="4" w:space="0" w:color="000000"/>
              <w:left w:val="single" w:sz="4" w:space="0" w:color="000000"/>
              <w:right w:val="single" w:sz="4" w:space="0" w:color="000000"/>
            </w:tcBorders>
            <w:shd w:val="clear" w:color="auto" w:fill="D2D2D2"/>
          </w:tcPr>
          <w:p>
            <w:pPr/>
          </w:p>
        </w:tc>
        <w:tc>
          <w:tcPr>
            <w:tcW w:w="987"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012"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3" w:right="101"/>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106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76" w:right="75"/>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227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3"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56" w:hRule="exact"/>
        </w:trPr>
        <w:tc>
          <w:tcPr>
            <w:tcW w:w="1275" w:type="dxa"/>
            <w:vMerge/>
            <w:tcBorders>
              <w:left w:val="single" w:sz="4" w:space="0" w:color="000000"/>
              <w:bottom w:val="nil" w:sz="6" w:space="0" w:color="auto"/>
              <w:right w:val="single" w:sz="4" w:space="0" w:color="000000"/>
            </w:tcBorders>
            <w:shd w:val="clear" w:color="auto" w:fill="D2D2D2"/>
          </w:tcPr>
          <w:p>
            <w:pPr/>
          </w:p>
        </w:tc>
        <w:tc>
          <w:tcPr>
            <w:tcW w:w="1088" w:type="dxa"/>
            <w:gridSpan w:val="2"/>
            <w:vMerge/>
            <w:tcBorders>
              <w:left w:val="single" w:sz="4" w:space="0" w:color="000000"/>
              <w:bottom w:val="nil" w:sz="6" w:space="0" w:color="auto"/>
              <w:right w:val="single" w:sz="4" w:space="0" w:color="000000"/>
            </w:tcBorders>
            <w:shd w:val="clear" w:color="auto" w:fill="D2D2D2"/>
          </w:tcPr>
          <w:p>
            <w:pPr/>
          </w:p>
        </w:tc>
        <w:tc>
          <w:tcPr>
            <w:tcW w:w="878" w:type="dxa"/>
            <w:vMerge/>
            <w:tcBorders>
              <w:left w:val="single" w:sz="4" w:space="0" w:color="000000"/>
              <w:bottom w:val="nil" w:sz="6" w:space="0" w:color="auto"/>
              <w:right w:val="single" w:sz="4" w:space="0" w:color="000000"/>
            </w:tcBorders>
            <w:shd w:val="clear" w:color="auto" w:fill="D2D2D2"/>
          </w:tcPr>
          <w:p>
            <w:pPr/>
          </w:p>
        </w:tc>
        <w:tc>
          <w:tcPr>
            <w:tcW w:w="987"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18" w:right="36"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1012"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0" w:right="49"/>
              <w:jc w:val="left"/>
              <w:rPr>
                <w:rFonts w:ascii="宋体" w:hAnsi="宋体" w:cs="宋体" w:eastAsia="宋体" w:hint="default"/>
                <w:sz w:val="18"/>
                <w:szCs w:val="18"/>
              </w:rPr>
            </w:pPr>
            <w:r>
              <w:rPr>
                <w:rFonts w:ascii="宋体" w:hAnsi="宋体" w:cs="宋体" w:eastAsia="宋体" w:hint="default"/>
                <w:sz w:val="18"/>
                <w:szCs w:val="18"/>
              </w:rPr>
              <w:t>报告期内增 减变动情况</w:t>
            </w:r>
          </w:p>
        </w:tc>
        <w:tc>
          <w:tcPr>
            <w:tcW w:w="1116" w:type="dxa"/>
            <w:gridSpan w:val="2"/>
            <w:vMerge/>
            <w:tcBorders>
              <w:left w:val="single" w:sz="4" w:space="0" w:color="000000"/>
              <w:right w:val="single" w:sz="4" w:space="0" w:color="000000"/>
            </w:tcBorders>
            <w:shd w:val="clear" w:color="auto" w:fill="D2D2D2"/>
          </w:tcPr>
          <w:p>
            <w:pPr/>
          </w:p>
        </w:tc>
        <w:tc>
          <w:tcPr>
            <w:tcW w:w="1062" w:type="dxa"/>
            <w:gridSpan w:val="2"/>
            <w:vMerge/>
            <w:tcBorders>
              <w:left w:val="single" w:sz="4" w:space="0" w:color="000000"/>
              <w:right w:val="single" w:sz="4" w:space="0" w:color="000000"/>
            </w:tcBorders>
            <w:shd w:val="clear" w:color="auto" w:fill="D2D2D2"/>
          </w:tcPr>
          <w:p>
            <w:pPr/>
          </w:p>
        </w:tc>
        <w:tc>
          <w:tcPr>
            <w:tcW w:w="2276" w:type="dxa"/>
            <w:gridSpan w:val="2"/>
            <w:vMerge/>
            <w:tcBorders>
              <w:left w:val="single" w:sz="4" w:space="0" w:color="000000"/>
              <w:right w:val="single" w:sz="4" w:space="0" w:color="000000"/>
            </w:tcBorders>
            <w:shd w:val="clear" w:color="auto" w:fill="D2D2D2"/>
          </w:tcPr>
          <w:p>
            <w:pPr/>
          </w:p>
        </w:tc>
      </w:tr>
      <w:tr>
        <w:trPr>
          <w:trHeight w:val="141" w:hRule="exact"/>
        </w:trPr>
        <w:tc>
          <w:tcPr>
            <w:tcW w:w="127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74"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088"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8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87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73" w:right="0"/>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987" w:type="dxa"/>
            <w:gridSpan w:val="2"/>
            <w:vMerge/>
            <w:tcBorders>
              <w:left w:val="single" w:sz="4" w:space="0" w:color="000000"/>
              <w:right w:val="single" w:sz="4" w:space="0" w:color="000000"/>
            </w:tcBorders>
            <w:shd w:val="clear" w:color="auto" w:fill="D2D2D2"/>
          </w:tcPr>
          <w:p>
            <w:pPr/>
          </w:p>
        </w:tc>
        <w:tc>
          <w:tcPr>
            <w:tcW w:w="1012" w:type="dxa"/>
            <w:gridSpan w:val="2"/>
            <w:vMerge/>
            <w:tcBorders>
              <w:left w:val="single" w:sz="4" w:space="0" w:color="000000"/>
              <w:right w:val="single" w:sz="4" w:space="0" w:color="000000"/>
            </w:tcBorders>
            <w:shd w:val="clear" w:color="auto" w:fill="D2D2D2"/>
          </w:tcPr>
          <w:p>
            <w:pPr/>
          </w:p>
        </w:tc>
        <w:tc>
          <w:tcPr>
            <w:tcW w:w="1116" w:type="dxa"/>
            <w:gridSpan w:val="2"/>
            <w:vMerge/>
            <w:tcBorders>
              <w:left w:val="single" w:sz="4" w:space="0" w:color="000000"/>
              <w:right w:val="single" w:sz="4" w:space="0" w:color="000000"/>
            </w:tcBorders>
            <w:shd w:val="clear" w:color="auto" w:fill="D2D2D2"/>
          </w:tcPr>
          <w:p>
            <w:pPr/>
          </w:p>
        </w:tc>
        <w:tc>
          <w:tcPr>
            <w:tcW w:w="1062" w:type="dxa"/>
            <w:gridSpan w:val="2"/>
            <w:vMerge/>
            <w:tcBorders>
              <w:left w:val="single" w:sz="4" w:space="0" w:color="000000"/>
              <w:right w:val="single" w:sz="4" w:space="0" w:color="000000"/>
            </w:tcBorders>
            <w:shd w:val="clear" w:color="auto" w:fill="D2D2D2"/>
          </w:tcPr>
          <w:p>
            <w:pPr/>
          </w:p>
        </w:tc>
        <w:tc>
          <w:tcPr>
            <w:tcW w:w="2276" w:type="dxa"/>
            <w:gridSpan w:val="2"/>
            <w:vMerge/>
            <w:tcBorders>
              <w:left w:val="single" w:sz="4" w:space="0" w:color="000000"/>
              <w:bottom w:val="single" w:sz="4" w:space="0" w:color="000000"/>
              <w:right w:val="single" w:sz="4" w:space="0" w:color="000000"/>
            </w:tcBorders>
            <w:shd w:val="clear" w:color="auto" w:fill="D2D2D2"/>
          </w:tcPr>
          <w:p>
            <w:pPr/>
          </w:p>
        </w:tc>
      </w:tr>
      <w:tr>
        <w:trPr>
          <w:trHeight w:val="251" w:hRule="exact"/>
        </w:trPr>
        <w:tc>
          <w:tcPr>
            <w:tcW w:w="1275" w:type="dxa"/>
            <w:vMerge/>
            <w:tcBorders>
              <w:left w:val="single" w:sz="4" w:space="0" w:color="000000"/>
              <w:bottom w:val="nil" w:sz="6" w:space="0" w:color="auto"/>
              <w:right w:val="single" w:sz="4" w:space="0" w:color="000000"/>
            </w:tcBorders>
            <w:shd w:val="clear" w:color="auto" w:fill="D2D2D2"/>
          </w:tcPr>
          <w:p>
            <w:pPr/>
          </w:p>
        </w:tc>
        <w:tc>
          <w:tcPr>
            <w:tcW w:w="1088" w:type="dxa"/>
            <w:gridSpan w:val="2"/>
            <w:vMerge/>
            <w:tcBorders>
              <w:left w:val="single" w:sz="4" w:space="0" w:color="000000"/>
              <w:bottom w:val="nil" w:sz="6" w:space="0" w:color="auto"/>
              <w:right w:val="single" w:sz="4" w:space="0" w:color="000000"/>
            </w:tcBorders>
            <w:shd w:val="clear" w:color="auto" w:fill="D2D2D2"/>
          </w:tcPr>
          <w:p>
            <w:pPr/>
          </w:p>
        </w:tc>
        <w:tc>
          <w:tcPr>
            <w:tcW w:w="878" w:type="dxa"/>
            <w:vMerge/>
            <w:tcBorders>
              <w:left w:val="single" w:sz="4" w:space="0" w:color="000000"/>
              <w:bottom w:val="nil" w:sz="6" w:space="0" w:color="auto"/>
              <w:right w:val="single" w:sz="4" w:space="0" w:color="000000"/>
            </w:tcBorders>
            <w:shd w:val="clear" w:color="auto" w:fill="D2D2D2"/>
          </w:tcPr>
          <w:p>
            <w:pPr/>
          </w:p>
        </w:tc>
        <w:tc>
          <w:tcPr>
            <w:tcW w:w="987" w:type="dxa"/>
            <w:gridSpan w:val="2"/>
            <w:vMerge/>
            <w:tcBorders>
              <w:left w:val="single" w:sz="4" w:space="0" w:color="000000"/>
              <w:right w:val="single" w:sz="4" w:space="0" w:color="000000"/>
            </w:tcBorders>
            <w:shd w:val="clear" w:color="auto" w:fill="D2D2D2"/>
          </w:tcPr>
          <w:p>
            <w:pPr/>
          </w:p>
        </w:tc>
        <w:tc>
          <w:tcPr>
            <w:tcW w:w="1012" w:type="dxa"/>
            <w:gridSpan w:val="2"/>
            <w:vMerge/>
            <w:tcBorders>
              <w:left w:val="single" w:sz="4" w:space="0" w:color="000000"/>
              <w:right w:val="single" w:sz="4" w:space="0" w:color="000000"/>
            </w:tcBorders>
            <w:shd w:val="clear" w:color="auto" w:fill="D2D2D2"/>
          </w:tcPr>
          <w:p>
            <w:pPr/>
          </w:p>
        </w:tc>
        <w:tc>
          <w:tcPr>
            <w:tcW w:w="1116" w:type="dxa"/>
            <w:gridSpan w:val="2"/>
            <w:vMerge/>
            <w:tcBorders>
              <w:left w:val="single" w:sz="4" w:space="0" w:color="000000"/>
              <w:right w:val="single" w:sz="4" w:space="0" w:color="000000"/>
            </w:tcBorders>
            <w:shd w:val="clear" w:color="auto" w:fill="D2D2D2"/>
          </w:tcPr>
          <w:p>
            <w:pPr/>
          </w:p>
        </w:tc>
        <w:tc>
          <w:tcPr>
            <w:tcW w:w="1062" w:type="dxa"/>
            <w:gridSpan w:val="2"/>
            <w:vMerge/>
            <w:tcBorders>
              <w:left w:val="single" w:sz="4" w:space="0" w:color="000000"/>
              <w:right w:val="single" w:sz="4" w:space="0" w:color="000000"/>
            </w:tcBorders>
            <w:shd w:val="clear" w:color="auto" w:fill="D2D2D2"/>
          </w:tcPr>
          <w:p>
            <w:pPr/>
          </w:p>
        </w:tc>
        <w:tc>
          <w:tcPr>
            <w:tcW w:w="13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7"/>
              <w:ind w:left="287"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97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7"/>
              <w:ind w:left="306"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56" w:hRule="exact"/>
        </w:trPr>
        <w:tc>
          <w:tcPr>
            <w:tcW w:w="1275" w:type="dxa"/>
            <w:vMerge w:val="restart"/>
            <w:tcBorders>
              <w:top w:val="nil" w:sz="6" w:space="0" w:color="auto"/>
              <w:left w:val="single" w:sz="4" w:space="0" w:color="000000"/>
              <w:right w:val="single" w:sz="4" w:space="0" w:color="000000"/>
            </w:tcBorders>
            <w:shd w:val="clear" w:color="auto" w:fill="D2D2D2"/>
          </w:tcPr>
          <w:p>
            <w:pPr/>
          </w:p>
        </w:tc>
        <w:tc>
          <w:tcPr>
            <w:tcW w:w="1088" w:type="dxa"/>
            <w:gridSpan w:val="2"/>
            <w:vMerge w:val="restart"/>
            <w:tcBorders>
              <w:top w:val="nil" w:sz="6" w:space="0" w:color="auto"/>
              <w:left w:val="single" w:sz="4" w:space="0" w:color="000000"/>
              <w:right w:val="single" w:sz="4" w:space="0" w:color="000000"/>
            </w:tcBorders>
            <w:shd w:val="clear" w:color="auto" w:fill="D2D2D2"/>
          </w:tcPr>
          <w:p>
            <w:pPr/>
          </w:p>
        </w:tc>
        <w:tc>
          <w:tcPr>
            <w:tcW w:w="878" w:type="dxa"/>
            <w:vMerge w:val="restart"/>
            <w:tcBorders>
              <w:top w:val="nil" w:sz="6" w:space="0" w:color="auto"/>
              <w:left w:val="single" w:sz="4" w:space="0" w:color="000000"/>
              <w:right w:val="single" w:sz="4" w:space="0" w:color="000000"/>
            </w:tcBorders>
            <w:shd w:val="clear" w:color="auto" w:fill="D2D2D2"/>
          </w:tcPr>
          <w:p>
            <w:pPr/>
          </w:p>
        </w:tc>
        <w:tc>
          <w:tcPr>
            <w:tcW w:w="987" w:type="dxa"/>
            <w:gridSpan w:val="2"/>
            <w:vMerge/>
            <w:tcBorders>
              <w:left w:val="single" w:sz="4" w:space="0" w:color="000000"/>
              <w:bottom w:val="nil" w:sz="6" w:space="0" w:color="auto"/>
              <w:right w:val="single" w:sz="4" w:space="0" w:color="000000"/>
            </w:tcBorders>
            <w:shd w:val="clear" w:color="auto" w:fill="D2D2D2"/>
          </w:tcPr>
          <w:p>
            <w:pPr/>
          </w:p>
        </w:tc>
        <w:tc>
          <w:tcPr>
            <w:tcW w:w="1012" w:type="dxa"/>
            <w:gridSpan w:val="2"/>
            <w:vMerge/>
            <w:tcBorders>
              <w:left w:val="single" w:sz="4" w:space="0" w:color="000000"/>
              <w:bottom w:val="nil" w:sz="6" w:space="0" w:color="auto"/>
              <w:right w:val="single" w:sz="4" w:space="0" w:color="000000"/>
            </w:tcBorders>
            <w:shd w:val="clear" w:color="auto" w:fill="D2D2D2"/>
          </w:tcPr>
          <w:p>
            <w:pPr/>
          </w:p>
        </w:tc>
        <w:tc>
          <w:tcPr>
            <w:tcW w:w="1116" w:type="dxa"/>
            <w:gridSpan w:val="2"/>
            <w:vMerge/>
            <w:tcBorders>
              <w:left w:val="single" w:sz="4" w:space="0" w:color="000000"/>
              <w:right w:val="single" w:sz="4" w:space="0" w:color="000000"/>
            </w:tcBorders>
            <w:shd w:val="clear" w:color="auto" w:fill="D2D2D2"/>
          </w:tcPr>
          <w:p>
            <w:pPr/>
          </w:p>
        </w:tc>
        <w:tc>
          <w:tcPr>
            <w:tcW w:w="1062" w:type="dxa"/>
            <w:gridSpan w:val="2"/>
            <w:vMerge/>
            <w:tcBorders>
              <w:left w:val="single" w:sz="4" w:space="0" w:color="000000"/>
              <w:right w:val="single" w:sz="4" w:space="0" w:color="000000"/>
            </w:tcBorders>
            <w:shd w:val="clear" w:color="auto" w:fill="D2D2D2"/>
          </w:tcPr>
          <w:p>
            <w:pPr/>
          </w:p>
        </w:tc>
        <w:tc>
          <w:tcPr>
            <w:tcW w:w="1300" w:type="dxa"/>
            <w:vMerge/>
            <w:tcBorders>
              <w:left w:val="single" w:sz="4" w:space="0" w:color="000000"/>
              <w:right w:val="single" w:sz="4" w:space="0" w:color="000000"/>
            </w:tcBorders>
            <w:shd w:val="clear" w:color="auto" w:fill="D2D2D2"/>
          </w:tcPr>
          <w:p>
            <w:pPr/>
          </w:p>
        </w:tc>
        <w:tc>
          <w:tcPr>
            <w:tcW w:w="977" w:type="dxa"/>
            <w:vMerge/>
            <w:tcBorders>
              <w:left w:val="single" w:sz="4" w:space="0" w:color="000000"/>
              <w:right w:val="single" w:sz="4" w:space="0" w:color="000000"/>
            </w:tcBorders>
            <w:shd w:val="clear" w:color="auto" w:fill="D2D2D2"/>
          </w:tcPr>
          <w:p>
            <w:pPr/>
          </w:p>
        </w:tc>
      </w:tr>
      <w:tr>
        <w:trPr>
          <w:trHeight w:val="161" w:hRule="exact"/>
        </w:trPr>
        <w:tc>
          <w:tcPr>
            <w:tcW w:w="1275" w:type="dxa"/>
            <w:vMerge/>
            <w:tcBorders>
              <w:left w:val="single" w:sz="4" w:space="0" w:color="000000"/>
              <w:bottom w:val="single" w:sz="4" w:space="0" w:color="000000"/>
              <w:right w:val="single" w:sz="4" w:space="0" w:color="000000"/>
            </w:tcBorders>
            <w:shd w:val="clear" w:color="auto" w:fill="D2D2D2"/>
          </w:tcPr>
          <w:p>
            <w:pPr/>
          </w:p>
        </w:tc>
        <w:tc>
          <w:tcPr>
            <w:tcW w:w="1088" w:type="dxa"/>
            <w:gridSpan w:val="2"/>
            <w:vMerge/>
            <w:tcBorders>
              <w:left w:val="single" w:sz="4" w:space="0" w:color="000000"/>
              <w:bottom w:val="single" w:sz="4" w:space="0" w:color="000000"/>
              <w:right w:val="single" w:sz="4" w:space="0" w:color="000000"/>
            </w:tcBorders>
            <w:shd w:val="clear" w:color="auto" w:fill="D2D2D2"/>
          </w:tcPr>
          <w:p>
            <w:pPr/>
          </w:p>
        </w:tc>
        <w:tc>
          <w:tcPr>
            <w:tcW w:w="878" w:type="dxa"/>
            <w:vMerge/>
            <w:tcBorders>
              <w:left w:val="single" w:sz="4" w:space="0" w:color="000000"/>
              <w:bottom w:val="single" w:sz="4" w:space="0" w:color="000000"/>
              <w:right w:val="single" w:sz="4" w:space="0" w:color="000000"/>
            </w:tcBorders>
            <w:shd w:val="clear" w:color="auto" w:fill="D2D2D2"/>
          </w:tcPr>
          <w:p>
            <w:pPr/>
          </w:p>
        </w:tc>
        <w:tc>
          <w:tcPr>
            <w:tcW w:w="987"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012"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16" w:type="dxa"/>
            <w:gridSpan w:val="2"/>
            <w:vMerge/>
            <w:tcBorders>
              <w:left w:val="single" w:sz="4" w:space="0" w:color="000000"/>
              <w:bottom w:val="single" w:sz="4" w:space="0" w:color="000000"/>
              <w:right w:val="single" w:sz="4" w:space="0" w:color="000000"/>
            </w:tcBorders>
            <w:shd w:val="clear" w:color="auto" w:fill="D2D2D2"/>
          </w:tcPr>
          <w:p>
            <w:pPr/>
          </w:p>
        </w:tc>
        <w:tc>
          <w:tcPr>
            <w:tcW w:w="1062" w:type="dxa"/>
            <w:gridSpan w:val="2"/>
            <w:vMerge/>
            <w:tcBorders>
              <w:left w:val="single" w:sz="4" w:space="0" w:color="000000"/>
              <w:bottom w:val="single" w:sz="4" w:space="0" w:color="000000"/>
              <w:right w:val="single" w:sz="4" w:space="0" w:color="000000"/>
            </w:tcBorders>
            <w:shd w:val="clear" w:color="auto" w:fill="D2D2D2"/>
          </w:tcPr>
          <w:p>
            <w:pPr/>
          </w:p>
        </w:tc>
        <w:tc>
          <w:tcPr>
            <w:tcW w:w="1300" w:type="dxa"/>
            <w:vMerge/>
            <w:tcBorders>
              <w:left w:val="single" w:sz="4" w:space="0" w:color="000000"/>
              <w:bottom w:val="single" w:sz="4" w:space="0" w:color="000000"/>
              <w:right w:val="single" w:sz="4" w:space="0" w:color="000000"/>
            </w:tcBorders>
            <w:shd w:val="clear" w:color="auto" w:fill="D2D2D2"/>
          </w:tcPr>
          <w:p>
            <w:pPr/>
          </w:p>
        </w:tc>
        <w:tc>
          <w:tcPr>
            <w:tcW w:w="97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13.10%</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4" w:right="0"/>
              <w:jc w:val="left"/>
              <w:rPr>
                <w:rFonts w:ascii="Times New Roman" w:hAnsi="Times New Roman" w:cs="Times New Roman" w:eastAsia="Times New Roman" w:hint="default"/>
                <w:sz w:val="18"/>
                <w:szCs w:val="18"/>
              </w:rPr>
            </w:pPr>
            <w:r>
              <w:rPr>
                <w:rFonts w:ascii="Times New Roman"/>
                <w:sz w:val="18"/>
              </w:rPr>
              <w:t>256,807,304</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3" w:right="0"/>
              <w:jc w:val="left"/>
              <w:rPr>
                <w:rFonts w:ascii="Times New Roman" w:hAnsi="Times New Roman" w:cs="Times New Roman" w:eastAsia="Times New Roman" w:hint="default"/>
                <w:sz w:val="18"/>
                <w:szCs w:val="18"/>
              </w:rPr>
            </w:pPr>
            <w:r>
              <w:rPr>
                <w:rFonts w:ascii="Times New Roman"/>
                <w:sz w:val="18"/>
              </w:rPr>
              <w:t>192,605,477</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64,201,827</w:t>
            </w:r>
          </w:p>
        </w:tc>
        <w:tc>
          <w:tcPr>
            <w:tcW w:w="1300" w:type="dxa"/>
            <w:tcBorders>
              <w:top w:val="single" w:sz="45" w:space="0" w:color="D2D2D2"/>
              <w:left w:val="single" w:sz="4" w:space="0" w:color="000000"/>
              <w:bottom w:val="single" w:sz="4" w:space="0" w:color="000000"/>
              <w:right w:val="single" w:sz="4" w:space="0" w:color="000000"/>
            </w:tcBorders>
          </w:tcPr>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5" w:space="0" w:color="D2D2D2"/>
              <w:left w:val="single" w:sz="4" w:space="0" w:color="000000"/>
              <w:bottom w:val="single" w:sz="4" w:space="0" w:color="000000"/>
              <w:right w:val="single" w:sz="4" w:space="0" w:color="000000"/>
            </w:tcBorders>
          </w:tcPr>
          <w:p>
            <w:pPr>
              <w:pStyle w:val="TableParagraph"/>
              <w:spacing w:line="240" w:lineRule="auto" w:before="40"/>
              <w:ind w:right="20"/>
              <w:jc w:val="right"/>
              <w:rPr>
                <w:rFonts w:ascii="Times New Roman" w:hAnsi="Times New Roman" w:cs="Times New Roman" w:eastAsia="Times New Roman" w:hint="default"/>
                <w:sz w:val="18"/>
                <w:szCs w:val="18"/>
              </w:rPr>
            </w:pPr>
            <w:r>
              <w:rPr>
                <w:rFonts w:ascii="Times New Roman"/>
                <w:sz w:val="18"/>
              </w:rPr>
              <w:t>144,800,000</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6.47%</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4" w:right="0"/>
              <w:jc w:val="left"/>
              <w:rPr>
                <w:rFonts w:ascii="Times New Roman" w:hAnsi="Times New Roman" w:cs="Times New Roman" w:eastAsia="Times New Roman" w:hint="default"/>
                <w:sz w:val="18"/>
                <w:szCs w:val="18"/>
              </w:rPr>
            </w:pPr>
            <w:r>
              <w:rPr>
                <w:rFonts w:ascii="Times New Roman"/>
                <w:sz w:val="18"/>
              </w:rPr>
              <w:t>126,958,612</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95,218,958</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31,739,654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99,100,000</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齐强</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5.89%</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left"/>
              <w:rPr>
                <w:rFonts w:ascii="Times New Roman" w:hAnsi="Times New Roman" w:cs="Times New Roman" w:eastAsia="Times New Roman" w:hint="default"/>
                <w:sz w:val="18"/>
                <w:szCs w:val="18"/>
              </w:rPr>
            </w:pPr>
            <w:r>
              <w:rPr>
                <w:rFonts w:ascii="Times New Roman"/>
                <w:sz w:val="18"/>
              </w:rPr>
              <w:t>115,489,027</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115,489,027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90,000,000</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5.83%</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left"/>
              <w:rPr>
                <w:rFonts w:ascii="Times New Roman" w:hAnsi="Times New Roman" w:cs="Times New Roman" w:eastAsia="Times New Roman" w:hint="default"/>
                <w:sz w:val="18"/>
                <w:szCs w:val="18"/>
              </w:rPr>
            </w:pPr>
            <w:r>
              <w:rPr>
                <w:rFonts w:ascii="Times New Roman"/>
                <w:sz w:val="18"/>
              </w:rPr>
              <w:t>114,318,403</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85,738,801</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28,579,602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96,499,999</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安梅</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5.81%</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 w:right="0"/>
              <w:jc w:val="left"/>
              <w:rPr>
                <w:rFonts w:ascii="Times New Roman" w:hAnsi="Times New Roman" w:cs="Times New Roman" w:eastAsia="Times New Roman" w:hint="default"/>
                <w:sz w:val="18"/>
                <w:szCs w:val="18"/>
              </w:rPr>
            </w:pPr>
            <w:r>
              <w:rPr>
                <w:rFonts w:ascii="Times New Roman"/>
                <w:sz w:val="18"/>
              </w:rPr>
              <w:t>113,958,609</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85,468,957</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28,489,652</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74" w:right="88" w:hanging="180"/>
              <w:jc w:val="left"/>
              <w:rPr>
                <w:rFonts w:ascii="宋体" w:hAnsi="宋体" w:cs="宋体" w:eastAsia="宋体" w:hint="default"/>
                <w:sz w:val="18"/>
                <w:szCs w:val="18"/>
              </w:rPr>
            </w:pPr>
            <w:r>
              <w:rPr>
                <w:rFonts w:ascii="宋体" w:hAnsi="宋体" w:cs="宋体" w:eastAsia="宋体" w:hint="default"/>
                <w:sz w:val="18"/>
                <w:szCs w:val="18"/>
              </w:rPr>
              <w:t>中信证券股份 有限公司</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60" w:right="85" w:hanging="270"/>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3.73%</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73,063,778</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83" w:right="0"/>
              <w:jc w:val="left"/>
              <w:rPr>
                <w:rFonts w:ascii="Times New Roman" w:hAnsi="Times New Roman" w:cs="Times New Roman" w:eastAsia="Times New Roman" w:hint="default"/>
                <w:sz w:val="18"/>
                <w:szCs w:val="18"/>
              </w:rPr>
            </w:pPr>
            <w:r>
              <w:rPr>
                <w:rFonts w:ascii="Times New Roman"/>
                <w:sz w:val="18"/>
              </w:rPr>
              <w:t>53,000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73,063,778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万能</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3.55%</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left"/>
              <w:rPr>
                <w:rFonts w:ascii="Times New Roman" w:hAnsi="Times New Roman" w:cs="Times New Roman" w:eastAsia="Times New Roman" w:hint="default"/>
                <w:sz w:val="18"/>
                <w:szCs w:val="18"/>
              </w:rPr>
            </w:pPr>
            <w:r>
              <w:rPr>
                <w:rFonts w:ascii="Times New Roman"/>
                <w:sz w:val="18"/>
              </w:rPr>
              <w:t>69,683,640</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7" w:right="0"/>
              <w:jc w:val="left"/>
              <w:rPr>
                <w:rFonts w:ascii="Times New Roman" w:hAnsi="Times New Roman" w:cs="Times New Roman" w:eastAsia="Times New Roman" w:hint="default"/>
                <w:sz w:val="18"/>
                <w:szCs w:val="18"/>
              </w:rPr>
            </w:pPr>
            <w:r>
              <w:rPr>
                <w:rFonts w:ascii="Times New Roman"/>
                <w:sz w:val="18"/>
              </w:rPr>
              <w:t>-1,802,822</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69,683,640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45,199,998</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2.97%</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left"/>
              <w:rPr>
                <w:rFonts w:ascii="Times New Roman" w:hAnsi="Times New Roman" w:cs="Times New Roman" w:eastAsia="Times New Roman" w:hint="default"/>
                <w:sz w:val="18"/>
                <w:szCs w:val="18"/>
              </w:rPr>
            </w:pPr>
            <w:r>
              <w:rPr>
                <w:rFonts w:ascii="Times New Roman"/>
                <w:sz w:val="18"/>
              </w:rPr>
              <w:t>58,307,149</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43,730,362</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14,576,787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35,950,000</w:t>
            </w:r>
          </w:p>
        </w:tc>
      </w:tr>
      <w:tr>
        <w:trPr>
          <w:trHeight w:val="714"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94" w:right="88"/>
              <w:jc w:val="left"/>
              <w:rPr>
                <w:rFonts w:ascii="宋体" w:hAnsi="宋体" w:cs="宋体" w:eastAsia="宋体" w:hint="default"/>
                <w:sz w:val="18"/>
                <w:szCs w:val="18"/>
              </w:rPr>
            </w:pPr>
            <w:r>
              <w:rPr>
                <w:rFonts w:ascii="宋体" w:hAnsi="宋体" w:cs="宋体" w:eastAsia="宋体" w:hint="default"/>
                <w:sz w:val="18"/>
                <w:szCs w:val="18"/>
              </w:rPr>
              <w:t>中国证券金融 股份有限公司</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360" w:right="85" w:hanging="270"/>
              <w:jc w:val="left"/>
              <w:rPr>
                <w:rFonts w:ascii="宋体" w:hAnsi="宋体" w:cs="宋体" w:eastAsia="宋体" w:hint="default"/>
                <w:sz w:val="18"/>
                <w:szCs w:val="18"/>
              </w:rPr>
            </w:pPr>
            <w:r>
              <w:rPr>
                <w:rFonts w:ascii="宋体" w:hAnsi="宋体" w:cs="宋体" w:eastAsia="宋体" w:hint="default"/>
                <w:sz w:val="18"/>
                <w:szCs w:val="18"/>
              </w:rPr>
              <w:t>境内非国有 法人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2.75%</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4" w:right="0"/>
              <w:jc w:val="left"/>
              <w:rPr>
                <w:rFonts w:ascii="Times New Roman" w:hAnsi="Times New Roman" w:cs="Times New Roman" w:eastAsia="Times New Roman" w:hint="default"/>
                <w:sz w:val="18"/>
                <w:szCs w:val="18"/>
              </w:rPr>
            </w:pPr>
            <w:r>
              <w:rPr>
                <w:rFonts w:ascii="Times New Roman"/>
                <w:sz w:val="18"/>
              </w:rPr>
              <w:t>53,847,524</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7" w:right="0"/>
              <w:jc w:val="left"/>
              <w:rPr>
                <w:rFonts w:ascii="Times New Roman" w:hAnsi="Times New Roman" w:cs="Times New Roman" w:eastAsia="Times New Roman" w:hint="default"/>
                <w:sz w:val="18"/>
                <w:szCs w:val="18"/>
              </w:rPr>
            </w:pPr>
            <w:r>
              <w:rPr>
                <w:rFonts w:ascii="Times New Roman"/>
                <w:sz w:val="18"/>
              </w:rPr>
              <w:t>53,847,517</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53,847,524</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李毅</w:t>
            </w:r>
          </w:p>
        </w:tc>
        <w:tc>
          <w:tcPr>
            <w:tcW w:w="10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2.60%</w:t>
            </w:r>
          </w:p>
        </w:tc>
        <w:tc>
          <w:tcPr>
            <w:tcW w:w="98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4" w:right="0"/>
              <w:jc w:val="left"/>
              <w:rPr>
                <w:rFonts w:ascii="Times New Roman" w:hAnsi="Times New Roman" w:cs="Times New Roman" w:eastAsia="Times New Roman" w:hint="default"/>
                <w:sz w:val="18"/>
                <w:szCs w:val="18"/>
              </w:rPr>
            </w:pPr>
            <w:r>
              <w:rPr>
                <w:rFonts w:ascii="Times New Roman"/>
                <w:sz w:val="18"/>
              </w:rPr>
              <w:t>51,036,766</w:t>
            </w:r>
          </w:p>
        </w:tc>
        <w:tc>
          <w:tcPr>
            <w:tcW w:w="101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-32,539,466</w:t>
            </w:r>
          </w:p>
        </w:tc>
        <w:tc>
          <w:tcPr>
            <w:tcW w:w="111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3" w:right="0"/>
              <w:jc w:val="left"/>
              <w:rPr>
                <w:rFonts w:ascii="Times New Roman" w:hAnsi="Times New Roman" w:cs="Times New Roman" w:eastAsia="Times New Roman" w:hint="default"/>
                <w:sz w:val="18"/>
                <w:szCs w:val="18"/>
              </w:rPr>
            </w:pPr>
            <w:r>
              <w:rPr>
                <w:rFonts w:ascii="Times New Roman"/>
                <w:sz w:val="18"/>
              </w:rPr>
              <w:t>21,544,968</w:t>
            </w:r>
          </w:p>
        </w:tc>
        <w:tc>
          <w:tcPr>
            <w:tcW w:w="10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29,491,798</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14,600,000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01" w:type="dxa"/>
        <w:tblLayout w:type="fixed"/>
        <w:tblCellMar>
          <w:top w:w="0" w:type="dxa"/>
          <w:left w:w="0" w:type="dxa"/>
          <w:bottom w:w="0" w:type="dxa"/>
          <w:right w:w="0" w:type="dxa"/>
        </w:tblCellMar>
        <w:tblLook w:val="01E0"/>
      </w:tblPr>
      <w:tblGrid>
        <w:gridCol w:w="2363"/>
        <w:gridCol w:w="5055"/>
        <w:gridCol w:w="1306"/>
        <w:gridCol w:w="971"/>
      </w:tblGrid>
      <w:tr>
        <w:trPr>
          <w:trHeight w:val="101" w:hRule="exact"/>
        </w:trPr>
        <w:tc>
          <w:tcPr>
            <w:tcW w:w="2363" w:type="dxa"/>
            <w:tcBorders>
              <w:top w:val="single" w:sz="4" w:space="0" w:color="000000"/>
              <w:left w:val="single" w:sz="4" w:space="0" w:color="000000"/>
              <w:bottom w:val="nil" w:sz="6" w:space="0" w:color="auto"/>
              <w:right w:val="single" w:sz="4" w:space="0" w:color="000000"/>
            </w:tcBorders>
            <w:shd w:val="clear" w:color="auto" w:fill="D2D2D2"/>
          </w:tcPr>
          <w:p>
            <w:pPr/>
          </w:p>
        </w:tc>
        <w:tc>
          <w:tcPr>
            <w:tcW w:w="7332" w:type="dxa"/>
            <w:gridSpan w:val="3"/>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无</w:t>
            </w:r>
          </w:p>
        </w:tc>
      </w:tr>
      <w:tr>
        <w:trPr>
          <w:trHeight w:val="1116" w:hRule="exact"/>
        </w:trPr>
        <w:tc>
          <w:tcPr>
            <w:tcW w:w="2363" w:type="dxa"/>
            <w:tcBorders>
              <w:top w:val="nil" w:sz="6" w:space="0" w:color="auto"/>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79"/>
              <w:jc w:val="left"/>
              <w:rPr>
                <w:rFonts w:ascii="宋体" w:hAnsi="宋体" w:cs="宋体" w:eastAsia="宋体" w:hint="default"/>
                <w:sz w:val="18"/>
                <w:szCs w:val="18"/>
              </w:rPr>
            </w:pPr>
            <w:r>
              <w:rPr>
                <w:rFonts w:ascii="宋体" w:hAnsi="宋体" w:cs="宋体" w:eastAsia="宋体" w:hint="default"/>
                <w:sz w:val="18"/>
                <w:szCs w:val="18"/>
              </w:rPr>
              <w:t>战略投资者或一般法人因配 售新股成为前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名股东的情 况</w:t>
            </w:r>
          </w:p>
        </w:tc>
        <w:tc>
          <w:tcPr>
            <w:tcW w:w="7332" w:type="dxa"/>
            <w:gridSpan w:val="3"/>
            <w:vMerge/>
            <w:tcBorders>
              <w:left w:val="single" w:sz="13" w:space="0" w:color="D2D2D2"/>
              <w:bottom w:val="single" w:sz="4" w:space="0" w:color="000000"/>
              <w:right w:val="single" w:sz="4" w:space="0" w:color="000000"/>
            </w:tcBorders>
          </w:tcPr>
          <w:p>
            <w:pPr/>
          </w:p>
        </w:tc>
      </w:tr>
      <w:tr>
        <w:trPr>
          <w:trHeight w:val="714" w:hRule="exact"/>
        </w:trPr>
        <w:tc>
          <w:tcPr>
            <w:tcW w:w="2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22" w:right="168"/>
              <w:jc w:val="left"/>
              <w:rPr>
                <w:rFonts w:ascii="宋体" w:hAnsi="宋体" w:cs="宋体" w:eastAsia="宋体" w:hint="default"/>
                <w:sz w:val="18"/>
                <w:szCs w:val="18"/>
              </w:rPr>
            </w:pPr>
            <w:r>
              <w:rPr>
                <w:rFonts w:ascii="宋体" w:hAnsi="宋体" w:cs="宋体" w:eastAsia="宋体" w:hint="default"/>
                <w:sz w:val="18"/>
                <w:szCs w:val="18"/>
              </w:rPr>
              <w:t>上述股东关联关系或一致行 动的说明</w:t>
            </w:r>
          </w:p>
        </w:tc>
        <w:tc>
          <w:tcPr>
            <w:tcW w:w="7332"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 w:right="0"/>
              <w:jc w:val="left"/>
              <w:rPr>
                <w:rFonts w:ascii="宋体" w:hAnsi="宋体" w:cs="宋体" w:eastAsia="宋体" w:hint="default"/>
                <w:sz w:val="18"/>
                <w:szCs w:val="18"/>
              </w:rPr>
            </w:pPr>
            <w:r>
              <w:rPr>
                <w:rFonts w:ascii="宋体" w:hAnsi="宋体" w:cs="宋体" w:eastAsia="宋体" w:hint="default"/>
                <w:sz w:val="18"/>
                <w:szCs w:val="18"/>
              </w:rPr>
              <w:t>自然人王宁先生、李力先生为一致行动人，系本公司的实际控制人。</w:t>
            </w:r>
          </w:p>
        </w:tc>
      </w:tr>
      <w:tr>
        <w:trPr>
          <w:trHeight w:val="402" w:hRule="exact"/>
        </w:trPr>
        <w:tc>
          <w:tcPr>
            <w:tcW w:w="969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06" w:hRule="exact"/>
        </w:trPr>
        <w:tc>
          <w:tcPr>
            <w:tcW w:w="2363" w:type="dxa"/>
            <w:tcBorders>
              <w:top w:val="single" w:sz="4" w:space="0" w:color="000000"/>
              <w:left w:val="single" w:sz="4" w:space="0" w:color="000000"/>
              <w:bottom w:val="nil" w:sz="6" w:space="0" w:color="auto"/>
              <w:right w:val="single" w:sz="4" w:space="0" w:color="000000"/>
            </w:tcBorders>
            <w:shd w:val="clear" w:color="auto" w:fill="D2D2D2"/>
          </w:tcPr>
          <w:p>
            <w:pPr/>
          </w:p>
        </w:tc>
        <w:tc>
          <w:tcPr>
            <w:tcW w:w="5055" w:type="dxa"/>
            <w:tcBorders>
              <w:top w:val="single" w:sz="4" w:space="0" w:color="000000"/>
              <w:left w:val="single" w:sz="4" w:space="0" w:color="000000"/>
              <w:bottom w:val="nil" w:sz="6" w:space="0" w:color="auto"/>
              <w:right w:val="single" w:sz="4" w:space="0" w:color="000000"/>
            </w:tcBorders>
            <w:shd w:val="clear" w:color="auto" w:fill="D2D2D2"/>
          </w:tcPr>
          <w:p>
            <w:pPr/>
          </w:p>
        </w:tc>
        <w:tc>
          <w:tcPr>
            <w:tcW w:w="227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1" w:hRule="exact"/>
        </w:trPr>
        <w:tc>
          <w:tcPr>
            <w:tcW w:w="23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505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172"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27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2363" w:type="dxa"/>
            <w:vMerge/>
            <w:tcBorders>
              <w:left w:val="single" w:sz="4" w:space="0" w:color="000000"/>
              <w:bottom w:val="nil" w:sz="6" w:space="0" w:color="auto"/>
              <w:right w:val="single" w:sz="4" w:space="0" w:color="000000"/>
            </w:tcBorders>
            <w:shd w:val="clear" w:color="auto" w:fill="D2D2D2"/>
          </w:tcPr>
          <w:p>
            <w:pPr/>
          </w:p>
        </w:tc>
        <w:tc>
          <w:tcPr>
            <w:tcW w:w="5055" w:type="dxa"/>
            <w:vMerge/>
            <w:tcBorders>
              <w:left w:val="single" w:sz="4" w:space="0" w:color="000000"/>
              <w:bottom w:val="nil" w:sz="6" w:space="0" w:color="auto"/>
              <w:right w:val="single" w:sz="4" w:space="0" w:color="000000"/>
            </w:tcBorders>
            <w:shd w:val="clear" w:color="auto" w:fill="D2D2D2"/>
          </w:tcPr>
          <w:p>
            <w:pPr/>
          </w:p>
        </w:tc>
        <w:tc>
          <w:tcPr>
            <w:tcW w:w="13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87"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97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00"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05" w:hRule="exact"/>
        </w:trPr>
        <w:tc>
          <w:tcPr>
            <w:tcW w:w="2363" w:type="dxa"/>
            <w:tcBorders>
              <w:top w:val="nil" w:sz="6" w:space="0" w:color="auto"/>
              <w:left w:val="single" w:sz="4" w:space="0" w:color="000000"/>
              <w:bottom w:val="single" w:sz="4" w:space="0" w:color="000000"/>
              <w:right w:val="single" w:sz="4" w:space="0" w:color="000000"/>
            </w:tcBorders>
            <w:shd w:val="clear" w:color="auto" w:fill="D2D2D2"/>
          </w:tcPr>
          <w:p>
            <w:pPr/>
          </w:p>
        </w:tc>
        <w:tc>
          <w:tcPr>
            <w:tcW w:w="5055" w:type="dxa"/>
            <w:tcBorders>
              <w:top w:val="nil" w:sz="6" w:space="0" w:color="auto"/>
              <w:left w:val="single" w:sz="4" w:space="0" w:color="000000"/>
              <w:bottom w:val="single" w:sz="4" w:space="0" w:color="000000"/>
              <w:right w:val="single" w:sz="4" w:space="0" w:color="000000"/>
            </w:tcBorders>
            <w:shd w:val="clear" w:color="auto" w:fill="D2D2D2"/>
          </w:tcPr>
          <w:p>
            <w:pPr/>
          </w:p>
        </w:tc>
        <w:tc>
          <w:tcPr>
            <w:tcW w:w="1306" w:type="dxa"/>
            <w:vMerge/>
            <w:tcBorders>
              <w:left w:val="single" w:sz="4" w:space="0" w:color="000000"/>
              <w:bottom w:val="single" w:sz="4" w:space="0" w:color="000000"/>
              <w:right w:val="single" w:sz="4" w:space="0" w:color="000000"/>
            </w:tcBorders>
            <w:shd w:val="clear" w:color="auto" w:fill="D2D2D2"/>
          </w:tcPr>
          <w:p>
            <w:pPr/>
          </w:p>
        </w:tc>
        <w:tc>
          <w:tcPr>
            <w:tcW w:w="971"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齐强</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115,489,027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115,489,027</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中信证券股份有限公司</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73,063,778</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73,063,778</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万能</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69,683,640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69,683,640</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64,201,827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64,201,827</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中国证券金融股份有限公司</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53,847,524</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53,847,524</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王雅莉</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33,466,289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33,466,289</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31,739,654</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31,739,654</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李毅</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29,491,798</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29,491,798</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黄松浪</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28,579,602</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28,579,602</w:t>
            </w:r>
          </w:p>
        </w:tc>
      </w:tr>
      <w:tr>
        <w:trPr>
          <w:trHeight w:val="402" w:hRule="exact"/>
        </w:trPr>
        <w:tc>
          <w:tcPr>
            <w:tcW w:w="23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安梅</w:t>
            </w:r>
          </w:p>
        </w:tc>
        <w:tc>
          <w:tcPr>
            <w:tcW w:w="50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28,489,652</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7"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28,489,652</w:t>
            </w:r>
          </w:p>
        </w:tc>
      </w:tr>
      <w:tr>
        <w:trPr>
          <w:trHeight w:val="1338" w:hRule="exact"/>
        </w:trPr>
        <w:tc>
          <w:tcPr>
            <w:tcW w:w="2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间，以及前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w:t>
            </w:r>
          </w:p>
          <w:p>
            <w:pPr>
              <w:pStyle w:val="TableParagraph"/>
              <w:spacing w:line="302" w:lineRule="auto" w:before="63"/>
              <w:ind w:left="22" w:right="78"/>
              <w:jc w:val="left"/>
              <w:rPr>
                <w:rFonts w:ascii="宋体" w:hAnsi="宋体" w:cs="宋体" w:eastAsia="宋体" w:hint="default"/>
                <w:sz w:val="18"/>
                <w:szCs w:val="18"/>
              </w:rPr>
            </w:pPr>
            <w:r>
              <w:rPr>
                <w:rFonts w:ascii="宋体" w:hAnsi="宋体" w:cs="宋体" w:eastAsia="宋体" w:hint="default"/>
                <w:sz w:val="18"/>
                <w:szCs w:val="18"/>
              </w:rPr>
              <w:t>股股东和前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名股东之间关 联关系或一致行动的说明</w:t>
            </w:r>
          </w:p>
        </w:tc>
        <w:tc>
          <w:tcPr>
            <w:tcW w:w="733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自然人王宁先生、李力先生为一致行动人，系本公司的实际控制人。</w:t>
            </w:r>
          </w:p>
        </w:tc>
      </w:tr>
      <w:tr>
        <w:trPr>
          <w:trHeight w:val="1026" w:hRule="exact"/>
        </w:trPr>
        <w:tc>
          <w:tcPr>
            <w:tcW w:w="23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168"/>
              <w:jc w:val="left"/>
              <w:rPr>
                <w:rFonts w:ascii="宋体" w:hAnsi="宋体" w:cs="宋体" w:eastAsia="宋体" w:hint="default"/>
                <w:sz w:val="18"/>
                <w:szCs w:val="18"/>
              </w:rPr>
            </w:pPr>
            <w:r>
              <w:rPr>
                <w:rFonts w:ascii="宋体" w:hAnsi="宋体" w:cs="宋体" w:eastAsia="宋体" w:hint="default"/>
                <w:sz w:val="18"/>
                <w:szCs w:val="18"/>
              </w:rPr>
              <w:t>参与融资融券业务股东情况 说明</w:t>
            </w:r>
          </w:p>
        </w:tc>
        <w:tc>
          <w:tcPr>
            <w:tcW w:w="733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报告期内，公司前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名无限售普通股股东中，万能先生除通过普通证券账户持有</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51,008,239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股外，还通过中国银河证券股份有限公司客户信用交易担保证券账户持有 </w:t>
            </w:r>
            <w:r>
              <w:rPr>
                <w:rFonts w:ascii="Times New Roman" w:hAnsi="Times New Roman" w:cs="Times New Roman" w:eastAsia="Times New Roman" w:hint="default"/>
                <w:sz w:val="18"/>
                <w:szCs w:val="18"/>
              </w:rPr>
              <w:t>18,675,401</w:t>
            </w:r>
            <w:r>
              <w:rPr>
                <w:rFonts w:ascii="Times New Roman" w:hAnsi="Times New Roman" w:cs="Times New Roman" w:eastAsia="Times New Roman" w:hint="default"/>
                <w:spacing w:val="29"/>
                <w:sz w:val="18"/>
                <w:szCs w:val="18"/>
              </w:rPr>
              <w:t> </w:t>
            </w:r>
            <w:r>
              <w:rPr>
                <w:rFonts w:ascii="宋体" w:hAnsi="宋体" w:cs="宋体" w:eastAsia="宋体" w:hint="default"/>
                <w:sz w:val="18"/>
                <w:szCs w:val="18"/>
              </w:rPr>
              <w:t>股，实</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际合计持有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69,683,640 </w:t>
            </w:r>
            <w:r>
              <w:rPr>
                <w:rFonts w:ascii="宋体" w:hAnsi="宋体" w:cs="宋体" w:eastAsia="宋体" w:hint="default"/>
                <w:sz w:val="18"/>
                <w:szCs w:val="18"/>
              </w:rPr>
              <w:t>股。</w:t>
            </w:r>
          </w:p>
        </w:tc>
      </w:tr>
    </w:tbl>
    <w:p>
      <w:pPr>
        <w:spacing w:line="240" w:lineRule="auto" w:before="6"/>
        <w:rPr>
          <w:rFonts w:ascii="宋体" w:hAnsi="宋体" w:cs="宋体" w:eastAsia="宋体" w:hint="default"/>
          <w:sz w:val="6"/>
          <w:szCs w:val="6"/>
        </w:rPr>
      </w:pPr>
    </w:p>
    <w:p>
      <w:pPr>
        <w:pStyle w:val="Heading4"/>
        <w:spacing w:line="240" w:lineRule="auto" w:before="44"/>
        <w:ind w:left="1134" w:right="0"/>
        <w:jc w:val="left"/>
        <w:rPr>
          <w:b w:val="0"/>
          <w:bCs w:val="0"/>
        </w:rPr>
      </w:pPr>
      <w:r>
        <w:rPr/>
        <w:t>公司前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名普通股股东、前</w:t>
      </w:r>
      <w:r>
        <w:rPr>
          <w:spacing w:val="-47"/>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名无限售条件普通股股东在报告期内是否进行约定购回交易</w:t>
      </w:r>
      <w:r>
        <w:rPr>
          <w:b w:val="0"/>
          <w:bCs w:val="0"/>
        </w:rPr>
      </w:r>
    </w:p>
    <w:p>
      <w:pPr>
        <w:spacing w:line="240" w:lineRule="auto" w:before="11"/>
        <w:rPr>
          <w:rFonts w:ascii="宋体" w:hAnsi="宋体" w:cs="宋体" w:eastAsia="宋体" w:hint="default"/>
          <w:b/>
          <w:bCs/>
          <w:sz w:val="19"/>
          <w:szCs w:val="19"/>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10"/>
        <w:rPr>
          <w:rFonts w:ascii="宋体" w:hAnsi="宋体" w:cs="宋体" w:eastAsia="宋体" w:hint="default"/>
          <w:b/>
          <w:bCs/>
          <w:sz w:val="19"/>
          <w:szCs w:val="19"/>
        </w:rPr>
      </w:pPr>
    </w:p>
    <w:p>
      <w:pPr>
        <w:pStyle w:val="BodyText"/>
        <w:spacing w:line="240" w:lineRule="auto"/>
        <w:ind w:right="0"/>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Heading3"/>
        <w:spacing w:line="240" w:lineRule="auto"/>
        <w:ind w:left="1133" w:right="0"/>
        <w:jc w:val="left"/>
        <w:rPr>
          <w:b w:val="0"/>
          <w:bCs w:val="0"/>
        </w:rPr>
      </w:pPr>
      <w:bookmarkStart w:name="2、公司控股股东情况" w:id="114"/>
      <w:bookmarkEnd w:id="114"/>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32"/>
          <w:szCs w:val="32"/>
        </w:rPr>
      </w:pPr>
    </w:p>
    <w:p>
      <w:pPr>
        <w:spacing w:line="518" w:lineRule="auto" w:before="0"/>
        <w:ind w:left="1133" w:right="8233" w:firstLine="0"/>
        <w:jc w:val="left"/>
        <w:rPr>
          <w:rFonts w:ascii="宋体" w:hAnsi="宋体" w:cs="宋体" w:eastAsia="宋体" w:hint="default"/>
          <w:sz w:val="18"/>
          <w:szCs w:val="18"/>
        </w:rPr>
      </w:pPr>
      <w:r>
        <w:rPr>
          <w:rFonts w:ascii="宋体" w:hAnsi="宋体" w:cs="宋体" w:eastAsia="宋体" w:hint="default"/>
          <w:sz w:val="18"/>
          <w:szCs w:val="18"/>
        </w:rPr>
        <w:t>公司不存在控股股东情况的说明 </w:t>
      </w:r>
      <w:r>
        <w:rPr>
          <w:rFonts w:ascii="宋体" w:hAnsi="宋体" w:cs="宋体" w:eastAsia="宋体" w:hint="default"/>
          <w:b/>
          <w:bCs/>
          <w:sz w:val="18"/>
          <w:szCs w:val="18"/>
        </w:rPr>
        <w:t>控股股东报告期内变更</w:t>
      </w:r>
      <w:r>
        <w:rPr>
          <w:rFonts w:ascii="宋体" w:hAnsi="宋体" w:cs="宋体" w:eastAsia="宋体" w:hint="default"/>
          <w:sz w:val="18"/>
          <w:szCs w:val="18"/>
        </w:rPr>
      </w:r>
    </w:p>
    <w:p>
      <w:pPr>
        <w:spacing w:line="489" w:lineRule="auto" w:before="63"/>
        <w:ind w:left="1134" w:right="805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公司报告期控股股东未发生变更。</w:t>
      </w:r>
    </w:p>
    <w:p>
      <w:pPr>
        <w:spacing w:after="0" w:line="489"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3、公司实际控制人情况" w:id="115"/>
      <w:bookmarkEnd w:id="115"/>
      <w:r>
        <w:rPr>
          <w:b w:val="0"/>
          <w:bCs w:val="0"/>
        </w:rPr>
      </w:r>
      <w:r>
        <w:rPr>
          <w:rFonts w:ascii="Times New Roman" w:hAnsi="Times New Roman" w:cs="Times New Roman" w:eastAsia="Times New Roman" w:hint="default"/>
        </w:rPr>
        <w:t>3</w:t>
      </w:r>
      <w:r>
        <w:rPr/>
        <w:t>、公司实际控制人情况</w:t>
      </w:r>
      <w:r>
        <w:rPr>
          <w:b w:val="0"/>
          <w:bCs w:val="0"/>
        </w:rPr>
      </w:r>
    </w:p>
    <w:p>
      <w:pPr>
        <w:spacing w:line="240" w:lineRule="auto" w:before="8"/>
        <w:rPr>
          <w:rFonts w:ascii="宋体" w:hAnsi="宋体" w:cs="宋体" w:eastAsia="宋体" w:hint="default"/>
          <w:b/>
          <w:bCs/>
          <w:sz w:val="32"/>
          <w:szCs w:val="32"/>
        </w:rPr>
      </w:pPr>
    </w:p>
    <w:p>
      <w:pPr>
        <w:spacing w:line="518" w:lineRule="auto" w:before="0"/>
        <w:ind w:left="1134" w:right="8406" w:firstLine="0"/>
        <w:jc w:val="left"/>
        <w:rPr>
          <w:rFonts w:ascii="宋体" w:hAnsi="宋体" w:cs="宋体" w:eastAsia="宋体" w:hint="default"/>
          <w:sz w:val="18"/>
          <w:szCs w:val="18"/>
        </w:rPr>
      </w:pPr>
      <w:r>
        <w:rPr>
          <w:rFonts w:ascii="宋体" w:hAnsi="宋体" w:cs="宋体" w:eastAsia="宋体" w:hint="default"/>
          <w:b/>
          <w:bCs/>
          <w:sz w:val="18"/>
          <w:szCs w:val="18"/>
        </w:rPr>
        <w:t>实际控制人性质：</w:t>
      </w:r>
      <w:r>
        <w:rPr>
          <w:rFonts w:ascii="宋体" w:hAnsi="宋体" w:cs="宋体" w:eastAsia="宋体" w:hint="default"/>
          <w:sz w:val="18"/>
          <w:szCs w:val="18"/>
        </w:rPr>
        <w:t>境内自然人 </w:t>
      </w:r>
      <w:r>
        <w:rPr>
          <w:rFonts w:ascii="宋体" w:hAnsi="宋体" w:cs="宋体" w:eastAsia="宋体" w:hint="default"/>
          <w:b/>
          <w:bCs/>
          <w:sz w:val="18"/>
          <w:szCs w:val="18"/>
        </w:rPr>
        <w:t>实际控制人类型：</w:t>
      </w:r>
      <w:r>
        <w:rPr>
          <w:rFonts w:ascii="宋体" w:hAnsi="宋体" w:cs="宋体" w:eastAsia="宋体" w:hint="default"/>
          <w:sz w:val="18"/>
          <w:szCs w:val="18"/>
        </w:rPr>
        <w:t>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pStyle w:val="BodyText"/>
        <w:spacing w:line="240" w:lineRule="auto" w:before="44"/>
        <w:ind w:left="630" w:right="1140"/>
        <w:jc w:val="right"/>
      </w:pPr>
      <w:r>
        <w:rPr/>
        <w:pict>
          <v:shape style="position:absolute;margin-left:56.459999pt;margin-top:-65.048309pt;width:479.2pt;height:415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35"/>
                    <w:gridCol w:w="2057"/>
                    <w:gridCol w:w="4176"/>
                  </w:tblGrid>
                  <w:tr>
                    <w:trPr>
                      <w:trHeight w:val="402" w:hRule="exact"/>
                    </w:trPr>
                    <w:tc>
                      <w:tcPr>
                        <w:tcW w:w="3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实际控制人姓名</w:t>
                        </w:r>
                      </w:p>
                    </w:tc>
                    <w:tc>
                      <w:tcPr>
                        <w:tcW w:w="2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3" w:right="0"/>
                          <w:jc w:val="left"/>
                          <w:rPr>
                            <w:rFonts w:ascii="宋体" w:hAnsi="宋体" w:cs="宋体" w:eastAsia="宋体" w:hint="default"/>
                            <w:sz w:val="18"/>
                            <w:szCs w:val="18"/>
                          </w:rPr>
                        </w:pPr>
                        <w:r>
                          <w:rPr>
                            <w:rFonts w:ascii="宋体" w:hAnsi="宋体" w:cs="宋体" w:eastAsia="宋体" w:hint="default"/>
                            <w:sz w:val="18"/>
                            <w:szCs w:val="18"/>
                          </w:rPr>
                          <w:t>国籍</w:t>
                        </w:r>
                      </w:p>
                    </w:tc>
                    <w:tc>
                      <w:tcPr>
                        <w:tcW w:w="41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402" w:hRule="exact"/>
                    </w:trPr>
                    <w:tc>
                      <w:tcPr>
                        <w:tcW w:w="3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4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33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4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4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6682" w:hRule="exact"/>
                    </w:trPr>
                    <w:tc>
                      <w:tcPr>
                        <w:tcW w:w="3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0"/>
                          <w:jc w:val="center"/>
                          <w:rPr>
                            <w:rFonts w:ascii="宋体" w:hAnsi="宋体" w:cs="宋体" w:eastAsia="宋体" w:hint="default"/>
                            <w:sz w:val="18"/>
                            <w:szCs w:val="18"/>
                          </w:rPr>
                        </w:pPr>
                        <w:r>
                          <w:rPr>
                            <w:rFonts w:ascii="宋体" w:hAnsi="宋体" w:cs="宋体" w:eastAsia="宋体" w:hint="default"/>
                            <w:sz w:val="18"/>
                            <w:szCs w:val="18"/>
                          </w:rPr>
                          <w:t>主要职业及职务</w:t>
                        </w:r>
                      </w:p>
                    </w:tc>
                    <w:tc>
                      <w:tcPr>
                        <w:tcW w:w="6234" w:type="dxa"/>
                        <w:gridSpan w:val="2"/>
                        <w:tcBorders>
                          <w:top w:val="single" w:sz="4" w:space="0" w:color="000000"/>
                          <w:left w:val="single" w:sz="4" w:space="0" w:color="000000"/>
                          <w:bottom w:val="single" w:sz="4" w:space="0" w:color="000000"/>
                          <w:right w:val="single" w:sz="4" w:space="0" w:color="000000"/>
                        </w:tcBorders>
                      </w:tcPr>
                      <w:p>
                        <w:pPr>
                          <w:pStyle w:val="TableParagraph"/>
                          <w:spacing w:line="463" w:lineRule="auto" w:before="129"/>
                          <w:ind w:left="22" w:right="21" w:firstLine="361"/>
                          <w:jc w:val="left"/>
                          <w:rPr>
                            <w:rFonts w:ascii="宋体" w:hAnsi="宋体" w:cs="宋体" w:eastAsia="宋体" w:hint="default"/>
                            <w:sz w:val="18"/>
                            <w:szCs w:val="18"/>
                          </w:rPr>
                        </w:pPr>
                        <w:r>
                          <w:rPr>
                            <w:rFonts w:ascii="宋体" w:hAnsi="宋体" w:cs="宋体" w:eastAsia="宋体" w:hint="default"/>
                            <w:b/>
                            <w:bCs/>
                            <w:spacing w:val="-3"/>
                            <w:sz w:val="18"/>
                            <w:szCs w:val="18"/>
                          </w:rPr>
                          <w:t>王宁</w:t>
                        </w:r>
                        <w:r>
                          <w:rPr>
                            <w:rFonts w:ascii="宋体" w:hAnsi="宋体" w:cs="宋体" w:eastAsia="宋体" w:hint="default"/>
                            <w:spacing w:val="-3"/>
                            <w:sz w:val="18"/>
                            <w:szCs w:val="18"/>
                          </w:rPr>
                          <w:t>先生，</w:t>
                        </w:r>
                        <w:r>
                          <w:rPr>
                            <w:rFonts w:ascii="Times New Roman" w:hAnsi="Times New Roman" w:cs="Times New Roman" w:eastAsia="Times New Roman" w:hint="default"/>
                            <w:spacing w:val="-3"/>
                            <w:sz w:val="18"/>
                            <w:szCs w:val="18"/>
                          </w:rPr>
                          <w:t>1961</w:t>
                        </w:r>
                        <w:r>
                          <w:rPr>
                            <w:rFonts w:ascii="Times New Roman" w:hAnsi="Times New Roman" w:cs="Times New Roman" w:eastAsia="Times New Roman" w:hint="default"/>
                            <w:spacing w:val="4"/>
                            <w:sz w:val="18"/>
                            <w:szCs w:val="18"/>
                          </w:rPr>
                          <w:t> </w:t>
                        </w:r>
                        <w:r>
                          <w:rPr>
                            <w:rFonts w:ascii="宋体" w:hAnsi="宋体" w:cs="宋体" w:eastAsia="宋体" w:hint="default"/>
                            <w:spacing w:val="-3"/>
                            <w:sz w:val="18"/>
                            <w:szCs w:val="18"/>
                          </w:rPr>
                          <w:t>年出生，中国国籍，无永久境外居留权。毕业于河北大学</w:t>
                        </w:r>
                        <w:r>
                          <w:rPr>
                            <w:rFonts w:ascii="宋体" w:hAnsi="宋体" w:cs="宋体" w:eastAsia="宋体" w:hint="default"/>
                            <w:sz w:val="18"/>
                            <w:szCs w:val="18"/>
                          </w:rPr>
                          <w:t> 理学、法学双学士，荣获 </w:t>
                        </w:r>
                        <w:r>
                          <w:rPr>
                            <w:rFonts w:ascii="Times New Roman" w:hAnsi="Times New Roman" w:cs="Times New Roman" w:eastAsia="Times New Roman" w:hint="default"/>
                            <w:sz w:val="18"/>
                            <w:szCs w:val="18"/>
                          </w:rPr>
                          <w:t>2006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中国软件企业十大领军人物</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Times New Roman" w:hAnsi="Times New Roman" w:cs="Times New Roman" w:eastAsia="Times New Roman" w:hint="default"/>
                            <w:sz w:val="18"/>
                            <w:szCs w:val="18"/>
                          </w:rPr>
                          <w:t>“</w:t>
                        </w:r>
                        <w:r>
                          <w:rPr>
                            <w:rFonts w:ascii="宋体" w:hAnsi="宋体" w:cs="宋体" w:eastAsia="宋体" w:hint="default"/>
                            <w:sz w:val="18"/>
                            <w:szCs w:val="18"/>
                          </w:rPr>
                          <w:t>中国 软件产业发展功勋人物</w:t>
                        </w:r>
                        <w:r>
                          <w:rPr>
                            <w:rFonts w:ascii="Times New Roman" w:hAnsi="Times New Roman" w:cs="Times New Roman" w:eastAsia="Times New Roman" w:hint="default"/>
                            <w:sz w:val="18"/>
                            <w:szCs w:val="18"/>
                          </w:rPr>
                          <w:t>”</w:t>
                        </w:r>
                        <w:r>
                          <w:rPr>
                            <w:rFonts w:ascii="宋体" w:hAnsi="宋体" w:cs="宋体" w:eastAsia="宋体" w:hint="default"/>
                            <w:sz w:val="18"/>
                            <w:szCs w:val="18"/>
                          </w:rPr>
                          <w:t>及</w:t>
                        </w:r>
                        <w:r>
                          <w:rPr>
                            <w:rFonts w:ascii="Times New Roman" w:hAnsi="Times New Roman" w:cs="Times New Roman" w:eastAsia="Times New Roman" w:hint="default"/>
                            <w:sz w:val="18"/>
                            <w:szCs w:val="18"/>
                          </w:rPr>
                          <w:t>“</w:t>
                        </w:r>
                        <w:r>
                          <w:rPr>
                            <w:rFonts w:ascii="宋体" w:hAnsi="宋体" w:cs="宋体" w:eastAsia="宋体" w:hint="default"/>
                            <w:sz w:val="18"/>
                            <w:szCs w:val="18"/>
                          </w:rPr>
                          <w:t>中国软件产业杰出企业家</w:t>
                        </w:r>
                        <w:r>
                          <w:rPr>
                            <w:rFonts w:ascii="Times New Roman" w:hAnsi="Times New Roman" w:cs="Times New Roman" w:eastAsia="Times New Roman" w:hint="default"/>
                            <w:sz w:val="18"/>
                            <w:szCs w:val="18"/>
                          </w:rPr>
                          <w:t>”</w:t>
                        </w:r>
                        <w:r>
                          <w:rPr>
                            <w:rFonts w:ascii="宋体" w:hAnsi="宋体" w:cs="宋体" w:eastAsia="宋体" w:hint="default"/>
                            <w:sz w:val="18"/>
                            <w:szCs w:val="18"/>
                          </w:rPr>
                          <w:t>。曾任河北大学校团委书 记、河北大学出版社社长、联想集团工控公司电脑部经理、北京新海拓科技公</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司总经理，北京神州泰岳科技有限公司副总经理、总经理。</w:t>
                        </w: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月至今担 </w:t>
                        </w:r>
                        <w:r>
                          <w:rPr>
                            <w:rFonts w:ascii="宋体" w:hAnsi="宋体" w:cs="宋体" w:eastAsia="宋体" w:hint="default"/>
                            <w:spacing w:val="-3"/>
                            <w:sz w:val="18"/>
                            <w:szCs w:val="18"/>
                          </w:rPr>
                          <w:t>任公司董事长，其中，</w:t>
                        </w:r>
                        <w:r>
                          <w:rPr>
                            <w:rFonts w:ascii="Times New Roman" w:hAnsi="Times New Roman" w:cs="Times New Roman" w:eastAsia="Times New Roman" w:hint="default"/>
                            <w:spacing w:val="-3"/>
                            <w:sz w:val="18"/>
                            <w:szCs w:val="18"/>
                          </w:rPr>
                          <w:t>2001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pacing w:val="-3"/>
                            <w:sz w:val="18"/>
                            <w:szCs w:val="18"/>
                          </w:rPr>
                          <w:t>月，曾任公司财务负责人、总经</w:t>
                        </w:r>
                        <w:r>
                          <w:rPr>
                            <w:rFonts w:ascii="宋体" w:hAnsi="宋体" w:cs="宋体" w:eastAsia="宋体" w:hint="default"/>
                            <w:sz w:val="18"/>
                            <w:szCs w:val="18"/>
                          </w:rPr>
                          <w:t> 理。兼任北京启天同信科技有限公司董事、北京互联时代通讯科技有限公司董</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事长北京神州良品电子商务科技股份有限公司董事长、北京华泰德丰技术有限</w:t>
                        </w:r>
                        <w:r>
                          <w:rPr>
                            <w:rFonts w:ascii="宋体" w:hAnsi="宋体" w:cs="宋体" w:eastAsia="宋体" w:hint="default"/>
                            <w:spacing w:val="-41"/>
                            <w:sz w:val="18"/>
                            <w:szCs w:val="18"/>
                          </w:rPr>
                          <w:t> </w:t>
                        </w:r>
                        <w:r>
                          <w:rPr>
                            <w:rFonts w:ascii="宋体" w:hAnsi="宋体" w:cs="宋体" w:eastAsia="宋体" w:hint="default"/>
                            <w:spacing w:val="-41"/>
                            <w:sz w:val="18"/>
                            <w:szCs w:val="18"/>
                          </w:rPr>
                        </w:r>
                        <w:r>
                          <w:rPr>
                            <w:rFonts w:ascii="宋体" w:hAnsi="宋体" w:cs="宋体" w:eastAsia="宋体" w:hint="default"/>
                            <w:sz w:val="18"/>
                            <w:szCs w:val="18"/>
                          </w:rPr>
                          <w:t>公司董事长、北京创董创新实业有限公司董事长、北京善聚投资管理有限公司</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宋体" w:hAnsi="宋体" w:cs="宋体" w:eastAsia="宋体" w:hint="default"/>
                            <w:sz w:val="18"/>
                            <w:szCs w:val="18"/>
                          </w:rPr>
                          <w:t>执行董事。</w:t>
                        </w:r>
                      </w:p>
                      <w:p>
                        <w:pPr>
                          <w:pStyle w:val="TableParagraph"/>
                          <w:spacing w:line="460" w:lineRule="auto" w:before="104"/>
                          <w:ind w:left="22" w:right="22" w:firstLine="361"/>
                          <w:jc w:val="both"/>
                          <w:rPr>
                            <w:rFonts w:ascii="宋体" w:hAnsi="宋体" w:cs="宋体" w:eastAsia="宋体" w:hint="default"/>
                            <w:sz w:val="18"/>
                            <w:szCs w:val="18"/>
                          </w:rPr>
                        </w:pPr>
                        <w:r>
                          <w:rPr>
                            <w:rFonts w:ascii="宋体" w:hAnsi="宋体" w:cs="宋体" w:eastAsia="宋体" w:hint="default"/>
                            <w:b/>
                            <w:bCs/>
                            <w:sz w:val="18"/>
                            <w:szCs w:val="18"/>
                          </w:rPr>
                          <w:t>李力</w:t>
                        </w:r>
                        <w:r>
                          <w:rPr>
                            <w:rFonts w:ascii="宋体" w:hAnsi="宋体" w:cs="宋体" w:eastAsia="宋体" w:hint="default"/>
                            <w:sz w:val="18"/>
                            <w:szCs w:val="18"/>
                          </w:rPr>
                          <w:t>先生，</w:t>
                        </w:r>
                        <w:r>
                          <w:rPr>
                            <w:rFonts w:ascii="Times New Roman" w:hAnsi="Times New Roman" w:cs="Times New Roman" w:eastAsia="Times New Roman" w:hint="default"/>
                            <w:sz w:val="18"/>
                            <w:szCs w:val="18"/>
                          </w:rPr>
                          <w:t>1971</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年出生，中国国籍，新加坡永久居留权。毕业于首都经贸 大学；曾任北京力霸科技有限公司副总经理。李力先生作为公司主要创始人，</w:t>
                        </w:r>
                        <w:r>
                          <w:rPr>
                            <w:rFonts w:ascii="宋体" w:hAnsi="宋体" w:cs="宋体" w:eastAsia="宋体" w:hint="default"/>
                            <w:spacing w:val="-43"/>
                            <w:sz w:val="18"/>
                            <w:szCs w:val="18"/>
                          </w:rPr>
                          <w:t> </w:t>
                        </w:r>
                        <w:r>
                          <w:rPr>
                            <w:rFonts w:ascii="宋体" w:hAnsi="宋体" w:cs="宋体" w:eastAsia="宋体" w:hint="default"/>
                            <w:spacing w:val="-43"/>
                            <w:sz w:val="18"/>
                            <w:szCs w:val="18"/>
                          </w:rPr>
                        </w:r>
                        <w:r>
                          <w:rPr>
                            <w:rFonts w:ascii="Times New Roman" w:hAnsi="Times New Roman" w:cs="Times New Roman" w:eastAsia="Times New Roman" w:hint="default"/>
                            <w:sz w:val="18"/>
                            <w:szCs w:val="18"/>
                          </w:rPr>
                          <w:t>2001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pacing w:val="-3"/>
                            <w:sz w:val="18"/>
                            <w:szCs w:val="18"/>
                          </w:rPr>
                          <w:t>月至今历任公司董事、常务副总经理、总经理。兼任北京启天同信科</w:t>
                        </w:r>
                        <w:r>
                          <w:rPr>
                            <w:rFonts w:ascii="宋体" w:hAnsi="宋体" w:cs="宋体" w:eastAsia="宋体" w:hint="default"/>
                            <w:sz w:val="18"/>
                            <w:szCs w:val="18"/>
                          </w:rPr>
                          <w:t> </w:t>
                        </w:r>
                        <w:r>
                          <w:rPr>
                            <w:rFonts w:ascii="宋体" w:hAnsi="宋体" w:cs="宋体" w:eastAsia="宋体" w:hint="default"/>
                            <w:spacing w:val="-5"/>
                            <w:sz w:val="18"/>
                            <w:szCs w:val="18"/>
                          </w:rPr>
                          <w:t>技有限公司董事、神州泰岳（香港）有限公司董事、</w:t>
                        </w:r>
                        <w:r>
                          <w:rPr>
                            <w:rFonts w:ascii="Times New Roman" w:hAnsi="Times New Roman" w:cs="Times New Roman" w:eastAsia="Times New Roman" w:hint="default"/>
                            <w:spacing w:val="-5"/>
                            <w:sz w:val="18"/>
                            <w:szCs w:val="18"/>
                          </w:rPr>
                          <w:t>Ultrapower </w:t>
                        </w:r>
                        <w:r>
                          <w:rPr>
                            <w:rFonts w:ascii="Times New Roman" w:hAnsi="Times New Roman" w:cs="Times New Roman" w:eastAsia="Times New Roman" w:hint="default"/>
                            <w:sz w:val="18"/>
                            <w:szCs w:val="18"/>
                          </w:rPr>
                          <w:t>360 Pte Ltd</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董事</w:t>
                        </w:r>
                      </w:p>
                    </w:tc>
                  </w:tr>
                  <w:tr>
                    <w:trPr>
                      <w:trHeight w:val="402" w:hRule="exact"/>
                    </w:trPr>
                    <w:tc>
                      <w:tcPr>
                        <w:tcW w:w="33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年曾控股的境内外上市公司情况</w:t>
                        </w:r>
                      </w:p>
                    </w:tc>
                    <w:tc>
                      <w:tcPr>
                        <w:tcW w:w="623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pStyle w:val="BodyText"/>
        <w:spacing w:line="240" w:lineRule="auto" w:before="44"/>
        <w:ind w:left="630" w:right="1140"/>
        <w:jc w:val="right"/>
      </w:pP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pStyle w:val="Heading4"/>
        <w:spacing w:line="240" w:lineRule="auto"/>
        <w:ind w:left="1134" w:right="0"/>
        <w:jc w:val="left"/>
        <w:rPr>
          <w:b w:val="0"/>
          <w:bCs w:val="0"/>
        </w:rPr>
      </w:pPr>
      <w:r>
        <w:rPr/>
        <w:t>实际控制人报告期内变更</w:t>
      </w:r>
      <w:r>
        <w:rPr>
          <w:b w:val="0"/>
          <w:bCs w:val="0"/>
        </w:rPr>
      </w:r>
    </w:p>
    <w:p>
      <w:pPr>
        <w:spacing w:line="240" w:lineRule="auto" w:before="12"/>
        <w:rPr>
          <w:rFonts w:ascii="宋体" w:hAnsi="宋体" w:cs="宋体" w:eastAsia="宋体" w:hint="default"/>
          <w:b/>
          <w:bCs/>
          <w:sz w:val="20"/>
          <w:szCs w:val="20"/>
        </w:rPr>
      </w:pPr>
    </w:p>
    <w:p>
      <w:pPr>
        <w:spacing w:line="504" w:lineRule="auto" w:before="0"/>
        <w:ind w:left="1134" w:right="677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公司报告期实际控制人未发生变更。 </w:t>
      </w:r>
      <w:r>
        <w:rPr>
          <w:rFonts w:ascii="宋体" w:hAnsi="宋体" w:cs="宋体" w:eastAsia="宋体" w:hint="default"/>
          <w:b/>
          <w:bCs/>
          <w:sz w:val="18"/>
          <w:szCs w:val="18"/>
        </w:rPr>
        <w:t>公司与实际控制人之间的产权及控制关系的方框图</w:t>
      </w:r>
      <w:r>
        <w:rPr>
          <w:rFonts w:ascii="宋体" w:hAnsi="宋体" w:cs="宋体" w:eastAsia="宋体" w:hint="default"/>
          <w:sz w:val="18"/>
          <w:szCs w:val="18"/>
        </w:rPr>
      </w:r>
    </w:p>
    <w:p>
      <w:pPr>
        <w:spacing w:after="0" w:line="504"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b/>
          <w:bCs/>
          <w:sz w:val="7"/>
          <w:szCs w:val="7"/>
        </w:rPr>
      </w:pPr>
    </w:p>
    <w:p>
      <w:pPr>
        <w:spacing w:line="3333" w:lineRule="exact"/>
        <w:ind w:left="2983" w:right="0" w:firstLine="0"/>
        <w:rPr>
          <w:rFonts w:ascii="宋体" w:hAnsi="宋体" w:cs="宋体" w:eastAsia="宋体" w:hint="default"/>
          <w:sz w:val="20"/>
          <w:szCs w:val="20"/>
        </w:rPr>
      </w:pPr>
      <w:r>
        <w:rPr>
          <w:rFonts w:ascii="宋体" w:hAnsi="宋体" w:cs="宋体" w:eastAsia="宋体" w:hint="default"/>
          <w:position w:val="-66"/>
          <w:sz w:val="20"/>
          <w:szCs w:val="20"/>
        </w:rPr>
        <w:drawing>
          <wp:inline distT="0" distB="0" distL="0" distR="0">
            <wp:extent cx="3766103" cy="2116645"/>
            <wp:effectExtent l="0" t="0" r="0" b="0"/>
            <wp:docPr id="47" name="image47.jpeg" descr=""/>
            <wp:cNvGraphicFramePr>
              <a:graphicFrameLocks noChangeAspect="1"/>
            </wp:cNvGraphicFramePr>
            <a:graphic>
              <a:graphicData uri="http://schemas.openxmlformats.org/drawingml/2006/picture">
                <pic:pic>
                  <pic:nvPicPr>
                    <pic:cNvPr id="48" name="image47.jpeg"/>
                    <pic:cNvPicPr/>
                  </pic:nvPicPr>
                  <pic:blipFill>
                    <a:blip r:embed="rId54" cstate="print"/>
                    <a:stretch>
                      <a:fillRect/>
                    </a:stretch>
                  </pic:blipFill>
                  <pic:spPr>
                    <a:xfrm>
                      <a:off x="0" y="0"/>
                      <a:ext cx="3766103" cy="2116645"/>
                    </a:xfrm>
                    <a:prstGeom prst="rect">
                      <a:avLst/>
                    </a:prstGeom>
                  </pic:spPr>
                </pic:pic>
              </a:graphicData>
            </a:graphic>
          </wp:inline>
        </w:drawing>
      </w:r>
      <w:r>
        <w:rPr>
          <w:rFonts w:ascii="宋体" w:hAnsi="宋体" w:cs="宋体" w:eastAsia="宋体" w:hint="default"/>
          <w:position w:val="-66"/>
          <w:sz w:val="20"/>
          <w:szCs w:val="20"/>
        </w:rPr>
      </w:r>
    </w:p>
    <w:p>
      <w:pPr>
        <w:spacing w:line="240" w:lineRule="auto" w:before="2"/>
        <w:rPr>
          <w:rFonts w:ascii="宋体" w:hAnsi="宋体" w:cs="宋体" w:eastAsia="宋体" w:hint="default"/>
          <w:b/>
          <w:bCs/>
          <w:sz w:val="10"/>
          <w:szCs w:val="10"/>
        </w:rPr>
      </w:pPr>
    </w:p>
    <w:p>
      <w:pPr>
        <w:spacing w:line="518" w:lineRule="auto" w:before="44"/>
        <w:ind w:left="1134" w:right="6071" w:firstLine="0"/>
        <w:jc w:val="left"/>
        <w:rPr>
          <w:rFonts w:ascii="宋体" w:hAnsi="宋体" w:cs="宋体" w:eastAsia="宋体" w:hint="default"/>
          <w:sz w:val="18"/>
          <w:szCs w:val="18"/>
        </w:rPr>
      </w:pPr>
      <w:r>
        <w:rPr>
          <w:rFonts w:ascii="宋体" w:hAnsi="宋体" w:cs="宋体" w:eastAsia="宋体" w:hint="default"/>
          <w:sz w:val="18"/>
          <w:szCs w:val="18"/>
        </w:rPr>
        <w:t>注：王宁的控制权由其直接持有的股权及授权表决权构成</w:t>
      </w:r>
      <w:r>
        <w:rPr>
          <w:rFonts w:ascii="宋体" w:hAnsi="宋体" w:cs="宋体" w:eastAsia="宋体" w:hint="default"/>
          <w:b/>
          <w:bCs/>
          <w:sz w:val="18"/>
          <w:szCs w:val="18"/>
        </w:rPr>
        <w:t>。</w:t>
      </w:r>
      <w:r>
        <w:rPr>
          <w:rFonts w:ascii="宋体" w:hAnsi="宋体" w:cs="宋体" w:eastAsia="宋体" w:hint="default"/>
          <w:b/>
          <w:bCs/>
          <w:w w:val="99"/>
          <w:sz w:val="18"/>
          <w:szCs w:val="18"/>
        </w:rPr>
        <w:t> </w:t>
      </w:r>
      <w:r>
        <w:rPr>
          <w:rFonts w:ascii="宋体" w:hAnsi="宋体" w:cs="宋体" w:eastAsia="宋体" w:hint="default"/>
          <w:b/>
          <w:bCs/>
          <w:sz w:val="18"/>
          <w:szCs w:val="18"/>
        </w:rPr>
        <w:t>实际控制人通过信托或其他资产管理方式控制公司</w:t>
      </w:r>
      <w:r>
        <w:rPr>
          <w:rFonts w:ascii="宋体" w:hAnsi="宋体" w:cs="宋体" w:eastAsia="宋体" w:hint="default"/>
          <w:sz w:val="18"/>
          <w:szCs w:val="18"/>
        </w:rPr>
      </w:r>
    </w:p>
    <w:p>
      <w:pPr>
        <w:spacing w:before="63"/>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4、其他持股在10%以上的法人股东" w:id="116"/>
      <w:bookmarkEnd w:id="116"/>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8"/>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5、控股股东、实际控制人、重组方及其他承诺主体股份限制减持情况" w:id="117"/>
      <w:bookmarkEnd w:id="117"/>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9"/>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320" w:bottom="1160" w:left="0" w:right="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9"/>
          <w:szCs w:val="19"/>
        </w:rPr>
      </w:pPr>
    </w:p>
    <w:p>
      <w:pPr>
        <w:pStyle w:val="Heading1"/>
        <w:spacing w:line="240" w:lineRule="auto"/>
        <w:ind w:right="0"/>
        <w:jc w:val="center"/>
        <w:rPr>
          <w:b w:val="0"/>
          <w:bCs w:val="0"/>
        </w:rPr>
      </w:pPr>
      <w:bookmarkStart w:name="第七节 优先股相关情况" w:id="118"/>
      <w:bookmarkEnd w:id="118"/>
      <w:r>
        <w:rPr>
          <w:b w:val="0"/>
          <w:bCs w:val="0"/>
        </w:rPr>
      </w:r>
      <w:bookmarkStart w:name="_bookmark6" w:id="119"/>
      <w:bookmarkEnd w:id="119"/>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p>
      <w:pPr>
        <w:spacing w:line="489" w:lineRule="auto" w:before="44"/>
        <w:ind w:left="1134" w:right="859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报告期公司不存在优先股。</w:t>
      </w:r>
    </w:p>
    <w:p>
      <w:pPr>
        <w:spacing w:after="0" w:line="489"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1"/>
        <w:spacing w:line="240" w:lineRule="auto"/>
        <w:ind w:left="2660" w:right="0"/>
        <w:jc w:val="left"/>
        <w:rPr>
          <w:b w:val="0"/>
          <w:bCs w:val="0"/>
        </w:rPr>
      </w:pPr>
      <w:bookmarkStart w:name="第八节 董事、监事、高级管理人员和员工情况" w:id="120"/>
      <w:bookmarkEnd w:id="120"/>
      <w:r>
        <w:rPr>
          <w:b w:val="0"/>
          <w:bCs w:val="0"/>
        </w:rPr>
      </w:r>
      <w:bookmarkStart w:name="_bookmark7" w:id="121"/>
      <w:bookmarkEnd w:id="121"/>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left="1133" w:right="0"/>
        <w:jc w:val="left"/>
        <w:rPr>
          <w:b w:val="0"/>
          <w:bCs w:val="0"/>
        </w:rPr>
      </w:pPr>
      <w:bookmarkStart w:name="一、董事、监事和高级管理人员持股变动" w:id="122"/>
      <w:bookmarkEnd w:id="122"/>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101" w:type="dxa"/>
        <w:tblLayout w:type="fixed"/>
        <w:tblCellMar>
          <w:top w:w="0" w:type="dxa"/>
          <w:left w:w="0" w:type="dxa"/>
          <w:bottom w:w="0" w:type="dxa"/>
          <w:right w:w="0" w:type="dxa"/>
        </w:tblCellMar>
        <w:tblLook w:val="01E0"/>
      </w:tblPr>
      <w:tblGrid>
        <w:gridCol w:w="786"/>
        <w:gridCol w:w="784"/>
        <w:gridCol w:w="570"/>
        <w:gridCol w:w="570"/>
        <w:gridCol w:w="713"/>
        <w:gridCol w:w="999"/>
        <w:gridCol w:w="920"/>
        <w:gridCol w:w="1045"/>
        <w:gridCol w:w="782"/>
        <w:gridCol w:w="784"/>
        <w:gridCol w:w="780"/>
        <w:gridCol w:w="962"/>
      </w:tblGrid>
      <w:tr>
        <w:trPr>
          <w:trHeight w:val="1025" w:hRule="exact"/>
        </w:trPr>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姓名</w:t>
            </w:r>
          </w:p>
        </w:tc>
        <w:tc>
          <w:tcPr>
            <w:tcW w:w="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99" w:right="98"/>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9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03" w:right="45" w:hanging="361"/>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74" w:right="95" w:hanging="180"/>
              <w:jc w:val="left"/>
              <w:rPr>
                <w:rFonts w:ascii="宋体" w:hAnsi="宋体" w:cs="宋体" w:eastAsia="宋体" w:hint="default"/>
                <w:sz w:val="18"/>
                <w:szCs w:val="18"/>
              </w:rPr>
            </w:pPr>
            <w:r>
              <w:rPr>
                <w:rFonts w:ascii="宋体" w:hAnsi="宋体" w:cs="宋体" w:eastAsia="宋体" w:hint="default"/>
                <w:sz w:val="18"/>
                <w:szCs w:val="18"/>
              </w:rPr>
              <w:t>任期终止 日期</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期初持股数</w:t>
            </w:r>
          </w:p>
          <w:p>
            <w:pPr>
              <w:pStyle w:val="TableParagraph"/>
              <w:spacing w:line="240" w:lineRule="auto" w:before="76"/>
              <w:ind w:left="1" w:right="0"/>
              <w:jc w:val="center"/>
              <w:rPr>
                <w:rFonts w:ascii="宋体" w:hAnsi="宋体" w:cs="宋体" w:eastAsia="宋体" w:hint="default"/>
                <w:sz w:val="18"/>
                <w:szCs w:val="18"/>
              </w:rPr>
            </w:pPr>
            <w:r>
              <w:rPr>
                <w:rFonts w:ascii="宋体" w:hAnsi="宋体" w:cs="宋体" w:eastAsia="宋体" w:hint="default"/>
                <w:sz w:val="18"/>
                <w:szCs w:val="18"/>
              </w:rPr>
              <w:t>（股）</w:t>
            </w:r>
          </w:p>
        </w:tc>
        <w:tc>
          <w:tcPr>
            <w:tcW w:w="7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5" w:right="24"/>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15"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6" w:right="25"/>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16"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23" w:firstLine="2"/>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22"/>
                <w:sz w:val="18"/>
                <w:szCs w:val="18"/>
              </w:rPr>
              <w:t>变动（股</w:t>
            </w:r>
          </w:p>
        </w:tc>
        <w:tc>
          <w:tcPr>
            <w:tcW w:w="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期末持股数</w:t>
            </w:r>
          </w:p>
          <w:p>
            <w:pPr>
              <w:pStyle w:val="TableParagraph"/>
              <w:spacing w:line="240" w:lineRule="auto" w:before="76"/>
              <w:ind w:left="-12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pacing w:val="58"/>
                <w:sz w:val="18"/>
                <w:szCs w:val="18"/>
              </w:rPr>
              <w:t> </w:t>
            </w:r>
            <w:r>
              <w:rPr>
                <w:rFonts w:ascii="宋体" w:hAnsi="宋体" w:cs="宋体" w:eastAsia="宋体" w:hint="default"/>
                <w:sz w:val="18"/>
                <w:szCs w:val="18"/>
              </w:rPr>
              <w:t>（股）</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56</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126,958,612</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126,958,612</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96" w:right="25" w:hanging="270"/>
              <w:jc w:val="left"/>
              <w:rPr>
                <w:rFonts w:ascii="宋体" w:hAnsi="宋体" w:cs="宋体" w:eastAsia="宋体" w:hint="default"/>
                <w:sz w:val="18"/>
                <w:szCs w:val="18"/>
              </w:rPr>
            </w:pPr>
            <w:r>
              <w:rPr>
                <w:rFonts w:ascii="宋体" w:hAnsi="宋体" w:cs="宋体" w:eastAsia="宋体" w:hint="default"/>
                <w:sz w:val="18"/>
                <w:szCs w:val="18"/>
              </w:rPr>
              <w:t>董事、总 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47</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256,807,304</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256,807,304</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114,318,403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114,318,403</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翟一兵</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6" w:right="25"/>
              <w:jc w:val="left"/>
              <w:rPr>
                <w:rFonts w:ascii="宋体" w:hAnsi="宋体" w:cs="宋体" w:eastAsia="宋体" w:hint="default"/>
                <w:sz w:val="18"/>
                <w:szCs w:val="18"/>
              </w:rPr>
            </w:pPr>
            <w:r>
              <w:rPr>
                <w:rFonts w:ascii="宋体" w:hAnsi="宋体" w:cs="宋体" w:eastAsia="宋体" w:hint="default"/>
                <w:sz w:val="18"/>
                <w:szCs w:val="18"/>
              </w:rPr>
              <w:t>董事、首 席运营官</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54</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2013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1,802,002</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1,802,002</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徐斯平</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60</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58,307,149</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58,307,149</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44</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42,792,265</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42,792,265</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杨凯程</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06" w:right="25" w:hanging="180"/>
              <w:jc w:val="left"/>
              <w:rPr>
                <w:rFonts w:ascii="宋体" w:hAnsi="宋体" w:cs="宋体" w:eastAsia="宋体" w:hint="default"/>
                <w:sz w:val="18"/>
                <w:szCs w:val="18"/>
              </w:rPr>
            </w:pPr>
            <w:r>
              <w:rPr>
                <w:rFonts w:ascii="宋体" w:hAnsi="宋体" w:cs="宋体" w:eastAsia="宋体" w:hint="default"/>
                <w:sz w:val="18"/>
                <w:szCs w:val="18"/>
              </w:rPr>
              <w:t>董事、副 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10,517,063</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10,517,063</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罗建北</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72</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刘铁民</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68</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52</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沈阳</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43</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2014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李广刚</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96" w:right="25" w:hanging="270"/>
              <w:jc w:val="left"/>
              <w:rPr>
                <w:rFonts w:ascii="宋体" w:hAnsi="宋体" w:cs="宋体" w:eastAsia="宋体" w:hint="default"/>
                <w:sz w:val="18"/>
                <w:szCs w:val="18"/>
              </w:rPr>
            </w:pPr>
            <w:r>
              <w:rPr>
                <w:rFonts w:ascii="宋体" w:hAnsi="宋体" w:cs="宋体" w:eastAsia="宋体" w:hint="default"/>
                <w:sz w:val="18"/>
                <w:szCs w:val="18"/>
              </w:rPr>
              <w:t>监事会主 席</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39</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丁彦超</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49</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401,335</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401,335</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郝岩</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37</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2007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3"/>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徐元区</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41</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7"/>
          <w:szCs w:val="7"/>
        </w:rPr>
      </w:pPr>
    </w:p>
    <w:tbl>
      <w:tblPr>
        <w:tblW w:w="0" w:type="auto"/>
        <w:jc w:val="left"/>
        <w:tblInd w:w="1101" w:type="dxa"/>
        <w:tblLayout w:type="fixed"/>
        <w:tblCellMar>
          <w:top w:w="0" w:type="dxa"/>
          <w:left w:w="0" w:type="dxa"/>
          <w:bottom w:w="0" w:type="dxa"/>
          <w:right w:w="0" w:type="dxa"/>
        </w:tblCellMar>
        <w:tblLook w:val="01E0"/>
      </w:tblPr>
      <w:tblGrid>
        <w:gridCol w:w="786"/>
        <w:gridCol w:w="784"/>
        <w:gridCol w:w="570"/>
        <w:gridCol w:w="570"/>
        <w:gridCol w:w="713"/>
        <w:gridCol w:w="999"/>
        <w:gridCol w:w="920"/>
        <w:gridCol w:w="1045"/>
        <w:gridCol w:w="782"/>
        <w:gridCol w:w="784"/>
        <w:gridCol w:w="780"/>
        <w:gridCol w:w="962"/>
      </w:tblGrid>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高峰</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42</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9,675,886</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9,675,886</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董越</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47</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41</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梁德兴</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43</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3,200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3,200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06" w:right="25" w:hanging="180"/>
              <w:jc w:val="left"/>
              <w:rPr>
                <w:rFonts w:ascii="宋体" w:hAnsi="宋体" w:cs="宋体" w:eastAsia="宋体" w:hint="default"/>
                <w:sz w:val="18"/>
                <w:szCs w:val="18"/>
              </w:rPr>
            </w:pPr>
            <w:r>
              <w:rPr>
                <w:rFonts w:ascii="宋体" w:hAnsi="宋体" w:cs="宋体" w:eastAsia="宋体" w:hint="default"/>
                <w:sz w:val="18"/>
                <w:szCs w:val="18"/>
              </w:rPr>
              <w:t>副总裁、 董秘</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47</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5,912,202</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5,912,202</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艾东</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48</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0"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林红</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6" w:right="25"/>
              <w:jc w:val="left"/>
              <w:rPr>
                <w:rFonts w:ascii="宋体" w:hAnsi="宋体" w:cs="宋体" w:eastAsia="宋体" w:hint="default"/>
                <w:sz w:val="18"/>
                <w:szCs w:val="18"/>
              </w:rPr>
            </w:pPr>
            <w:r>
              <w:rPr>
                <w:rFonts w:ascii="宋体" w:hAnsi="宋体" w:cs="宋体" w:eastAsia="宋体" w:hint="default"/>
                <w:sz w:val="18"/>
                <w:szCs w:val="18"/>
              </w:rPr>
              <w:t>副总裁、 财务总监</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现任</w:t>
            </w:r>
          </w:p>
        </w:tc>
        <w:tc>
          <w:tcPr>
            <w:tcW w:w="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261" w:right="0"/>
              <w:jc w:val="left"/>
              <w:rPr>
                <w:rFonts w:ascii="Times New Roman" w:hAnsi="Times New Roman" w:cs="Times New Roman" w:eastAsia="Times New Roman" w:hint="default"/>
                <w:sz w:val="18"/>
                <w:szCs w:val="18"/>
              </w:rPr>
            </w:pPr>
            <w:r>
              <w:rPr>
                <w:rFonts w:ascii="Times New Roman"/>
                <w:sz w:val="18"/>
              </w:rPr>
              <w:t>52</w:t>
            </w:r>
          </w:p>
        </w:tc>
        <w:tc>
          <w:tcPr>
            <w:tcW w:w="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8"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178"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p>
          <w:p>
            <w:pPr>
              <w:pStyle w:val="TableParagraph"/>
              <w:spacing w:line="240" w:lineRule="auto" w:before="64"/>
              <w:ind w:left="140"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19" w:right="0"/>
              <w:jc w:val="left"/>
              <w:rPr>
                <w:rFonts w:ascii="Times New Roman" w:hAnsi="Times New Roman" w:cs="Times New Roman" w:eastAsia="Times New Roman" w:hint="default"/>
                <w:sz w:val="18"/>
                <w:szCs w:val="18"/>
              </w:rPr>
            </w:pPr>
            <w:r>
              <w:rPr>
                <w:rFonts w:ascii="Times New Roman"/>
                <w:sz w:val="18"/>
              </w:rPr>
              <w:t>--</w:t>
            </w:r>
          </w:p>
        </w:tc>
        <w:tc>
          <w:tcPr>
            <w:tcW w:w="7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291" w:right="0"/>
              <w:jc w:val="left"/>
              <w:rPr>
                <w:rFonts w:ascii="Times New Roman" w:hAnsi="Times New Roman" w:cs="Times New Roman" w:eastAsia="Times New Roman" w:hint="default"/>
                <w:sz w:val="18"/>
                <w:szCs w:val="18"/>
              </w:rPr>
            </w:pPr>
            <w:r>
              <w:rPr>
                <w:rFonts w:ascii="Times New Roman"/>
                <w:sz w:val="18"/>
              </w:rPr>
              <w:t>--</w:t>
            </w:r>
          </w:p>
        </w:tc>
        <w:tc>
          <w:tcPr>
            <w:tcW w:w="9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04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627,595,421</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627,595,421</w:t>
            </w:r>
          </w:p>
        </w:tc>
      </w:tr>
    </w:tbl>
    <w:p>
      <w:pPr>
        <w:spacing w:line="240" w:lineRule="auto" w:before="6"/>
        <w:rPr>
          <w:rFonts w:ascii="宋体" w:hAnsi="宋体" w:cs="宋体" w:eastAsia="宋体" w:hint="default"/>
          <w:b/>
          <w:bCs/>
          <w:sz w:val="6"/>
          <w:szCs w:val="6"/>
        </w:rPr>
      </w:pPr>
    </w:p>
    <w:p>
      <w:pPr>
        <w:pStyle w:val="BodyText"/>
        <w:spacing w:line="240" w:lineRule="auto" w:before="44"/>
        <w:ind w:left="1134" w:right="0"/>
        <w:jc w:val="left"/>
      </w:pPr>
      <w:r>
        <w:rPr/>
        <w:t>注：</w:t>
      </w:r>
      <w:r>
        <w:rPr>
          <w:rFonts w:ascii="Times New Roman" w:hAnsi="Times New Roman" w:cs="Times New Roman" w:eastAsia="Times New Roman" w:hint="default"/>
        </w:rPr>
        <w:t>1</w:t>
      </w:r>
      <w:r>
        <w:rPr/>
        <w:t>、任杰先生已于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月</w:t>
      </w:r>
      <w:r>
        <w:rPr>
          <w:spacing w:val="-46"/>
        </w:rPr>
        <w:t> </w:t>
      </w:r>
      <w:r>
        <w:rPr>
          <w:rFonts w:ascii="Times New Roman" w:hAnsi="Times New Roman" w:cs="Times New Roman" w:eastAsia="Times New Roman" w:hint="default"/>
        </w:rPr>
        <w:t>19</w:t>
      </w:r>
      <w:r>
        <w:rPr>
          <w:rFonts w:ascii="Times New Roman" w:hAnsi="Times New Roman" w:cs="Times New Roman" w:eastAsia="Times New Roman" w:hint="default"/>
          <w:spacing w:val="-1"/>
        </w:rPr>
        <w:t> </w:t>
      </w:r>
      <w:r>
        <w:rPr/>
        <w:t>日向公司董事会提交辞职申请，任杰先生的辞职申请自递交公司董事会之日起生效。</w:t>
      </w:r>
    </w:p>
    <w:p>
      <w:pPr>
        <w:spacing w:line="240" w:lineRule="auto" w:before="11"/>
        <w:rPr>
          <w:rFonts w:ascii="宋体" w:hAnsi="宋体" w:cs="宋体" w:eastAsia="宋体" w:hint="default"/>
          <w:sz w:val="19"/>
          <w:szCs w:val="19"/>
        </w:rPr>
      </w:pPr>
    </w:p>
    <w:p>
      <w:pPr>
        <w:pStyle w:val="BodyText"/>
        <w:spacing w:line="240" w:lineRule="auto"/>
        <w:ind w:left="1494" w:right="0"/>
        <w:jc w:val="left"/>
      </w:pPr>
      <w:r>
        <w:rPr>
          <w:rFonts w:ascii="Times New Roman" w:hAnsi="Times New Roman" w:cs="Times New Roman" w:eastAsia="Times New Roman" w:hint="default"/>
        </w:rPr>
        <w:t>2</w:t>
      </w:r>
      <w:r>
        <w:rPr/>
        <w:t>、汪铖先生已于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月</w:t>
      </w:r>
      <w:r>
        <w:rPr>
          <w:spacing w:val="-45"/>
        </w:rPr>
        <w:t> </w:t>
      </w:r>
      <w:r>
        <w:rPr>
          <w:rFonts w:ascii="Times New Roman" w:hAnsi="Times New Roman" w:cs="Times New Roman" w:eastAsia="Times New Roman" w:hint="default"/>
        </w:rPr>
        <w:t>20</w:t>
      </w:r>
      <w:r>
        <w:rPr>
          <w:rFonts w:ascii="Times New Roman" w:hAnsi="Times New Roman" w:cs="Times New Roman" w:eastAsia="Times New Roman" w:hint="default"/>
          <w:spacing w:val="-1"/>
        </w:rPr>
        <w:t> </w:t>
      </w:r>
      <w:r>
        <w:rPr/>
        <w:t>日向公司董事会提交辞职申请，汪铖先生的辞职申请自递交公司董事会之日起生效。</w:t>
      </w:r>
    </w:p>
    <w:p>
      <w:pPr>
        <w:spacing w:line="240" w:lineRule="auto" w:before="0"/>
        <w:rPr>
          <w:rFonts w:ascii="宋体" w:hAnsi="宋体" w:cs="宋体" w:eastAsia="宋体" w:hint="default"/>
          <w:sz w:val="18"/>
          <w:szCs w:val="18"/>
        </w:rPr>
      </w:pPr>
    </w:p>
    <w:p>
      <w:pPr>
        <w:pStyle w:val="Heading2"/>
        <w:spacing w:line="240" w:lineRule="auto" w:before="155"/>
        <w:ind w:right="0"/>
        <w:jc w:val="left"/>
        <w:rPr>
          <w:b w:val="0"/>
          <w:bCs w:val="0"/>
        </w:rPr>
      </w:pPr>
      <w:bookmarkStart w:name="二、公司董事、监事、高级管理人员变动情况" w:id="123"/>
      <w:bookmarkEnd w:id="123"/>
      <w:r>
        <w:rPr>
          <w:b w:val="0"/>
          <w:bCs w:val="0"/>
        </w:rPr>
      </w:r>
      <w:r>
        <w:rPr/>
        <w:t>二、公司董事、监事、高级管理人员变动情况</w:t>
      </w:r>
      <w:r>
        <w:rPr>
          <w:b w:val="0"/>
          <w:bCs w:val="0"/>
        </w:rPr>
      </w:r>
    </w:p>
    <w:p>
      <w:pPr>
        <w:spacing w:line="240" w:lineRule="auto" w:before="8"/>
        <w:rPr>
          <w:rFonts w:ascii="宋体" w:hAnsi="宋体" w:cs="宋体" w:eastAsia="宋体" w:hint="default"/>
          <w:b/>
          <w:bCs/>
          <w:sz w:val="32"/>
          <w:szCs w:val="32"/>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5"/>
        <w:ind w:right="0"/>
        <w:jc w:val="left"/>
        <w:rPr>
          <w:b w:val="0"/>
          <w:bCs w:val="0"/>
        </w:rPr>
      </w:pPr>
      <w:bookmarkStart w:name="三、任职情况" w:id="124"/>
      <w:bookmarkEnd w:id="124"/>
      <w:r>
        <w:rPr>
          <w:b w:val="0"/>
          <w:bCs w:val="0"/>
        </w:rPr>
      </w:r>
      <w:r>
        <w:rPr/>
        <w:t>三、任职情况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04" w:right="0"/>
        <w:jc w:val="left"/>
      </w:pPr>
      <w:r>
        <w:rPr/>
        <w:t>公司现任董事、监事、高级管理人员专业背景、主要工作经历以及目前在公司的主要职责</w:t>
      </w:r>
    </w:p>
    <w:p>
      <w:pPr>
        <w:spacing w:line="240" w:lineRule="auto" w:before="9"/>
        <w:rPr>
          <w:rFonts w:ascii="宋体" w:hAnsi="宋体" w:cs="宋体" w:eastAsia="宋体" w:hint="default"/>
          <w:sz w:val="20"/>
          <w:szCs w:val="20"/>
        </w:rPr>
      </w:pPr>
    </w:p>
    <w:p>
      <w:pPr>
        <w:spacing w:line="458" w:lineRule="auto" w:before="0"/>
        <w:ind w:left="1495" w:right="501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、董事会成员简介</w:t>
      </w:r>
      <w:r>
        <w:rPr>
          <w:rFonts w:ascii="宋体" w:hAnsi="宋体" w:cs="宋体" w:eastAsia="宋体" w:hint="default"/>
          <w:b/>
          <w:bCs/>
          <w:w w:val="99"/>
          <w:sz w:val="18"/>
          <w:szCs w:val="18"/>
        </w:rPr>
        <w:t> </w:t>
      </w:r>
      <w:r>
        <w:rPr>
          <w:rFonts w:ascii="宋体" w:hAnsi="宋体" w:cs="宋体" w:eastAsia="宋体" w:hint="default"/>
          <w:b/>
          <w:bCs/>
          <w:sz w:val="18"/>
          <w:szCs w:val="18"/>
        </w:rPr>
        <w:t>公司董事会由十一名董事组成，其中独立董事四名，具体如下：</w:t>
      </w:r>
      <w:r>
        <w:rPr>
          <w:rFonts w:ascii="宋体" w:hAnsi="宋体" w:cs="宋体" w:eastAsia="宋体" w:hint="default"/>
          <w:b/>
          <w:bCs/>
          <w:w w:val="99"/>
          <w:sz w:val="18"/>
          <w:szCs w:val="18"/>
        </w:rPr>
        <w:t> </w:t>
      </w:r>
      <w:r>
        <w:rPr>
          <w:rFonts w:ascii="宋体" w:hAnsi="宋体" w:cs="宋体" w:eastAsia="宋体" w:hint="default"/>
          <w:b/>
          <w:bCs/>
          <w:sz w:val="18"/>
          <w:szCs w:val="18"/>
        </w:rPr>
        <w:t>王宁</w:t>
      </w:r>
      <w:r>
        <w:rPr>
          <w:rFonts w:ascii="宋体" w:hAnsi="宋体" w:cs="宋体" w:eastAsia="宋体" w:hint="default"/>
          <w:sz w:val="18"/>
          <w:szCs w:val="18"/>
        </w:rPr>
        <w:t>先生，董事长，简历见第六节之</w:t>
      </w:r>
      <w:r>
        <w:rPr>
          <w:rFonts w:ascii="Times New Roman" w:hAnsi="Times New Roman" w:cs="Times New Roman" w:eastAsia="Times New Roman" w:hint="default"/>
          <w:sz w:val="18"/>
          <w:szCs w:val="18"/>
        </w:rPr>
        <w:t>“</w:t>
      </w:r>
      <w:r>
        <w:rPr>
          <w:rFonts w:ascii="宋体" w:hAnsi="宋体" w:cs="宋体" w:eastAsia="宋体" w:hint="default"/>
          <w:sz w:val="18"/>
          <w:szCs w:val="18"/>
        </w:rPr>
        <w:t>三、股东和实际控制人情况</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宋体" w:hAnsi="宋体" w:cs="宋体" w:eastAsia="宋体" w:hint="default"/>
          <w:b/>
          <w:bCs/>
          <w:sz w:val="18"/>
          <w:szCs w:val="18"/>
        </w:rPr>
        <w:t>李力</w:t>
      </w:r>
      <w:r>
        <w:rPr>
          <w:rFonts w:ascii="宋体" w:hAnsi="宋体" w:cs="宋体" w:eastAsia="宋体" w:hint="default"/>
          <w:sz w:val="18"/>
          <w:szCs w:val="18"/>
        </w:rPr>
        <w:t>先生，总裁，简历见第六节之</w:t>
      </w:r>
      <w:r>
        <w:rPr>
          <w:rFonts w:ascii="Times New Roman" w:hAnsi="Times New Roman" w:cs="Times New Roman" w:eastAsia="Times New Roman" w:hint="default"/>
          <w:sz w:val="18"/>
          <w:szCs w:val="18"/>
        </w:rPr>
        <w:t>“</w:t>
      </w:r>
      <w:r>
        <w:rPr>
          <w:rFonts w:ascii="宋体" w:hAnsi="宋体" w:cs="宋体" w:eastAsia="宋体" w:hint="default"/>
          <w:sz w:val="18"/>
          <w:szCs w:val="18"/>
        </w:rPr>
        <w:t>三、股东和实际控制人情况</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BodyText"/>
        <w:spacing w:line="458" w:lineRule="auto" w:before="37"/>
        <w:ind w:right="0" w:firstLine="361"/>
        <w:jc w:val="left"/>
      </w:pPr>
      <w:r>
        <w:rPr>
          <w:rFonts w:ascii="宋体" w:hAnsi="宋体" w:cs="宋体" w:eastAsia="宋体" w:hint="default"/>
          <w:b/>
          <w:bCs/>
          <w:spacing w:val="-2"/>
        </w:rPr>
        <w:t>黄松浪</w:t>
      </w:r>
      <w:r>
        <w:rPr>
          <w:spacing w:val="-2"/>
        </w:rPr>
        <w:t>先生，</w:t>
      </w:r>
      <w:r>
        <w:rPr>
          <w:rFonts w:ascii="Times New Roman" w:hAnsi="Times New Roman" w:cs="Times New Roman" w:eastAsia="Times New Roman" w:hint="default"/>
          <w:spacing w:val="-2"/>
        </w:rPr>
        <w:t>1968</w:t>
      </w:r>
      <w:r>
        <w:rPr>
          <w:spacing w:val="-2"/>
        </w:rPr>
        <w:t>年出生，中国国籍，无境外永久居留权。毕业于清华大学，软件工程硕士学位，</w:t>
      </w:r>
      <w:r>
        <w:rPr>
          <w:rFonts w:ascii="Times New Roman" w:hAnsi="Times New Roman" w:cs="Times New Roman" w:eastAsia="Times New Roman" w:hint="default"/>
          <w:spacing w:val="-2"/>
        </w:rPr>
        <w:t>2002</w:t>
      </w:r>
      <w:r>
        <w:rPr>
          <w:spacing w:val="-2"/>
        </w:rPr>
        <w:t>年获美国新泽西</w:t>
      </w:r>
      <w:r>
        <w:rPr/>
        <w:t> </w:t>
      </w:r>
      <w:r>
        <w:rPr>
          <w:spacing w:val="-2"/>
        </w:rPr>
        <w:t>州立大学</w:t>
      </w:r>
      <w:r>
        <w:rPr>
          <w:rFonts w:ascii="Times New Roman" w:hAnsi="Times New Roman" w:cs="Times New Roman" w:eastAsia="Times New Roman" w:hint="default"/>
          <w:spacing w:val="-2"/>
        </w:rPr>
        <w:t>Rutgers</w:t>
      </w:r>
      <w:r>
        <w:rPr>
          <w:spacing w:val="-2"/>
        </w:rPr>
        <w:t>商学院</w:t>
      </w:r>
      <w:r>
        <w:rPr>
          <w:rFonts w:ascii="Times New Roman" w:hAnsi="Times New Roman" w:cs="Times New Roman" w:eastAsia="Times New Roman" w:hint="default"/>
          <w:spacing w:val="-2"/>
        </w:rPr>
        <w:t>EMBA</w:t>
      </w:r>
      <w:r>
        <w:rPr>
          <w:spacing w:val="-2"/>
        </w:rPr>
        <w:t>学位；曾任吉通通信有限公司技术总体部经理、中国惠普有限公司软件业务部总经理、上海联</w:t>
      </w:r>
      <w:r>
        <w:rPr>
          <w:spacing w:val="-60"/>
        </w:rPr>
        <w:t> </w:t>
      </w:r>
      <w:r>
        <w:rPr>
          <w:spacing w:val="-60"/>
        </w:rPr>
      </w:r>
      <w:r>
        <w:rPr>
          <w:spacing w:val="-3"/>
        </w:rPr>
        <w:t>盈数码技术有限公司董事、总经理；</w:t>
      </w:r>
      <w:r>
        <w:rPr>
          <w:rFonts w:ascii="Times New Roman" w:hAnsi="Times New Roman" w:cs="Times New Roman" w:eastAsia="Times New Roman" w:hint="default"/>
          <w:spacing w:val="-3"/>
        </w:rPr>
        <w:t>2007</w:t>
      </w:r>
      <w:r>
        <w:rPr>
          <w:spacing w:val="-3"/>
        </w:rPr>
        <w:t>年</w:t>
      </w:r>
      <w:r>
        <w:rPr>
          <w:rFonts w:ascii="Times New Roman" w:hAnsi="Times New Roman" w:cs="Times New Roman" w:eastAsia="Times New Roman" w:hint="default"/>
          <w:spacing w:val="-3"/>
        </w:rPr>
        <w:t>7</w:t>
      </w:r>
      <w:r>
        <w:rPr>
          <w:spacing w:val="-3"/>
        </w:rPr>
        <w:t>月至今担任公司副董事长，其中，</w:t>
      </w:r>
      <w:r>
        <w:rPr>
          <w:rFonts w:ascii="Times New Roman" w:hAnsi="Times New Roman" w:cs="Times New Roman" w:eastAsia="Times New Roman" w:hint="default"/>
          <w:spacing w:val="-3"/>
        </w:rPr>
        <w:t>2007</w:t>
      </w:r>
      <w:r>
        <w:rPr>
          <w:spacing w:val="-3"/>
        </w:rPr>
        <w:t>年</w:t>
      </w:r>
      <w:r>
        <w:rPr>
          <w:rFonts w:ascii="Times New Roman" w:hAnsi="Times New Roman" w:cs="Times New Roman" w:eastAsia="Times New Roman" w:hint="default"/>
          <w:spacing w:val="-3"/>
        </w:rPr>
        <w:t>7</w:t>
      </w:r>
      <w:r>
        <w:rPr>
          <w:spacing w:val="-3"/>
        </w:rPr>
        <w:t>月至</w:t>
      </w:r>
      <w:r>
        <w:rPr>
          <w:rFonts w:ascii="Times New Roman" w:hAnsi="Times New Roman" w:cs="Times New Roman" w:eastAsia="Times New Roman" w:hint="default"/>
          <w:spacing w:val="-3"/>
        </w:rPr>
        <w:t>2016</w:t>
      </w:r>
      <w:r>
        <w:rPr>
          <w:spacing w:val="-3"/>
        </w:rPr>
        <w:t>年</w:t>
      </w:r>
      <w:r>
        <w:rPr>
          <w:rFonts w:ascii="Times New Roman" w:hAnsi="Times New Roman" w:cs="Times New Roman" w:eastAsia="Times New Roman" w:hint="default"/>
          <w:spacing w:val="-3"/>
        </w:rPr>
        <w:t>5</w:t>
      </w:r>
      <w:r>
        <w:rPr>
          <w:spacing w:val="-3"/>
        </w:rPr>
        <w:t>月兼任公司董事会秘书。</w:t>
      </w:r>
      <w:r>
        <w:rPr>
          <w:spacing w:val="-78"/>
        </w:rPr>
        <w:t> </w:t>
      </w:r>
      <w:r>
        <w:rPr>
          <w:spacing w:val="-4"/>
        </w:rPr>
        <w:t>现兼任大连华信计算机技术股份有限公司董事、重庆新媒农信科技有限公司执行董事、重庆新媒亿网科技有限公司执行董事、</w:t>
      </w:r>
      <w:r>
        <w:rPr>
          <w:spacing w:val="-43"/>
        </w:rPr>
        <w:t> </w:t>
      </w:r>
      <w:r>
        <w:rPr>
          <w:spacing w:val="-43"/>
        </w:rPr>
      </w:r>
      <w:r>
        <w:rPr/>
        <w:t>重庆新迈峰科技有限公司执行董事、北京启天同信科技有限公司董事、</w:t>
      </w:r>
      <w:r>
        <w:rPr>
          <w:rFonts w:ascii="Times New Roman" w:hAnsi="Times New Roman" w:cs="Times New Roman" w:eastAsia="Times New Roman" w:hint="default"/>
        </w:rPr>
        <w:t>Ultrapower 360 Pte</w:t>
      </w:r>
      <w:r>
        <w:rPr>
          <w:rFonts w:ascii="Times New Roman" w:hAnsi="Times New Roman" w:cs="Times New Roman" w:eastAsia="Times New Roman" w:hint="default"/>
          <w:spacing w:val="-2"/>
        </w:rPr>
        <w:t> </w:t>
      </w:r>
      <w:r>
        <w:rPr>
          <w:rFonts w:ascii="Times New Roman" w:hAnsi="Times New Roman" w:cs="Times New Roman" w:eastAsia="Times New Roman" w:hint="default"/>
        </w:rPr>
        <w:t>Ltd</w:t>
      </w:r>
      <w:r>
        <w:rPr/>
        <w:t>董事。</w:t>
      </w:r>
    </w:p>
    <w:p>
      <w:pPr>
        <w:pStyle w:val="BodyText"/>
        <w:spacing w:line="240" w:lineRule="auto" w:before="37"/>
        <w:ind w:left="1495" w:right="0"/>
        <w:jc w:val="left"/>
      </w:pPr>
      <w:r>
        <w:rPr>
          <w:rFonts w:ascii="宋体" w:hAnsi="宋体" w:cs="宋体" w:eastAsia="宋体" w:hint="default"/>
          <w:b/>
          <w:bCs/>
        </w:rPr>
        <w:t>翟一兵</w:t>
      </w:r>
      <w:r>
        <w:rPr/>
        <w:t>先生，</w:t>
      </w:r>
      <w:r>
        <w:rPr>
          <w:rFonts w:ascii="Times New Roman" w:hAnsi="Times New Roman" w:cs="Times New Roman" w:eastAsia="Times New Roman" w:hint="default"/>
        </w:rPr>
        <w:t>1963</w:t>
      </w:r>
      <w:r>
        <w:rPr/>
        <w:t>年出生，中国国籍，无永久境外居留权，教授级高级工程师。</w:t>
      </w:r>
      <w:r>
        <w:rPr>
          <w:rFonts w:ascii="Times New Roman" w:hAnsi="Times New Roman" w:cs="Times New Roman" w:eastAsia="Times New Roman" w:hint="default"/>
        </w:rPr>
        <w:t>1986</w:t>
      </w:r>
      <w:r>
        <w:rPr/>
        <w:t>年毕业于北京邮电学院无线电工程</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63" w:lineRule="auto" w:before="44"/>
        <w:ind w:right="1130"/>
        <w:jc w:val="both"/>
      </w:pPr>
      <w:r>
        <w:rPr>
          <w:spacing w:val="-5"/>
        </w:rPr>
        <w:t>专业，同年留校任计算机工程系助教；先后获得挪威商学院硕士学位和法国雷恩商学院博士学位。曾在邮电部电信总局工作，</w:t>
      </w:r>
      <w:r>
        <w:rPr>
          <w:spacing w:val="-79"/>
        </w:rPr>
        <w:t> </w:t>
      </w:r>
      <w:r>
        <w:rPr>
          <w:spacing w:val="-79"/>
        </w:rPr>
      </w:r>
      <w:r>
        <w:rPr>
          <w:spacing w:val="-2"/>
        </w:rPr>
        <w:t>任科员、主任、局长助理；在地方挂职锻炼任职副市长；中国移动通信集团公司筹备办公室主任、网络部副部长；在中国联</w:t>
      </w:r>
      <w:r>
        <w:rPr>
          <w:spacing w:val="-67"/>
        </w:rPr>
        <w:t> </w:t>
      </w:r>
      <w:r>
        <w:rPr>
          <w:spacing w:val="-67"/>
        </w:rPr>
      </w:r>
      <w:r>
        <w:rPr>
          <w:spacing w:val="-4"/>
        </w:rPr>
        <w:t>合通信有限公司工作期间曾任移动部、增值业务部、营销部副总经理、联通时科信息技术有限公司董事、首席执行官</w:t>
      </w:r>
      <w:r>
        <w:rPr>
          <w:rFonts w:ascii="Times New Roman" w:hAnsi="Times New Roman" w:cs="Times New Roman" w:eastAsia="Times New Roman" w:hint="default"/>
          <w:spacing w:val="-4"/>
        </w:rPr>
        <w:t>(CEO)</w:t>
      </w:r>
      <w:r>
        <w:rPr>
          <w:spacing w:val="-4"/>
        </w:rPr>
        <w:t>；</w:t>
      </w:r>
      <w:r>
        <w:rPr>
          <w:spacing w:val="-66"/>
        </w:rPr>
        <w:t> </w:t>
      </w:r>
      <w:r>
        <w:rPr>
          <w:rFonts w:ascii="Times New Roman" w:hAnsi="Times New Roman" w:cs="Times New Roman" w:eastAsia="Times New Roman" w:hint="default"/>
          <w:spacing w:val="-1"/>
        </w:rPr>
        <w:t>2013</w:t>
      </w:r>
      <w:r>
        <w:rPr>
          <w:spacing w:val="-1"/>
        </w:rPr>
        <w:t>年</w:t>
      </w:r>
      <w:r>
        <w:rPr>
          <w:rFonts w:ascii="Times New Roman" w:hAnsi="Times New Roman" w:cs="Times New Roman" w:eastAsia="Times New Roman" w:hint="default"/>
          <w:spacing w:val="-1"/>
        </w:rPr>
        <w:t>3</w:t>
      </w:r>
      <w:r>
        <w:rPr>
          <w:spacing w:val="-1"/>
        </w:rPr>
        <w:t>月，担任公司首席运营官</w:t>
      </w:r>
      <w:r>
        <w:rPr>
          <w:rFonts w:ascii="Times New Roman" w:hAnsi="Times New Roman" w:cs="Times New Roman" w:eastAsia="Times New Roman" w:hint="default"/>
          <w:spacing w:val="-1"/>
        </w:rPr>
        <w:t>(COO)</w:t>
      </w:r>
      <w:r>
        <w:rPr>
          <w:spacing w:val="-1"/>
        </w:rPr>
        <w:t>。</w:t>
      </w:r>
      <w:r>
        <w:rPr>
          <w:rFonts w:ascii="Times New Roman" w:hAnsi="Times New Roman" w:cs="Times New Roman" w:eastAsia="Times New Roman" w:hint="default"/>
          <w:spacing w:val="-1"/>
        </w:rPr>
        <w:t>2013</w:t>
      </w:r>
      <w:r>
        <w:rPr>
          <w:spacing w:val="-1"/>
        </w:rPr>
        <w:t>年</w:t>
      </w:r>
      <w:r>
        <w:rPr>
          <w:rFonts w:ascii="Times New Roman" w:hAnsi="Times New Roman" w:cs="Times New Roman" w:eastAsia="Times New Roman" w:hint="default"/>
          <w:spacing w:val="-1"/>
        </w:rPr>
        <w:t>5</w:t>
      </w:r>
      <w:r>
        <w:rPr>
          <w:spacing w:val="-1"/>
        </w:rPr>
        <w:t>月至今担任公司董事兼首席运营官。兼任北京神州泰岳智能数据技术有限</w:t>
      </w:r>
      <w:r>
        <w:rPr>
          <w:spacing w:val="-75"/>
        </w:rPr>
        <w:t> </w:t>
      </w:r>
      <w:r>
        <w:rPr>
          <w:spacing w:val="-75"/>
        </w:rPr>
      </w:r>
      <w:r>
        <w:rPr/>
        <w:t>公司执行董事。</w:t>
      </w:r>
    </w:p>
    <w:p>
      <w:pPr>
        <w:pStyle w:val="BodyText"/>
        <w:spacing w:line="451" w:lineRule="auto" w:before="65"/>
        <w:ind w:right="1130" w:firstLine="361"/>
        <w:jc w:val="both"/>
      </w:pPr>
      <w:r>
        <w:rPr>
          <w:rFonts w:ascii="宋体" w:hAnsi="宋体" w:cs="宋体" w:eastAsia="宋体" w:hint="default"/>
          <w:b/>
          <w:bCs/>
          <w:spacing w:val="-5"/>
        </w:rPr>
        <w:t>徐斯平</w:t>
      </w:r>
      <w:r>
        <w:rPr>
          <w:spacing w:val="-5"/>
        </w:rPr>
        <w:t>先生，</w:t>
      </w:r>
      <w:r>
        <w:rPr>
          <w:rFonts w:ascii="Times New Roman" w:hAnsi="Times New Roman" w:cs="Times New Roman" w:eastAsia="Times New Roman" w:hint="default"/>
          <w:spacing w:val="-5"/>
        </w:rPr>
        <w:t>1958</w:t>
      </w:r>
      <w:r>
        <w:rPr>
          <w:spacing w:val="-5"/>
        </w:rPr>
        <w:t>年出生，中国国籍，无永久境外居留权。毕业于大连理工大学；曾先后任职于国家计委、国家经贸委、</w:t>
      </w:r>
      <w:r>
        <w:rPr/>
        <w:t> 香港江胜集团、北京思乐信息技术有限公司；</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6</w:t>
      </w:r>
      <w:r>
        <w:rPr/>
        <w:t>月至今任公司董事。兼任北京互联时代通讯科技有限公司董事、北京</w:t>
      </w:r>
      <w:r>
        <w:rPr>
          <w:spacing w:val="-83"/>
        </w:rPr>
        <w:t> </w:t>
      </w:r>
      <w:r>
        <w:rPr>
          <w:spacing w:val="-83"/>
        </w:rPr>
      </w:r>
      <w:r>
        <w:rPr/>
        <w:t>启天同信科技有限公司董事、上海大渡新物流有限公司执行董事及总经理、北京顺通典当有限责任公司董事。</w:t>
      </w:r>
    </w:p>
    <w:p>
      <w:pPr>
        <w:pStyle w:val="BodyText"/>
        <w:spacing w:line="451" w:lineRule="auto" w:before="74"/>
        <w:ind w:right="1129" w:firstLine="361"/>
        <w:jc w:val="both"/>
      </w:pPr>
      <w:r>
        <w:rPr>
          <w:rFonts w:ascii="宋体" w:hAnsi="宋体" w:cs="宋体" w:eastAsia="宋体" w:hint="default"/>
          <w:b/>
          <w:bCs/>
        </w:rPr>
        <w:t>汪铖</w:t>
      </w:r>
      <w:r>
        <w:rPr/>
        <w:t>先生，</w:t>
      </w:r>
      <w:r>
        <w:rPr>
          <w:rFonts w:ascii="Times New Roman" w:hAnsi="Times New Roman" w:cs="Times New Roman" w:eastAsia="Times New Roman" w:hint="default"/>
        </w:rPr>
        <w:t>1974</w:t>
      </w:r>
      <w:r>
        <w:rPr/>
        <w:t>年</w:t>
      </w:r>
      <w:r>
        <w:rPr>
          <w:rFonts w:ascii="Times New Roman" w:hAnsi="Times New Roman" w:cs="Times New Roman" w:eastAsia="Times New Roman" w:hint="default"/>
        </w:rPr>
        <w:t>1</w:t>
      </w:r>
      <w:r>
        <w:rPr/>
        <w:t>月出生，中国国籍，无永久境外居留权。毕业于武汉测绘科技大学；曾任兆维集团通信工程师、联 想集团销售经理，北京互联时代通讯科技有限公司总经理，北京新媒传信科技有限公司总经理；</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1</w:t>
      </w:r>
      <w:r>
        <w:rPr/>
        <w:t>月，担任公司副总</w:t>
      </w:r>
      <w:r>
        <w:rPr>
          <w:spacing w:val="-82"/>
        </w:rPr>
        <w:t> </w:t>
      </w:r>
      <w:r>
        <w:rPr>
          <w:spacing w:val="-82"/>
        </w:rPr>
      </w:r>
      <w:r>
        <w:rPr>
          <w:spacing w:val="-3"/>
        </w:rPr>
        <w:t>经理，</w:t>
      </w:r>
      <w:r>
        <w:rPr>
          <w:rFonts w:ascii="Times New Roman" w:hAnsi="Times New Roman" w:cs="Times New Roman" w:eastAsia="Times New Roman" w:hint="default"/>
          <w:spacing w:val="-3"/>
        </w:rPr>
        <w:t>2014</w:t>
      </w:r>
      <w:r>
        <w:rPr>
          <w:spacing w:val="-3"/>
        </w:rPr>
        <w:t>年</w:t>
      </w:r>
      <w:r>
        <w:rPr>
          <w:rFonts w:ascii="Times New Roman" w:hAnsi="Times New Roman" w:cs="Times New Roman" w:eastAsia="Times New Roman" w:hint="default"/>
          <w:spacing w:val="-3"/>
        </w:rPr>
        <w:t>12</w:t>
      </w:r>
      <w:r>
        <w:rPr>
          <w:spacing w:val="-3"/>
        </w:rPr>
        <w:t>月至今任董事。兼任北京新媒传信科技有限公司执行董事、北京启天同信科技有限公司董事、</w:t>
      </w:r>
      <w:r>
        <w:rPr>
          <w:rFonts w:ascii="Times New Roman" w:hAnsi="Times New Roman" w:cs="Times New Roman" w:eastAsia="Times New Roman" w:hint="default"/>
          <w:spacing w:val="-3"/>
        </w:rPr>
        <w:t>Ultrapower</w:t>
      </w:r>
      <w:r>
        <w:rPr>
          <w:rFonts w:ascii="Times New Roman" w:hAnsi="Times New Roman" w:cs="Times New Roman" w:eastAsia="Times New Roman" w:hint="default"/>
          <w:spacing w:val="31"/>
        </w:rPr>
        <w:t> </w:t>
      </w:r>
      <w:r>
        <w:rPr>
          <w:rFonts w:ascii="Times New Roman" w:hAnsi="Times New Roman" w:cs="Times New Roman" w:eastAsia="Times New Roman" w:hint="default"/>
        </w:rPr>
        <w:t>360</w:t>
      </w:r>
      <w:r>
        <w:rPr>
          <w:rFonts w:ascii="Times New Roman" w:hAnsi="Times New Roman" w:cs="Times New Roman" w:eastAsia="Times New Roman" w:hint="default"/>
          <w:spacing w:val="-35"/>
        </w:rPr>
        <w:t> </w:t>
      </w:r>
      <w:r>
        <w:rPr>
          <w:rFonts w:ascii="Times New Roman" w:hAnsi="Times New Roman" w:cs="Times New Roman" w:eastAsia="Times New Roman" w:hint="default"/>
          <w:spacing w:val="-35"/>
        </w:rPr>
      </w:r>
      <w:r>
        <w:rPr>
          <w:rFonts w:ascii="Times New Roman" w:hAnsi="Times New Roman" w:cs="Times New Roman" w:eastAsia="Times New Roman" w:hint="default"/>
        </w:rPr>
        <w:t>Pte</w:t>
      </w:r>
      <w:r>
        <w:rPr>
          <w:rFonts w:ascii="Times New Roman" w:hAnsi="Times New Roman" w:cs="Times New Roman" w:eastAsia="Times New Roman" w:hint="default"/>
          <w:spacing w:val="29"/>
        </w:rPr>
        <w:t> </w:t>
      </w:r>
      <w:r>
        <w:rPr>
          <w:rFonts w:ascii="Times New Roman" w:hAnsi="Times New Roman" w:cs="Times New Roman" w:eastAsia="Times New Roman" w:hint="default"/>
          <w:spacing w:val="-2"/>
        </w:rPr>
        <w:t>Ltd</w:t>
      </w:r>
      <w:r>
        <w:rPr>
          <w:spacing w:val="-2"/>
        </w:rPr>
        <w:t>董事、北京神州泰奇互动科技有限公司执行董事、北京泰岳智桥信息技术有限公司执行董事及总经理、宁波泰岳梧桐</w:t>
      </w:r>
      <w:r>
        <w:rPr>
          <w:spacing w:val="-82"/>
        </w:rPr>
        <w:t> </w:t>
      </w:r>
      <w:r>
        <w:rPr>
          <w:spacing w:val="-82"/>
        </w:rPr>
      </w:r>
      <w:r>
        <w:rPr/>
        <w:t>投资管理有限公司董事及总经理、北京光合起源网络科技有限公司董事、北京诚行天下投资咨询有限公司董事。</w:t>
      </w:r>
    </w:p>
    <w:p>
      <w:pPr>
        <w:pStyle w:val="BodyText"/>
        <w:spacing w:line="463" w:lineRule="auto" w:before="74"/>
        <w:ind w:right="1131" w:firstLine="361"/>
        <w:jc w:val="both"/>
      </w:pPr>
      <w:r>
        <w:rPr>
          <w:rFonts w:ascii="宋体" w:hAnsi="宋体" w:cs="宋体" w:eastAsia="宋体" w:hint="default"/>
          <w:b/>
          <w:bCs/>
          <w:spacing w:val="-2"/>
        </w:rPr>
        <w:t>杨凯程</w:t>
      </w:r>
      <w:r>
        <w:rPr>
          <w:spacing w:val="-2"/>
        </w:rPr>
        <w:t>先生，</w:t>
      </w:r>
      <w:r>
        <w:rPr>
          <w:rFonts w:ascii="Times New Roman" w:hAnsi="Times New Roman" w:cs="Times New Roman" w:eastAsia="Times New Roman" w:hint="default"/>
          <w:spacing w:val="-2"/>
        </w:rPr>
        <w:t>1968</w:t>
      </w:r>
      <w:r>
        <w:rPr>
          <w:spacing w:val="-2"/>
        </w:rPr>
        <w:t>年出生，中国国籍，无境外永久居留权。毕业于国防科学技术大学，软件工程硕士学位。曾荣获中国</w:t>
      </w:r>
      <w:r>
        <w:rPr/>
        <w:t> </w:t>
      </w:r>
      <w:r>
        <w:rPr>
          <w:spacing w:val="-2"/>
        </w:rPr>
        <w:t>人民解放军三等军功一次，国防科技技术进步奖二等奖三次和三等奖三次。曾任总装备部系统工程研究所助理研究员、中国</w:t>
      </w:r>
      <w:r>
        <w:rPr>
          <w:spacing w:val="-66"/>
        </w:rPr>
        <w:t> </w:t>
      </w:r>
      <w:r>
        <w:rPr>
          <w:spacing w:val="-66"/>
        </w:rPr>
      </w:r>
      <w:r>
        <w:rPr>
          <w:spacing w:val="-2"/>
        </w:rPr>
        <w:t>惠普有限公司高级技术顾问和高级产品经理、上海联盈数码技术有限公司常务副总经理、神州泰岳副总经理、酷六网首席技</w:t>
      </w:r>
      <w:r>
        <w:rPr>
          <w:spacing w:val="-65"/>
        </w:rPr>
        <w:t> </w:t>
      </w:r>
      <w:r>
        <w:rPr>
          <w:spacing w:val="-65"/>
        </w:rPr>
      </w:r>
      <w:r>
        <w:rPr>
          <w:spacing w:val="-2"/>
        </w:rPr>
        <w:t>术官、东南融通集团高级总监、文思海辉集团副总裁；</w:t>
      </w:r>
      <w:r>
        <w:rPr>
          <w:rFonts w:ascii="Times New Roman" w:hAnsi="Times New Roman" w:cs="Times New Roman" w:eastAsia="Times New Roman" w:hint="default"/>
          <w:spacing w:val="-2"/>
        </w:rPr>
        <w:t>2016</w:t>
      </w:r>
      <w:r>
        <w:rPr>
          <w:spacing w:val="-2"/>
        </w:rPr>
        <w:t>年</w:t>
      </w:r>
      <w:r>
        <w:rPr>
          <w:rFonts w:ascii="Times New Roman" w:hAnsi="Times New Roman" w:cs="Times New Roman" w:eastAsia="Times New Roman" w:hint="default"/>
          <w:spacing w:val="-2"/>
        </w:rPr>
        <w:t>11</w:t>
      </w:r>
      <w:r>
        <w:rPr>
          <w:spacing w:val="-2"/>
        </w:rPr>
        <w:t>月担任公司董事、副总裁，兼任中科鼎富（北京）科技发展</w:t>
      </w:r>
      <w:r>
        <w:rPr>
          <w:spacing w:val="-64"/>
        </w:rPr>
        <w:t> </w:t>
      </w:r>
      <w:r>
        <w:rPr>
          <w:spacing w:val="-64"/>
        </w:rPr>
      </w:r>
      <w:r>
        <w:rPr/>
        <w:t>有限公司董事长、大理白族自治州苍洱公益关爱中心理事长。</w:t>
      </w:r>
    </w:p>
    <w:p>
      <w:pPr>
        <w:pStyle w:val="BodyText"/>
        <w:spacing w:line="451" w:lineRule="auto" w:before="65"/>
        <w:ind w:right="1129" w:firstLine="361"/>
        <w:jc w:val="both"/>
      </w:pPr>
      <w:r>
        <w:rPr>
          <w:rFonts w:ascii="宋体" w:hAnsi="宋体" w:cs="宋体" w:eastAsia="宋体" w:hint="default"/>
          <w:b/>
          <w:bCs/>
        </w:rPr>
        <w:t>罗建北</w:t>
      </w:r>
      <w:r>
        <w:rPr/>
        <w:t>女士，</w:t>
      </w:r>
      <w:r>
        <w:rPr>
          <w:rFonts w:ascii="Times New Roman" w:hAnsi="Times New Roman" w:cs="Times New Roman" w:eastAsia="Times New Roman" w:hint="default"/>
        </w:rPr>
        <w:t>1945</w:t>
      </w:r>
      <w:r>
        <w:rPr/>
        <w:t>年</w:t>
      </w:r>
      <w:r>
        <w:rPr>
          <w:rFonts w:ascii="Times New Roman" w:hAnsi="Times New Roman" w:cs="Times New Roman" w:eastAsia="Times New Roman" w:hint="default"/>
        </w:rPr>
        <w:t>11</w:t>
      </w:r>
      <w:r>
        <w:rPr/>
        <w:t>月出生，中国国籍，无永久境外居留权，本科学历、研究员。</w:t>
      </w:r>
      <w:r>
        <w:rPr>
          <w:rFonts w:ascii="Times New Roman" w:hAnsi="Times New Roman" w:cs="Times New Roman" w:eastAsia="Times New Roman" w:hint="default"/>
        </w:rPr>
        <w:t>1970</w:t>
      </w:r>
      <w:r>
        <w:rPr/>
        <w:t>年至</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3</w:t>
      </w:r>
      <w:r>
        <w:rPr/>
        <w:t>月任清华大学计 算机系党委书记、副教授；</w:t>
      </w:r>
      <w:r>
        <w:rPr>
          <w:rFonts w:ascii="Times New Roman" w:hAnsi="Times New Roman" w:cs="Times New Roman" w:eastAsia="Times New Roman" w:hint="default"/>
        </w:rPr>
        <w:t>1994</w:t>
      </w:r>
      <w:r>
        <w:rPr/>
        <w:t>年</w:t>
      </w:r>
      <w:r>
        <w:rPr>
          <w:rFonts w:ascii="Times New Roman" w:hAnsi="Times New Roman" w:cs="Times New Roman" w:eastAsia="Times New Roman" w:hint="default"/>
        </w:rPr>
        <w:t>4</w:t>
      </w:r>
      <w:r>
        <w:rPr/>
        <w:t>月至</w:t>
      </w:r>
      <w:r>
        <w:rPr>
          <w:rFonts w:ascii="Times New Roman" w:hAnsi="Times New Roman" w:cs="Times New Roman" w:eastAsia="Times New Roman" w:hint="default"/>
        </w:rPr>
        <w:t>1996</w:t>
      </w:r>
      <w:r>
        <w:rPr/>
        <w:t>年</w:t>
      </w:r>
      <w:r>
        <w:rPr>
          <w:rFonts w:ascii="Times New Roman" w:hAnsi="Times New Roman" w:cs="Times New Roman" w:eastAsia="Times New Roman" w:hint="default"/>
        </w:rPr>
        <w:t>12</w:t>
      </w:r>
      <w:r>
        <w:rPr/>
        <w:t>月任清华大学软件技术中心主任；</w:t>
      </w:r>
      <w:r>
        <w:rPr>
          <w:rFonts w:ascii="Times New Roman" w:hAnsi="Times New Roman" w:cs="Times New Roman" w:eastAsia="Times New Roman" w:hint="default"/>
        </w:rPr>
        <w:t>1997</w:t>
      </w:r>
      <w:r>
        <w:rPr/>
        <w:t>年</w:t>
      </w:r>
      <w:r>
        <w:rPr>
          <w:rFonts w:ascii="Times New Roman" w:hAnsi="Times New Roman" w:cs="Times New Roman" w:eastAsia="Times New Roman" w:hint="default"/>
        </w:rPr>
        <w:t>1</w:t>
      </w:r>
      <w:r>
        <w:rPr/>
        <w:t>月至</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2</w:t>
      </w:r>
      <w:r>
        <w:rPr/>
        <w:t>月任清华同方股份</w:t>
      </w:r>
      <w:r>
        <w:rPr>
          <w:spacing w:val="-83"/>
        </w:rPr>
        <w:t> </w:t>
      </w:r>
      <w:r>
        <w:rPr>
          <w:spacing w:val="-83"/>
        </w:rPr>
      </w:r>
      <w:r>
        <w:rPr/>
        <w:t>有限公司董事、常务副总裁；</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3</w:t>
      </w:r>
      <w:r>
        <w:rPr/>
        <w:t>月至</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3</w:t>
      </w:r>
      <w:r>
        <w:rPr/>
        <w:t>月任清华科技园副主任、启迪控股股份有限公司副总裁；</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4</w:t>
      </w:r>
      <w:r>
        <w:rPr/>
        <w:t>月正式</w:t>
      </w:r>
      <w:r>
        <w:rPr>
          <w:spacing w:val="-83"/>
        </w:rPr>
        <w:t> </w:t>
      </w:r>
      <w:r>
        <w:rPr/>
        <w:t>退休。</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6</w:t>
      </w:r>
      <w:r>
        <w:rPr/>
        <w:t>月至今担任公司独立董事。兼任双清诚德科技（北京）有限公司董事、苏州清桥电子科技有限公司董事。</w:t>
      </w:r>
    </w:p>
    <w:p>
      <w:pPr>
        <w:pStyle w:val="BodyText"/>
        <w:spacing w:line="458" w:lineRule="auto" w:before="43"/>
        <w:ind w:right="1128" w:firstLine="361"/>
        <w:jc w:val="right"/>
      </w:pPr>
      <w:r>
        <w:rPr>
          <w:rFonts w:ascii="宋体" w:hAnsi="宋体" w:cs="宋体" w:eastAsia="宋体" w:hint="default"/>
          <w:b/>
          <w:bCs/>
          <w:spacing w:val="-2"/>
        </w:rPr>
        <w:t>刘铁民</w:t>
      </w:r>
      <w:r>
        <w:rPr>
          <w:spacing w:val="-2"/>
        </w:rPr>
        <w:t>先生，汉族，</w:t>
      </w:r>
      <w:r>
        <w:rPr>
          <w:rFonts w:ascii="Times New Roman" w:hAnsi="Times New Roman" w:cs="Times New Roman" w:eastAsia="Times New Roman" w:hint="default"/>
          <w:spacing w:val="-2"/>
        </w:rPr>
        <w:t>1949</w:t>
      </w:r>
      <w:r>
        <w:rPr>
          <w:spacing w:val="-2"/>
        </w:rPr>
        <w:t>年</w:t>
      </w:r>
      <w:r>
        <w:rPr>
          <w:rFonts w:ascii="Times New Roman" w:hAnsi="Times New Roman" w:cs="Times New Roman" w:eastAsia="Times New Roman" w:hint="default"/>
          <w:spacing w:val="-2"/>
        </w:rPr>
        <w:t>10</w:t>
      </w:r>
      <w:r>
        <w:rPr>
          <w:spacing w:val="-2"/>
        </w:rPr>
        <w:t>月出生，中国国籍，无永久境外居留权。曾先后任职中国医科大学讲师；煤炭部职业医学</w:t>
      </w:r>
      <w:r>
        <w:rPr/>
        <w:t> </w:t>
      </w:r>
      <w:r>
        <w:rPr>
          <w:spacing w:val="-2"/>
        </w:rPr>
        <w:t>研究所室主任、讲师；比利时兰纳肯医学研究所访问学者；煤炭部职业医学研究所室主任、副研；劳动部劳动保护科学技术</w:t>
      </w:r>
      <w:r>
        <w:rPr>
          <w:spacing w:val="-77"/>
        </w:rPr>
        <w:t> </w:t>
      </w:r>
      <w:r>
        <w:rPr>
          <w:spacing w:val="-77"/>
        </w:rPr>
      </w:r>
      <w:r>
        <w:rPr>
          <w:spacing w:val="-2"/>
        </w:rPr>
        <w:t>研究所副所长、研究员；国家经贸委安全科学技术研究中心副主任、研究员；国家经贸委安全科学技术研究中心主任、研究</w:t>
      </w:r>
      <w:r>
        <w:rPr>
          <w:spacing w:val="-79"/>
        </w:rPr>
        <w:t> </w:t>
      </w:r>
      <w:r>
        <w:rPr>
          <w:spacing w:val="-79"/>
        </w:rPr>
      </w:r>
      <w:r>
        <w:rPr/>
        <w:t>员；</w:t>
      </w:r>
      <w:r>
        <w:rPr>
          <w:rFonts w:ascii="Times New Roman" w:hAnsi="Times New Roman" w:cs="Times New Roman" w:eastAsia="Times New Roman" w:hint="default"/>
        </w:rPr>
        <w:t>"</w:t>
      </w:r>
      <w:r>
        <w:rPr/>
        <w:t>国家安全生产监督管理局安全科学技术研究中心</w:t>
      </w:r>
      <w:r>
        <w:rPr>
          <w:rFonts w:ascii="Times New Roman" w:hAnsi="Times New Roman" w:cs="Times New Roman" w:eastAsia="Times New Roman" w:hint="default"/>
        </w:rPr>
        <w:t>"</w:t>
      </w:r>
      <w:r>
        <w:rPr/>
        <w:t>主任、研究员；中国安全生产科学研究院院长、研究员；</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spacing w:val="-67"/>
        </w:rPr>
        <w:t> </w:t>
      </w:r>
      <w:r>
        <w:rPr/>
        <w:t>至今任中国安全生产协会副会长；</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月至今担任公司独立董事；兼任湖北华舟重工应急装备股份有限公司独立董事。 </w:t>
      </w:r>
      <w:r>
        <w:rPr>
          <w:rFonts w:ascii="宋体" w:hAnsi="宋体" w:cs="宋体" w:eastAsia="宋体" w:hint="default"/>
          <w:b/>
          <w:bCs/>
          <w:spacing w:val="-4"/>
        </w:rPr>
        <w:t>王雪春</w:t>
      </w:r>
      <w:r>
        <w:rPr>
          <w:spacing w:val="-4"/>
        </w:rPr>
        <w:t>先生，</w:t>
      </w:r>
      <w:r>
        <w:rPr>
          <w:rFonts w:ascii="Times New Roman" w:hAnsi="Times New Roman" w:cs="Times New Roman" w:eastAsia="Times New Roman" w:hint="default"/>
          <w:spacing w:val="-4"/>
        </w:rPr>
        <w:t>1965</w:t>
      </w:r>
      <w:r>
        <w:rPr>
          <w:spacing w:val="-4"/>
        </w:rPr>
        <w:t>年出生，中国国籍、无永久境外居留权。</w:t>
      </w:r>
      <w:r>
        <w:rPr>
          <w:rFonts w:ascii="Times New Roman" w:hAnsi="Times New Roman" w:cs="Times New Roman" w:eastAsia="Times New Roman" w:hint="default"/>
          <w:spacing w:val="-4"/>
        </w:rPr>
        <w:t>1988</w:t>
      </w:r>
      <w:r>
        <w:rPr>
          <w:spacing w:val="-4"/>
        </w:rPr>
        <w:t>年</w:t>
      </w:r>
      <w:r>
        <w:rPr>
          <w:rFonts w:ascii="Times New Roman" w:hAnsi="Times New Roman" w:cs="Times New Roman" w:eastAsia="Times New Roman" w:hint="default"/>
          <w:spacing w:val="-4"/>
        </w:rPr>
        <w:t>7</w:t>
      </w:r>
      <w:r>
        <w:rPr>
          <w:spacing w:val="-4"/>
        </w:rPr>
        <w:t>月</w:t>
      </w:r>
      <w:r>
        <w:rPr>
          <w:rFonts w:ascii="Times New Roman" w:hAnsi="Times New Roman" w:cs="Times New Roman" w:eastAsia="Times New Roman" w:hint="default"/>
          <w:spacing w:val="-4"/>
        </w:rPr>
        <w:t>-2000</w:t>
      </w:r>
      <w:r>
        <w:rPr>
          <w:spacing w:val="-4"/>
        </w:rPr>
        <w:t>年</w:t>
      </w:r>
      <w:r>
        <w:rPr>
          <w:rFonts w:ascii="Times New Roman" w:hAnsi="Times New Roman" w:cs="Times New Roman" w:eastAsia="Times New Roman" w:hint="default"/>
          <w:spacing w:val="-4"/>
        </w:rPr>
        <w:t>10</w:t>
      </w:r>
      <w:r>
        <w:rPr>
          <w:spacing w:val="-4"/>
        </w:rPr>
        <w:t>月，任东北财经大学职业技术学院教师；</w:t>
      </w:r>
      <w:r>
        <w:rPr/>
        <w:t> </w:t>
      </w:r>
      <w:r>
        <w:rPr>
          <w:rFonts w:ascii="Times New Roman" w:hAnsi="Times New Roman" w:cs="Times New Roman" w:eastAsia="Times New Roman" w:hint="default"/>
        </w:rPr>
        <w:t>2000</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10</w:t>
      </w:r>
      <w:r>
        <w:rPr/>
        <w:t>月，任大连欣鑫会计师事务所审计经理；</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3</w:t>
      </w:r>
      <w:r>
        <w:rPr/>
        <w:t>月，任中国华录集团有限公司内审、子</w:t>
      </w:r>
      <w:r>
        <w:rPr>
          <w:spacing w:val="-52"/>
        </w:rPr>
        <w:t> </w:t>
      </w:r>
      <w:r>
        <w:rPr>
          <w:spacing w:val="-52"/>
        </w:rPr>
      </w:r>
      <w:r>
        <w:rPr/>
        <w:t>公司财务总监；</w:t>
      </w:r>
      <w:r>
        <w:rPr>
          <w:rFonts w:ascii="Times New Roman" w:hAnsi="Times New Roman" w:cs="Times New Roman" w:eastAsia="Times New Roman" w:hint="default"/>
        </w:rPr>
        <w:t>2005</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w:t>
      </w:r>
      <w:r>
        <w:rPr/>
        <w:t>至今，任北京博华百校教育投资集团有限公司财务总监；</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月至今担任公司独立董事。兼</w:t>
      </w:r>
    </w:p>
    <w:p>
      <w:pPr>
        <w:spacing w:after="0" w:line="458" w:lineRule="auto"/>
        <w:jc w:val="righ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495" w:right="0" w:hanging="362"/>
        <w:jc w:val="left"/>
      </w:pPr>
      <w:r>
        <w:rPr/>
        <w:t>任北京光线传媒股份有限公司独立董事、北京立思辰科技股份有限公司独立董事、北京北陆药业股份有限公司独立董事。 </w:t>
      </w:r>
      <w:r>
        <w:rPr>
          <w:rFonts w:ascii="宋体" w:hAnsi="宋体" w:cs="宋体" w:eastAsia="宋体" w:hint="default"/>
          <w:b/>
          <w:bCs/>
          <w:spacing w:val="-2"/>
        </w:rPr>
        <w:t>沈阳</w:t>
      </w:r>
      <w:r>
        <w:rPr>
          <w:spacing w:val="-2"/>
        </w:rPr>
        <w:t>先生，</w:t>
      </w:r>
      <w:r>
        <w:rPr>
          <w:rFonts w:ascii="Times New Roman" w:hAnsi="Times New Roman" w:cs="Times New Roman" w:eastAsia="Times New Roman" w:hint="default"/>
          <w:spacing w:val="-2"/>
        </w:rPr>
        <w:t>1974</w:t>
      </w:r>
      <w:r>
        <w:rPr>
          <w:spacing w:val="-2"/>
        </w:rPr>
        <w:t>年出生，中国国籍、无永久境外居留权，清华大学新闻与传播学院教授，博士生导师，清华大学新闻研</w:t>
      </w:r>
    </w:p>
    <w:p>
      <w:pPr>
        <w:pStyle w:val="BodyText"/>
        <w:spacing w:line="477" w:lineRule="auto" w:before="21"/>
        <w:ind w:right="0"/>
        <w:jc w:val="left"/>
      </w:pPr>
      <w:r>
        <w:rPr>
          <w:spacing w:val="-2"/>
        </w:rPr>
        <w:t>究中心研究员。曾任武汉大学信息管理学院，教授、博士生导师，武汉大学新闻与传播学院兼职教授博导，武汉大学计算机</w:t>
      </w:r>
      <w:r>
        <w:rPr>
          <w:spacing w:val="-66"/>
        </w:rPr>
        <w:t> </w:t>
      </w:r>
      <w:r>
        <w:rPr>
          <w:spacing w:val="-66"/>
        </w:rPr>
      </w:r>
      <w:r>
        <w:rPr/>
        <w:t>学院硕导，中国人民大学新闻学院兼职教授，美国</w:t>
      </w:r>
      <w:r>
        <w:rPr>
          <w:rFonts w:ascii="Times New Roman" w:hAnsi="Times New Roman" w:cs="Times New Roman" w:eastAsia="Times New Roman" w:hint="default"/>
        </w:rPr>
        <w:t>PSU</w:t>
      </w:r>
      <w:r>
        <w:rPr/>
        <w:t>等校访问学者。</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5</w:t>
      </w:r>
      <w:r>
        <w:rPr/>
        <w:t>月至今担任公司独立董事。</w:t>
      </w:r>
    </w:p>
    <w:p>
      <w:pPr>
        <w:pStyle w:val="BodyText"/>
        <w:spacing w:line="451" w:lineRule="auto" w:before="21"/>
        <w:ind w:left="1495" w:right="1118"/>
        <w:jc w:val="left"/>
      </w:pPr>
      <w:r>
        <w:rPr>
          <w:rFonts w:ascii="Times New Roman" w:hAnsi="Times New Roman" w:cs="Times New Roman" w:eastAsia="Times New Roman" w:hint="default"/>
          <w:b/>
          <w:bCs/>
        </w:rPr>
        <w:t>2</w:t>
      </w:r>
      <w:r>
        <w:rPr>
          <w:rFonts w:ascii="宋体" w:hAnsi="宋体" w:cs="宋体" w:eastAsia="宋体" w:hint="default"/>
          <w:b/>
          <w:bCs/>
        </w:rPr>
        <w:t>、监事</w:t>
      </w:r>
      <w:r>
        <w:rPr>
          <w:rFonts w:ascii="宋体" w:hAnsi="宋体" w:cs="宋体" w:eastAsia="宋体" w:hint="default"/>
          <w:b/>
          <w:bCs/>
          <w:spacing w:val="1"/>
          <w:w w:val="99"/>
        </w:rPr>
        <w:t> </w:t>
      </w:r>
      <w:r>
        <w:rPr>
          <w:rFonts w:ascii="宋体" w:hAnsi="宋体" w:cs="宋体" w:eastAsia="宋体" w:hint="default"/>
          <w:b/>
          <w:bCs/>
          <w:spacing w:val="-2"/>
        </w:rPr>
        <w:t>李广刚</w:t>
      </w:r>
      <w:r>
        <w:rPr>
          <w:spacing w:val="-2"/>
        </w:rPr>
        <w:t>先生，公司监事会主席，</w:t>
      </w:r>
      <w:r>
        <w:rPr>
          <w:rFonts w:ascii="Times New Roman" w:hAnsi="Times New Roman" w:cs="Times New Roman" w:eastAsia="Times New Roman" w:hint="default"/>
          <w:spacing w:val="-2"/>
        </w:rPr>
        <w:t>1978</w:t>
      </w:r>
      <w:r>
        <w:rPr>
          <w:spacing w:val="-2"/>
        </w:rPr>
        <w:t>年出生，中国国籍，无永久境外居留权。毕业于济南大学；曾任北京泰立特科技发</w:t>
      </w:r>
    </w:p>
    <w:p>
      <w:pPr>
        <w:pStyle w:val="BodyText"/>
        <w:spacing w:line="451" w:lineRule="auto" w:before="43"/>
        <w:ind w:right="1033"/>
        <w:jc w:val="left"/>
      </w:pPr>
      <w:r>
        <w:rPr/>
        <w:t>展有限公司青岛分公司软件工程师、北京新晨科技股份有限公司客户经理、联盈数码公司客户经理；</w:t>
      </w:r>
      <w:r>
        <w:rPr>
          <w:rFonts w:ascii="Times New Roman" w:hAnsi="Times New Roman" w:cs="Times New Roman" w:eastAsia="Times New Roman" w:hint="default"/>
        </w:rPr>
        <w:t>2005</w:t>
      </w:r>
      <w:r>
        <w:rPr/>
        <w:t>年加入神州泰岳，</w:t>
      </w:r>
      <w:r>
        <w:rPr>
          <w:spacing w:val="-84"/>
        </w:rPr>
        <w:t> </w:t>
      </w:r>
      <w:r>
        <w:rPr>
          <w:spacing w:val="-84"/>
        </w:rPr>
      </w:r>
      <w:r>
        <w:rPr/>
        <w:t>历任公司销售经理、销售总监、政企事业部副总经理、正启分公司副总经理；现任正启分公司总经理。</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7</w:t>
      </w:r>
      <w:r>
        <w:rPr/>
        <w:t>月至今担任</w:t>
      </w:r>
      <w:r>
        <w:rPr>
          <w:spacing w:val="-81"/>
        </w:rPr>
        <w:t> </w:t>
      </w:r>
      <w:r>
        <w:rPr/>
        <w:t>公司监事会主席。</w:t>
      </w:r>
    </w:p>
    <w:p>
      <w:pPr>
        <w:pStyle w:val="BodyText"/>
        <w:spacing w:line="451" w:lineRule="auto" w:before="74"/>
        <w:ind w:left="1134" w:right="1129" w:firstLine="361"/>
        <w:jc w:val="right"/>
      </w:pPr>
      <w:r>
        <w:rPr>
          <w:rFonts w:ascii="宋体" w:hAnsi="宋体" w:cs="宋体" w:eastAsia="宋体" w:hint="default"/>
          <w:b/>
          <w:bCs/>
          <w:spacing w:val="-2"/>
        </w:rPr>
        <w:t>丁彦超</w:t>
      </w:r>
      <w:r>
        <w:rPr>
          <w:spacing w:val="-2"/>
        </w:rPr>
        <w:t>先生，公司监事，</w:t>
      </w:r>
      <w:r>
        <w:rPr>
          <w:rFonts w:ascii="Times New Roman" w:hAnsi="Times New Roman" w:cs="Times New Roman" w:eastAsia="Times New Roman" w:hint="default"/>
          <w:spacing w:val="-2"/>
        </w:rPr>
        <w:t>1968</w:t>
      </w:r>
      <w:r>
        <w:rPr>
          <w:spacing w:val="-2"/>
        </w:rPr>
        <w:t>年出生，中国国籍，无永久境外居留权。毕业于西北大学计算机系；曾任天津石化公司计</w:t>
      </w:r>
      <w:r>
        <w:rPr/>
        <w:t> </w:t>
      </w:r>
      <w:r>
        <w:rPr>
          <w:spacing w:val="-5"/>
        </w:rPr>
        <w:t>算机中心软件工程师，</w:t>
      </w:r>
      <w:r>
        <w:rPr>
          <w:rFonts w:ascii="Times New Roman" w:hAnsi="Times New Roman" w:cs="Times New Roman" w:eastAsia="Times New Roman" w:hint="default"/>
          <w:spacing w:val="-5"/>
        </w:rPr>
        <w:t>2002</w:t>
      </w:r>
      <w:r>
        <w:rPr>
          <w:spacing w:val="-5"/>
        </w:rPr>
        <w:t>年至今历任公司研发工程师、网管项目管理部技术主管；</w:t>
      </w:r>
      <w:r>
        <w:rPr>
          <w:rFonts w:ascii="Times New Roman" w:hAnsi="Times New Roman" w:cs="Times New Roman" w:eastAsia="Times New Roman" w:hint="default"/>
          <w:spacing w:val="-5"/>
        </w:rPr>
        <w:t>2008</w:t>
      </w:r>
      <w:r>
        <w:rPr>
          <w:spacing w:val="-5"/>
        </w:rPr>
        <w:t>年至今任公司项目管理部技术主管。</w:t>
      </w:r>
      <w:r>
        <w:rPr>
          <w:spacing w:val="-70"/>
        </w:rPr>
        <w:t> </w:t>
      </w:r>
      <w:r>
        <w:rPr>
          <w:rFonts w:ascii="宋体" w:hAnsi="宋体" w:cs="宋体" w:eastAsia="宋体" w:hint="default"/>
          <w:b/>
          <w:bCs/>
        </w:rPr>
        <w:t>郝岩</w:t>
      </w:r>
      <w:r>
        <w:rPr/>
        <w:t>女士，公司职工监事，</w:t>
      </w:r>
      <w:r>
        <w:rPr>
          <w:rFonts w:ascii="Times New Roman" w:hAnsi="Times New Roman" w:cs="Times New Roman" w:eastAsia="Times New Roman" w:hint="default"/>
        </w:rPr>
        <w:t>1980</w:t>
      </w:r>
      <w:r>
        <w:rPr/>
        <w:t>年出生，中国国籍，无永久境外居留权。毕业于北京林业大学；</w:t>
      </w:r>
      <w:r>
        <w:rPr>
          <w:rFonts w:ascii="Times New Roman" w:hAnsi="Times New Roman" w:cs="Times New Roman" w:eastAsia="Times New Roman" w:hint="default"/>
        </w:rPr>
        <w:t>2004</w:t>
      </w:r>
      <w:r>
        <w:rPr/>
        <w:t>年</w:t>
      </w:r>
      <w:r>
        <w:rPr>
          <w:rFonts w:ascii="Times New Roman" w:hAnsi="Times New Roman" w:cs="Times New Roman" w:eastAsia="Times New Roman" w:hint="default"/>
        </w:rPr>
        <w:t>8</w:t>
      </w:r>
      <w:r>
        <w:rPr/>
        <w:t>月至今历任公</w:t>
      </w:r>
    </w:p>
    <w:p>
      <w:pPr>
        <w:spacing w:line="451" w:lineRule="auto" w:before="43"/>
        <w:ind w:left="1495" w:right="5279" w:hanging="362"/>
        <w:jc w:val="left"/>
        <w:rPr>
          <w:rFonts w:ascii="宋体" w:hAnsi="宋体" w:cs="宋体" w:eastAsia="宋体" w:hint="default"/>
          <w:sz w:val="18"/>
          <w:szCs w:val="18"/>
        </w:rPr>
      </w:pPr>
      <w:r>
        <w:rPr>
          <w:rFonts w:ascii="宋体" w:hAnsi="宋体" w:cs="宋体" w:eastAsia="宋体" w:hint="default"/>
          <w:sz w:val="18"/>
          <w:szCs w:val="18"/>
        </w:rPr>
        <w:t>司行政部经理助理、经理。</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月起任公司职工监事。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、高级管理人员</w:t>
      </w:r>
      <w:r>
        <w:rPr>
          <w:rFonts w:ascii="宋体" w:hAnsi="宋体" w:cs="宋体" w:eastAsia="宋体" w:hint="default"/>
          <w:b/>
          <w:bCs/>
          <w:w w:val="99"/>
          <w:sz w:val="18"/>
          <w:szCs w:val="18"/>
        </w:rPr>
        <w:t> </w:t>
      </w:r>
      <w:r>
        <w:rPr>
          <w:rFonts w:ascii="宋体" w:hAnsi="宋体" w:cs="宋体" w:eastAsia="宋体" w:hint="default"/>
          <w:b/>
          <w:bCs/>
          <w:sz w:val="18"/>
          <w:szCs w:val="18"/>
        </w:rPr>
        <w:t>截止</w:t>
      </w:r>
      <w:r>
        <w:rPr>
          <w:rFonts w:ascii="Times New Roman" w:hAnsi="Times New Roman" w:cs="Times New Roman" w:eastAsia="Times New Roman" w:hint="default"/>
          <w:b/>
          <w:bCs/>
          <w:sz w:val="18"/>
          <w:szCs w:val="18"/>
        </w:rPr>
        <w:t>2017</w:t>
      </w:r>
      <w:r>
        <w:rPr>
          <w:rFonts w:ascii="宋体" w:hAnsi="宋体" w:cs="宋体" w:eastAsia="宋体" w:hint="default"/>
          <w:b/>
          <w:bCs/>
          <w:sz w:val="18"/>
          <w:szCs w:val="18"/>
        </w:rPr>
        <w:t>年</w:t>
      </w:r>
      <w:r>
        <w:rPr>
          <w:rFonts w:ascii="Times New Roman" w:hAnsi="Times New Roman" w:cs="Times New Roman" w:eastAsia="Times New Roman" w:hint="default"/>
          <w:b/>
          <w:bCs/>
          <w:sz w:val="18"/>
          <w:szCs w:val="18"/>
        </w:rPr>
        <w:t>12</w:t>
      </w:r>
      <w:r>
        <w:rPr>
          <w:rFonts w:ascii="宋体" w:hAnsi="宋体" w:cs="宋体" w:eastAsia="宋体" w:hint="default"/>
          <w:b/>
          <w:bCs/>
          <w:sz w:val="18"/>
          <w:szCs w:val="18"/>
        </w:rPr>
        <w:t>月</w:t>
      </w:r>
      <w:r>
        <w:rPr>
          <w:rFonts w:ascii="Times New Roman" w:hAnsi="Times New Roman" w:cs="Times New Roman" w:eastAsia="Times New Roman" w:hint="default"/>
          <w:b/>
          <w:bCs/>
          <w:sz w:val="18"/>
          <w:szCs w:val="18"/>
        </w:rPr>
        <w:t>31</w:t>
      </w:r>
      <w:r>
        <w:rPr>
          <w:rFonts w:ascii="宋体" w:hAnsi="宋体" w:cs="宋体" w:eastAsia="宋体" w:hint="default"/>
          <w:b/>
          <w:bCs/>
          <w:sz w:val="18"/>
          <w:szCs w:val="18"/>
        </w:rPr>
        <w:t>日，公司高级管理人员具体情况如下：</w:t>
      </w:r>
      <w:r>
        <w:rPr>
          <w:rFonts w:ascii="宋体" w:hAnsi="宋体" w:cs="宋体" w:eastAsia="宋体" w:hint="default"/>
          <w:b/>
          <w:bCs/>
          <w:w w:val="99"/>
          <w:sz w:val="18"/>
          <w:szCs w:val="18"/>
        </w:rPr>
        <w:t> </w:t>
      </w:r>
      <w:r>
        <w:rPr>
          <w:rFonts w:ascii="宋体" w:hAnsi="宋体" w:cs="宋体" w:eastAsia="宋体" w:hint="default"/>
          <w:b/>
          <w:bCs/>
          <w:sz w:val="18"/>
          <w:szCs w:val="18"/>
        </w:rPr>
        <w:t>李力</w:t>
      </w:r>
      <w:r>
        <w:rPr>
          <w:rFonts w:ascii="宋体" w:hAnsi="宋体" w:cs="宋体" w:eastAsia="宋体" w:hint="default"/>
          <w:sz w:val="18"/>
          <w:szCs w:val="18"/>
        </w:rPr>
        <w:t>先生，公司总裁，简历见本节之</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、董事会成员简介</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宋体" w:hAnsi="宋体" w:cs="宋体" w:eastAsia="宋体" w:hint="default"/>
          <w:b/>
          <w:bCs/>
          <w:sz w:val="18"/>
          <w:szCs w:val="18"/>
        </w:rPr>
        <w:t>翟一兵</w:t>
      </w:r>
      <w:r>
        <w:rPr>
          <w:rFonts w:ascii="宋体" w:hAnsi="宋体" w:cs="宋体" w:eastAsia="宋体" w:hint="default"/>
          <w:sz w:val="18"/>
          <w:szCs w:val="18"/>
        </w:rPr>
        <w:t>先生，首席运营官，简历见本节之</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、董事会成员简介</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宋体" w:hAnsi="宋体" w:cs="宋体" w:eastAsia="宋体" w:hint="default"/>
          <w:b/>
          <w:bCs/>
          <w:sz w:val="18"/>
          <w:szCs w:val="18"/>
        </w:rPr>
        <w:t>杨凯程</w:t>
      </w:r>
      <w:r>
        <w:rPr>
          <w:rFonts w:ascii="宋体" w:hAnsi="宋体" w:cs="宋体" w:eastAsia="宋体" w:hint="default"/>
          <w:sz w:val="18"/>
          <w:szCs w:val="18"/>
        </w:rPr>
        <w:t>先生，公司副总裁，简历见本节之</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、董事会成员简介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p>
      <w:pPr>
        <w:pStyle w:val="BodyText"/>
        <w:spacing w:line="451" w:lineRule="auto" w:before="43"/>
        <w:ind w:right="1131" w:firstLine="361"/>
        <w:jc w:val="both"/>
      </w:pPr>
      <w:r>
        <w:rPr>
          <w:rFonts w:ascii="宋体" w:hAnsi="宋体" w:cs="宋体" w:eastAsia="宋体" w:hint="default"/>
          <w:b/>
          <w:bCs/>
          <w:spacing w:val="-2"/>
        </w:rPr>
        <w:t>徐元区</w:t>
      </w:r>
      <w:r>
        <w:rPr>
          <w:spacing w:val="-2"/>
        </w:rPr>
        <w:t>先生，</w:t>
      </w:r>
      <w:r>
        <w:rPr>
          <w:rFonts w:ascii="Times New Roman" w:hAnsi="Times New Roman" w:cs="Times New Roman" w:eastAsia="Times New Roman" w:hint="default"/>
          <w:spacing w:val="-2"/>
        </w:rPr>
        <w:t>1976</w:t>
      </w:r>
      <w:r>
        <w:rPr>
          <w:spacing w:val="-2"/>
        </w:rPr>
        <w:t>年出生，中国国籍，无境外永久居留权。毕业于北京信息工程学院，通信工程学士学位，</w:t>
      </w:r>
      <w:r>
        <w:rPr>
          <w:rFonts w:ascii="Times New Roman" w:hAnsi="Times New Roman" w:cs="Times New Roman" w:eastAsia="Times New Roman" w:hint="default"/>
          <w:spacing w:val="-2"/>
        </w:rPr>
        <w:t>2007</w:t>
      </w:r>
      <w:r>
        <w:rPr>
          <w:spacing w:val="-2"/>
        </w:rPr>
        <w:t>年获北</w:t>
      </w:r>
      <w:r>
        <w:rPr/>
        <w:t> </w:t>
      </w:r>
      <w:r>
        <w:rPr>
          <w:spacing w:val="-2"/>
        </w:rPr>
        <w:t>京邮电大学软件工程硕士学位；曾任北京信息工程学院团委副书记、北京多润信息科技有限公司</w:t>
      </w:r>
      <w:r>
        <w:rPr>
          <w:rFonts w:ascii="Times New Roman" w:hAnsi="Times New Roman" w:cs="Times New Roman" w:eastAsia="Times New Roman" w:hint="default"/>
          <w:spacing w:val="-2"/>
        </w:rPr>
        <w:t>CTO</w:t>
      </w:r>
      <w:r>
        <w:rPr>
          <w:spacing w:val="-2"/>
        </w:rPr>
        <w:t>、微软（中国）有限公</w:t>
      </w:r>
      <w:r>
        <w:rPr>
          <w:spacing w:val="-63"/>
        </w:rPr>
        <w:t> </w:t>
      </w:r>
      <w:r>
        <w:rPr>
          <w:spacing w:val="-63"/>
        </w:rPr>
      </w:r>
      <w:r>
        <w:rPr/>
        <w:t>司</w:t>
      </w:r>
      <w:r>
        <w:rPr>
          <w:rFonts w:ascii="Times New Roman" w:hAnsi="Times New Roman" w:cs="Times New Roman" w:eastAsia="Times New Roman" w:hint="default"/>
        </w:rPr>
        <w:t>MCS</w:t>
      </w:r>
      <w:r>
        <w:rPr/>
        <w:t>部资深顾问、北京新媒传信科技有限公司副总经理；现任公司副总裁，兼任北京新媒传信科技有限公司总经理。</w:t>
      </w:r>
    </w:p>
    <w:p>
      <w:pPr>
        <w:pStyle w:val="BodyText"/>
        <w:spacing w:line="451" w:lineRule="auto" w:before="43"/>
        <w:ind w:right="1131" w:firstLine="361"/>
        <w:jc w:val="both"/>
      </w:pPr>
      <w:r>
        <w:rPr>
          <w:rFonts w:ascii="宋体" w:hAnsi="宋体" w:cs="宋体" w:eastAsia="宋体" w:hint="default"/>
          <w:b/>
          <w:bCs/>
          <w:spacing w:val="-2"/>
        </w:rPr>
        <w:t>高峰</w:t>
      </w:r>
      <w:r>
        <w:rPr>
          <w:spacing w:val="-2"/>
        </w:rPr>
        <w:t>先生，</w:t>
      </w:r>
      <w:r>
        <w:rPr>
          <w:rFonts w:ascii="Times New Roman" w:hAnsi="Times New Roman" w:cs="Times New Roman" w:eastAsia="Times New Roman" w:hint="default"/>
          <w:spacing w:val="-2"/>
        </w:rPr>
        <w:t>1976</w:t>
      </w:r>
      <w:r>
        <w:rPr>
          <w:spacing w:val="-2"/>
        </w:rPr>
        <w:t>年出生，中国国籍，无永久境外居留权。毕业于沈阳航空工业学院；</w:t>
      </w:r>
      <w:r>
        <w:rPr>
          <w:rFonts w:ascii="Times New Roman" w:hAnsi="Times New Roman" w:cs="Times New Roman" w:eastAsia="Times New Roman" w:hint="default"/>
          <w:spacing w:val="-2"/>
        </w:rPr>
        <w:t>2002</w:t>
      </w:r>
      <w:r>
        <w:rPr>
          <w:spacing w:val="-2"/>
        </w:rPr>
        <w:t>年至今历任公司销售经理、高</w:t>
      </w:r>
      <w:r>
        <w:rPr/>
        <w:t> 级销售经理、行业销售总监、副总裁。现兼任北京神州泰岳信息安全技术有限公司总经理。</w:t>
      </w:r>
    </w:p>
    <w:p>
      <w:pPr>
        <w:pStyle w:val="BodyText"/>
        <w:spacing w:line="468" w:lineRule="auto" w:before="74"/>
        <w:ind w:right="1129" w:firstLine="361"/>
        <w:jc w:val="both"/>
      </w:pPr>
      <w:r>
        <w:rPr>
          <w:rFonts w:ascii="宋体" w:hAnsi="宋体" w:cs="宋体" w:eastAsia="宋体" w:hint="default"/>
          <w:b/>
          <w:bCs/>
        </w:rPr>
        <w:t>董越</w:t>
      </w:r>
      <w:r>
        <w:rPr/>
        <w:t>先生，</w:t>
      </w:r>
      <w:r>
        <w:rPr>
          <w:rFonts w:ascii="Times New Roman" w:hAnsi="Times New Roman" w:cs="Times New Roman" w:eastAsia="Times New Roman" w:hint="default"/>
        </w:rPr>
        <w:t>1970</w:t>
      </w:r>
      <w:r>
        <w:rPr/>
        <w:t>年出生，中国国籍，无境外永</w:t>
      </w:r>
      <w:r>
        <w:rPr>
          <w:rFonts w:ascii="Times New Roman" w:hAnsi="Times New Roman" w:cs="Times New Roman" w:eastAsia="Times New Roman" w:hint="default"/>
        </w:rPr>
        <w:t>`</w:t>
      </w:r>
      <w:r>
        <w:rPr>
          <w:rFonts w:ascii="Times New Roman" w:hAnsi="Times New Roman" w:cs="Times New Roman" w:eastAsia="Times New Roman" w:hint="default"/>
          <w:spacing w:val="18"/>
        </w:rPr>
        <w:t> </w:t>
      </w:r>
      <w:r>
        <w:rPr>
          <w:spacing w:val="-5"/>
        </w:rPr>
        <w:t>久居留权。毕业于北京邮电大学，通信与电子系统专业硕士学位，</w:t>
      </w:r>
      <w:r>
        <w:rPr>
          <w:rFonts w:ascii="Times New Roman" w:hAnsi="Times New Roman" w:cs="Times New Roman" w:eastAsia="Times New Roman" w:hint="default"/>
          <w:spacing w:val="-5"/>
        </w:rPr>
        <w:t>2005</w:t>
      </w:r>
      <w:r>
        <w:rPr>
          <w:rFonts w:ascii="Times New Roman" w:hAnsi="Times New Roman" w:cs="Times New Roman" w:eastAsia="Times New Roman" w:hint="default"/>
        </w:rPr>
        <w:t> </w:t>
      </w:r>
      <w:r>
        <w:rPr>
          <w:spacing w:val="-2"/>
        </w:rPr>
        <w:t>年获挪威管理学院信息通信管理专业工商管理硕士学位；曾任中国电信信元公众信息发展有限责任公司总经理助理、中国电</w:t>
      </w:r>
      <w:r>
        <w:rPr>
          <w:spacing w:val="-64"/>
        </w:rPr>
        <w:t> </w:t>
      </w:r>
      <w:r>
        <w:rPr>
          <w:spacing w:val="-64"/>
        </w:rPr>
      </w:r>
      <w:r>
        <w:rPr>
          <w:spacing w:val="-2"/>
        </w:rPr>
        <w:t>信数据通信事业部规划计划处副处长、中国联通增值业务部移动互联网中心经理、中国联通营销部一中心经理、联通时科信</w:t>
      </w:r>
      <w:r>
        <w:rPr>
          <w:spacing w:val="-66"/>
        </w:rPr>
        <w:t> </w:t>
      </w:r>
      <w:r>
        <w:rPr>
          <w:spacing w:val="-66"/>
        </w:rPr>
      </w:r>
      <w:r>
        <w:rPr/>
        <w:t>息技术有限公司总经理助理、副总经理；现任公司副总裁、网络技术分公司总经理。</w:t>
      </w:r>
    </w:p>
    <w:p>
      <w:pPr>
        <w:pStyle w:val="BodyText"/>
        <w:spacing w:line="451" w:lineRule="auto" w:before="62"/>
        <w:ind w:right="1131" w:firstLine="361"/>
        <w:jc w:val="both"/>
      </w:pPr>
      <w:r>
        <w:rPr>
          <w:rFonts w:ascii="宋体" w:hAnsi="宋体" w:cs="宋体" w:eastAsia="宋体" w:hint="default"/>
          <w:b/>
          <w:bCs/>
          <w:spacing w:val="-2"/>
        </w:rPr>
        <w:t>任杰</w:t>
      </w:r>
      <w:r>
        <w:rPr>
          <w:spacing w:val="-2"/>
        </w:rPr>
        <w:t>先生，</w:t>
      </w:r>
      <w:r>
        <w:rPr>
          <w:rFonts w:ascii="Times New Roman" w:hAnsi="Times New Roman" w:cs="Times New Roman" w:eastAsia="Times New Roman" w:hint="default"/>
          <w:spacing w:val="-2"/>
        </w:rPr>
        <w:t>1976</w:t>
      </w:r>
      <w:r>
        <w:rPr>
          <w:spacing w:val="-2"/>
        </w:rPr>
        <w:t>年出生，中国国籍，无境外永久居留权。毕业于宁夏大学，计算机软件学士学位。曾任微软（中国）有</w:t>
      </w:r>
      <w:r>
        <w:rPr/>
        <w:t> </w:t>
      </w:r>
      <w:r>
        <w:rPr>
          <w:spacing w:val="-2"/>
        </w:rPr>
        <w:t>限公司顾问咨询经理；</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12</w:t>
      </w:r>
      <w:r>
        <w:rPr>
          <w:spacing w:val="-2"/>
        </w:rPr>
        <w:t>月加入北京新媒传信科技有限公司担任高级副总经理；现任公司副总裁、北京泰岳智桥信息</w:t>
      </w:r>
      <w:r>
        <w:rPr>
          <w:spacing w:val="-60"/>
        </w:rPr>
        <w:t> </w:t>
      </w:r>
      <w:r>
        <w:rPr>
          <w:spacing w:val="-60"/>
        </w:rPr>
      </w:r>
      <w:r>
        <w:rPr/>
        <w:t>技术有限公司总经理。</w:t>
      </w:r>
    </w:p>
    <w:p>
      <w:pPr>
        <w:spacing w:after="0" w:line="451"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60" w:lineRule="auto" w:before="44"/>
        <w:ind w:right="1132" w:firstLine="361"/>
        <w:jc w:val="both"/>
      </w:pPr>
      <w:r>
        <w:rPr>
          <w:rFonts w:ascii="宋体" w:hAnsi="宋体" w:cs="宋体" w:eastAsia="宋体" w:hint="default"/>
          <w:b/>
          <w:bCs/>
          <w:spacing w:val="-2"/>
        </w:rPr>
        <w:t>梁德兴</w:t>
      </w:r>
      <w:r>
        <w:rPr>
          <w:spacing w:val="-2"/>
        </w:rPr>
        <w:t>先生，</w:t>
      </w:r>
      <w:r>
        <w:rPr>
          <w:rFonts w:ascii="Times New Roman" w:hAnsi="Times New Roman" w:cs="Times New Roman" w:eastAsia="Times New Roman" w:hint="default"/>
          <w:spacing w:val="-2"/>
        </w:rPr>
        <w:t>1975</w:t>
      </w:r>
      <w:r>
        <w:rPr>
          <w:spacing w:val="-2"/>
        </w:rPr>
        <w:t>年出生，中国国籍，无境外永久居留权。毕业于哈尔滨理工大学，获得精密仪器专业学士学位，</w:t>
      </w:r>
      <w:r>
        <w:rPr>
          <w:rFonts w:ascii="Times New Roman" w:hAnsi="Times New Roman" w:cs="Times New Roman" w:eastAsia="Times New Roman" w:hint="default"/>
          <w:spacing w:val="-2"/>
        </w:rPr>
        <w:t>2008</w:t>
      </w:r>
      <w:r>
        <w:rPr>
          <w:rFonts w:ascii="Times New Roman" w:hAnsi="Times New Roman" w:cs="Times New Roman" w:eastAsia="Times New Roman" w:hint="default"/>
        </w:rPr>
        <w:t> </w:t>
      </w:r>
      <w:r>
        <w:rPr>
          <w:spacing w:val="-1"/>
        </w:rPr>
        <w:t>年获北京大学光华管理学院</w:t>
      </w:r>
      <w:r>
        <w:rPr>
          <w:rFonts w:ascii="Times New Roman" w:hAnsi="Times New Roman" w:cs="Times New Roman" w:eastAsia="Times New Roman" w:hint="default"/>
          <w:spacing w:val="-1"/>
        </w:rPr>
        <w:t>MBA</w:t>
      </w:r>
      <w:r>
        <w:rPr>
          <w:spacing w:val="-1"/>
        </w:rPr>
        <w:t>学位。曾任北京齿轮总厂质检员、北京冠群金辰软件公司研发经理；</w:t>
      </w:r>
      <w:r>
        <w:rPr>
          <w:rFonts w:ascii="Times New Roman" w:hAnsi="Times New Roman" w:cs="Times New Roman" w:eastAsia="Times New Roman" w:hint="default"/>
          <w:spacing w:val="-1"/>
        </w:rPr>
        <w:t>2002</w:t>
      </w:r>
      <w:r>
        <w:rPr>
          <w:spacing w:val="-1"/>
        </w:rPr>
        <w:t>年</w:t>
      </w:r>
      <w:r>
        <w:rPr>
          <w:rFonts w:ascii="Times New Roman" w:hAnsi="Times New Roman" w:cs="Times New Roman" w:eastAsia="Times New Roman" w:hint="default"/>
          <w:spacing w:val="-1"/>
        </w:rPr>
        <w:t>9</w:t>
      </w:r>
      <w:r>
        <w:rPr>
          <w:spacing w:val="-1"/>
        </w:rPr>
        <w:t>月加入北京神</w:t>
      </w:r>
      <w:r>
        <w:rPr>
          <w:spacing w:val="-78"/>
        </w:rPr>
        <w:t> </w:t>
      </w:r>
      <w:r>
        <w:rPr>
          <w:spacing w:val="-2"/>
        </w:rPr>
        <w:t>州泰岳软件股份有限公司，先后任信息安全事业部总监、副总经理，运维服务中心总经理、人力资源部总经理、市场部总经</w:t>
      </w:r>
      <w:r>
        <w:rPr>
          <w:spacing w:val="-66"/>
        </w:rPr>
        <w:t> </w:t>
      </w:r>
      <w:r>
        <w:rPr>
          <w:spacing w:val="-66"/>
        </w:rPr>
      </w:r>
      <w:r>
        <w:rPr/>
        <w:t>理，现担任公司副总裁、运营支撑中心总经理。</w:t>
      </w:r>
    </w:p>
    <w:p>
      <w:pPr>
        <w:pStyle w:val="BodyText"/>
        <w:spacing w:line="463" w:lineRule="auto" w:before="67"/>
        <w:ind w:right="1132" w:firstLine="361"/>
        <w:jc w:val="both"/>
      </w:pPr>
      <w:r>
        <w:rPr>
          <w:rFonts w:ascii="宋体" w:hAnsi="宋体" w:cs="宋体" w:eastAsia="宋体" w:hint="default"/>
          <w:b/>
          <w:bCs/>
          <w:spacing w:val="-2"/>
        </w:rPr>
        <w:t>张黔山</w:t>
      </w:r>
      <w:r>
        <w:rPr>
          <w:spacing w:val="-2"/>
        </w:rPr>
        <w:t>先生，</w:t>
      </w:r>
      <w:r>
        <w:rPr>
          <w:rFonts w:ascii="Times New Roman" w:hAnsi="Times New Roman" w:cs="Times New Roman" w:eastAsia="Times New Roman" w:hint="default"/>
          <w:spacing w:val="-2"/>
        </w:rPr>
        <w:t>1971</w:t>
      </w:r>
      <w:r>
        <w:rPr>
          <w:spacing w:val="-2"/>
        </w:rPr>
        <w:t>年出生，北京大学工商管理硕士；曾任北京西单商场股份有限公司证券部副部长、大鹏证券投资银行</w:t>
      </w:r>
      <w:r>
        <w:rPr/>
        <w:t> </w:t>
      </w:r>
      <w:r>
        <w:rPr>
          <w:spacing w:val="-2"/>
        </w:rPr>
        <w:t>高级经理、北京德业投资有限公司总经理、互联无限（北京）科技有限公司副总经理；现任公司副总裁、董事会秘书，兼任</w:t>
      </w:r>
      <w:r>
        <w:rPr>
          <w:spacing w:val="-72"/>
        </w:rPr>
        <w:t> </w:t>
      </w:r>
      <w:r>
        <w:rPr>
          <w:spacing w:val="-72"/>
        </w:rPr>
      </w:r>
      <w:r>
        <w:rPr/>
        <w:t>公司资本运营中心总经理，北京神州良品电子商务科技股份有限公司董事。</w:t>
      </w:r>
    </w:p>
    <w:p>
      <w:pPr>
        <w:pStyle w:val="BodyText"/>
        <w:spacing w:line="463" w:lineRule="auto" w:before="65"/>
        <w:ind w:right="1131" w:firstLine="361"/>
        <w:jc w:val="both"/>
      </w:pPr>
      <w:r>
        <w:rPr>
          <w:rFonts w:ascii="宋体" w:hAnsi="宋体" w:cs="宋体" w:eastAsia="宋体" w:hint="default"/>
          <w:b/>
          <w:bCs/>
          <w:spacing w:val="-2"/>
        </w:rPr>
        <w:t>艾东</w:t>
      </w:r>
      <w:r>
        <w:rPr>
          <w:spacing w:val="-2"/>
        </w:rPr>
        <w:t>先生，</w:t>
      </w:r>
      <w:r>
        <w:rPr>
          <w:rFonts w:ascii="Times New Roman" w:hAnsi="Times New Roman" w:cs="Times New Roman" w:eastAsia="Times New Roman" w:hint="default"/>
          <w:spacing w:val="-2"/>
        </w:rPr>
        <w:t>1969</w:t>
      </w:r>
      <w:r>
        <w:rPr>
          <w:spacing w:val="-2"/>
        </w:rPr>
        <w:t>年出生，中国国籍，无境外永久居留权。毕业于西北纺织工学院，机械制造专业；曾任西安仪表厂销售</w:t>
      </w:r>
      <w:r>
        <w:rPr/>
        <w:t> </w:t>
      </w:r>
      <w:r>
        <w:rPr>
          <w:spacing w:val="-2"/>
        </w:rPr>
        <w:t>处销售经理、北京高阳圣思园科技有限公司西南区总经理、西区总经理，北京神州泰岳软件股份有限公司重庆销售经理，西</w:t>
      </w:r>
      <w:r>
        <w:rPr>
          <w:spacing w:val="-66"/>
        </w:rPr>
        <w:t> </w:t>
      </w:r>
      <w:r>
        <w:rPr>
          <w:spacing w:val="-66"/>
        </w:rPr>
      </w:r>
      <w:r>
        <w:rPr/>
        <w:t>区总经理；现任公司副总裁、信息技术分公司总经理。</w:t>
      </w:r>
    </w:p>
    <w:p>
      <w:pPr>
        <w:pStyle w:val="BodyText"/>
        <w:spacing w:line="463" w:lineRule="auto" w:before="65"/>
        <w:ind w:left="1134" w:right="1131" w:firstLine="361"/>
        <w:jc w:val="both"/>
      </w:pPr>
      <w:r>
        <w:rPr>
          <w:rFonts w:ascii="宋体" w:hAnsi="宋体" w:cs="宋体" w:eastAsia="宋体" w:hint="default"/>
          <w:b/>
          <w:bCs/>
          <w:spacing w:val="-2"/>
        </w:rPr>
        <w:t>林红</w:t>
      </w:r>
      <w:r>
        <w:rPr>
          <w:spacing w:val="-2"/>
        </w:rPr>
        <w:t>女士，</w:t>
      </w:r>
      <w:r>
        <w:rPr>
          <w:rFonts w:ascii="Times New Roman" w:hAnsi="Times New Roman" w:cs="Times New Roman" w:eastAsia="Times New Roman" w:hint="default"/>
          <w:spacing w:val="-2"/>
        </w:rPr>
        <w:t>1965</w:t>
      </w:r>
      <w:r>
        <w:rPr>
          <w:spacing w:val="-2"/>
        </w:rPr>
        <w:t>年出生，中国国籍，无境外永久居留权。本科学历，高级会计师职称。曾任北京市海淀区畜牧水产总公</w:t>
      </w:r>
      <w:r>
        <w:rPr/>
        <w:t> </w:t>
      </w:r>
      <w:r>
        <w:rPr>
          <w:spacing w:val="-2"/>
        </w:rPr>
        <w:t>司出纳、主管会计，北京市直机动车检测场财务经理、北京神州泰岳计算机公司财务部副经理、北京神州泰岳软件股份有限</w:t>
      </w:r>
      <w:r>
        <w:rPr>
          <w:spacing w:val="-66"/>
        </w:rPr>
        <w:t> </w:t>
      </w:r>
      <w:r>
        <w:rPr>
          <w:spacing w:val="-66"/>
        </w:rPr>
      </w:r>
      <w:r>
        <w:rPr>
          <w:spacing w:val="-5"/>
        </w:rPr>
        <w:t>公司财务部总经理，现任公司副总裁、财务总监、财务管理中心总经理。兼任富思特新材料科技发展股份有限公司独立董事。</w:t>
      </w:r>
    </w:p>
    <w:p>
      <w:pPr>
        <w:pStyle w:val="Heading4"/>
        <w:spacing w:line="240" w:lineRule="auto" w:before="106"/>
        <w:ind w:left="1134" w:right="0"/>
        <w:jc w:val="left"/>
        <w:rPr>
          <w:b w:val="0"/>
          <w:bCs w:val="0"/>
        </w:rPr>
      </w:pPr>
      <w:r>
        <w:rPr/>
        <w:t>在股东单位任职情况</w:t>
      </w:r>
      <w:r>
        <w:rPr>
          <w:b w:val="0"/>
          <w:bCs w:val="0"/>
        </w:rPr>
      </w:r>
    </w:p>
    <w:p>
      <w:pPr>
        <w:spacing w:line="240" w:lineRule="auto" w:before="12"/>
        <w:rPr>
          <w:rFonts w:ascii="宋体" w:hAnsi="宋体" w:cs="宋体" w:eastAsia="宋体" w:hint="default"/>
          <w:b/>
          <w:bCs/>
          <w:sz w:val="20"/>
          <w:szCs w:val="20"/>
        </w:rPr>
      </w:pPr>
    </w:p>
    <w:p>
      <w:pPr>
        <w:spacing w:line="489" w:lineRule="auto" w:before="0"/>
        <w:ind w:left="1134" w:right="912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b/>
          <w:bCs/>
          <w:sz w:val="18"/>
          <w:szCs w:val="18"/>
        </w:rPr>
        <w:t>在其他单位任职情况</w:t>
      </w:r>
      <w:r>
        <w:rPr>
          <w:rFonts w:ascii="宋体" w:hAnsi="宋体" w:cs="宋体" w:eastAsia="宋体" w:hint="default"/>
          <w:sz w:val="18"/>
          <w:szCs w:val="18"/>
        </w:rPr>
      </w:r>
    </w:p>
    <w:p>
      <w:pPr>
        <w:spacing w:before="85"/>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12"/>
          <w:szCs w:val="12"/>
        </w:rPr>
      </w:pPr>
    </w:p>
    <w:tbl>
      <w:tblPr>
        <w:tblW w:w="0" w:type="auto"/>
        <w:jc w:val="left"/>
        <w:tblInd w:w="1101" w:type="dxa"/>
        <w:tblLayout w:type="fixed"/>
        <w:tblCellMar>
          <w:top w:w="0" w:type="dxa"/>
          <w:left w:w="0" w:type="dxa"/>
          <w:bottom w:w="0" w:type="dxa"/>
          <w:right w:w="0" w:type="dxa"/>
        </w:tblCellMar>
        <w:tblLook w:val="01E0"/>
      </w:tblPr>
      <w:tblGrid>
        <w:gridCol w:w="1214"/>
        <w:gridCol w:w="3060"/>
        <w:gridCol w:w="1284"/>
        <w:gridCol w:w="1569"/>
        <w:gridCol w:w="1570"/>
        <w:gridCol w:w="998"/>
      </w:tblGrid>
      <w:tr>
        <w:trPr>
          <w:trHeight w:val="1026" w:hRule="exact"/>
        </w:trPr>
        <w:tc>
          <w:tcPr>
            <w:tcW w:w="1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任职人员姓名</w:t>
            </w:r>
          </w:p>
        </w:tc>
        <w:tc>
          <w:tcPr>
            <w:tcW w:w="30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其他单位名称</w:t>
            </w:r>
          </w:p>
        </w:tc>
        <w:tc>
          <w:tcPr>
            <w:tcW w:w="1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77" w:right="95" w:hanging="180"/>
              <w:jc w:val="left"/>
              <w:rPr>
                <w:rFonts w:ascii="宋体" w:hAnsi="宋体" w:cs="宋体" w:eastAsia="宋体" w:hint="default"/>
                <w:sz w:val="18"/>
                <w:szCs w:val="18"/>
              </w:rPr>
            </w:pPr>
            <w:r>
              <w:rPr>
                <w:rFonts w:ascii="宋体" w:hAnsi="宋体" w:cs="宋体" w:eastAsia="宋体" w:hint="default"/>
                <w:sz w:val="18"/>
                <w:szCs w:val="18"/>
              </w:rPr>
              <w:t>在其他单位担 任的职务</w:t>
            </w:r>
          </w:p>
        </w:tc>
        <w:tc>
          <w:tcPr>
            <w:tcW w:w="1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15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9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4" w:right="42"/>
              <w:jc w:val="center"/>
              <w:rPr>
                <w:rFonts w:ascii="宋体" w:hAnsi="宋体" w:cs="宋体" w:eastAsia="宋体" w:hint="default"/>
                <w:sz w:val="18"/>
                <w:szCs w:val="18"/>
              </w:rPr>
            </w:pPr>
            <w:r>
              <w:rPr>
                <w:rFonts w:ascii="宋体" w:hAnsi="宋体" w:cs="宋体" w:eastAsia="宋体" w:hint="default"/>
                <w:sz w:val="18"/>
                <w:szCs w:val="18"/>
              </w:rPr>
              <w:t>在其他单位 是否领取报 酬津贴</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343" w:right="84" w:hanging="1260"/>
              <w:jc w:val="left"/>
              <w:rPr>
                <w:rFonts w:ascii="宋体" w:hAnsi="宋体" w:cs="宋体" w:eastAsia="宋体" w:hint="default"/>
                <w:sz w:val="18"/>
                <w:szCs w:val="18"/>
              </w:rPr>
            </w:pPr>
            <w:r>
              <w:rPr>
                <w:rFonts w:ascii="宋体" w:hAnsi="宋体" w:cs="宋体" w:eastAsia="宋体" w:hint="default"/>
                <w:sz w:val="18"/>
                <w:szCs w:val="18"/>
              </w:rPr>
              <w:t>北京神州良品电子商务科技股份有限 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北京华泰德丰技术有限公司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北京善聚投资管理有限公司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王宁</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北京创董创新实业有限公司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Ultrapower 360 Pte Ltd</w:t>
            </w:r>
            <w:r>
              <w:rPr>
                <w:rFonts w:ascii="宋体" w:hAnsi="宋体" w:cs="宋体" w:eastAsia="宋体" w:hint="default"/>
                <w:sz w:val="18"/>
                <w:szCs w:val="18"/>
              </w:rPr>
              <w:t>（</w:t>
            </w:r>
            <w:r>
              <w:rPr>
                <w:rFonts w:ascii="Times New Roman" w:hAnsi="Times New Roman" w:cs="Times New Roman" w:eastAsia="Times New Roman" w:hint="default"/>
                <w:sz w:val="18"/>
                <w:szCs w:val="18"/>
              </w:rPr>
              <w:t>360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01" w:type="dxa"/>
        <w:tblLayout w:type="fixed"/>
        <w:tblCellMar>
          <w:top w:w="0" w:type="dxa"/>
          <w:left w:w="0" w:type="dxa"/>
          <w:bottom w:w="0" w:type="dxa"/>
          <w:right w:w="0" w:type="dxa"/>
        </w:tblCellMar>
        <w:tblLook w:val="01E0"/>
      </w:tblPr>
      <w:tblGrid>
        <w:gridCol w:w="1214"/>
        <w:gridCol w:w="3060"/>
        <w:gridCol w:w="1284"/>
        <w:gridCol w:w="1569"/>
        <w:gridCol w:w="1570"/>
        <w:gridCol w:w="998"/>
      </w:tblGrid>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北京善聚投资管理有限公司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李力</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北京良业环境技术有限公司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0"/>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重庆新媒亿网科技有限公司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重庆新迈峰科技有限公司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Ultrapower 360 Pte Ltd</w:t>
            </w:r>
            <w:r>
              <w:rPr>
                <w:rFonts w:ascii="宋体" w:hAnsi="宋体" w:cs="宋体" w:eastAsia="宋体" w:hint="default"/>
                <w:sz w:val="18"/>
                <w:szCs w:val="18"/>
              </w:rPr>
              <w:t>（</w:t>
            </w:r>
            <w:r>
              <w:rPr>
                <w:rFonts w:ascii="Times New Roman" w:hAnsi="Times New Roman" w:cs="Times New Roman" w:eastAsia="Times New Roman" w:hint="default"/>
                <w:sz w:val="18"/>
                <w:szCs w:val="18"/>
              </w:rPr>
              <w:t>360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北京善聚投资管理有限公司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北京碧水源净水电子商务有限公司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0"/>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北京中清龙图网络技术有限公司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6"/>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翟一兵</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北京神州泰岳智能数据技术有限公司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上海大渡新物流有限公司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547" w:right="20" w:hanging="525"/>
              <w:jc w:val="left"/>
              <w:rPr>
                <w:rFonts w:ascii="宋体" w:hAnsi="宋体" w:cs="宋体" w:eastAsia="宋体" w:hint="default"/>
                <w:sz w:val="18"/>
                <w:szCs w:val="18"/>
              </w:rPr>
            </w:pPr>
            <w:r>
              <w:rPr>
                <w:rFonts w:ascii="宋体" w:hAnsi="宋体" w:cs="宋体" w:eastAsia="宋体" w:hint="default"/>
                <w:spacing w:val="-5"/>
                <w:sz w:val="18"/>
                <w:szCs w:val="18"/>
              </w:rPr>
              <w:t>执行董事、总经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徐斯平</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北京顺通典当有限责任公司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北京启天同信科技有限公司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Ultrapower 360 Pte Ltd</w:t>
            </w:r>
            <w:r>
              <w:rPr>
                <w:rFonts w:ascii="宋体" w:hAnsi="宋体" w:cs="宋体" w:eastAsia="宋体" w:hint="default"/>
                <w:sz w:val="18"/>
                <w:szCs w:val="18"/>
              </w:rPr>
              <w:t>（</w:t>
            </w:r>
            <w:r>
              <w:rPr>
                <w:rFonts w:ascii="Times New Roman" w:hAnsi="Times New Roman" w:cs="Times New Roman" w:eastAsia="Times New Roman" w:hint="default"/>
                <w:sz w:val="18"/>
                <w:szCs w:val="18"/>
              </w:rPr>
              <w:t>360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547" w:right="20" w:hanging="525"/>
              <w:jc w:val="left"/>
              <w:rPr>
                <w:rFonts w:ascii="宋体" w:hAnsi="宋体" w:cs="宋体" w:eastAsia="宋体" w:hint="default"/>
                <w:sz w:val="18"/>
                <w:szCs w:val="18"/>
              </w:rPr>
            </w:pPr>
            <w:r>
              <w:rPr>
                <w:rFonts w:ascii="宋体" w:hAnsi="宋体" w:cs="宋体" w:eastAsia="宋体" w:hint="default"/>
                <w:spacing w:val="-5"/>
                <w:sz w:val="18"/>
                <w:szCs w:val="18"/>
              </w:rPr>
              <w:t>执行董事、总经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北京光合起源网络科技有限公司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北京诚行天下投资咨询有限公司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547" w:right="20" w:hanging="525"/>
              <w:jc w:val="left"/>
              <w:rPr>
                <w:rFonts w:ascii="宋体" w:hAnsi="宋体" w:cs="宋体" w:eastAsia="宋体" w:hint="default"/>
                <w:sz w:val="18"/>
                <w:szCs w:val="18"/>
              </w:rPr>
            </w:pPr>
            <w:r>
              <w:rPr>
                <w:rFonts w:ascii="宋体" w:hAnsi="宋体" w:cs="宋体" w:eastAsia="宋体" w:hint="default"/>
                <w:spacing w:val="-5"/>
                <w:sz w:val="18"/>
                <w:szCs w:val="18"/>
              </w:rPr>
              <w:t>执行董事、总经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253" w:right="84" w:hanging="1170"/>
              <w:jc w:val="left"/>
              <w:rPr>
                <w:rFonts w:ascii="宋体" w:hAnsi="宋体" w:cs="宋体" w:eastAsia="宋体" w:hint="default"/>
                <w:sz w:val="18"/>
                <w:szCs w:val="18"/>
              </w:rPr>
            </w:pPr>
            <w:r>
              <w:rPr>
                <w:rFonts w:ascii="宋体" w:hAnsi="宋体" w:cs="宋体" w:eastAsia="宋体" w:hint="default"/>
                <w:sz w:val="18"/>
                <w:szCs w:val="18"/>
              </w:rPr>
              <w:t>深圳市前海泰岳梧桐投资基金管理有 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01" w:type="dxa"/>
        <w:tblLayout w:type="fixed"/>
        <w:tblCellMar>
          <w:top w:w="0" w:type="dxa"/>
          <w:left w:w="0" w:type="dxa"/>
          <w:bottom w:w="0" w:type="dxa"/>
          <w:right w:w="0" w:type="dxa"/>
        </w:tblCellMar>
        <w:tblLook w:val="01E0"/>
      </w:tblPr>
      <w:tblGrid>
        <w:gridCol w:w="1214"/>
        <w:gridCol w:w="3060"/>
        <w:gridCol w:w="1284"/>
        <w:gridCol w:w="1569"/>
        <w:gridCol w:w="1570"/>
        <w:gridCol w:w="998"/>
      </w:tblGrid>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爱财科技有限公司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汪铖</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上海煌拓网络科技有限公司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杨凯程</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中科鼎富（北京）科技发展有限公司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547" w:right="20" w:hanging="525"/>
              <w:jc w:val="left"/>
              <w:rPr>
                <w:rFonts w:ascii="宋体" w:hAnsi="宋体" w:cs="宋体" w:eastAsia="宋体" w:hint="default"/>
                <w:sz w:val="18"/>
                <w:szCs w:val="18"/>
              </w:rPr>
            </w:pPr>
            <w:r>
              <w:rPr>
                <w:rFonts w:ascii="宋体" w:hAnsi="宋体" w:cs="宋体" w:eastAsia="宋体" w:hint="default"/>
                <w:spacing w:val="-5"/>
                <w:sz w:val="18"/>
                <w:szCs w:val="18"/>
              </w:rPr>
              <w:t>执行董事、总经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杨凯程</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广州市奔耀信息科技有限公司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547" w:right="20" w:hanging="525"/>
              <w:jc w:val="left"/>
              <w:rPr>
                <w:rFonts w:ascii="宋体" w:hAnsi="宋体" w:cs="宋体" w:eastAsia="宋体" w:hint="default"/>
                <w:sz w:val="18"/>
                <w:szCs w:val="18"/>
              </w:rPr>
            </w:pPr>
            <w:r>
              <w:rPr>
                <w:rFonts w:ascii="宋体" w:hAnsi="宋体" w:cs="宋体" w:eastAsia="宋体" w:hint="default"/>
                <w:spacing w:val="-5"/>
                <w:sz w:val="18"/>
                <w:szCs w:val="18"/>
              </w:rPr>
              <w:t>执行董事、总经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杨凯程</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大理白族自治州苍洱公益关爱中心</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理事长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罗建北</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北京昆仑万维科技股份有限公司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罗建北</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北讯集团股份有限公司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罗建北</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双清诚德科技（北京）有限公司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罗建北</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苏州清桥电子科技有限公司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刘铁民</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湖北华舟重工应急装备股份有限公司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北京博华百校教育投资集团有限公司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财务总监</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北京光线传媒股份有限公司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北京立思辰科技股份有限公司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北京北陆药业股份有限公司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北京人文大学</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北京邮电大学世纪学院</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沈阳</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清华大学新闻学院</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教授</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徐元区</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徐元区</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徐元区</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高峰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北京神州泰岳信息安全技术有限公司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北京左岸风暴科技有限公司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执行董事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裂变科技有限公司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任杰</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信时科技（北京）有限公司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梁德兴</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总经理</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253" w:right="84" w:hanging="1170"/>
              <w:jc w:val="left"/>
              <w:rPr>
                <w:rFonts w:ascii="宋体" w:hAnsi="宋体" w:cs="宋体" w:eastAsia="宋体" w:hint="default"/>
                <w:sz w:val="18"/>
                <w:szCs w:val="18"/>
              </w:rPr>
            </w:pPr>
            <w:r>
              <w:rPr>
                <w:rFonts w:ascii="宋体" w:hAnsi="宋体" w:cs="宋体" w:eastAsia="宋体" w:hint="default"/>
                <w:sz w:val="18"/>
                <w:szCs w:val="18"/>
              </w:rPr>
              <w:t>深圳市前海泰岳梧桐投资基金管理有 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01" w:type="dxa"/>
        <w:tblLayout w:type="fixed"/>
        <w:tblCellMar>
          <w:top w:w="0" w:type="dxa"/>
          <w:left w:w="0" w:type="dxa"/>
          <w:bottom w:w="0" w:type="dxa"/>
          <w:right w:w="0" w:type="dxa"/>
        </w:tblCellMar>
        <w:tblLook w:val="01E0"/>
      </w:tblPr>
      <w:tblGrid>
        <w:gridCol w:w="1214"/>
        <w:gridCol w:w="3060"/>
        <w:gridCol w:w="1284"/>
        <w:gridCol w:w="1569"/>
        <w:gridCol w:w="1570"/>
        <w:gridCol w:w="998"/>
      </w:tblGrid>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343" w:right="84" w:hanging="1260"/>
              <w:jc w:val="left"/>
              <w:rPr>
                <w:rFonts w:ascii="宋体" w:hAnsi="宋体" w:cs="宋体" w:eastAsia="宋体" w:hint="default"/>
                <w:sz w:val="18"/>
                <w:szCs w:val="18"/>
              </w:rPr>
            </w:pPr>
            <w:r>
              <w:rPr>
                <w:rFonts w:ascii="宋体" w:hAnsi="宋体" w:cs="宋体" w:eastAsia="宋体" w:hint="default"/>
                <w:sz w:val="18"/>
                <w:szCs w:val="18"/>
              </w:rPr>
              <w:t>北京神州良品电子商务科技股份有限 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监事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 </w:t>
            </w:r>
            <w:r>
              <w:rPr>
                <w:rFonts w:ascii="宋体" w:hAnsi="宋体" w:cs="宋体" w:eastAsia="宋体" w:hint="default"/>
                <w:sz w:val="18"/>
                <w:szCs w:val="18"/>
              </w:rPr>
              <w:t>日</w:t>
            </w: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林红</w:t>
            </w:r>
          </w:p>
        </w:tc>
        <w:tc>
          <w:tcPr>
            <w:tcW w:w="3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富思特新材料科技发展股份有限公司</w:t>
            </w:r>
          </w:p>
        </w:tc>
        <w:tc>
          <w:tcPr>
            <w:tcW w:w="12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70" w:type="dxa"/>
            <w:tcBorders>
              <w:top w:val="single" w:sz="4" w:space="0" w:color="000000"/>
              <w:left w:val="single" w:sz="4" w:space="0" w:color="000000"/>
              <w:bottom w:val="single" w:sz="4" w:space="0" w:color="000000"/>
              <w:right w:val="single" w:sz="4" w:space="0" w:color="000000"/>
            </w:tcBorders>
          </w:tcPr>
          <w:p>
            <w:pPr/>
          </w:p>
        </w:tc>
        <w:tc>
          <w:tcPr>
            <w:tcW w:w="9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99"/>
              <w:jc w:val="left"/>
              <w:rPr>
                <w:rFonts w:ascii="宋体" w:hAnsi="宋体" w:cs="宋体" w:eastAsia="宋体" w:hint="default"/>
                <w:sz w:val="18"/>
                <w:szCs w:val="18"/>
              </w:rPr>
            </w:pPr>
            <w:r>
              <w:rPr>
                <w:rFonts w:ascii="宋体" w:hAnsi="宋体" w:cs="宋体" w:eastAsia="宋体" w:hint="default"/>
                <w:sz w:val="18"/>
                <w:szCs w:val="18"/>
              </w:rPr>
              <w:t>在其他单位任 职情况的说明</w:t>
            </w:r>
          </w:p>
        </w:tc>
        <w:tc>
          <w:tcPr>
            <w:tcW w:w="8481"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line="240" w:lineRule="auto" w:before="4"/>
        <w:rPr>
          <w:rFonts w:ascii="Times New Roman" w:hAnsi="Times New Roman" w:cs="Times New Roman" w:eastAsia="Times New Roman" w:hint="default"/>
          <w:sz w:val="7"/>
          <w:szCs w:val="7"/>
        </w:rPr>
      </w:pPr>
    </w:p>
    <w:p>
      <w:pPr>
        <w:pStyle w:val="Heading4"/>
        <w:spacing w:line="240" w:lineRule="auto" w:before="44"/>
        <w:ind w:left="1134" w:right="0"/>
        <w:jc w:val="left"/>
        <w:rPr>
          <w:b w:val="0"/>
          <w:bCs w:val="0"/>
        </w:rPr>
      </w:pPr>
      <w:r>
        <w:rPr/>
        <w:t>公司现任及报告期内离任董事、监事和高级管理人员近三年证券监管机构处罚的情况</w:t>
      </w:r>
      <w:r>
        <w:rPr>
          <w:b w:val="0"/>
          <w:bCs w:val="0"/>
        </w:rPr>
      </w:r>
    </w:p>
    <w:p>
      <w:pPr>
        <w:spacing w:line="240" w:lineRule="auto" w:before="12"/>
        <w:rPr>
          <w:rFonts w:ascii="宋体" w:hAnsi="宋体" w:cs="宋体" w:eastAsia="宋体" w:hint="default"/>
          <w:b/>
          <w:bCs/>
          <w:sz w:val="20"/>
          <w:szCs w:val="20"/>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5"/>
        <w:ind w:right="0"/>
        <w:jc w:val="left"/>
        <w:rPr>
          <w:b w:val="0"/>
          <w:bCs w:val="0"/>
        </w:rPr>
      </w:pPr>
      <w:bookmarkStart w:name="四、董事、监事、高级管理人员报酬情况" w:id="125"/>
      <w:bookmarkEnd w:id="125"/>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32"/>
          <w:szCs w:val="32"/>
        </w:rPr>
      </w:pPr>
    </w:p>
    <w:p>
      <w:pPr>
        <w:pStyle w:val="Heading4"/>
        <w:spacing w:line="240" w:lineRule="auto"/>
        <w:ind w:left="1133" w:right="0"/>
        <w:jc w:val="left"/>
        <w:rPr>
          <w:b w:val="0"/>
          <w:bCs w:val="0"/>
        </w:rPr>
      </w:pPr>
      <w:r>
        <w:rPr/>
        <w:t>董事、监事、高级管理人员报酬的决策程序、确定依据、实际支付情况</w:t>
      </w:r>
      <w:r>
        <w:rPr>
          <w:b w:val="0"/>
          <w:bCs w:val="0"/>
        </w:rPr>
      </w:r>
    </w:p>
    <w:p>
      <w:pPr>
        <w:spacing w:line="240" w:lineRule="auto" w:before="10"/>
        <w:rPr>
          <w:rFonts w:ascii="宋体" w:hAnsi="宋体" w:cs="宋体" w:eastAsia="宋体" w:hint="default"/>
          <w:b/>
          <w:bCs/>
          <w:sz w:val="17"/>
          <w:szCs w:val="17"/>
        </w:rPr>
      </w:pPr>
    </w:p>
    <w:p>
      <w:pPr>
        <w:pStyle w:val="BodyText"/>
        <w:spacing w:line="463" w:lineRule="auto"/>
        <w:ind w:left="1134" w:right="1130" w:firstLine="360"/>
        <w:jc w:val="both"/>
      </w:pPr>
      <w:r>
        <w:rPr>
          <w:rFonts w:ascii="Times New Roman" w:hAnsi="Times New Roman" w:cs="Times New Roman" w:eastAsia="Times New Roman" w:hint="default"/>
        </w:rPr>
        <w:t>1</w:t>
      </w:r>
      <w:r>
        <w:rPr/>
        <w:t>、董事、监事、高级管理人员报酬的决策程序：公司董事、监事报酬由股东大会决定，高级管理人员报酬由董事会决 </w:t>
      </w:r>
      <w:r>
        <w:rPr>
          <w:spacing w:val="-2"/>
        </w:rPr>
        <w:t>定；在公司担任工作职务的董事、监事、高级管理人员报酬由公司支付，非独立董事、监事不另外支付津贴。独立董事津贴</w:t>
      </w:r>
      <w:r>
        <w:rPr>
          <w:spacing w:val="-67"/>
        </w:rPr>
        <w:t> </w:t>
      </w:r>
      <w:r>
        <w:rPr>
          <w:spacing w:val="-67"/>
        </w:rPr>
      </w:r>
      <w:r>
        <w:rPr/>
        <w:t>根据股东大会所通过的决议来进行支付。</w:t>
      </w:r>
    </w:p>
    <w:p>
      <w:pPr>
        <w:pStyle w:val="BodyText"/>
        <w:spacing w:line="451" w:lineRule="auto" w:before="65"/>
        <w:ind w:left="1134" w:right="1140" w:firstLine="360"/>
        <w:jc w:val="both"/>
      </w:pPr>
      <w:r>
        <w:rPr>
          <w:rFonts w:ascii="Times New Roman" w:hAnsi="Times New Roman" w:cs="Times New Roman" w:eastAsia="Times New Roman" w:hint="default"/>
        </w:rPr>
        <w:t>2</w:t>
      </w:r>
      <w:r>
        <w:rPr/>
        <w:t>、董事、监事、高级管理人员报酬的确定依据：依据公司盈利水平及各董事、监事、高级管理人员的分工及履职情况 确定。</w:t>
      </w:r>
    </w:p>
    <w:p>
      <w:pPr>
        <w:pStyle w:val="BodyText"/>
        <w:spacing w:line="451" w:lineRule="auto" w:before="74"/>
        <w:ind w:left="1134" w:right="1140" w:firstLine="360"/>
        <w:jc w:val="both"/>
      </w:pPr>
      <w:r>
        <w:rPr>
          <w:rFonts w:ascii="Times New Roman" w:hAnsi="Times New Roman" w:cs="Times New Roman" w:eastAsia="Times New Roman" w:hint="default"/>
        </w:rPr>
        <w:t>3</w:t>
      </w:r>
      <w:r>
        <w:rPr/>
        <w:t>、董事、监事、高级管理人员报酬的实际支付情况：公司严格按照董事、监事、高级管理人员薪酬的决策程序与确定 依据支付薪酬。</w:t>
      </w:r>
    </w:p>
    <w:p>
      <w:pPr>
        <w:pStyle w:val="Heading4"/>
        <w:spacing w:line="240" w:lineRule="auto" w:before="115"/>
        <w:ind w:left="1133" w:right="0"/>
        <w:jc w:val="left"/>
        <w:rPr>
          <w:b w:val="0"/>
          <w:bCs w:val="0"/>
        </w:rPr>
      </w:pPr>
      <w:r>
        <w:rPr/>
        <w:t>公司报告期内董事、监事和高级管理人员报酬情况</w:t>
      </w:r>
      <w:r>
        <w:rPr>
          <w:b w:val="0"/>
          <w:bCs w:val="0"/>
        </w:rPr>
      </w:r>
    </w:p>
    <w:p>
      <w:pPr>
        <w:spacing w:line="240" w:lineRule="auto" w:before="12"/>
        <w:rPr>
          <w:rFonts w:ascii="宋体" w:hAnsi="宋体" w:cs="宋体" w:eastAsia="宋体" w:hint="default"/>
          <w:b/>
          <w:bCs/>
          <w:sz w:val="14"/>
          <w:szCs w:val="14"/>
        </w:rPr>
      </w:pPr>
    </w:p>
    <w:p>
      <w:pPr>
        <w:pStyle w:val="BodyText"/>
        <w:spacing w:line="240" w:lineRule="auto"/>
        <w:ind w:left="630" w:right="1130"/>
        <w:jc w:val="right"/>
      </w:pPr>
      <w:r>
        <w:rPr/>
        <w:t>单位：万元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70"/>
        <w:gridCol w:w="1717"/>
        <w:gridCol w:w="101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0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8" w:right="47" w:hanging="181"/>
              <w:jc w:val="left"/>
              <w:rPr>
                <w:rFonts w:ascii="宋体" w:hAnsi="宋体" w:cs="宋体" w:eastAsia="宋体" w:hint="default"/>
                <w:sz w:val="18"/>
                <w:szCs w:val="18"/>
              </w:rPr>
            </w:pPr>
            <w:r>
              <w:rPr>
                <w:rFonts w:ascii="宋体" w:hAnsi="宋体" w:cs="宋体" w:eastAsia="宋体" w:hint="default"/>
                <w:sz w:val="18"/>
                <w:szCs w:val="18"/>
              </w:rPr>
              <w:t>从公司获得的税 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7" w:right="47" w:hanging="180"/>
              <w:jc w:val="left"/>
              <w:rPr>
                <w:rFonts w:ascii="宋体" w:hAnsi="宋体" w:cs="宋体" w:eastAsia="宋体" w:hint="default"/>
                <w:sz w:val="18"/>
                <w:szCs w:val="18"/>
              </w:rPr>
            </w:pPr>
            <w:r>
              <w:rPr>
                <w:rFonts w:ascii="宋体" w:hAnsi="宋体" w:cs="宋体" w:eastAsia="宋体" w:hint="default"/>
                <w:sz w:val="18"/>
                <w:szCs w:val="18"/>
              </w:rPr>
              <w:t>是否在公司关联 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王宁</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董事长</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14.81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李力</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14.81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黄松浪</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副董事长</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13.90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翟一兵</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董事、首席运营官</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63.39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徐斯平</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1" w:right="0"/>
              <w:jc w:val="left"/>
              <w:rPr>
                <w:rFonts w:ascii="Times New Roman" w:hAnsi="Times New Roman" w:cs="Times New Roman" w:eastAsia="Times New Roman" w:hint="default"/>
                <w:sz w:val="18"/>
                <w:szCs w:val="18"/>
              </w:rPr>
            </w:pPr>
            <w:r>
              <w:rPr>
                <w:rFonts w:ascii="Times New Roman"/>
                <w:sz w:val="18"/>
              </w:rPr>
              <w:t>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汪铖</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40.53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70"/>
        <w:gridCol w:w="1717"/>
        <w:gridCol w:w="1017"/>
        <w:gridCol w:w="1367"/>
        <w:gridCol w:w="1368"/>
        <w:gridCol w:w="1367"/>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杨凯程</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董事、副总裁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25.97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68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12.00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李广刚</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监事会主席</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29.09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丁彦超</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监事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24.75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郝岩</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职工监事</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18.95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徐元区</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64.51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高峰</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79.13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董越</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68.92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任杰</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64.46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梁德兴</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39.91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张黔山</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副总裁、董事会秘书</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39.41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艾东</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77.63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林红</w:t>
            </w:r>
          </w:p>
        </w:tc>
        <w:tc>
          <w:tcPr>
            <w:tcW w:w="17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副总裁、财务总监</w:t>
            </w:r>
          </w:p>
        </w:tc>
        <w:tc>
          <w:tcPr>
            <w:tcW w:w="10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76" w:right="0"/>
              <w:jc w:val="left"/>
              <w:rPr>
                <w:rFonts w:ascii="Times New Roman" w:hAnsi="Times New Roman" w:cs="Times New Roman" w:eastAsia="Times New Roman" w:hint="default"/>
                <w:sz w:val="18"/>
                <w:szCs w:val="18"/>
              </w:rPr>
            </w:pPr>
            <w:r>
              <w:rPr>
                <w:rFonts w:ascii="Times New Roman"/>
                <w:sz w:val="18"/>
              </w:rPr>
              <w:t>38.77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7"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17"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017"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1" w:right="0"/>
              <w:jc w:val="left"/>
              <w:rPr>
                <w:rFonts w:ascii="Times New Roman" w:hAnsi="Times New Roman" w:cs="Times New Roman" w:eastAsia="Times New Roman" w:hint="default"/>
                <w:sz w:val="18"/>
                <w:szCs w:val="18"/>
              </w:rPr>
            </w:pPr>
            <w:r>
              <w:rPr>
                <w:rFonts w:ascii="Times New Roman"/>
                <w:sz w:val="18"/>
              </w:rPr>
              <w:t>766.94</w:t>
            </w:r>
          </w:p>
        </w:tc>
        <w:tc>
          <w:tcPr>
            <w:tcW w:w="1367" w:type="dxa"/>
            <w:tcBorders>
              <w:top w:val="single" w:sz="4" w:space="0" w:color="000000"/>
              <w:left w:val="single" w:sz="4" w:space="0" w:color="000000"/>
              <w:bottom w:val="single" w:sz="4" w:space="0" w:color="000000"/>
              <w:right w:val="single" w:sz="4" w:space="0" w:color="000000"/>
            </w:tcBorders>
            <w:shd w:val="clear" w:color="auto" w:fill="E7E6E6"/>
          </w:tcPr>
          <w:p>
            <w:pPr>
              <w:pStyle w:val="TableParagraph"/>
              <w:spacing w:line="240" w:lineRule="auto" w:before="91"/>
              <w:ind w:left="617" w:right="0"/>
              <w:jc w:val="left"/>
              <w:rPr>
                <w:rFonts w:ascii="Times New Roman" w:hAnsi="Times New Roman" w:cs="Times New Roman" w:eastAsia="Times New Roman" w:hint="default"/>
                <w:sz w:val="18"/>
                <w:szCs w:val="18"/>
              </w:rPr>
            </w:pPr>
            <w:r>
              <w:rPr>
                <w:rFonts w:ascii="Times New Roman"/>
                <w:sz w:val="18"/>
              </w:rPr>
              <w:t>--</w:t>
            </w:r>
          </w:p>
        </w:tc>
      </w:tr>
    </w:tbl>
    <w:p>
      <w:pPr>
        <w:spacing w:line="240" w:lineRule="auto" w:before="7"/>
        <w:rPr>
          <w:rFonts w:ascii="宋体" w:hAnsi="宋体" w:cs="宋体" w:eastAsia="宋体" w:hint="default"/>
          <w:sz w:val="6"/>
          <w:szCs w:val="6"/>
        </w:rPr>
      </w:pPr>
    </w:p>
    <w:p>
      <w:pPr>
        <w:pStyle w:val="Heading4"/>
        <w:spacing w:line="240" w:lineRule="auto" w:before="44"/>
        <w:ind w:left="1134" w:right="0"/>
        <w:jc w:val="left"/>
        <w:rPr>
          <w:b w:val="0"/>
          <w:bCs w:val="0"/>
        </w:rPr>
      </w:pPr>
      <w:r>
        <w:rPr/>
        <w:t>公司董事、高级管理人员报告期内被授予的股权激励情况</w:t>
      </w:r>
      <w:r>
        <w:rPr>
          <w:b w:val="0"/>
          <w:bCs w:val="0"/>
        </w:rPr>
      </w:r>
    </w:p>
    <w:p>
      <w:pPr>
        <w:spacing w:line="240" w:lineRule="auto" w:before="12"/>
        <w:rPr>
          <w:rFonts w:ascii="宋体" w:hAnsi="宋体" w:cs="宋体" w:eastAsia="宋体" w:hint="default"/>
          <w:b/>
          <w:bCs/>
          <w:sz w:val="20"/>
          <w:szCs w:val="20"/>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pStyle w:val="Heading2"/>
        <w:spacing w:line="240" w:lineRule="auto" w:before="155"/>
        <w:ind w:right="0"/>
        <w:jc w:val="left"/>
        <w:rPr>
          <w:b w:val="0"/>
          <w:bCs w:val="0"/>
        </w:rPr>
      </w:pPr>
      <w:bookmarkStart w:name="五、公司员工情况" w:id="126"/>
      <w:bookmarkEnd w:id="126"/>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员工数量、专业构成及教育程度" w:id="127"/>
      <w:bookmarkEnd w:id="127"/>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113" w:type="dxa"/>
        <w:tblLayout w:type="fixed"/>
        <w:tblCellMar>
          <w:top w:w="0" w:type="dxa"/>
          <w:left w:w="0" w:type="dxa"/>
          <w:bottom w:w="0" w:type="dxa"/>
          <w:right w:w="0" w:type="dxa"/>
        </w:tblCellMar>
        <w:tblLook w:val="01E0"/>
      </w:tblPr>
      <w:tblGrid>
        <w:gridCol w:w="7070"/>
        <w:gridCol w:w="2614"/>
      </w:tblGrid>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26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1,455</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26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2,771</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26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4,226</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26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4,226</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26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968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2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26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3,325</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410</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r>
      <w:tr>
        <w:trPr>
          <w:trHeight w:val="402" w:hRule="exact"/>
        </w:trPr>
        <w:tc>
          <w:tcPr>
            <w:tcW w:w="70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7"/>
          <w:szCs w:val="7"/>
        </w:rPr>
      </w:pPr>
    </w:p>
    <w:tbl>
      <w:tblPr>
        <w:tblW w:w="0" w:type="auto"/>
        <w:jc w:val="left"/>
        <w:tblInd w:w="1101" w:type="dxa"/>
        <w:tblLayout w:type="fixed"/>
        <w:tblCellMar>
          <w:top w:w="0" w:type="dxa"/>
          <w:left w:w="0" w:type="dxa"/>
          <w:bottom w:w="0" w:type="dxa"/>
          <w:right w:w="0" w:type="dxa"/>
        </w:tblCellMar>
        <w:tblLook w:val="01E0"/>
      </w:tblPr>
      <w:tblGrid>
        <w:gridCol w:w="7087"/>
        <w:gridCol w:w="2608"/>
      </w:tblGrid>
      <w:tr>
        <w:trPr>
          <w:trHeight w:val="402" w:hRule="exact"/>
        </w:trPr>
        <w:tc>
          <w:tcPr>
            <w:tcW w:w="708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210</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shd w:val="clear" w:color="auto" w:fill="CCCCCC"/>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146</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0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4,226</w:t>
            </w:r>
          </w:p>
        </w:tc>
      </w:tr>
      <w:tr>
        <w:trPr>
          <w:trHeight w:val="402" w:hRule="exact"/>
        </w:trPr>
        <w:tc>
          <w:tcPr>
            <w:tcW w:w="969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2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8"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研究生及以上</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253</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大学本科</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2,869</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大学专科</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964</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大专以下</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140</w:t>
            </w:r>
          </w:p>
        </w:tc>
      </w:tr>
      <w:tr>
        <w:trPr>
          <w:trHeight w:val="402" w:hRule="exact"/>
        </w:trPr>
        <w:tc>
          <w:tcPr>
            <w:tcW w:w="70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4,226</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薪酬政策" w:id="128"/>
      <w:bookmarkEnd w:id="128"/>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6"/>
        <w:rPr>
          <w:rFonts w:ascii="宋体" w:hAnsi="宋体" w:cs="宋体" w:eastAsia="宋体" w:hint="default"/>
          <w:b/>
          <w:bCs/>
          <w:sz w:val="32"/>
          <w:szCs w:val="32"/>
        </w:rPr>
      </w:pPr>
    </w:p>
    <w:p>
      <w:pPr>
        <w:pStyle w:val="BodyText"/>
        <w:spacing w:line="463" w:lineRule="auto"/>
        <w:ind w:right="1033" w:firstLine="357"/>
        <w:jc w:val="left"/>
      </w:pPr>
      <w:r>
        <w:rPr>
          <w:spacing w:val="-5"/>
        </w:rPr>
        <w:t>公司根据国家人力资源和社会劳动保障的相关政策，结合地区、行业和公司的实际情况，制订了具有竞争力的薪酬策略。</w:t>
      </w:r>
      <w:r>
        <w:rPr/>
        <w:t> </w:t>
      </w:r>
      <w:r>
        <w:rPr>
          <w:spacing w:val="-5"/>
        </w:rPr>
        <w:t>公司本着</w:t>
      </w:r>
      <w:r>
        <w:rPr>
          <w:rFonts w:ascii="Times New Roman" w:hAnsi="Times New Roman" w:cs="Times New Roman" w:eastAsia="Times New Roman" w:hint="default"/>
          <w:spacing w:val="-5"/>
        </w:rPr>
        <w:t>“</w:t>
      </w:r>
      <w:r>
        <w:rPr>
          <w:spacing w:val="-5"/>
        </w:rPr>
        <w:t>以人为本</w:t>
      </w:r>
      <w:r>
        <w:rPr>
          <w:rFonts w:ascii="Times New Roman" w:hAnsi="Times New Roman" w:cs="Times New Roman" w:eastAsia="Times New Roman" w:hint="default"/>
          <w:spacing w:val="-5"/>
        </w:rPr>
        <w:t>”</w:t>
      </w:r>
      <w:r>
        <w:rPr>
          <w:spacing w:val="-5"/>
        </w:rPr>
        <w:t>的一贯宗旨，推行职位、职等管理模式，成立了薪酬与考核委员会来完成员工职等、薪酬的确定和评审，</w:t>
      </w:r>
      <w:r>
        <w:rPr>
          <w:spacing w:val="-52"/>
        </w:rPr>
        <w:t> </w:t>
      </w:r>
      <w:r>
        <w:rPr>
          <w:spacing w:val="-52"/>
        </w:rPr>
      </w:r>
      <w:r>
        <w:rPr/>
        <w:t>为员工设立专业及管理的双重职业发展路径，同时为员工薪酬确定、培训发展、绩效考核提供相关信息、依据。公司以</w:t>
      </w:r>
      <w:r>
        <w:rPr>
          <w:rFonts w:ascii="Times New Roman" w:hAnsi="Times New Roman" w:cs="Times New Roman" w:eastAsia="Times New Roman" w:hint="default"/>
        </w:rPr>
        <w:t>“</w:t>
      </w:r>
      <w:r>
        <w:rPr/>
        <w:t>高</w:t>
      </w:r>
      <w:r>
        <w:rPr>
          <w:spacing w:val="-73"/>
        </w:rPr>
        <w:t> </w:t>
      </w:r>
      <w:r>
        <w:rPr/>
        <w:t>贡献、高绩效、高回报</w:t>
      </w:r>
      <w:r>
        <w:rPr>
          <w:rFonts w:ascii="Times New Roman" w:hAnsi="Times New Roman" w:cs="Times New Roman" w:eastAsia="Times New Roman" w:hint="default"/>
        </w:rPr>
        <w:t>”</w:t>
      </w:r>
      <w:r>
        <w:rPr/>
        <w:t>为指导思想，实行</w:t>
      </w:r>
      <w:r>
        <w:rPr>
          <w:rFonts w:ascii="Times New Roman" w:hAnsi="Times New Roman" w:cs="Times New Roman" w:eastAsia="Times New Roman" w:hint="default"/>
        </w:rPr>
        <w:t>“</w:t>
      </w:r>
      <w:r>
        <w:rPr/>
        <w:t>宽带薪酬</w:t>
      </w:r>
      <w:r>
        <w:rPr>
          <w:rFonts w:ascii="Times New Roman" w:hAnsi="Times New Roman" w:cs="Times New Roman" w:eastAsia="Times New Roman" w:hint="default"/>
        </w:rPr>
        <w:t>”</w:t>
      </w:r>
      <w:r>
        <w:rPr/>
        <w:t>制度，即：将工作性质、工作内容和管理内容相似或者相同职类集合</w:t>
      </w:r>
      <w:r>
        <w:rPr>
          <w:spacing w:val="-57"/>
        </w:rPr>
        <w:t> </w:t>
      </w:r>
      <w:r>
        <w:rPr>
          <w:spacing w:val="-57"/>
        </w:rPr>
      </w:r>
      <w:r>
        <w:rPr>
          <w:spacing w:val="-2"/>
        </w:rPr>
        <w:t>成为序列，员工薪酬的确定和调整，依据序列对应的薪酬区间进行管理和控制，为员工的晋级、晋升明确了方向和路径，更</w:t>
      </w:r>
      <w:r>
        <w:rPr>
          <w:spacing w:val="-66"/>
        </w:rPr>
        <w:t> </w:t>
      </w:r>
      <w:r>
        <w:rPr>
          <w:spacing w:val="-66"/>
        </w:rPr>
      </w:r>
      <w:r>
        <w:rPr/>
        <w:t>好地帮助员工实现自己的职业生涯规划。对于骨干员工，公司实行结构化薪酬策略，兼顾短期收益和长期收益，绩效工资、</w:t>
      </w:r>
      <w:r>
        <w:rPr>
          <w:spacing w:val="-85"/>
        </w:rPr>
        <w:t> </w:t>
      </w:r>
      <w:r>
        <w:rPr>
          <w:spacing w:val="-85"/>
        </w:rPr>
      </w:r>
      <w:r>
        <w:rPr/>
        <w:t>股权激励、多样化福利多管齐下，全方位的激励员工，从而实现提升公司核心竞争力的目标。</w:t>
      </w:r>
    </w:p>
    <w:p>
      <w:pPr>
        <w:spacing w:line="240" w:lineRule="auto" w:before="1"/>
        <w:rPr>
          <w:rFonts w:ascii="宋体" w:hAnsi="宋体" w:cs="宋体" w:eastAsia="宋体" w:hint="default"/>
          <w:sz w:val="20"/>
          <w:szCs w:val="20"/>
        </w:rPr>
      </w:pPr>
    </w:p>
    <w:p>
      <w:pPr>
        <w:pStyle w:val="Heading3"/>
        <w:spacing w:line="240" w:lineRule="auto"/>
        <w:ind w:left="1133" w:right="0"/>
        <w:jc w:val="left"/>
        <w:rPr>
          <w:b w:val="0"/>
          <w:bCs w:val="0"/>
        </w:rPr>
      </w:pPr>
      <w:bookmarkStart w:name="3、培训计划" w:id="129"/>
      <w:bookmarkEnd w:id="129"/>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21" w:firstLine="357"/>
        <w:jc w:val="left"/>
      </w:pPr>
      <w:r>
        <w:rPr>
          <w:spacing w:val="-5"/>
        </w:rPr>
        <w:t>根据公司战略发展方向，结合业务要求及人才培养规划，公司制定了全面完善的培养方案，包含领导力培训、业务培训、</w:t>
      </w:r>
      <w:r>
        <w:rPr/>
        <w:t> 新员工培训等。</w:t>
      </w:r>
    </w:p>
    <w:p>
      <w:pPr>
        <w:pStyle w:val="BodyText"/>
        <w:spacing w:line="453" w:lineRule="auto" w:before="54"/>
        <w:ind w:right="0" w:firstLine="357"/>
        <w:jc w:val="left"/>
      </w:pPr>
      <w:r>
        <w:rPr>
          <w:rFonts w:ascii="Times New Roman" w:hAnsi="Times New Roman" w:cs="Times New Roman" w:eastAsia="Times New Roman" w:hint="default"/>
          <w:spacing w:val="-2"/>
        </w:rPr>
        <w:t>2017</w:t>
      </w:r>
      <w:r>
        <w:rPr>
          <w:spacing w:val="-2"/>
        </w:rPr>
        <w:t>年，公司持续关注管理干部的培养与发展，以全面提升干部领导力，打造公司企业家群为培养目标为管理层提供了</w:t>
      </w:r>
      <w:r>
        <w:rPr/>
        <w:t> 多项高端培训。报告期内，公司携手中欧商业在线推出了</w:t>
      </w:r>
      <w:r>
        <w:rPr>
          <w:rFonts w:ascii="Times New Roman" w:hAnsi="Times New Roman" w:cs="Times New Roman" w:eastAsia="Times New Roman" w:hint="default"/>
        </w:rPr>
        <w:t>“</w:t>
      </w:r>
      <w:r>
        <w:rPr/>
        <w:t>飞鹰班</w:t>
      </w:r>
      <w:r>
        <w:rPr>
          <w:rFonts w:ascii="Times New Roman" w:hAnsi="Times New Roman" w:cs="Times New Roman" w:eastAsia="Times New Roman" w:hint="default"/>
        </w:rPr>
        <w:t>——</w:t>
      </w:r>
      <w:r>
        <w:rPr/>
        <w:t>高绩效经理人成长营项目</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雏鹰班</w:t>
      </w:r>
      <w:r>
        <w:rPr>
          <w:rFonts w:ascii="Times New Roman" w:hAnsi="Times New Roman" w:cs="Times New Roman" w:eastAsia="Times New Roman" w:hint="default"/>
        </w:rPr>
        <w:t>——</w:t>
      </w:r>
      <w:r>
        <w:rPr/>
        <w:t>新经理成长</w:t>
      </w:r>
      <w:r>
        <w:rPr>
          <w:spacing w:val="-56"/>
        </w:rPr>
        <w:t> </w:t>
      </w:r>
      <w:r>
        <w:rPr>
          <w:spacing w:val="-56"/>
        </w:rPr>
      </w:r>
      <w:r>
        <w:rPr/>
        <w:t>营项目</w:t>
      </w:r>
      <w:r>
        <w:rPr>
          <w:rFonts w:ascii="Times New Roman" w:hAnsi="Times New Roman" w:cs="Times New Roman" w:eastAsia="Times New Roman" w:hint="default"/>
        </w:rPr>
        <w:t>”</w:t>
      </w:r>
      <w:r>
        <w:rPr/>
        <w:t>两个重磅人才培养项目，设计并实施了包含战略解码、创新管理、团队建设、有效沟通等课程，以研讨会、引导工</w:t>
      </w:r>
      <w:r>
        <w:rPr>
          <w:spacing w:val="-77"/>
        </w:rPr>
        <w:t> </w:t>
      </w:r>
      <w:r>
        <w:rPr>
          <w:spacing w:val="-77"/>
        </w:rPr>
      </w:r>
      <w:r>
        <w:rPr>
          <w:spacing w:val="-2"/>
        </w:rPr>
        <w:t>作坊、体验沙盘等形式，提升各级干部的日常管理能力和经营思维，此项目在以往传统培训的基础上进行了大胆的创新及突</w:t>
      </w:r>
      <w:r>
        <w:rPr>
          <w:spacing w:val="-66"/>
        </w:rPr>
        <w:t> </w:t>
      </w:r>
      <w:r>
        <w:rPr>
          <w:spacing w:val="-66"/>
        </w:rPr>
      </w:r>
      <w:r>
        <w:rPr/>
        <w:t>破，以互联网思维为导向，采取</w:t>
      </w:r>
      <w:r>
        <w:rPr>
          <w:rFonts w:ascii="Times New Roman" w:hAnsi="Times New Roman" w:cs="Times New Roman" w:eastAsia="Times New Roman" w:hint="default"/>
        </w:rPr>
        <w:t>O2O</w:t>
      </w:r>
      <w:r>
        <w:rPr/>
        <w:t>的培训模式，整合多种资源，灵活运用各种运营方式，最大化地发挥了课程资源优势，</w:t>
      </w:r>
      <w:r>
        <w:rPr>
          <w:spacing w:val="-75"/>
        </w:rPr>
        <w:t> </w:t>
      </w:r>
      <w:r>
        <w:rPr>
          <w:spacing w:val="-75"/>
        </w:rPr>
      </w:r>
      <w:r>
        <w:rPr/>
        <w:t>确保学习项目的高覆盖率及高时效性。公司凭借上述项目荣获了</w:t>
      </w:r>
      <w:r>
        <w:rPr>
          <w:rFonts w:ascii="Times New Roman" w:hAnsi="Times New Roman" w:cs="Times New Roman" w:eastAsia="Times New Roman" w:hint="default"/>
        </w:rPr>
        <w:t>“2017</w:t>
      </w:r>
      <w:r>
        <w:rPr/>
        <w:t>中欧企业最佳实践奖</w:t>
      </w:r>
      <w:r>
        <w:rPr>
          <w:rFonts w:ascii="Times New Roman" w:hAnsi="Times New Roman" w:cs="Times New Roman" w:eastAsia="Times New Roman" w:hint="default"/>
        </w:rPr>
        <w:t>”</w:t>
      </w:r>
      <w:r>
        <w:rPr/>
        <w:t>。报告期内，公司还组织中、高 层领导参加了中关村人才中心举办的包括</w:t>
      </w:r>
      <w:r>
        <w:rPr>
          <w:rFonts w:ascii="Times New Roman" w:hAnsi="Times New Roman" w:cs="Times New Roman" w:eastAsia="Times New Roman" w:hint="default"/>
        </w:rPr>
        <w:t>“</w:t>
      </w:r>
      <w:r>
        <w:rPr/>
        <w:t>高端领军人才专项培训</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中关村战略新兴产业专项人才提升特训营</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战略创</w:t>
      </w:r>
      <w:r>
        <w:rPr>
          <w:spacing w:val="-40"/>
        </w:rPr>
        <w:t> </w:t>
      </w:r>
      <w:r>
        <w:rPr>
          <w:spacing w:val="-40"/>
        </w:rPr>
      </w:r>
      <w:r>
        <w:rPr/>
        <w:t>新与运营决策</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人力资源战略升级与组织变革 </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资本战略与财务决策 </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w:t>
      </w:r>
      <w:r>
        <w:rPr>
          <w:spacing w:val="-3"/>
        </w:rPr>
        <w:t>高端领军企业家（ </w:t>
      </w:r>
      <w:r>
        <w:rPr>
          <w:rFonts w:ascii="Times New Roman" w:hAnsi="Times New Roman" w:cs="Times New Roman" w:eastAsia="Times New Roman" w:hint="default"/>
        </w:rPr>
        <w:t>MINI</w:t>
      </w:r>
      <w:r>
        <w:rPr>
          <w:rFonts w:ascii="Times New Roman" w:hAnsi="Times New Roman" w:cs="Times New Roman" w:eastAsia="Times New Roman" w:hint="default"/>
          <w:spacing w:val="3"/>
        </w:rPr>
        <w:t> </w:t>
      </w:r>
      <w:r>
        <w:rPr/>
        <w:t>商学）高级研修培</w:t>
      </w:r>
    </w:p>
    <w:p>
      <w:pPr>
        <w:spacing w:after="0" w:line="453"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left="1491" w:right="0" w:hanging="358"/>
        <w:jc w:val="left"/>
      </w:pPr>
      <w:r>
        <w:rPr/>
        <w:t>训项目</w:t>
      </w:r>
      <w:r>
        <w:rPr>
          <w:rFonts w:ascii="Times New Roman" w:hAnsi="Times New Roman" w:cs="Times New Roman" w:eastAsia="Times New Roman" w:hint="default"/>
        </w:rPr>
        <w:t>”</w:t>
      </w:r>
      <w:r>
        <w:rPr/>
        <w:t>等一系列培训项目。 </w:t>
      </w:r>
      <w:r>
        <w:rPr>
          <w:spacing w:val="-2"/>
        </w:rPr>
        <w:t>为了提升公司技术骨干和业务专家的技能水平，公司从产品设计、项目运营、前沿技术等方向开展培训工作，通过内外</w:t>
      </w:r>
    </w:p>
    <w:p>
      <w:pPr>
        <w:pStyle w:val="BodyText"/>
        <w:spacing w:line="458" w:lineRule="auto" w:before="74"/>
        <w:ind w:left="1134" w:right="1130"/>
        <w:jc w:val="both"/>
      </w:pPr>
      <w:r>
        <w:rPr/>
        <w:t>训相结合的方式，实施了诸如</w:t>
      </w:r>
      <w:r>
        <w:rPr>
          <w:rFonts w:ascii="Times New Roman" w:hAnsi="Times New Roman" w:cs="Times New Roman" w:eastAsia="Times New Roman" w:hint="default"/>
        </w:rPr>
        <w:t>ITSS</w:t>
      </w:r>
      <w:r>
        <w:rPr/>
        <w:t>、信息安全、大数据、人工智能、算法、架构等一系列专场培训。为了加强人才梯队建</w:t>
      </w:r>
      <w:r>
        <w:rPr>
          <w:spacing w:val="-16"/>
        </w:rPr>
        <w:t> </w:t>
      </w:r>
      <w:r>
        <w:rPr>
          <w:spacing w:val="-16"/>
        </w:rPr>
      </w:r>
      <w:r>
        <w:rPr/>
        <w:t>设，完善</w:t>
      </w:r>
      <w:r>
        <w:rPr>
          <w:rFonts w:ascii="Times New Roman" w:hAnsi="Times New Roman" w:cs="Times New Roman" w:eastAsia="Times New Roman" w:hint="default"/>
        </w:rPr>
        <w:t>HIPO</w:t>
      </w:r>
      <w:r>
        <w:rPr/>
        <w:t>计划（高潜力人才计划），针对新入职员工及实习生，公司采取内部培养、校企合作等多种方式，通过职业</w:t>
      </w:r>
      <w:r>
        <w:rPr>
          <w:spacing w:val="-58"/>
        </w:rPr>
        <w:t> </w:t>
      </w:r>
      <w:r>
        <w:rPr>
          <w:spacing w:val="-58"/>
        </w:rPr>
      </w:r>
      <w:r>
        <w:rPr>
          <w:spacing w:val="-2"/>
        </w:rPr>
        <w:t>发展规划、推行导师制、考核与约束等措施，加速潜力员工成长，加强公司后备力量。后续，公司将依据实际情况不断丰富</w:t>
      </w:r>
      <w:r>
        <w:rPr>
          <w:spacing w:val="-68"/>
        </w:rPr>
        <w:t> </w:t>
      </w:r>
      <w:r>
        <w:rPr>
          <w:spacing w:val="-68"/>
        </w:rPr>
      </w:r>
      <w:r>
        <w:rPr/>
        <w:t>课程内容，创新培训解决方案，完善培训体系建设。</w:t>
      </w:r>
    </w:p>
    <w:p>
      <w:pPr>
        <w:spacing w:line="240" w:lineRule="auto" w:before="5"/>
        <w:rPr>
          <w:rFonts w:ascii="宋体" w:hAnsi="宋体" w:cs="宋体" w:eastAsia="宋体" w:hint="default"/>
          <w:sz w:val="20"/>
          <w:szCs w:val="20"/>
        </w:rPr>
      </w:pPr>
    </w:p>
    <w:p>
      <w:pPr>
        <w:pStyle w:val="Heading3"/>
        <w:spacing w:line="240" w:lineRule="auto"/>
        <w:ind w:right="0"/>
        <w:jc w:val="both"/>
        <w:rPr>
          <w:b w:val="0"/>
          <w:bCs w:val="0"/>
        </w:rPr>
      </w:pPr>
      <w:bookmarkStart w:name="4、劳务外包情况" w:id="130"/>
      <w:bookmarkEnd w:id="130"/>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both"/>
        <w:rPr>
          <w:rFonts w:ascii="宋体" w:hAnsi="宋体" w:cs="宋体" w:eastAsia="宋体" w:hint="default"/>
          <w:sz w:val="18"/>
          <w:szCs w:val="18"/>
        </w:rPr>
        <w:sectPr>
          <w:pgSz w:w="11910" w:h="16840"/>
          <w:pgMar w:header="851" w:footer="979" w:top="1320" w:bottom="1160" w:left="0" w:right="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9"/>
          <w:szCs w:val="19"/>
        </w:rPr>
      </w:pPr>
    </w:p>
    <w:p>
      <w:pPr>
        <w:pStyle w:val="Heading1"/>
        <w:spacing w:line="240" w:lineRule="auto"/>
        <w:ind w:right="0"/>
        <w:jc w:val="center"/>
        <w:rPr>
          <w:b w:val="0"/>
          <w:bCs w:val="0"/>
        </w:rPr>
      </w:pPr>
      <w:bookmarkStart w:name="第九节 公司治理" w:id="131"/>
      <w:bookmarkEnd w:id="131"/>
      <w:r>
        <w:rPr>
          <w:b w:val="0"/>
          <w:bCs w:val="0"/>
        </w:rPr>
      </w:r>
      <w:bookmarkStart w:name="_bookmark8" w:id="132"/>
      <w:bookmarkEnd w:id="132"/>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left="1133" w:right="0"/>
        <w:jc w:val="both"/>
        <w:rPr>
          <w:b w:val="0"/>
          <w:bCs w:val="0"/>
        </w:rPr>
      </w:pPr>
      <w:bookmarkStart w:name="一、公司治理的基本状况" w:id="133"/>
      <w:bookmarkEnd w:id="133"/>
      <w:r>
        <w:rPr>
          <w:b w:val="0"/>
          <w:bCs w:val="0"/>
        </w:rPr>
      </w:r>
      <w:r>
        <w:rPr/>
        <w:t>一、公司治理的基本状况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0" w:firstLine="360"/>
        <w:jc w:val="both"/>
      </w:pPr>
      <w:r>
        <w:rPr>
          <w:spacing w:val="-2"/>
        </w:rPr>
        <w:t>公司严格按照《公司法》、《证券法》、《上市公司治理准则》、《深圳证券交易所创业板股票上市规则》、《深圳证</w:t>
      </w:r>
      <w:r>
        <w:rPr/>
        <w:t> </w:t>
      </w:r>
      <w:r>
        <w:rPr>
          <w:spacing w:val="-2"/>
        </w:rPr>
        <w:t>券交易所创业板上市公司规范运作指引》及中国证监会有关法律法规等的要求，确立了股东大会、董事会、监事会及经营管</w:t>
      </w:r>
      <w:r>
        <w:rPr>
          <w:spacing w:val="-66"/>
        </w:rPr>
        <w:t> </w:t>
      </w:r>
      <w:r>
        <w:rPr>
          <w:spacing w:val="-66"/>
        </w:rPr>
      </w:r>
      <w:r>
        <w:rPr>
          <w:spacing w:val="-2"/>
        </w:rPr>
        <w:t>理层的分层治理结构，并在公司董事会下设立了战略、审计、提名、薪酬与考核等专门委员会。报告期内，公司不断完善法</w:t>
      </w:r>
      <w:r>
        <w:rPr>
          <w:spacing w:val="-67"/>
        </w:rPr>
        <w:t> </w:t>
      </w:r>
      <w:r>
        <w:rPr>
          <w:spacing w:val="-67"/>
        </w:rPr>
      </w:r>
      <w:r>
        <w:rPr>
          <w:spacing w:val="-2"/>
        </w:rPr>
        <w:t>人治理结构，提高公司治理水平，建立健全各项内部管控制度，规范公司日常经营和整体运作，严格按照相关规定对公司重</w:t>
      </w:r>
      <w:r>
        <w:rPr>
          <w:spacing w:val="-66"/>
        </w:rPr>
        <w:t> </w:t>
      </w:r>
      <w:r>
        <w:rPr>
          <w:spacing w:val="-66"/>
        </w:rPr>
      </w:r>
      <w:r>
        <w:rPr/>
        <w:t>大事项进行信息披露，确保真实、准确、完整、及时、公平披露原则，有效保护广大投资者利益。</w:t>
      </w:r>
    </w:p>
    <w:p>
      <w:pPr>
        <w:pStyle w:val="BodyText"/>
        <w:spacing w:line="463" w:lineRule="auto" w:before="54"/>
        <w:ind w:right="1033" w:firstLine="360"/>
        <w:jc w:val="left"/>
      </w:pPr>
      <w:r>
        <w:rPr>
          <w:spacing w:val="-2"/>
        </w:rPr>
        <w:t>截至</w:t>
      </w:r>
      <w:r>
        <w:rPr>
          <w:rFonts w:ascii="Times New Roman" w:hAnsi="Times New Roman" w:cs="Times New Roman" w:eastAsia="Times New Roman" w:hint="default"/>
          <w:spacing w:val="-2"/>
        </w:rPr>
        <w:t>2017</w:t>
      </w:r>
      <w:r>
        <w:rPr>
          <w:spacing w:val="-2"/>
        </w:rPr>
        <w:t>年末，公司实际治理状况符合《上市公司治理准则》和《深圳证券交易所创业板上市公司规范运作指引》的要</w:t>
      </w:r>
      <w:r>
        <w:rPr/>
        <w:t> 求，重大生产经营决策、投资决策及财务决策均按照《公司章程》及有关内控制度的规定执行，相关机构和人员依法运作、</w:t>
      </w:r>
      <w:r>
        <w:rPr>
          <w:spacing w:val="-85"/>
        </w:rPr>
        <w:t> </w:t>
      </w:r>
      <w:r>
        <w:rPr>
          <w:spacing w:val="-85"/>
        </w:rPr>
      </w:r>
      <w:r>
        <w:rPr/>
        <w:t>尽职尽责，未出现违法、违规现象。</w:t>
      </w:r>
    </w:p>
    <w:p>
      <w:pPr>
        <w:pStyle w:val="BodyText"/>
        <w:spacing w:line="451" w:lineRule="auto" w:before="65"/>
        <w:ind w:left="1494" w:right="0" w:firstLine="1"/>
        <w:jc w:val="left"/>
      </w:pPr>
      <w:r>
        <w:rPr>
          <w:rFonts w:ascii="Times New Roman" w:hAnsi="Times New Roman" w:cs="Times New Roman" w:eastAsia="Times New Roman" w:hint="default"/>
          <w:b/>
          <w:bCs/>
        </w:rPr>
        <w:t>1</w:t>
      </w:r>
      <w:r>
        <w:rPr>
          <w:rFonts w:ascii="宋体" w:hAnsi="宋体" w:cs="宋体" w:eastAsia="宋体" w:hint="default"/>
          <w:b/>
          <w:bCs/>
        </w:rPr>
        <w:t>、股东与股东大会</w:t>
      </w:r>
      <w:r>
        <w:rPr>
          <w:rFonts w:ascii="宋体" w:hAnsi="宋体" w:cs="宋体" w:eastAsia="宋体" w:hint="default"/>
          <w:b/>
          <w:bCs/>
          <w:w w:val="99"/>
        </w:rPr>
        <w:t> </w:t>
      </w:r>
      <w:r>
        <w:rPr>
          <w:spacing w:val="-6"/>
        </w:rPr>
        <w:t>公司严格按照《上市公司股东大会规则》、《公司章程》、《股东大会议事规则》等规定的要求，召集、召开股东大会，</w:t>
      </w:r>
    </w:p>
    <w:p>
      <w:pPr>
        <w:pStyle w:val="BodyText"/>
        <w:spacing w:line="477" w:lineRule="auto" w:before="74"/>
        <w:ind w:left="1134" w:right="1131"/>
        <w:jc w:val="both"/>
      </w:pPr>
      <w:r>
        <w:rPr>
          <w:spacing w:val="-2"/>
        </w:rPr>
        <w:t>并为股东参加会议提供便利，使其充分行使股东权利。公司股东大会在审议每项议案过程中设有议事程序，能够平等对待所</w:t>
      </w:r>
      <w:r>
        <w:rPr>
          <w:spacing w:val="-66"/>
        </w:rPr>
        <w:t> </w:t>
      </w:r>
      <w:r>
        <w:rPr>
          <w:spacing w:val="-66"/>
        </w:rPr>
      </w:r>
      <w:r>
        <w:rPr>
          <w:spacing w:val="-2"/>
        </w:rPr>
        <w:t>有股东，就股东的质询作出解释和说明，听取股东的建议与意见，保证了中小股东的话语权，并通过聘请律师出席见证保证</w:t>
      </w:r>
      <w:r>
        <w:rPr>
          <w:spacing w:val="-66"/>
        </w:rPr>
        <w:t> </w:t>
      </w:r>
      <w:r>
        <w:rPr>
          <w:spacing w:val="-66"/>
        </w:rPr>
      </w:r>
      <w:r>
        <w:rPr/>
        <w:t>了会议的召集、召开和表决程序的合法性。</w:t>
      </w:r>
    </w:p>
    <w:p>
      <w:pPr>
        <w:pStyle w:val="BodyText"/>
        <w:spacing w:line="451" w:lineRule="auto" w:before="54"/>
        <w:ind w:left="1493" w:right="0" w:firstLine="1"/>
        <w:jc w:val="left"/>
      </w:pPr>
      <w:r>
        <w:rPr>
          <w:rFonts w:ascii="Times New Roman" w:hAnsi="Times New Roman" w:cs="Times New Roman" w:eastAsia="Times New Roman" w:hint="default"/>
          <w:b/>
          <w:bCs/>
        </w:rPr>
        <w:t>2</w:t>
      </w:r>
      <w:r>
        <w:rPr>
          <w:rFonts w:ascii="宋体" w:hAnsi="宋体" w:cs="宋体" w:eastAsia="宋体" w:hint="default"/>
          <w:b/>
          <w:bCs/>
        </w:rPr>
        <w:t>、控股股东与上市公司</w:t>
      </w:r>
      <w:r>
        <w:rPr>
          <w:rFonts w:ascii="宋体" w:hAnsi="宋体" w:cs="宋体" w:eastAsia="宋体" w:hint="default"/>
          <w:b/>
          <w:bCs/>
          <w:w w:val="99"/>
        </w:rPr>
        <w:t> </w:t>
      </w:r>
      <w:r>
        <w:rPr>
          <w:spacing w:val="-2"/>
        </w:rPr>
        <w:t>公司严格按照《公司法》、《证券法》、《公司章程》及证券监管部门的有关规定正确处理与控股股东的关系。公司控</w:t>
      </w:r>
    </w:p>
    <w:p>
      <w:pPr>
        <w:pStyle w:val="BodyText"/>
        <w:spacing w:line="477" w:lineRule="auto" w:before="74"/>
        <w:ind w:right="1132"/>
        <w:jc w:val="both"/>
      </w:pPr>
      <w:r>
        <w:rPr>
          <w:spacing w:val="-2"/>
        </w:rPr>
        <w:t>股股东严格规范自身行为，依法行使其权利并承担相应义务，没有超越股东大会直接或间接干预本公司的决策和生产经营活</w:t>
      </w:r>
      <w:r>
        <w:rPr>
          <w:spacing w:val="-64"/>
        </w:rPr>
        <w:t> </w:t>
      </w:r>
      <w:r>
        <w:rPr>
          <w:spacing w:val="-64"/>
        </w:rPr>
      </w:r>
      <w:r>
        <w:rPr>
          <w:spacing w:val="-2"/>
        </w:rPr>
        <w:t>动。公司拥有独立完整的业务和自主经营能力，董事会、监事会和其他内部机构独立运作。报告期内，未发生超越股东大会</w:t>
      </w:r>
      <w:r>
        <w:rPr>
          <w:spacing w:val="-66"/>
        </w:rPr>
        <w:t> </w:t>
      </w:r>
      <w:r>
        <w:rPr>
          <w:spacing w:val="-66"/>
        </w:rPr>
      </w:r>
      <w:r>
        <w:rPr/>
        <w:t>和董事会的授权权限，直接或间接干预公司决策和经营活动及利用其控制地位侵害其他股东利益的行为出现。</w:t>
      </w:r>
    </w:p>
    <w:p>
      <w:pPr>
        <w:pStyle w:val="BodyText"/>
        <w:spacing w:line="451" w:lineRule="auto" w:before="54"/>
        <w:ind w:left="1494" w:right="1122" w:firstLine="1"/>
        <w:jc w:val="left"/>
      </w:pPr>
      <w:r>
        <w:rPr>
          <w:rFonts w:ascii="Times New Roman" w:hAnsi="Times New Roman" w:cs="Times New Roman" w:eastAsia="Times New Roman" w:hint="default"/>
          <w:b/>
          <w:bCs/>
        </w:rPr>
        <w:t>3</w:t>
      </w:r>
      <w:r>
        <w:rPr>
          <w:rFonts w:ascii="宋体" w:hAnsi="宋体" w:cs="宋体" w:eastAsia="宋体" w:hint="default"/>
          <w:b/>
          <w:bCs/>
        </w:rPr>
        <w:t>、董事和董事会</w:t>
      </w:r>
      <w:r>
        <w:rPr>
          <w:rFonts w:ascii="宋体" w:hAnsi="宋体" w:cs="宋体" w:eastAsia="宋体" w:hint="default"/>
          <w:b/>
          <w:bCs/>
          <w:w w:val="99"/>
        </w:rPr>
        <w:t> </w:t>
      </w:r>
      <w:r>
        <w:rPr/>
        <w:t>公司董事会设董事</w:t>
      </w:r>
      <w:r>
        <w:rPr>
          <w:rFonts w:ascii="Times New Roman" w:hAnsi="Times New Roman" w:cs="Times New Roman" w:eastAsia="Times New Roman" w:hint="default"/>
        </w:rPr>
        <w:t>11</w:t>
      </w:r>
      <w:r>
        <w:rPr/>
        <w:t>名，其中独立董事</w:t>
      </w:r>
      <w:r>
        <w:rPr>
          <w:rFonts w:ascii="Times New Roman" w:hAnsi="Times New Roman" w:cs="Times New Roman" w:eastAsia="Times New Roman" w:hint="default"/>
        </w:rPr>
        <w:t>4</w:t>
      </w:r>
      <w:r>
        <w:rPr/>
        <w:t>名，董事会的人数及人员构成符合法律、法规和《公司章程》的要求。任职期</w:t>
      </w:r>
    </w:p>
    <w:p>
      <w:pPr>
        <w:pStyle w:val="BodyText"/>
        <w:spacing w:line="477" w:lineRule="auto" w:before="43"/>
        <w:ind w:left="1134" w:right="1130"/>
        <w:jc w:val="both"/>
      </w:pPr>
      <w:r>
        <w:rPr>
          <w:spacing w:val="-2"/>
        </w:rPr>
        <w:t>间，公司全体董事勤勉尽责开展工作，持续关注公司经营状况，主动参加相关培训，提高规范运作水平；积极参加董事会会</w:t>
      </w:r>
      <w:r>
        <w:rPr>
          <w:spacing w:val="-66"/>
        </w:rPr>
        <w:t> </w:t>
      </w:r>
      <w:r>
        <w:rPr>
          <w:spacing w:val="-66"/>
        </w:rPr>
      </w:r>
      <w:r>
        <w:rPr>
          <w:spacing w:val="-2"/>
        </w:rPr>
        <w:t>议，充分发挥各自的专业特长，审慎决策，维护公司和广大股东的利益。公司董事会会议的召集、召开等程序均符合相关规</w:t>
      </w:r>
      <w:r>
        <w:rPr>
          <w:spacing w:val="-66"/>
        </w:rPr>
        <w:t> </w:t>
      </w:r>
      <w:r>
        <w:rPr>
          <w:spacing w:val="-66"/>
        </w:rPr>
      </w:r>
      <w:r>
        <w:rPr>
          <w:spacing w:val="-2"/>
        </w:rPr>
        <w:t>定的要求；历次董事会会议记录内容真实、准确、完整，保存安全；会议决议做到充分准确且及时披露。董事会下设战略委</w:t>
      </w:r>
      <w:r>
        <w:rPr>
          <w:spacing w:val="-67"/>
        </w:rPr>
        <w:t> </w:t>
      </w:r>
      <w:r>
        <w:rPr>
          <w:spacing w:val="-67"/>
        </w:rPr>
      </w:r>
      <w:r>
        <w:rPr/>
        <w:t>员会、审计委员会、薪酬与考核委员会、提名委员会。</w:t>
      </w:r>
    </w:p>
    <w:p>
      <w:pPr>
        <w:pStyle w:val="Heading4"/>
        <w:spacing w:line="240" w:lineRule="auto" w:before="54"/>
        <w:ind w:right="0"/>
        <w:jc w:val="left"/>
        <w:rPr>
          <w:b w:val="0"/>
          <w:bCs w:val="0"/>
        </w:rPr>
      </w:pPr>
      <w:r>
        <w:rPr>
          <w:rFonts w:ascii="Times New Roman" w:hAnsi="Times New Roman" w:cs="Times New Roman" w:eastAsia="Times New Roman" w:hint="default"/>
        </w:rPr>
        <w:t>4</w:t>
      </w:r>
      <w:r>
        <w:rPr/>
        <w:t>、监事和监事会</w:t>
      </w:r>
      <w:r>
        <w:rPr>
          <w:b w:val="0"/>
          <w:bCs w:val="0"/>
        </w:rPr>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b/>
          <w:bCs/>
          <w:sz w:val="11"/>
          <w:szCs w:val="11"/>
        </w:rPr>
      </w:pPr>
    </w:p>
    <w:p>
      <w:pPr>
        <w:pStyle w:val="BodyText"/>
        <w:spacing w:line="463" w:lineRule="auto" w:before="44"/>
        <w:ind w:right="1130" w:firstLine="360"/>
        <w:jc w:val="both"/>
      </w:pPr>
      <w:r>
        <w:rPr>
          <w:spacing w:val="-2"/>
        </w:rPr>
        <w:t>公司监事会设监事</w:t>
      </w:r>
      <w:r>
        <w:rPr>
          <w:rFonts w:ascii="Times New Roman" w:hAnsi="Times New Roman" w:cs="Times New Roman" w:eastAsia="Times New Roman" w:hint="default"/>
          <w:spacing w:val="-2"/>
        </w:rPr>
        <w:t>3</w:t>
      </w:r>
      <w:r>
        <w:rPr>
          <w:spacing w:val="-2"/>
        </w:rPr>
        <w:t>名，其中职工监事</w:t>
      </w:r>
      <w:r>
        <w:rPr>
          <w:rFonts w:ascii="Times New Roman" w:hAnsi="Times New Roman" w:cs="Times New Roman" w:eastAsia="Times New Roman" w:hint="default"/>
          <w:spacing w:val="-2"/>
        </w:rPr>
        <w:t>1</w:t>
      </w:r>
      <w:r>
        <w:rPr>
          <w:spacing w:val="-2"/>
        </w:rPr>
        <w:t>名，监事会的人数和构成符合法律、法规的要求。公司监事能够按照《监事会议</w:t>
      </w:r>
      <w:r>
        <w:rPr/>
        <w:t> </w:t>
      </w:r>
      <w:r>
        <w:rPr>
          <w:spacing w:val="-2"/>
        </w:rPr>
        <w:t>事规则》的要求，认真履行自己的职责，对公司重大事项、关联交易、财务状况以及董事、高管人员履行职责的合法合规性</w:t>
      </w:r>
      <w:r>
        <w:rPr>
          <w:spacing w:val="-68"/>
        </w:rPr>
        <w:t> </w:t>
      </w:r>
      <w:r>
        <w:rPr>
          <w:spacing w:val="-68"/>
        </w:rPr>
      </w:r>
      <w:r>
        <w:rPr/>
        <w:t>进行监督。</w:t>
      </w:r>
    </w:p>
    <w:p>
      <w:pPr>
        <w:spacing w:line="451" w:lineRule="auto" w:before="65"/>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、绩效评价与激励约束机制</w:t>
      </w:r>
      <w:r>
        <w:rPr>
          <w:rFonts w:ascii="宋体" w:hAnsi="宋体" w:cs="宋体" w:eastAsia="宋体" w:hint="default"/>
          <w:b/>
          <w:bCs/>
          <w:w w:val="99"/>
          <w:sz w:val="18"/>
          <w:szCs w:val="18"/>
        </w:rPr>
        <w:t> </w:t>
      </w:r>
      <w:r>
        <w:rPr>
          <w:rFonts w:ascii="宋体" w:hAnsi="宋体" w:cs="宋体" w:eastAsia="宋体" w:hint="default"/>
          <w:spacing w:val="-2"/>
          <w:sz w:val="18"/>
          <w:szCs w:val="18"/>
        </w:rPr>
        <w:t>公司已建立企业绩效评价激励体系，并在报告期内不断完善。董事、监事和高级管理人员的绩效评价标准和激励约束机</w:t>
      </w:r>
    </w:p>
    <w:p>
      <w:pPr>
        <w:pStyle w:val="BodyText"/>
        <w:spacing w:line="240" w:lineRule="auto" w:before="74"/>
        <w:ind w:right="0"/>
        <w:jc w:val="both"/>
      </w:pPr>
      <w:r>
        <w:rPr/>
        <w:t>制公开、透明，符合法律、法规的规定。</w:t>
      </w:r>
    </w:p>
    <w:p>
      <w:pPr>
        <w:spacing w:line="240" w:lineRule="auto" w:before="10"/>
        <w:rPr>
          <w:rFonts w:ascii="宋体" w:hAnsi="宋体" w:cs="宋体" w:eastAsia="宋体" w:hint="default"/>
          <w:sz w:val="17"/>
          <w:szCs w:val="17"/>
        </w:rPr>
      </w:pPr>
    </w:p>
    <w:p>
      <w:pPr>
        <w:pStyle w:val="BodyText"/>
        <w:spacing w:line="451" w:lineRule="auto"/>
        <w:ind w:left="1493" w:right="0" w:firstLine="1"/>
        <w:jc w:val="left"/>
      </w:pPr>
      <w:r>
        <w:rPr>
          <w:rFonts w:ascii="Times New Roman" w:hAnsi="Times New Roman" w:cs="Times New Roman" w:eastAsia="Times New Roman" w:hint="default"/>
          <w:b/>
          <w:bCs/>
        </w:rPr>
        <w:t>6</w:t>
      </w:r>
      <w:r>
        <w:rPr>
          <w:rFonts w:ascii="宋体" w:hAnsi="宋体" w:cs="宋体" w:eastAsia="宋体" w:hint="default"/>
          <w:b/>
          <w:bCs/>
        </w:rPr>
        <w:t>、关于信息披露与透明度</w:t>
      </w:r>
      <w:r>
        <w:rPr>
          <w:rFonts w:ascii="宋体" w:hAnsi="宋体" w:cs="宋体" w:eastAsia="宋体" w:hint="default"/>
          <w:b/>
          <w:bCs/>
          <w:w w:val="99"/>
        </w:rPr>
        <w:t> </w:t>
      </w:r>
      <w:r>
        <w:rPr>
          <w:spacing w:val="-2"/>
        </w:rPr>
        <w:t>公司严格按照有关法律法规以及《信息披露制度》、《投资者关系管理制度》等的要求，真实、准确、完整、及时、公</w:t>
      </w:r>
    </w:p>
    <w:p>
      <w:pPr>
        <w:pStyle w:val="BodyText"/>
        <w:spacing w:line="463" w:lineRule="auto" w:before="74"/>
        <w:ind w:right="1131"/>
        <w:jc w:val="both"/>
      </w:pPr>
      <w:r>
        <w:rPr/>
        <w:t>平地披露有关信息；并指定公司董事会秘书负责信息披露工作，协调公司与投资者的关系</w:t>
      </w:r>
      <w:r>
        <w:rPr>
          <w:rFonts w:ascii="Times New Roman" w:hAnsi="Times New Roman" w:cs="Times New Roman" w:eastAsia="Times New Roman" w:hint="default"/>
        </w:rPr>
        <w:t>,</w:t>
      </w:r>
      <w:r>
        <w:rPr/>
        <w:t>接待投资者来访调研，回答投资</w:t>
      </w:r>
      <w:r>
        <w:rPr>
          <w:spacing w:val="-42"/>
        </w:rPr>
        <w:t> </w:t>
      </w:r>
      <w:r>
        <w:rPr>
          <w:spacing w:val="-42"/>
        </w:rPr>
      </w:r>
      <w:r>
        <w:rPr>
          <w:spacing w:val="-2"/>
        </w:rPr>
        <w:t>者咨询；并指定《证券时报》以及巨潮资讯网为公司信息披露的指定报纸和网站，确保公司所有投资者能够以平等的机会获</w:t>
      </w:r>
      <w:r>
        <w:rPr>
          <w:spacing w:val="-66"/>
        </w:rPr>
        <w:t> </w:t>
      </w:r>
      <w:r>
        <w:rPr>
          <w:spacing w:val="-66"/>
        </w:rPr>
      </w:r>
      <w:r>
        <w:rPr/>
        <w:t>得信息。</w:t>
      </w:r>
    </w:p>
    <w:p>
      <w:pPr>
        <w:pStyle w:val="BodyText"/>
        <w:spacing w:line="451" w:lineRule="auto" w:before="65"/>
        <w:ind w:left="1494" w:right="0" w:firstLine="1"/>
        <w:jc w:val="left"/>
      </w:pPr>
      <w:r>
        <w:rPr>
          <w:rFonts w:ascii="Times New Roman" w:hAnsi="Times New Roman" w:cs="Times New Roman" w:eastAsia="Times New Roman" w:hint="default"/>
          <w:b/>
          <w:bCs/>
        </w:rPr>
        <w:t>7</w:t>
      </w:r>
      <w:r>
        <w:rPr>
          <w:rFonts w:ascii="宋体" w:hAnsi="宋体" w:cs="宋体" w:eastAsia="宋体" w:hint="default"/>
          <w:b/>
          <w:bCs/>
        </w:rPr>
        <w:t>、关于相关利益者</w:t>
      </w:r>
      <w:r>
        <w:rPr>
          <w:rFonts w:ascii="宋体" w:hAnsi="宋体" w:cs="宋体" w:eastAsia="宋体" w:hint="default"/>
          <w:b/>
          <w:bCs/>
          <w:w w:val="99"/>
        </w:rPr>
        <w:t> </w:t>
      </w:r>
      <w:r>
        <w:rPr>
          <w:spacing w:val="-2"/>
        </w:rPr>
        <w:t>公司充分尊重和维护相关利益者的合法权益，实现社会、股东、公司、员工等各方面利益的协调平衡，诚信对待供应商</w:t>
      </w:r>
    </w:p>
    <w:p>
      <w:pPr>
        <w:pStyle w:val="BodyText"/>
        <w:spacing w:line="240" w:lineRule="auto" w:before="74"/>
        <w:ind w:left="1134" w:right="0"/>
        <w:jc w:val="both"/>
      </w:pPr>
      <w:r>
        <w:rPr/>
        <w:t>和客户，坚持与相关利益者互利共赢的原则，共同推动公司持续、稳健发展。</w:t>
      </w:r>
    </w:p>
    <w:p>
      <w:pPr>
        <w:spacing w:line="240" w:lineRule="auto" w:before="10"/>
        <w:rPr>
          <w:rFonts w:ascii="宋体" w:hAnsi="宋体" w:cs="宋体" w:eastAsia="宋体" w:hint="default"/>
          <w:sz w:val="17"/>
          <w:szCs w:val="17"/>
        </w:rPr>
      </w:pPr>
    </w:p>
    <w:p>
      <w:pPr>
        <w:pStyle w:val="BodyText"/>
        <w:spacing w:line="451" w:lineRule="auto"/>
        <w:ind w:left="1493" w:right="0" w:firstLine="1"/>
        <w:jc w:val="left"/>
      </w:pPr>
      <w:r>
        <w:rPr>
          <w:rFonts w:ascii="Times New Roman" w:hAnsi="Times New Roman" w:cs="Times New Roman" w:eastAsia="Times New Roman" w:hint="default"/>
          <w:b/>
          <w:bCs/>
        </w:rPr>
        <w:t>8</w:t>
      </w:r>
      <w:r>
        <w:rPr>
          <w:rFonts w:ascii="宋体" w:hAnsi="宋体" w:cs="宋体" w:eastAsia="宋体" w:hint="default"/>
          <w:b/>
          <w:bCs/>
        </w:rPr>
        <w:t>、关于内部审计体系</w:t>
      </w:r>
      <w:r>
        <w:rPr>
          <w:rFonts w:ascii="宋体" w:hAnsi="宋体" w:cs="宋体" w:eastAsia="宋体" w:hint="default"/>
          <w:b/>
          <w:bCs/>
          <w:w w:val="99"/>
        </w:rPr>
        <w:t> </w:t>
      </w:r>
      <w:r>
        <w:rPr>
          <w:spacing w:val="-2"/>
        </w:rPr>
        <w:t>公司董事会下设审计委员会，主要负责公司内部审计与外部审计之间进行沟通，并监督公司内部审计制度的实施，审查</w:t>
      </w:r>
    </w:p>
    <w:p>
      <w:pPr>
        <w:pStyle w:val="BodyText"/>
        <w:spacing w:line="477" w:lineRule="auto" w:before="74"/>
        <w:ind w:right="1132"/>
        <w:jc w:val="both"/>
      </w:pPr>
      <w:r>
        <w:rPr>
          <w:spacing w:val="-2"/>
        </w:rPr>
        <w:t>公司内部控制制度的执行情况，审查公司的财务信息及披露正常等。审计委员会下设独立的内审部，内审部直接对审计委员</w:t>
      </w:r>
      <w:r>
        <w:rPr>
          <w:spacing w:val="-66"/>
        </w:rPr>
        <w:t> </w:t>
      </w:r>
      <w:r>
        <w:rPr>
          <w:spacing w:val="-66"/>
        </w:rPr>
      </w:r>
      <w:r>
        <w:rPr>
          <w:spacing w:val="-2"/>
        </w:rPr>
        <w:t>会负责及报告工作。公司严格根据《公司法》、《证券法》、《企业内部控制基本规范》等有关法律、法规和规章制度，结</w:t>
      </w:r>
      <w:r>
        <w:rPr>
          <w:spacing w:val="-72"/>
        </w:rPr>
        <w:t> </w:t>
      </w:r>
      <w:r>
        <w:rPr>
          <w:spacing w:val="-72"/>
        </w:rPr>
      </w:r>
      <w:r>
        <w:rPr>
          <w:spacing w:val="-2"/>
        </w:rPr>
        <w:t>合公司的实际情况、自身特点和管理需要，制定了贯穿于公司生产经营各层面、各环节的内部控制体系，规范经营，控制风</w:t>
      </w:r>
      <w:r>
        <w:rPr>
          <w:spacing w:val="-66"/>
        </w:rPr>
        <w:t> </w:t>
      </w:r>
      <w:r>
        <w:rPr>
          <w:spacing w:val="-66"/>
        </w:rPr>
      </w:r>
      <w:r>
        <w:rPr/>
        <w:t>险。</w:t>
      </w:r>
    </w:p>
    <w:p>
      <w:pPr>
        <w:pStyle w:val="Heading4"/>
        <w:spacing w:line="240" w:lineRule="auto" w:before="95"/>
        <w:ind w:left="1134" w:right="0"/>
        <w:jc w:val="both"/>
        <w:rPr>
          <w:b w:val="0"/>
          <w:bCs w:val="0"/>
        </w:rPr>
      </w:pPr>
      <w:r>
        <w:rPr/>
        <w:t>公司治理的实际状况与中国证监会发布的有关上市公司治理的规范性文件是否存在重大差异</w:t>
      </w:r>
      <w:r>
        <w:rPr>
          <w:b w:val="0"/>
          <w:bCs w:val="0"/>
        </w:rPr>
      </w:r>
    </w:p>
    <w:p>
      <w:pPr>
        <w:spacing w:line="240" w:lineRule="auto" w:before="12"/>
        <w:rPr>
          <w:rFonts w:ascii="宋体" w:hAnsi="宋体" w:cs="宋体" w:eastAsia="宋体" w:hint="default"/>
          <w:b/>
          <w:bCs/>
          <w:sz w:val="20"/>
          <w:szCs w:val="20"/>
        </w:rPr>
      </w:pPr>
    </w:p>
    <w:p>
      <w:pPr>
        <w:pStyle w:val="BodyText"/>
        <w:spacing w:line="489" w:lineRule="auto"/>
        <w:ind w:right="355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b/>
          <w:bCs/>
        </w:rPr>
        <w:t>√ </w:t>
      </w:r>
      <w:r>
        <w:rPr>
          <w:rFonts w:ascii="宋体" w:hAnsi="宋体" w:cs="宋体" w:eastAsia="宋体" w:hint="default"/>
          <w:b/>
          <w:bCs/>
        </w:rPr>
        <w:t>否</w:t>
      </w:r>
      <w:r>
        <w:rPr>
          <w:rFonts w:ascii="宋体" w:hAnsi="宋体" w:cs="宋体" w:eastAsia="宋体" w:hint="default"/>
          <w:b/>
          <w:bCs/>
          <w:w w:val="99"/>
        </w:rPr>
        <w:t> </w:t>
      </w:r>
      <w:r>
        <w:rPr/>
        <w:t>公司治理的实际状况与中国证监会发布的有关上市公司治理的规范性文件不存在重大差异。</w:t>
      </w:r>
    </w:p>
    <w:p>
      <w:pPr>
        <w:spacing w:line="240" w:lineRule="auto" w:before="8"/>
        <w:rPr>
          <w:rFonts w:ascii="宋体" w:hAnsi="宋体" w:cs="宋体" w:eastAsia="宋体" w:hint="default"/>
          <w:sz w:val="16"/>
          <w:szCs w:val="16"/>
        </w:rPr>
      </w:pPr>
    </w:p>
    <w:p>
      <w:pPr>
        <w:pStyle w:val="Heading2"/>
        <w:spacing w:line="240" w:lineRule="auto"/>
        <w:ind w:left="1133" w:right="0"/>
        <w:jc w:val="both"/>
        <w:rPr>
          <w:b w:val="0"/>
          <w:bCs w:val="0"/>
        </w:rPr>
      </w:pPr>
      <w:bookmarkStart w:name="二、公司相对于控股股东在业务、人员、资产、机构、财务等方面的独立情况" w:id="134"/>
      <w:bookmarkEnd w:id="134"/>
      <w:r>
        <w:rPr>
          <w:b w:val="0"/>
          <w:bCs w:val="0"/>
        </w:rPr>
      </w: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133" w:firstLine="357"/>
        <w:jc w:val="both"/>
      </w:pPr>
      <w:r>
        <w:rPr>
          <w:spacing w:val="-5"/>
        </w:rPr>
        <w:t>公司与控股股东实行了人员、资产、财务分开，机构、业务独立，各自独立核算、独立承担责任和风险，公司具有独立、</w:t>
      </w:r>
      <w:r>
        <w:rPr/>
        <w:t> 完整的业务和自主经营的能力。</w:t>
      </w:r>
    </w:p>
    <w:p>
      <w:pPr>
        <w:pStyle w:val="BodyText"/>
        <w:spacing w:line="240" w:lineRule="auto" w:before="54"/>
        <w:ind w:left="1491" w:right="0"/>
        <w:jc w:val="left"/>
      </w:pPr>
      <w:r>
        <w:rPr>
          <w:rFonts w:ascii="Times New Roman" w:hAnsi="Times New Roman" w:cs="Times New Roman" w:eastAsia="Times New Roman" w:hint="default"/>
        </w:rPr>
        <w:t>1</w:t>
      </w:r>
      <w:r>
        <w:rPr/>
        <w:t>、业务方面：公司在业务方面完全独立于控股股东及其关联人，具有独立自主地开展生产经营活动的能力。</w:t>
      </w:r>
    </w:p>
    <w:p>
      <w:pPr>
        <w:spacing w:line="240" w:lineRule="auto" w:before="9"/>
        <w:rPr>
          <w:rFonts w:ascii="宋体" w:hAnsi="宋体" w:cs="宋体" w:eastAsia="宋体" w:hint="default"/>
          <w:sz w:val="16"/>
          <w:szCs w:val="16"/>
        </w:rPr>
      </w:pPr>
    </w:p>
    <w:p>
      <w:pPr>
        <w:pStyle w:val="BodyText"/>
        <w:spacing w:line="240" w:lineRule="auto"/>
        <w:ind w:left="1491" w:right="0"/>
        <w:jc w:val="left"/>
      </w:pPr>
      <w:r>
        <w:rPr>
          <w:rFonts w:ascii="Times New Roman" w:hAnsi="Times New Roman" w:cs="Times New Roman" w:eastAsia="Times New Roman" w:hint="default"/>
        </w:rPr>
        <w:t>2</w:t>
      </w:r>
      <w:r>
        <w:rPr/>
        <w:t>、人员方面：公司设有独立的人力资源部，负责人力资源开发与管理，与控股股东在劳动、人事及工资管理等方面相</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t>互独立。</w:t>
      </w:r>
    </w:p>
    <w:p>
      <w:pPr>
        <w:spacing w:line="240" w:lineRule="auto" w:before="10"/>
        <w:rPr>
          <w:rFonts w:ascii="宋体" w:hAnsi="宋体" w:cs="宋体" w:eastAsia="宋体" w:hint="default"/>
          <w:sz w:val="17"/>
          <w:szCs w:val="17"/>
        </w:rPr>
      </w:pPr>
    </w:p>
    <w:p>
      <w:pPr>
        <w:pStyle w:val="BodyText"/>
        <w:spacing w:line="451" w:lineRule="auto"/>
        <w:ind w:left="1134" w:right="1125" w:firstLine="357"/>
        <w:jc w:val="left"/>
      </w:pPr>
      <w:r>
        <w:rPr>
          <w:rFonts w:ascii="Times New Roman" w:hAnsi="Times New Roman" w:cs="Times New Roman" w:eastAsia="Times New Roman" w:hint="default"/>
        </w:rPr>
        <w:t>3</w:t>
      </w:r>
      <w:r>
        <w:rPr/>
        <w:t>、资产方面：公司具有独立的法人资格，对公司财产拥有独立的法人财产权，公司拥有独立的土地使用权、房屋产权 和经营权，公司的资产完全独立于控股股东。</w:t>
      </w:r>
    </w:p>
    <w:p>
      <w:pPr>
        <w:pStyle w:val="BodyText"/>
        <w:spacing w:line="451" w:lineRule="auto" w:before="74"/>
        <w:ind w:left="1134" w:right="1125" w:firstLine="357"/>
        <w:jc w:val="left"/>
      </w:pPr>
      <w:r>
        <w:rPr>
          <w:rFonts w:ascii="Times New Roman" w:hAnsi="Times New Roman" w:cs="Times New Roman" w:eastAsia="Times New Roman" w:hint="default"/>
        </w:rPr>
        <w:t>4</w:t>
      </w:r>
      <w:r>
        <w:rPr/>
        <w:t>、机构方面：公司的董事会、监事会及其他内部机构独立运作，独立行使经营管理权，不存在与控股股东、实际控制 人及其关联人机构混同等影响公司独立运营的情形。</w:t>
      </w:r>
    </w:p>
    <w:p>
      <w:pPr>
        <w:pStyle w:val="BodyText"/>
        <w:spacing w:line="451" w:lineRule="auto" w:before="74"/>
        <w:ind w:left="1134" w:right="0" w:firstLine="357"/>
        <w:jc w:val="left"/>
      </w:pPr>
      <w:r>
        <w:rPr>
          <w:rFonts w:ascii="Times New Roman" w:hAnsi="Times New Roman" w:cs="Times New Roman" w:eastAsia="Times New Roman" w:hint="default"/>
          <w:spacing w:val="-4"/>
        </w:rPr>
        <w:t>5</w:t>
      </w:r>
      <w:r>
        <w:rPr>
          <w:spacing w:val="-4"/>
        </w:rPr>
        <w:t>、财务方面：公司设有完全独立的财务部门，拥有独立的会计核算体系、健全的财务管理制度，公司独立在银行开户，</w:t>
      </w:r>
      <w:r>
        <w:rPr/>
        <w:t> 控股股东不存在干预公司财务、会计活动的情况。</w:t>
      </w:r>
    </w:p>
    <w:p>
      <w:pPr>
        <w:spacing w:line="240" w:lineRule="auto" w:before="0"/>
        <w:rPr>
          <w:rFonts w:ascii="宋体" w:hAnsi="宋体" w:cs="宋体" w:eastAsia="宋体" w:hint="default"/>
          <w:sz w:val="19"/>
          <w:szCs w:val="19"/>
        </w:rPr>
      </w:pPr>
    </w:p>
    <w:p>
      <w:pPr>
        <w:pStyle w:val="Heading2"/>
        <w:spacing w:line="240" w:lineRule="auto"/>
        <w:ind w:right="0"/>
        <w:jc w:val="left"/>
        <w:rPr>
          <w:b w:val="0"/>
          <w:bCs w:val="0"/>
        </w:rPr>
      </w:pPr>
      <w:bookmarkStart w:name="三、同业竞争情况" w:id="135"/>
      <w:bookmarkEnd w:id="135"/>
      <w:r>
        <w:rPr>
          <w:b w:val="0"/>
          <w:bCs w:val="0"/>
        </w:rPr>
      </w:r>
      <w:r>
        <w:rPr/>
        <w:t>三、同业竞争情况</w:t>
      </w:r>
      <w:r>
        <w:rPr>
          <w:b w:val="0"/>
          <w:bCs w:val="0"/>
        </w:rPr>
      </w:r>
    </w:p>
    <w:p>
      <w:pPr>
        <w:spacing w:line="240" w:lineRule="auto" w:before="7"/>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pStyle w:val="Heading2"/>
        <w:spacing w:line="240" w:lineRule="auto"/>
        <w:ind w:right="0"/>
        <w:jc w:val="left"/>
        <w:rPr>
          <w:b w:val="0"/>
          <w:bCs w:val="0"/>
        </w:rPr>
      </w:pPr>
      <w:bookmarkStart w:name="四、报告期内召开的年度股东大会和临时股东大会的有关情况" w:id="136"/>
      <w:bookmarkEnd w:id="136"/>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本报告期股东大会情况" w:id="137"/>
      <w:bookmarkEnd w:id="137"/>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021" w:type="dxa"/>
        <w:tblLayout w:type="fixed"/>
        <w:tblCellMar>
          <w:top w:w="0" w:type="dxa"/>
          <w:left w:w="0" w:type="dxa"/>
          <w:bottom w:w="0" w:type="dxa"/>
          <w:right w:w="0" w:type="dxa"/>
        </w:tblCellMar>
        <w:tblLook w:val="01E0"/>
      </w:tblPr>
      <w:tblGrid>
        <w:gridCol w:w="1668"/>
        <w:gridCol w:w="928"/>
        <w:gridCol w:w="1152"/>
        <w:gridCol w:w="1241"/>
        <w:gridCol w:w="1241"/>
        <w:gridCol w:w="3626"/>
      </w:tblGrid>
      <w:tr>
        <w:trPr>
          <w:trHeight w:val="713" w:hRule="exact"/>
        </w:trPr>
        <w:tc>
          <w:tcPr>
            <w:tcW w:w="1668"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69"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928"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6" w:lineRule="auto" w:before="52"/>
              <w:ind w:left="368" w:right="187" w:hanging="180"/>
              <w:jc w:val="left"/>
              <w:rPr>
                <w:rFonts w:ascii="宋体" w:hAnsi="宋体" w:cs="宋体" w:eastAsia="宋体" w:hint="default"/>
                <w:sz w:val="18"/>
                <w:szCs w:val="18"/>
              </w:rPr>
            </w:pPr>
            <w:r>
              <w:rPr>
                <w:rFonts w:ascii="宋体" w:hAnsi="宋体" w:cs="宋体" w:eastAsia="宋体" w:hint="default"/>
                <w:sz w:val="18"/>
                <w:szCs w:val="18"/>
              </w:rPr>
              <w:t>会议类 型</w:t>
            </w:r>
          </w:p>
        </w:tc>
        <w:tc>
          <w:tcPr>
            <w:tcW w:w="1152"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316" w:lineRule="auto" w:before="52"/>
              <w:ind w:left="389" w:right="120" w:hanging="270"/>
              <w:jc w:val="left"/>
              <w:rPr>
                <w:rFonts w:ascii="宋体" w:hAnsi="宋体" w:cs="宋体" w:eastAsia="宋体" w:hint="default"/>
                <w:sz w:val="18"/>
                <w:szCs w:val="18"/>
              </w:rPr>
            </w:pPr>
            <w:r>
              <w:rPr>
                <w:rFonts w:ascii="宋体" w:hAnsi="宋体" w:cs="宋体" w:eastAsia="宋体" w:hint="default"/>
                <w:sz w:val="18"/>
                <w:szCs w:val="18"/>
              </w:rPr>
              <w:t>投资者参与 比例</w:t>
            </w:r>
          </w:p>
        </w:tc>
        <w:tc>
          <w:tcPr>
            <w:tcW w:w="1241"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241"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3626" w:type="dxa"/>
            <w:tcBorders>
              <w:top w:val="single" w:sz="4" w:space="0" w:color="000000"/>
              <w:left w:val="single" w:sz="4" w:space="0" w:color="000000"/>
              <w:bottom w:val="single" w:sz="4" w:space="0" w:color="000000"/>
              <w:right w:val="single" w:sz="4" w:space="0" w:color="000000"/>
            </w:tcBorders>
            <w:shd w:val="clear" w:color="auto" w:fill="BEBEBE"/>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披露索引</w:t>
            </w:r>
          </w:p>
        </w:tc>
      </w:tr>
      <w:tr>
        <w:trPr>
          <w:trHeight w:val="71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379" w:right="177" w:hanging="203"/>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 时股东大会</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88" w:right="187"/>
              <w:jc w:val="left"/>
              <w:rPr>
                <w:rFonts w:ascii="宋体" w:hAnsi="宋体" w:cs="宋体" w:eastAsia="宋体" w:hint="default"/>
                <w:sz w:val="18"/>
                <w:szCs w:val="18"/>
              </w:rPr>
            </w:pPr>
            <w:r>
              <w:rPr>
                <w:rFonts w:ascii="宋体" w:hAnsi="宋体" w:cs="宋体" w:eastAsia="宋体" w:hint="default"/>
                <w:sz w:val="18"/>
                <w:szCs w:val="18"/>
              </w:rPr>
              <w:t>临时股 东大会</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62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3"/>
              <w:ind w:left="1283" w:right="101" w:hanging="118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55"/>
                <w:sz w:val="18"/>
                <w:szCs w:val="18"/>
              </w:rPr>
              <w:t> </w:t>
            </w:r>
            <w:hyperlink r:id="rId31">
              <w:r>
                <w:rPr>
                  <w:rFonts w:ascii="Times New Roman" w:hAnsi="Times New Roman" w:cs="Times New Roman" w:eastAsia="Times New Roman" w:hint="default"/>
                  <w:sz w:val="18"/>
                  <w:szCs w:val="18"/>
                </w:rPr>
                <w:t>http://www.cninfo.com.cn</w:t>
              </w:r>
            </w:hyperlink>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公告编 号：</w:t>
            </w:r>
            <w:r>
              <w:rPr>
                <w:rFonts w:ascii="Times New Roman" w:hAnsi="Times New Roman" w:cs="Times New Roman" w:eastAsia="Times New Roman" w:hint="default"/>
                <w:sz w:val="18"/>
                <w:szCs w:val="18"/>
              </w:rPr>
              <w:t>2017-004</w:t>
            </w:r>
          </w:p>
        </w:tc>
      </w:tr>
      <w:tr>
        <w:trPr>
          <w:trHeight w:val="755"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71"/>
              <w:ind w:left="649" w:right="177" w:hanging="474"/>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 大会</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71"/>
              <w:ind w:left="188" w:right="187"/>
              <w:jc w:val="left"/>
              <w:rPr>
                <w:rFonts w:ascii="宋体" w:hAnsi="宋体" w:cs="宋体" w:eastAsia="宋体" w:hint="default"/>
                <w:sz w:val="18"/>
                <w:szCs w:val="18"/>
              </w:rPr>
            </w:pPr>
            <w:r>
              <w:rPr>
                <w:rFonts w:ascii="宋体" w:hAnsi="宋体" w:cs="宋体" w:eastAsia="宋体" w:hint="default"/>
                <w:sz w:val="18"/>
                <w:szCs w:val="18"/>
              </w:rPr>
              <w:t>年度股 东大会</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b/>
                <w:bCs/>
                <w:sz w:val="20"/>
                <w:szCs w:val="20"/>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0.00%</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4"/>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4"/>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64"/>
                <w:sz w:val="18"/>
                <w:szCs w:val="18"/>
              </w:rPr>
              <w:t> </w:t>
            </w:r>
            <w:hyperlink r:id="rId31">
              <w:r>
                <w:rPr>
                  <w:rFonts w:ascii="Times New Roman" w:hAnsi="Times New Roman" w:cs="Times New Roman" w:eastAsia="Times New Roman" w:hint="default"/>
                  <w:sz w:val="18"/>
                  <w:szCs w:val="18"/>
                </w:rPr>
                <w:t>http://www.cninfo.com.cn</w:t>
              </w:r>
            </w:hyperlink>
          </w:p>
          <w:p>
            <w:pPr>
              <w:pStyle w:val="TableParagraph"/>
              <w:spacing w:line="240" w:lineRule="auto" w:before="102"/>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2017-023</w:t>
            </w:r>
          </w:p>
        </w:tc>
      </w:tr>
      <w:tr>
        <w:trPr>
          <w:trHeight w:val="714" w:hRule="exact"/>
        </w:trPr>
        <w:tc>
          <w:tcPr>
            <w:tcW w:w="1668"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379" w:right="177" w:hanging="203"/>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 时股东大会</w:t>
            </w:r>
          </w:p>
        </w:tc>
        <w:tc>
          <w:tcPr>
            <w:tcW w:w="9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88" w:right="187"/>
              <w:jc w:val="left"/>
              <w:rPr>
                <w:rFonts w:ascii="宋体" w:hAnsi="宋体" w:cs="宋体" w:eastAsia="宋体" w:hint="default"/>
                <w:sz w:val="18"/>
                <w:szCs w:val="18"/>
              </w:rPr>
            </w:pPr>
            <w:r>
              <w:rPr>
                <w:rFonts w:ascii="宋体" w:hAnsi="宋体" w:cs="宋体" w:eastAsia="宋体" w:hint="default"/>
                <w:sz w:val="18"/>
                <w:szCs w:val="18"/>
              </w:rPr>
              <w:t>临时股 东大会</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0.14%</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p>
          <w:p>
            <w:pPr>
              <w:pStyle w:val="TableParagraph"/>
              <w:spacing w:line="240" w:lineRule="auto" w:before="63"/>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62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283" w:right="101" w:hanging="118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r>
              <w:rPr>
                <w:rFonts w:ascii="宋体" w:hAnsi="宋体" w:cs="宋体" w:eastAsia="宋体" w:hint="default"/>
                <w:spacing w:val="-55"/>
                <w:sz w:val="18"/>
                <w:szCs w:val="18"/>
              </w:rPr>
              <w:t> </w:t>
            </w:r>
            <w:hyperlink r:id="rId31">
              <w:r>
                <w:rPr>
                  <w:rFonts w:ascii="Times New Roman" w:hAnsi="Times New Roman" w:cs="Times New Roman" w:eastAsia="Times New Roman" w:hint="default"/>
                  <w:sz w:val="18"/>
                  <w:szCs w:val="18"/>
                </w:rPr>
                <w:t>http://www.cninfo.com.cn</w:t>
              </w:r>
            </w:hyperlink>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公告编 号：</w:t>
            </w:r>
            <w:r>
              <w:rPr>
                <w:rFonts w:ascii="Times New Roman" w:hAnsi="Times New Roman" w:cs="Times New Roman" w:eastAsia="Times New Roman" w:hint="default"/>
                <w:sz w:val="18"/>
                <w:szCs w:val="18"/>
              </w:rPr>
              <w:t>2017-043</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表决权恢复的优先股股东请求召开临时股东大会" w:id="138"/>
      <w:bookmarkEnd w:id="138"/>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2"/>
        <w:rPr>
          <w:rFonts w:ascii="宋体" w:hAnsi="宋体" w:cs="宋体" w:eastAsia="宋体" w:hint="default"/>
          <w:b/>
          <w:bCs/>
          <w:sz w:val="23"/>
          <w:szCs w:val="23"/>
        </w:rPr>
      </w:pPr>
    </w:p>
    <w:p>
      <w:pPr>
        <w:pStyle w:val="Heading2"/>
        <w:spacing w:line="240" w:lineRule="auto"/>
        <w:ind w:right="0"/>
        <w:jc w:val="left"/>
        <w:rPr>
          <w:b w:val="0"/>
          <w:bCs w:val="0"/>
        </w:rPr>
      </w:pPr>
      <w:bookmarkStart w:name="五、报告期内独立董事履行职责的情况" w:id="139"/>
      <w:bookmarkEnd w:id="139"/>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独立董事出席董事会及股东大会的情况" w:id="140"/>
      <w:bookmarkEnd w:id="140"/>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624"/>
        <w:gridCol w:w="1325"/>
        <w:gridCol w:w="1324"/>
        <w:gridCol w:w="1324"/>
        <w:gridCol w:w="1325"/>
        <w:gridCol w:w="1324"/>
        <w:gridCol w:w="1324"/>
      </w:tblGrid>
      <w:tr>
        <w:trPr>
          <w:trHeight w:val="402" w:hRule="exact"/>
        </w:trPr>
        <w:tc>
          <w:tcPr>
            <w:tcW w:w="9569"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独立董事出席董事会情况</w:t>
            </w:r>
          </w:p>
        </w:tc>
      </w:tr>
      <w:tr>
        <w:trPr>
          <w:trHeight w:val="714" w:hRule="exact"/>
        </w:trPr>
        <w:tc>
          <w:tcPr>
            <w:tcW w:w="1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7" w:right="25" w:hanging="180"/>
              <w:jc w:val="left"/>
              <w:rPr>
                <w:rFonts w:ascii="宋体" w:hAnsi="宋体" w:cs="宋体" w:eastAsia="宋体" w:hint="default"/>
                <w:sz w:val="18"/>
                <w:szCs w:val="18"/>
              </w:rPr>
            </w:pPr>
            <w:r>
              <w:rPr>
                <w:rFonts w:ascii="宋体" w:hAnsi="宋体" w:cs="宋体" w:eastAsia="宋体" w:hint="default"/>
                <w:sz w:val="18"/>
                <w:szCs w:val="18"/>
              </w:rPr>
              <w:t>本报告期应参加 董事会次数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现场出席次数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76" w:right="25" w:hanging="450"/>
              <w:jc w:val="left"/>
              <w:rPr>
                <w:rFonts w:ascii="宋体" w:hAnsi="宋体" w:cs="宋体" w:eastAsia="宋体" w:hint="default"/>
                <w:sz w:val="18"/>
                <w:szCs w:val="18"/>
              </w:rPr>
            </w:pPr>
            <w:r>
              <w:rPr>
                <w:rFonts w:ascii="宋体" w:hAnsi="宋体" w:cs="宋体" w:eastAsia="宋体" w:hint="default"/>
                <w:sz w:val="18"/>
                <w:szCs w:val="18"/>
              </w:rPr>
              <w:t>以通讯方式参加 次数</w:t>
            </w:r>
          </w:p>
        </w:tc>
        <w:tc>
          <w:tcPr>
            <w:tcW w:w="1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委托出席次数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缺席次数</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6" w:right="25" w:hanging="90"/>
              <w:jc w:val="left"/>
              <w:rPr>
                <w:rFonts w:ascii="宋体" w:hAnsi="宋体" w:cs="宋体" w:eastAsia="宋体" w:hint="default"/>
                <w:sz w:val="18"/>
                <w:szCs w:val="18"/>
              </w:rPr>
            </w:pPr>
            <w:r>
              <w:rPr>
                <w:rFonts w:ascii="宋体" w:hAnsi="宋体" w:cs="宋体" w:eastAsia="宋体" w:hint="default"/>
                <w:sz w:val="18"/>
                <w:szCs w:val="18"/>
              </w:rPr>
              <w:t>是否连续两次未 亲自参加会议</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罗建北</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65"/>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1" w:right="0"/>
              <w:jc w:val="left"/>
              <w:rPr>
                <w:rFonts w:ascii="Times New Roman" w:hAnsi="Times New Roman" w:cs="Times New Roman" w:eastAsia="Times New Roman" w:hint="default"/>
                <w:sz w:val="18"/>
                <w:szCs w:val="18"/>
              </w:rPr>
            </w:pPr>
            <w:r>
              <w:rPr>
                <w:rFonts w:ascii="Times New Roman"/>
                <w:sz w:val="18"/>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刘铁民</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65"/>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1" w:right="0"/>
              <w:jc w:val="left"/>
              <w:rPr>
                <w:rFonts w:ascii="Times New Roman" w:hAnsi="Times New Roman" w:cs="Times New Roman" w:eastAsia="Times New Roman" w:hint="default"/>
                <w:sz w:val="18"/>
                <w:szCs w:val="18"/>
              </w:rPr>
            </w:pPr>
            <w:r>
              <w:rPr>
                <w:rFonts w:ascii="Times New Roman"/>
                <w:sz w:val="18"/>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7"/>
          <w:szCs w:val="7"/>
        </w:rPr>
      </w:pPr>
    </w:p>
    <w:tbl>
      <w:tblPr>
        <w:tblW w:w="0" w:type="auto"/>
        <w:jc w:val="left"/>
        <w:tblInd w:w="1129" w:type="dxa"/>
        <w:tblLayout w:type="fixed"/>
        <w:tblCellMar>
          <w:top w:w="0" w:type="dxa"/>
          <w:left w:w="0" w:type="dxa"/>
          <w:bottom w:w="0" w:type="dxa"/>
          <w:right w:w="0" w:type="dxa"/>
        </w:tblCellMar>
        <w:tblLook w:val="01E0"/>
      </w:tblPr>
      <w:tblGrid>
        <w:gridCol w:w="1624"/>
        <w:gridCol w:w="1325"/>
        <w:gridCol w:w="1324"/>
        <w:gridCol w:w="1324"/>
        <w:gridCol w:w="1325"/>
        <w:gridCol w:w="1324"/>
        <w:gridCol w:w="1324"/>
      </w:tblGrid>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王雪春</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65"/>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6" w:right="0"/>
              <w:jc w:val="lef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1" w:right="0"/>
              <w:jc w:val="left"/>
              <w:rPr>
                <w:rFonts w:ascii="Times New Roman" w:hAnsi="Times New Roman" w:cs="Times New Roman" w:eastAsia="Times New Roman" w:hint="default"/>
                <w:sz w:val="18"/>
                <w:szCs w:val="18"/>
              </w:rPr>
            </w:pPr>
            <w:r>
              <w:rPr>
                <w:rFonts w:ascii="Times New Roman"/>
                <w:sz w:val="18"/>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沈阳</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565"/>
              <w:jc w:val="righ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66" w:right="0"/>
              <w:jc w:val="left"/>
              <w:rPr>
                <w:rFonts w:ascii="Times New Roman" w:hAnsi="Times New Roman" w:cs="Times New Roman" w:eastAsia="Times New Roman" w:hint="default"/>
                <w:sz w:val="18"/>
                <w:szCs w:val="18"/>
              </w:rPr>
            </w:pPr>
            <w:r>
              <w:rPr>
                <w:rFonts w:ascii="Times New Roman"/>
                <w:sz w:val="18"/>
              </w:rPr>
              <w:t>17</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1" w:right="0"/>
              <w:jc w:val="left"/>
              <w:rPr>
                <w:rFonts w:ascii="Times New Roman" w:hAnsi="Times New Roman" w:cs="Times New Roman" w:eastAsia="Times New Roman" w:hint="default"/>
                <w:sz w:val="18"/>
                <w:szCs w:val="18"/>
              </w:rPr>
            </w:pPr>
            <w:r>
              <w:rPr>
                <w:rFonts w:ascii="Times New Roman"/>
                <w:sz w:val="18"/>
              </w:rPr>
              <w:t>0</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0</w:t>
            </w:r>
          </w:p>
        </w:tc>
        <w:tc>
          <w:tcPr>
            <w:tcW w:w="1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94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独立董事列席股东大会次数</w:t>
            </w:r>
          </w:p>
        </w:tc>
        <w:tc>
          <w:tcPr>
            <w:tcW w:w="662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w:t>
            </w:r>
          </w:p>
        </w:tc>
      </w:tr>
    </w:tbl>
    <w:p>
      <w:pPr>
        <w:pStyle w:val="BodyText"/>
        <w:spacing w:line="360" w:lineRule="auto" w:before="51"/>
        <w:ind w:left="1134" w:right="8052"/>
        <w:jc w:val="left"/>
      </w:pPr>
      <w:r>
        <w:rPr/>
        <w:t>连续两次未亲自出席董事会的说明 不适用</w:t>
      </w:r>
    </w:p>
    <w:p>
      <w:pPr>
        <w:spacing w:line="240" w:lineRule="auto" w:before="11"/>
        <w:rPr>
          <w:rFonts w:ascii="宋体" w:hAnsi="宋体" w:cs="宋体" w:eastAsia="宋体" w:hint="default"/>
          <w:sz w:val="19"/>
          <w:szCs w:val="19"/>
        </w:rPr>
      </w:pPr>
    </w:p>
    <w:p>
      <w:pPr>
        <w:pStyle w:val="Heading3"/>
        <w:spacing w:line="240" w:lineRule="auto"/>
        <w:ind w:right="0"/>
        <w:jc w:val="left"/>
        <w:rPr>
          <w:b w:val="0"/>
          <w:bCs w:val="0"/>
        </w:rPr>
      </w:pPr>
      <w:bookmarkStart w:name="2、独立董事对公司有关事项提出异议的情况" w:id="141"/>
      <w:bookmarkEnd w:id="141"/>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8"/>
        <w:rPr>
          <w:rFonts w:ascii="宋体" w:hAnsi="宋体" w:cs="宋体" w:eastAsia="宋体" w:hint="default"/>
          <w:b/>
          <w:bCs/>
          <w:sz w:val="32"/>
          <w:szCs w:val="32"/>
        </w:rPr>
      </w:pPr>
    </w:p>
    <w:p>
      <w:pPr>
        <w:pStyle w:val="Heading4"/>
        <w:spacing w:line="240" w:lineRule="auto"/>
        <w:ind w:left="1134" w:right="0"/>
        <w:jc w:val="left"/>
        <w:rPr>
          <w:b w:val="0"/>
          <w:bCs w:val="0"/>
        </w:rPr>
      </w:pPr>
      <w:r>
        <w:rPr/>
        <w:t>独立董事对公司有关事项是否提出异议</w:t>
      </w:r>
      <w:r>
        <w:rPr>
          <w:b w:val="0"/>
          <w:bCs w:val="0"/>
        </w:rPr>
      </w:r>
    </w:p>
    <w:p>
      <w:pPr>
        <w:spacing w:line="240" w:lineRule="auto" w:before="10"/>
        <w:rPr>
          <w:rFonts w:ascii="宋体" w:hAnsi="宋体" w:cs="宋体" w:eastAsia="宋体" w:hint="default"/>
          <w:b/>
          <w:bCs/>
          <w:sz w:val="20"/>
          <w:szCs w:val="20"/>
        </w:rPr>
      </w:pPr>
    </w:p>
    <w:p>
      <w:pPr>
        <w:pStyle w:val="BodyText"/>
        <w:spacing w:line="489" w:lineRule="auto"/>
        <w:ind w:right="697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b/>
          <w:bCs/>
        </w:rPr>
        <w:t>√ </w:t>
      </w:r>
      <w:r>
        <w:rPr>
          <w:rFonts w:ascii="宋体" w:hAnsi="宋体" w:cs="宋体" w:eastAsia="宋体" w:hint="default"/>
          <w:b/>
          <w:bCs/>
        </w:rPr>
        <w:t>否</w:t>
      </w:r>
      <w:r>
        <w:rPr>
          <w:rFonts w:ascii="宋体" w:hAnsi="宋体" w:cs="宋体" w:eastAsia="宋体" w:hint="default"/>
          <w:b/>
          <w:bCs/>
          <w:w w:val="99"/>
        </w:rPr>
        <w:t> </w:t>
      </w:r>
      <w:r>
        <w:rPr/>
        <w:t>报告期内独立董事对公司有关事项未提出异议。</w:t>
      </w:r>
    </w:p>
    <w:p>
      <w:pPr>
        <w:spacing w:line="240" w:lineRule="auto" w:before="5"/>
        <w:rPr>
          <w:rFonts w:ascii="宋体" w:hAnsi="宋体" w:cs="宋体" w:eastAsia="宋体" w:hint="default"/>
          <w:sz w:val="18"/>
          <w:szCs w:val="18"/>
        </w:rPr>
      </w:pPr>
    </w:p>
    <w:p>
      <w:pPr>
        <w:pStyle w:val="Heading3"/>
        <w:spacing w:line="240" w:lineRule="auto"/>
        <w:ind w:left="1133" w:right="0"/>
        <w:jc w:val="left"/>
        <w:rPr>
          <w:b w:val="0"/>
          <w:bCs w:val="0"/>
        </w:rPr>
      </w:pPr>
      <w:bookmarkStart w:name="3、独立董事履行职责的其他说明" w:id="142"/>
      <w:bookmarkEnd w:id="142"/>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8"/>
        <w:rPr>
          <w:rFonts w:ascii="宋体" w:hAnsi="宋体" w:cs="宋体" w:eastAsia="宋体" w:hint="default"/>
          <w:b/>
          <w:bCs/>
          <w:sz w:val="32"/>
          <w:szCs w:val="32"/>
        </w:rPr>
      </w:pPr>
    </w:p>
    <w:p>
      <w:pPr>
        <w:pStyle w:val="Heading4"/>
        <w:spacing w:line="240" w:lineRule="auto"/>
        <w:ind w:left="1133" w:right="0"/>
        <w:jc w:val="left"/>
        <w:rPr>
          <w:b w:val="0"/>
          <w:bCs w:val="0"/>
        </w:rPr>
      </w:pPr>
      <w:r>
        <w:rPr/>
        <w:t>独立董事对公司有关建议是否被采纳</w:t>
      </w:r>
      <w:r>
        <w:rPr>
          <w:b w:val="0"/>
          <w:bCs w:val="0"/>
        </w:rPr>
      </w:r>
    </w:p>
    <w:p>
      <w:pPr>
        <w:spacing w:line="240" w:lineRule="auto" w:before="10"/>
        <w:rPr>
          <w:rFonts w:ascii="宋体" w:hAnsi="宋体" w:cs="宋体" w:eastAsia="宋体" w:hint="default"/>
          <w:b/>
          <w:bCs/>
          <w:sz w:val="20"/>
          <w:szCs w:val="20"/>
        </w:rPr>
      </w:pPr>
    </w:p>
    <w:p>
      <w:pPr>
        <w:pStyle w:val="Heading4"/>
        <w:spacing w:line="489" w:lineRule="auto"/>
        <w:ind w:left="1133" w:right="6777"/>
        <w:jc w:val="left"/>
        <w:rPr>
          <w:b w:val="0"/>
          <w:bCs w:val="0"/>
        </w:rPr>
      </w:pPr>
      <w:r>
        <w:rPr>
          <w:rFonts w:ascii="Times New Roman" w:hAnsi="Times New Roman" w:cs="Times New Roman" w:eastAsia="Times New Roman" w:hint="default"/>
        </w:rPr>
        <w:t>√ </w:t>
      </w:r>
      <w:r>
        <w:rPr/>
        <w:t>是 </w:t>
      </w:r>
      <w:r>
        <w:rPr>
          <w:rFonts w:ascii="Times New Roman" w:hAnsi="Times New Roman" w:cs="Times New Roman" w:eastAsia="Times New Roman" w:hint="default"/>
          <w:b w:val="0"/>
          <w:bCs w:val="0"/>
        </w:rPr>
        <w:t>□</w:t>
      </w:r>
      <w:r>
        <w:rPr>
          <w:rFonts w:ascii="Times New Roman" w:hAnsi="Times New Roman" w:cs="Times New Roman" w:eastAsia="Times New Roman" w:hint="default"/>
          <w:b w:val="0"/>
          <w:bCs w:val="0"/>
          <w:spacing w:val="44"/>
        </w:rPr>
        <w:t> </w:t>
      </w:r>
      <w:r>
        <w:rPr>
          <w:rFonts w:ascii="宋体" w:hAnsi="宋体" w:cs="宋体" w:eastAsia="宋体" w:hint="default"/>
          <w:b w:val="0"/>
          <w:bCs w:val="0"/>
        </w:rPr>
        <w:t>否 </w:t>
      </w:r>
      <w:r>
        <w:rPr/>
        <w:t>独立董事对公司有关建议被采纳或未被采纳的说明</w:t>
      </w:r>
      <w:r>
        <w:rPr>
          <w:b w:val="0"/>
          <w:bCs w:val="0"/>
        </w:rPr>
      </w:r>
    </w:p>
    <w:p>
      <w:pPr>
        <w:pStyle w:val="BodyText"/>
        <w:spacing w:line="451" w:lineRule="auto" w:before="85"/>
        <w:ind w:right="1132" w:firstLine="36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w:t>
      </w:r>
      <w:r>
        <w:rPr>
          <w:spacing w:val="-2"/>
        </w:rPr>
        <w:t>月</w:t>
      </w:r>
      <w:r>
        <w:rPr>
          <w:rFonts w:ascii="Times New Roman" w:hAnsi="Times New Roman" w:cs="Times New Roman" w:eastAsia="Times New Roman" w:hint="default"/>
          <w:spacing w:val="-2"/>
        </w:rPr>
        <w:t>3</w:t>
      </w:r>
      <w:r>
        <w:rPr>
          <w:spacing w:val="-2"/>
        </w:rPr>
        <w:t>日，公司第六届董事会第十六次会议，对公司为子公司申请银行综合授信并提供担保事项，发表了同意的独</w:t>
      </w:r>
      <w:r>
        <w:rPr/>
        <w:t> 立意见。</w:t>
      </w:r>
    </w:p>
    <w:p>
      <w:pPr>
        <w:pStyle w:val="BodyText"/>
        <w:spacing w:line="451" w:lineRule="auto" w:before="74"/>
        <w:ind w:right="1130"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24</w:t>
      </w:r>
      <w:r>
        <w:rPr/>
        <w:t>日，公司第六届董事会第十九次会议，对</w:t>
      </w:r>
      <w:r>
        <w:rPr>
          <w:rFonts w:ascii="Times New Roman" w:hAnsi="Times New Roman" w:cs="Times New Roman" w:eastAsia="Times New Roman" w:hint="default"/>
        </w:rPr>
        <w:t>2016</w:t>
      </w:r>
      <w:r>
        <w:rPr/>
        <w:t>年度关于控股股东及其他关联方占用公司资金、公司对外担 </w:t>
      </w:r>
      <w:r>
        <w:rPr>
          <w:spacing w:val="-2"/>
        </w:rPr>
        <w:t>保情况、公司</w:t>
      </w:r>
      <w:r>
        <w:rPr>
          <w:rFonts w:ascii="Times New Roman" w:hAnsi="Times New Roman" w:cs="Times New Roman" w:eastAsia="Times New Roman" w:hint="default"/>
          <w:spacing w:val="-2"/>
        </w:rPr>
        <w:t>2016</w:t>
      </w:r>
      <w:r>
        <w:rPr>
          <w:spacing w:val="-2"/>
        </w:rPr>
        <w:t>年度内部控制自我评价报告、公司聘任</w:t>
      </w:r>
      <w:r>
        <w:rPr>
          <w:rFonts w:ascii="Times New Roman" w:hAnsi="Times New Roman" w:cs="Times New Roman" w:eastAsia="Times New Roman" w:hint="default"/>
          <w:spacing w:val="-2"/>
        </w:rPr>
        <w:t>2017</w:t>
      </w:r>
      <w:r>
        <w:rPr>
          <w:spacing w:val="-2"/>
        </w:rPr>
        <w:t>年度审计机构、</w:t>
      </w:r>
      <w:r>
        <w:rPr>
          <w:rFonts w:ascii="Times New Roman" w:hAnsi="Times New Roman" w:cs="Times New Roman" w:eastAsia="Times New Roman" w:hint="default"/>
          <w:spacing w:val="-2"/>
        </w:rPr>
        <w:t>2016</w:t>
      </w:r>
      <w:r>
        <w:rPr>
          <w:spacing w:val="-2"/>
        </w:rPr>
        <w:t>年度公司募集资金存放与使用、</w:t>
      </w:r>
      <w:r>
        <w:rPr>
          <w:rFonts w:ascii="Times New Roman" w:hAnsi="Times New Roman" w:cs="Times New Roman" w:eastAsia="Times New Roman" w:hint="default"/>
          <w:spacing w:val="-2"/>
        </w:rPr>
        <w:t>2016</w:t>
      </w:r>
      <w:r>
        <w:rPr>
          <w:spacing w:val="-2"/>
        </w:rPr>
        <w:t>年度</w:t>
      </w:r>
      <w:r>
        <w:rPr>
          <w:spacing w:val="-49"/>
        </w:rPr>
        <w:t> </w:t>
      </w:r>
      <w:r>
        <w:rPr>
          <w:spacing w:val="-2"/>
        </w:rPr>
        <w:t>公司关联交易事项、</w:t>
      </w:r>
      <w:r>
        <w:rPr>
          <w:rFonts w:ascii="Times New Roman" w:hAnsi="Times New Roman" w:cs="Times New Roman" w:eastAsia="Times New Roman" w:hint="default"/>
          <w:spacing w:val="-2"/>
        </w:rPr>
        <w:t>2016</w:t>
      </w:r>
      <w:r>
        <w:rPr>
          <w:spacing w:val="-2"/>
        </w:rPr>
        <w:t>年度利润分配预案事项、计提资产减值准备事项、公司及子公司申请银行综合授信及担保事项、使</w:t>
      </w:r>
      <w:r>
        <w:rPr>
          <w:spacing w:val="-61"/>
        </w:rPr>
        <w:t> </w:t>
      </w:r>
      <w:r>
        <w:rPr>
          <w:spacing w:val="-61"/>
        </w:rPr>
      </w:r>
      <w:r>
        <w:rPr/>
        <w:t>用节余超募资金永久性补充流动资金等事项发表了同意的独立意见。</w:t>
      </w:r>
    </w:p>
    <w:p>
      <w:pPr>
        <w:pStyle w:val="BodyText"/>
        <w:spacing w:line="451" w:lineRule="auto" w:before="74"/>
        <w:ind w:left="1134" w:right="113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19</w:t>
      </w:r>
      <w:r>
        <w:rPr/>
        <w:t>日，公司第六届董事会第二十三次会议，对全资子公司为公司申请银行授信提供担保事项，发表了同意的 独立意见。</w:t>
      </w:r>
    </w:p>
    <w:p>
      <w:pPr>
        <w:pStyle w:val="BodyText"/>
        <w:spacing w:line="451" w:lineRule="auto" w:before="74"/>
        <w:ind w:left="1134" w:right="1130"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28</w:t>
      </w:r>
      <w:r>
        <w:rPr/>
        <w:t>日，公司第六届董事会第二十八次会议，对公司</w:t>
      </w:r>
      <w:r>
        <w:rPr>
          <w:rFonts w:ascii="Times New Roman" w:hAnsi="Times New Roman" w:cs="Times New Roman" w:eastAsia="Times New Roman" w:hint="default"/>
        </w:rPr>
        <w:t>2017</w:t>
      </w:r>
      <w:r>
        <w:rPr/>
        <w:t>年上半年控股股东及其他关联方占用公司资金、公司 对外担保情况、募集资金存放与使用情况、公司会计政策变更事项进行认真检查和审核，发表了同意的独立意见。</w:t>
      </w:r>
    </w:p>
    <w:p>
      <w:pPr>
        <w:pStyle w:val="BodyText"/>
        <w:spacing w:line="451" w:lineRule="auto" w:before="74"/>
        <w:ind w:left="1134" w:right="113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29</w:t>
      </w:r>
      <w:r>
        <w:rPr/>
        <w:t>日，公司第六届董事会第三十次会议，对公司为子公司申请银行综合授信并提供担保事项，发表了同意的 独立意见。</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4"/>
          <w:szCs w:val="24"/>
        </w:rPr>
      </w:pPr>
    </w:p>
    <w:p>
      <w:pPr>
        <w:pStyle w:val="Heading2"/>
        <w:spacing w:line="240" w:lineRule="auto"/>
        <w:ind w:left="1133" w:right="0"/>
        <w:jc w:val="left"/>
        <w:rPr>
          <w:b w:val="0"/>
          <w:bCs w:val="0"/>
        </w:rPr>
      </w:pPr>
      <w:bookmarkStart w:name="六、董事会下设专门委员会在报告期内履行职责情况" w:id="143"/>
      <w:bookmarkEnd w:id="143"/>
      <w:r>
        <w:rPr>
          <w:b w:val="0"/>
          <w:bCs w:val="0"/>
        </w:rPr>
      </w:r>
      <w:r>
        <w:rPr/>
        <w:t>六、董事会下设专门委员会在报告期内履行职责情况</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1" w:right="0"/>
        <w:jc w:val="left"/>
      </w:pPr>
      <w:r>
        <w:rPr/>
        <w:t>公司董事会下设立了战略、提名、薪酬与考核、审计等四个专门委员会，</w:t>
      </w:r>
      <w:r>
        <w:rPr>
          <w:rFonts w:ascii="Times New Roman" w:hAnsi="Times New Roman" w:cs="Times New Roman" w:eastAsia="Times New Roman" w:hint="default"/>
        </w:rPr>
        <w:t>2017</w:t>
      </w:r>
      <w:r>
        <w:rPr/>
        <w:t>年各委员会工作情况如下：</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0" w:lineRule="auto" w:before="44"/>
        <w:ind w:right="1043" w:firstLine="357"/>
        <w:jc w:val="both"/>
      </w:pPr>
      <w:r>
        <w:rPr>
          <w:spacing w:val="-2"/>
        </w:rPr>
        <w:t>战略委员会，</w:t>
      </w:r>
      <w:r>
        <w:rPr>
          <w:rFonts w:ascii="Times New Roman" w:hAnsi="Times New Roman" w:cs="Times New Roman" w:eastAsia="Times New Roman" w:hint="default"/>
          <w:spacing w:val="-2"/>
        </w:rPr>
        <w:t>2017</w:t>
      </w:r>
      <w:r>
        <w:rPr>
          <w:spacing w:val="-2"/>
        </w:rPr>
        <w:t>年对公司各项对外投资事项召开了相关会议，进行了讨论、分析，并向董事会提出了意见。</w:t>
      </w:r>
      <w:r>
        <w:rPr>
          <w:rFonts w:ascii="Times New Roman" w:hAnsi="Times New Roman" w:cs="Times New Roman" w:eastAsia="Times New Roman" w:hint="default"/>
          <w:spacing w:val="-2"/>
        </w:rPr>
        <w:t>2017</w:t>
      </w:r>
      <w:r>
        <w:rPr>
          <w:spacing w:val="-2"/>
        </w:rPr>
        <w:t>年度</w:t>
      </w:r>
      <w:r>
        <w:rPr/>
        <w:t> </w:t>
      </w:r>
      <w:r>
        <w:rPr>
          <w:spacing w:val="-2"/>
        </w:rPr>
        <w:t>共召开十五次战略委员会会议，认真研究并审议通过了《关于转让海外合资公司股权及授权软件许可的议案》、《关于对外</w:t>
      </w:r>
      <w:r>
        <w:rPr>
          <w:spacing w:val="-66"/>
        </w:rPr>
        <w:t> </w:t>
      </w:r>
      <w:r>
        <w:rPr>
          <w:spacing w:val="-66"/>
        </w:rPr>
      </w:r>
      <w:r>
        <w:rPr>
          <w:spacing w:val="-2"/>
        </w:rPr>
        <w:t>投资设立子公司的议案》、《关于对旗下控股子公司增资的议案》、《关于对控股子公司提供财务资助的议案》、《关于对</w:t>
      </w:r>
      <w:r>
        <w:rPr>
          <w:spacing w:val="-68"/>
        </w:rPr>
        <w:t> </w:t>
      </w:r>
      <w:r>
        <w:rPr>
          <w:spacing w:val="-68"/>
        </w:rPr>
      </w:r>
      <w:r>
        <w:rPr/>
        <w:t>外投资设立全资子公司的议案》、《关于与蓝鸥科技签订</w:t>
      </w:r>
      <w:r>
        <w:rPr>
          <w:rFonts w:ascii="Times New Roman" w:hAnsi="Times New Roman" w:cs="Times New Roman" w:eastAsia="Times New Roman" w:hint="default"/>
        </w:rPr>
        <w:t>&lt;</w:t>
      </w:r>
      <w:r>
        <w:rPr/>
        <w:t>投资框架协议之补充协议</w:t>
      </w:r>
      <w:r>
        <w:rPr>
          <w:rFonts w:ascii="Times New Roman" w:hAnsi="Times New Roman" w:cs="Times New Roman" w:eastAsia="Times New Roman" w:hint="default"/>
        </w:rPr>
        <w:t>&gt;</w:t>
      </w:r>
      <w:r>
        <w:rPr/>
        <w:t>的议案》、《关于公司及子公司申请</w:t>
      </w:r>
      <w:r>
        <w:rPr>
          <w:spacing w:val="-25"/>
        </w:rPr>
        <w:t> </w:t>
      </w:r>
      <w:r>
        <w:rPr>
          <w:spacing w:val="-25"/>
        </w:rPr>
      </w:r>
      <w:r>
        <w:rPr>
          <w:spacing w:val="-2"/>
        </w:rPr>
        <w:t>银行综合授信及担保事项的议案》、《关于参股公司－北京云中融信对外融资的议案》、《关于对控股子公司提供财务资助</w:t>
      </w:r>
      <w:r>
        <w:rPr>
          <w:spacing w:val="-68"/>
        </w:rPr>
        <w:t> </w:t>
      </w:r>
      <w:r>
        <w:rPr>
          <w:spacing w:val="-68"/>
        </w:rPr>
      </w:r>
      <w:r>
        <w:rPr>
          <w:spacing w:val="-2"/>
        </w:rPr>
        <w:t>的议案》、《关于公司对外投资设立合资公司的议案》、《关于对成都斯沃茨科技有限公司增资的议案》、《关于转让参股</w:t>
      </w:r>
      <w:r>
        <w:rPr>
          <w:spacing w:val="-69"/>
        </w:rPr>
        <w:t> </w:t>
      </w:r>
      <w:r>
        <w:rPr>
          <w:spacing w:val="-69"/>
        </w:rPr>
      </w:r>
      <w:r>
        <w:rPr>
          <w:spacing w:val="-2"/>
        </w:rPr>
        <w:t>公司股权的议案》、《关于控股子公司对外融资的议案》、《关于子公司祥升软件对外投资设立全资子公司的议案》、《关</w:t>
      </w:r>
      <w:r>
        <w:rPr>
          <w:spacing w:val="-70"/>
        </w:rPr>
        <w:t> </w:t>
      </w:r>
      <w:r>
        <w:rPr>
          <w:spacing w:val="-70"/>
        </w:rPr>
      </w:r>
      <w:r>
        <w:rPr>
          <w:spacing w:val="-2"/>
        </w:rPr>
        <w:t>于受让苏州短讯股权的议案》、《关于全资子公司为公司申请银行授信提供担保的议案》、《关于转让控股子公司全部股权</w:t>
      </w:r>
      <w:r>
        <w:rPr>
          <w:spacing w:val="-68"/>
        </w:rPr>
        <w:t> </w:t>
      </w:r>
      <w:r>
        <w:rPr>
          <w:spacing w:val="-68"/>
        </w:rPr>
      </w:r>
      <w:r>
        <w:rPr/>
        <w:t>的议案》、《关于北京裂变科技有限公司对外融资方案调整的议案》、《关于子公司互联时代对外投资设立公司的议案》、</w:t>
      </w:r>
    </w:p>
    <w:p>
      <w:pPr>
        <w:pStyle w:val="BodyText"/>
        <w:spacing w:line="477" w:lineRule="auto" w:before="59"/>
        <w:ind w:left="1134" w:right="1032"/>
        <w:jc w:val="left"/>
      </w:pPr>
      <w:r>
        <w:rPr>
          <w:spacing w:val="-5"/>
        </w:rPr>
        <w:t>《关于签订对天津小漫增资协议的议案》、《关于注销觉莲公司的议案》、《关于公司申请银行综合授信事项的议案》、《关</w:t>
      </w:r>
      <w:r>
        <w:rPr>
          <w:spacing w:val="-79"/>
        </w:rPr>
        <w:t> </w:t>
      </w:r>
      <w:r>
        <w:rPr>
          <w:spacing w:val="-79"/>
        </w:rPr>
      </w:r>
      <w:r>
        <w:rPr>
          <w:spacing w:val="-2"/>
        </w:rPr>
        <w:t>于注销广通神州及其下属公司的议案》、《关于对全资子公司新媒传信增资的议案》、《关于为子公司申请银行综合授信并</w:t>
      </w:r>
      <w:r>
        <w:rPr>
          <w:spacing w:val="-68"/>
        </w:rPr>
        <w:t> </w:t>
      </w:r>
      <w:r>
        <w:rPr>
          <w:spacing w:val="-68"/>
        </w:rPr>
      </w:r>
      <w:r>
        <w:rPr/>
        <w:t>提供担保的议案》、《关于子公司泰岳香港对外投资设立公司的议案》、《关于子公司天津小漫对外投资设立公司的议案》</w:t>
      </w:r>
      <w:r>
        <w:rPr>
          <w:spacing w:val="-84"/>
        </w:rPr>
        <w:t> </w:t>
      </w:r>
      <w:r>
        <w:rPr>
          <w:spacing w:val="-84"/>
        </w:rPr>
      </w:r>
      <w:r>
        <w:rPr/>
        <w:t>等议案，并向董事会提出了专业委员会意见。</w:t>
      </w:r>
    </w:p>
    <w:p>
      <w:pPr>
        <w:pStyle w:val="BodyText"/>
        <w:spacing w:line="463" w:lineRule="auto" w:before="54"/>
        <w:ind w:right="1131" w:firstLine="357"/>
        <w:jc w:val="both"/>
      </w:pPr>
      <w:r>
        <w:rPr>
          <w:spacing w:val="-2"/>
        </w:rPr>
        <w:t>审计委员会，在公司</w:t>
      </w:r>
      <w:r>
        <w:rPr>
          <w:rFonts w:ascii="Times New Roman" w:hAnsi="Times New Roman" w:cs="Times New Roman" w:eastAsia="Times New Roman" w:hint="default"/>
          <w:spacing w:val="-2"/>
        </w:rPr>
        <w:t>2017</w:t>
      </w:r>
      <w:r>
        <w:rPr>
          <w:spacing w:val="-2"/>
        </w:rPr>
        <w:t>年度审计报告的编制和披露过程中，切实履行独立董事的责任和义务，认真听取管理层对公司</w:t>
      </w:r>
      <w:r>
        <w:rPr/>
        <w:t> </w:t>
      </w:r>
      <w:r>
        <w:rPr>
          <w:spacing w:val="-2"/>
        </w:rPr>
        <w:t>全年生产经营情况和重大事项进展情况的汇报，认真阅读公司出具的相关材料；了解、掌握</w:t>
      </w:r>
      <w:r>
        <w:rPr>
          <w:rFonts w:ascii="Times New Roman" w:hAnsi="Times New Roman" w:cs="Times New Roman" w:eastAsia="Times New Roman" w:hint="default"/>
          <w:spacing w:val="-2"/>
        </w:rPr>
        <w:t>2017</w:t>
      </w:r>
      <w:r>
        <w:rPr>
          <w:spacing w:val="-2"/>
        </w:rPr>
        <w:t>年年报审计工作安排及审计</w:t>
      </w:r>
      <w:r>
        <w:rPr>
          <w:spacing w:val="-61"/>
        </w:rPr>
        <w:t> </w:t>
      </w:r>
      <w:r>
        <w:rPr>
          <w:spacing w:val="-2"/>
        </w:rPr>
        <w:t>工作进展情况，听取注册会计师介绍初审意见情况，并就相关问题与注册会计师、公司管理层进行了充分的沟通；在注册会</w:t>
      </w:r>
      <w:r>
        <w:rPr>
          <w:spacing w:val="-66"/>
        </w:rPr>
        <w:t> </w:t>
      </w:r>
      <w:r>
        <w:rPr>
          <w:spacing w:val="-66"/>
        </w:rPr>
      </w:r>
      <w:r>
        <w:rPr>
          <w:spacing w:val="-2"/>
        </w:rPr>
        <w:t>计师进场后积极关注审计进程，就审计过程中发现的问题进行有效沟通；审计结束后认真阅读了年审注册会计师出具的公司</w:t>
      </w:r>
      <w:r>
        <w:rPr>
          <w:spacing w:val="-64"/>
        </w:rPr>
        <w:t> </w:t>
      </w:r>
      <w:r>
        <w:rPr>
          <w:spacing w:val="-64"/>
        </w:rPr>
      </w:r>
      <w:r>
        <w:rPr>
          <w:rFonts w:ascii="Times New Roman" w:hAnsi="Times New Roman" w:cs="Times New Roman" w:eastAsia="Times New Roman" w:hint="default"/>
        </w:rPr>
        <w:t>2017</w:t>
      </w:r>
      <w:r>
        <w:rPr/>
        <w:t>年度审计报告，并同意提交董事会审阅。</w:t>
      </w:r>
    </w:p>
    <w:p>
      <w:pPr>
        <w:spacing w:line="240" w:lineRule="auto" w:before="12"/>
        <w:rPr>
          <w:rFonts w:ascii="宋体" w:hAnsi="宋体" w:cs="宋体" w:eastAsia="宋体" w:hint="default"/>
          <w:sz w:val="15"/>
          <w:szCs w:val="15"/>
        </w:rPr>
      </w:pPr>
    </w:p>
    <w:p>
      <w:pPr>
        <w:pStyle w:val="Heading2"/>
        <w:spacing w:line="240" w:lineRule="auto"/>
        <w:ind w:left="1133" w:right="0"/>
        <w:jc w:val="left"/>
        <w:rPr>
          <w:b w:val="0"/>
          <w:bCs w:val="0"/>
        </w:rPr>
      </w:pPr>
      <w:bookmarkStart w:name="七、监事会工作情况" w:id="144"/>
      <w:bookmarkEnd w:id="144"/>
      <w:r>
        <w:rPr>
          <w:b w:val="0"/>
          <w:bCs w:val="0"/>
        </w:rPr>
      </w:r>
      <w:r>
        <w:rPr/>
        <w:t>七、监事会工作情况</w:t>
      </w:r>
      <w:r>
        <w:rPr>
          <w:b w:val="0"/>
          <w:bCs w:val="0"/>
        </w:rPr>
      </w:r>
    </w:p>
    <w:p>
      <w:pPr>
        <w:spacing w:line="240" w:lineRule="auto" w:before="7"/>
        <w:rPr>
          <w:rFonts w:ascii="宋体" w:hAnsi="宋体" w:cs="宋体" w:eastAsia="宋体" w:hint="default"/>
          <w:b/>
          <w:bCs/>
          <w:sz w:val="32"/>
          <w:szCs w:val="32"/>
        </w:rPr>
      </w:pPr>
    </w:p>
    <w:p>
      <w:pPr>
        <w:pStyle w:val="Heading4"/>
        <w:spacing w:line="240" w:lineRule="auto"/>
        <w:ind w:left="1133" w:right="0"/>
        <w:jc w:val="left"/>
        <w:rPr>
          <w:b w:val="0"/>
          <w:bCs w:val="0"/>
        </w:rPr>
      </w:pPr>
      <w:r>
        <w:rPr/>
        <w:t>监事会在报告期内的监督活动中发现公司是否存在风险</w:t>
      </w:r>
      <w:r>
        <w:rPr>
          <w:b w:val="0"/>
          <w:bCs w:val="0"/>
        </w:rPr>
      </w:r>
    </w:p>
    <w:p>
      <w:pPr>
        <w:spacing w:line="240" w:lineRule="auto" w:before="10"/>
        <w:rPr>
          <w:rFonts w:ascii="宋体" w:hAnsi="宋体" w:cs="宋体" w:eastAsia="宋体" w:hint="default"/>
          <w:b/>
          <w:bCs/>
          <w:sz w:val="20"/>
          <w:szCs w:val="20"/>
        </w:rPr>
      </w:pPr>
    </w:p>
    <w:p>
      <w:pPr>
        <w:pStyle w:val="BodyText"/>
        <w:spacing w:line="489" w:lineRule="auto"/>
        <w:ind w:right="7333"/>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b/>
          <w:bCs/>
        </w:rPr>
        <w:t>√ </w:t>
      </w:r>
      <w:r>
        <w:rPr>
          <w:rFonts w:ascii="宋体" w:hAnsi="宋体" w:cs="宋体" w:eastAsia="宋体" w:hint="default"/>
          <w:b/>
          <w:bCs/>
        </w:rPr>
        <w:t>否</w:t>
      </w:r>
      <w:r>
        <w:rPr>
          <w:rFonts w:ascii="宋体" w:hAnsi="宋体" w:cs="宋体" w:eastAsia="宋体" w:hint="default"/>
          <w:b/>
          <w:bCs/>
          <w:w w:val="99"/>
        </w:rPr>
        <w:t> </w:t>
      </w:r>
      <w:r>
        <w:rPr/>
        <w:t>公司监事会对报告期内的监督事项无异议。</w:t>
      </w:r>
    </w:p>
    <w:p>
      <w:pPr>
        <w:spacing w:line="240" w:lineRule="auto" w:before="8"/>
        <w:rPr>
          <w:rFonts w:ascii="宋体" w:hAnsi="宋体" w:cs="宋体" w:eastAsia="宋体" w:hint="default"/>
          <w:sz w:val="16"/>
          <w:szCs w:val="16"/>
        </w:rPr>
      </w:pPr>
    </w:p>
    <w:p>
      <w:pPr>
        <w:pStyle w:val="Heading2"/>
        <w:spacing w:line="240" w:lineRule="auto"/>
        <w:ind w:left="1133" w:right="0"/>
        <w:jc w:val="left"/>
        <w:rPr>
          <w:b w:val="0"/>
          <w:bCs w:val="0"/>
        </w:rPr>
      </w:pPr>
      <w:bookmarkStart w:name="八、高级管理人员的考评及激励情况" w:id="145"/>
      <w:bookmarkEnd w:id="145"/>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right="1131" w:firstLine="357"/>
        <w:jc w:val="both"/>
      </w:pPr>
      <w:r>
        <w:rPr>
          <w:spacing w:val="-2"/>
        </w:rPr>
        <w:t>公司建立了高级管理人员的选择、考评、激励与约束机制。公司高级管理人员均由董事会聘任，直接对董事会负责，承</w:t>
      </w:r>
      <w:r>
        <w:rPr/>
        <w:t> </w:t>
      </w:r>
      <w:r>
        <w:rPr>
          <w:spacing w:val="-2"/>
        </w:rPr>
        <w:t>担董事会下达的经营指标。董事会下设的薪酬与考核委员会负责对高级管理人员的工作能力、履职情况、责任目标完成情况</w:t>
      </w:r>
      <w:r>
        <w:rPr>
          <w:spacing w:val="-66"/>
        </w:rPr>
        <w:t> </w:t>
      </w:r>
      <w:r>
        <w:rPr>
          <w:spacing w:val="-66"/>
        </w:rPr>
      </w:r>
      <w:r>
        <w:rPr/>
        <w:t>等进行年终考评，制定薪酬方案并报董事会审批。</w:t>
      </w:r>
    </w:p>
    <w:p>
      <w:pPr>
        <w:pStyle w:val="BodyText"/>
        <w:spacing w:line="477" w:lineRule="auto" w:before="54"/>
        <w:ind w:right="1130" w:firstLine="357"/>
        <w:jc w:val="both"/>
      </w:pPr>
      <w:r>
        <w:rPr>
          <w:spacing w:val="-2"/>
        </w:rPr>
        <w:t>报告期内，高级管理人员能够严格按照《公司法》、《公司章程》及国家有关法律法规认真履行职责，积极落实公司股</w:t>
      </w:r>
      <w:r>
        <w:rPr/>
        <w:t> </w:t>
      </w:r>
      <w:r>
        <w:rPr>
          <w:spacing w:val="-2"/>
        </w:rPr>
        <w:t>东大会和董事会相关决议。根据公司薪酬绩效考核制度，公司高级管理人员的薪酬由公司董事会依据每位的年度绩效目标确</w:t>
      </w:r>
    </w:p>
    <w:p>
      <w:pPr>
        <w:spacing w:after="0" w:line="477"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1131"/>
        <w:jc w:val="both"/>
      </w:pPr>
      <w:r>
        <w:rPr>
          <w:spacing w:val="-2"/>
        </w:rPr>
        <w:t>定范围，并由公司董事会进行考评。对高管人员的考评，既评估当年的绩效完成情况，也兼顾公司长期发展的要求，年度经</w:t>
      </w:r>
      <w:r>
        <w:rPr>
          <w:spacing w:val="-66"/>
        </w:rPr>
        <w:t> </w:t>
      </w:r>
      <w:r>
        <w:rPr>
          <w:spacing w:val="-66"/>
        </w:rPr>
      </w:r>
      <w:r>
        <w:rPr>
          <w:spacing w:val="-2"/>
        </w:rPr>
        <w:t>营目标与年度考评结果直接挂钩。高管人员的薪酬主要由基本薪酬、年度绩效奖金和股权激励三部分构成，其中，基本薪酬</w:t>
      </w:r>
      <w:r>
        <w:rPr>
          <w:spacing w:val="-66"/>
        </w:rPr>
        <w:t> </w:t>
      </w:r>
      <w:r>
        <w:rPr>
          <w:spacing w:val="-66"/>
        </w:rPr>
      </w:r>
      <w:r>
        <w:rPr>
          <w:spacing w:val="-2"/>
        </w:rPr>
        <w:t>按月发放，年度绩效奖金根据高管人员年度绩效目标完成情况在年末考评后一次性兑现，股权激励依据公司股权激励计划执</w:t>
      </w:r>
      <w:r>
        <w:rPr>
          <w:spacing w:val="-64"/>
        </w:rPr>
        <w:t> </w:t>
      </w:r>
      <w:r>
        <w:rPr>
          <w:spacing w:val="-64"/>
        </w:rPr>
      </w:r>
      <w:r>
        <w:rPr/>
        <w:t>行。</w:t>
      </w:r>
    </w:p>
    <w:p>
      <w:pPr>
        <w:spacing w:line="240" w:lineRule="auto" w:before="7"/>
        <w:rPr>
          <w:rFonts w:ascii="宋体" w:hAnsi="宋体" w:cs="宋体" w:eastAsia="宋体" w:hint="default"/>
          <w:sz w:val="17"/>
          <w:szCs w:val="17"/>
        </w:rPr>
      </w:pPr>
    </w:p>
    <w:p>
      <w:pPr>
        <w:pStyle w:val="Heading2"/>
        <w:spacing w:line="240" w:lineRule="auto"/>
        <w:ind w:right="0"/>
        <w:jc w:val="both"/>
        <w:rPr>
          <w:b w:val="0"/>
          <w:bCs w:val="0"/>
        </w:rPr>
      </w:pPr>
      <w:bookmarkStart w:name="九、内部控制评价报告" w:id="146"/>
      <w:bookmarkEnd w:id="146"/>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both"/>
        <w:rPr>
          <w:b w:val="0"/>
          <w:bCs w:val="0"/>
        </w:rPr>
      </w:pPr>
      <w:bookmarkStart w:name="1、报告期内发现的内部控制重大缺陷的具体情况" w:id="147"/>
      <w:bookmarkEnd w:id="147"/>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both"/>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33" w:right="0"/>
        <w:jc w:val="both"/>
        <w:rPr>
          <w:b w:val="0"/>
          <w:bCs w:val="0"/>
        </w:rPr>
      </w:pPr>
      <w:bookmarkStart w:name="2、内控自我评价报告" w:id="148"/>
      <w:bookmarkEnd w:id="148"/>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2"/>
        <w:rPr>
          <w:rFonts w:ascii="宋体" w:hAnsi="宋体" w:cs="宋体" w:eastAsia="宋体" w:hint="default"/>
          <w:b/>
          <w:bCs/>
          <w:sz w:val="27"/>
          <w:szCs w:val="27"/>
        </w:rPr>
      </w:pPr>
    </w:p>
    <w:p>
      <w:pPr>
        <w:pStyle w:val="BodyText"/>
        <w:spacing w:line="240" w:lineRule="auto" w:before="44"/>
        <w:ind w:left="1161" w:right="0"/>
        <w:jc w:val="left"/>
      </w:pPr>
      <w:r>
        <w:rPr/>
        <w:pict>
          <v:group style="position:absolute;margin-left:56.459999pt;margin-top:-1.148306pt;width:478.95pt;height:458.2pt;mso-position-horizontal-relative:page;mso-position-vertical-relative:paragraph;z-index:-1193056" coordorigin="1129,-23" coordsize="9579,9164">
            <v:group style="position:absolute;left:1150;top:-7;width:2;height:392" coordorigin="1150,-7" coordsize="2,392">
              <v:shape style="position:absolute;left:1150;top:-7;width:2;height:392" coordorigin="1150,-7" coordsize="0,392" path="m1150,-7l1150,384e" filled="false" stroked="true" strokeweight="1.140pt" strokecolor="#d2d2d2">
                <v:path arrowok="t"/>
              </v:shape>
            </v:group>
            <v:group style="position:absolute;left:3779;top:-7;width:2;height:392" coordorigin="3779,-7" coordsize="2,392">
              <v:shape style="position:absolute;left:3779;top:-7;width:2;height:392" coordorigin="3779,-7" coordsize="0,392" path="m3779,-7l3779,384e" filled="false" stroked="true" strokeweight="1.140pt" strokecolor="#d2d2d2">
                <v:path arrowok="t"/>
              </v:shape>
            </v:group>
            <v:group style="position:absolute;left:1162;top:-7;width:2606;height:392" coordorigin="1162,-7" coordsize="2606,392">
              <v:shape style="position:absolute;left:1162;top:-7;width:2606;height:392" coordorigin="1162,-7" coordsize="2606,392" path="m1162,384l3767,384,3767,-7,1162,-7,1162,384xe" filled="true" fillcolor="#d2d2d2" stroked="false">
                <v:path arrowok="t"/>
                <v:fill type="solid"/>
              </v:shape>
            </v:group>
            <v:group style="position:absolute;left:1139;top:-13;width:2653;height:2" coordorigin="1139,-13" coordsize="2653,2">
              <v:shape style="position:absolute;left:1139;top:-13;width:2653;height:2" coordorigin="1139,-13" coordsize="2653,0" path="m1139,-13l3791,-13e" filled="false" stroked="true" strokeweight=".48pt" strokecolor="#000000">
                <v:path arrowok="t"/>
              </v:shape>
            </v:group>
            <v:group style="position:absolute;left:3801;top:-13;width:6898;height:2" coordorigin="3801,-13" coordsize="6898,2">
              <v:shape style="position:absolute;left:3801;top:-13;width:6898;height:2" coordorigin="3801,-13" coordsize="6898,0" path="m3801,-13l10698,-13e" filled="false" stroked="true" strokeweight=".48pt" strokecolor="#000000">
                <v:path arrowok="t"/>
              </v:shape>
            </v:group>
            <v:group style="position:absolute;left:1150;top:395;width:2;height:392" coordorigin="1150,395" coordsize="2,392">
              <v:shape style="position:absolute;left:1150;top:395;width:2;height:392" coordorigin="1150,395" coordsize="0,392" path="m1150,395l1150,786e" filled="false" stroked="true" strokeweight="1.140pt" strokecolor="#d2d2d2">
                <v:path arrowok="t"/>
              </v:shape>
            </v:group>
            <v:group style="position:absolute;left:3779;top:395;width:2;height:392" coordorigin="3779,395" coordsize="2,392">
              <v:shape style="position:absolute;left:3779;top:395;width:2;height:392" coordorigin="3779,395" coordsize="0,392" path="m3779,395l3779,786e" filled="false" stroked="true" strokeweight="1.140pt" strokecolor="#d2d2d2">
                <v:path arrowok="t"/>
              </v:shape>
            </v:group>
            <v:group style="position:absolute;left:1162;top:395;width:2606;height:392" coordorigin="1162,395" coordsize="2606,392">
              <v:shape style="position:absolute;left:1162;top:395;width:2606;height:392" coordorigin="1162,395" coordsize="2606,392" path="m1162,786l3767,786,3767,395,1162,395,1162,786xe" filled="true" fillcolor="#d2d2d2" stroked="false">
                <v:path arrowok="t"/>
                <v:fill type="solid"/>
              </v:shape>
            </v:group>
            <v:group style="position:absolute;left:1139;top:389;width:2653;height:2" coordorigin="1139,389" coordsize="2653,2">
              <v:shape style="position:absolute;left:1139;top:389;width:2653;height:2" coordorigin="1139,389" coordsize="2653,0" path="m1139,389l3791,389e" filled="false" stroked="true" strokeweight=".48pt" strokecolor="#000000">
                <v:path arrowok="t"/>
              </v:shape>
            </v:group>
            <v:group style="position:absolute;left:3801;top:389;width:6898;height:2" coordorigin="3801,389" coordsize="6898,2">
              <v:shape style="position:absolute;left:3801;top:389;width:6898;height:2" coordorigin="3801,389" coordsize="6898,0" path="m3801,389l10698,389e" filled="false" stroked="true" strokeweight=".48pt" strokecolor="#000000">
                <v:path arrowok="t"/>
              </v:shape>
            </v:group>
            <v:group style="position:absolute;left:1150;top:797;width:2;height:704" coordorigin="1150,797" coordsize="2,704">
              <v:shape style="position:absolute;left:1150;top:797;width:2;height:704" coordorigin="1150,797" coordsize="0,704" path="m1150,797l1150,1500e" filled="false" stroked="true" strokeweight="1.140pt" strokecolor="#d2d2d2">
                <v:path arrowok="t"/>
              </v:shape>
            </v:group>
            <v:group style="position:absolute;left:3779;top:797;width:2;height:704" coordorigin="3779,797" coordsize="2,704">
              <v:shape style="position:absolute;left:3779;top:797;width:2;height:704" coordorigin="3779,797" coordsize="0,704" path="m3779,797l3779,1500e" filled="false" stroked="true" strokeweight="1.140pt" strokecolor="#d2d2d2">
                <v:path arrowok="t"/>
              </v:shape>
            </v:group>
            <v:group style="position:absolute;left:1162;top:797;width:2606;height:352" coordorigin="1162,797" coordsize="2606,352">
              <v:shape style="position:absolute;left:1162;top:797;width:2606;height:352" coordorigin="1162,797" coordsize="2606,352" path="m1162,1148l3767,1148,3767,797,1162,797,1162,1148xe" filled="true" fillcolor="#d2d2d2" stroked="false">
                <v:path arrowok="t"/>
                <v:fill type="solid"/>
              </v:shape>
            </v:group>
            <v:group style="position:absolute;left:1162;top:1148;width:2606;height:352" coordorigin="1162,1148" coordsize="2606,352">
              <v:shape style="position:absolute;left:1162;top:1148;width:2606;height:352" coordorigin="1162,1148" coordsize="2606,352" path="m1162,1500l3767,1500,3767,1148,1162,1148,1162,1500xe" filled="true" fillcolor="#d2d2d2" stroked="false">
                <v:path arrowok="t"/>
                <v:fill type="solid"/>
              </v:shape>
            </v:group>
            <v:group style="position:absolute;left:1139;top:791;width:2653;height:2" coordorigin="1139,791" coordsize="2653,2">
              <v:shape style="position:absolute;left:1139;top:791;width:2653;height:2" coordorigin="1139,791" coordsize="2653,0" path="m1139,791l3791,791e" filled="false" stroked="true" strokeweight=".48pt" strokecolor="#000000">
                <v:path arrowok="t"/>
              </v:shape>
            </v:group>
            <v:group style="position:absolute;left:3801;top:791;width:6898;height:2" coordorigin="3801,791" coordsize="6898,2">
              <v:shape style="position:absolute;left:3801;top:791;width:6898;height:2" coordorigin="3801,791" coordsize="6898,0" path="m3801,791l10698,791e" filled="false" stroked="true" strokeweight=".48pt" strokecolor="#000000">
                <v:path arrowok="t"/>
              </v:shape>
            </v:group>
            <v:group style="position:absolute;left:1150;top:1511;width:2;height:704" coordorigin="1150,1511" coordsize="2,704">
              <v:shape style="position:absolute;left:1150;top:1511;width:2;height:704" coordorigin="1150,1511" coordsize="0,704" path="m1150,1511l1150,2214e" filled="false" stroked="true" strokeweight="1.140pt" strokecolor="#d2d2d2">
                <v:path arrowok="t"/>
              </v:shape>
            </v:group>
            <v:group style="position:absolute;left:3779;top:1511;width:2;height:704" coordorigin="3779,1511" coordsize="2,704">
              <v:shape style="position:absolute;left:3779;top:1511;width:2;height:704" coordorigin="3779,1511" coordsize="0,704" path="m3779,1511l3779,2214e" filled="false" stroked="true" strokeweight="1.140pt" strokecolor="#d2d2d2">
                <v:path arrowok="t"/>
              </v:shape>
            </v:group>
            <v:group style="position:absolute;left:1162;top:1511;width:2606;height:352" coordorigin="1162,1511" coordsize="2606,352">
              <v:shape style="position:absolute;left:1162;top:1511;width:2606;height:352" coordorigin="1162,1511" coordsize="2606,352" path="m1162,1862l3767,1862,3767,1511,1162,1511,1162,1862xe" filled="true" fillcolor="#d2d2d2" stroked="false">
                <v:path arrowok="t"/>
                <v:fill type="solid"/>
              </v:shape>
            </v:group>
            <v:group style="position:absolute;left:1162;top:1862;width:2606;height:352" coordorigin="1162,1862" coordsize="2606,352">
              <v:shape style="position:absolute;left:1162;top:1862;width:2606;height:352" coordorigin="1162,1862" coordsize="2606,352" path="m1162,2214l3767,2214,3767,1862,1162,1862,1162,2214xe" filled="true" fillcolor="#d2d2d2" stroked="false">
                <v:path arrowok="t"/>
                <v:fill type="solid"/>
              </v:shape>
            </v:group>
            <v:group style="position:absolute;left:1139;top:1505;width:2653;height:2" coordorigin="1139,1505" coordsize="2653,2">
              <v:shape style="position:absolute;left:1139;top:1505;width:2653;height:2" coordorigin="1139,1505" coordsize="2653,0" path="m1139,1505l3791,1505e" filled="false" stroked="true" strokeweight=".48pt" strokecolor="#000000">
                <v:path arrowok="t"/>
              </v:shape>
            </v:group>
            <v:group style="position:absolute;left:3801;top:1505;width:6898;height:2" coordorigin="3801,1505" coordsize="6898,2">
              <v:shape style="position:absolute;left:3801;top:1505;width:6898;height:2" coordorigin="3801,1505" coordsize="6898,0" path="m3801,1505l10698,1505e" filled="false" stroked="true" strokeweight=".48pt" strokecolor="#000000">
                <v:path arrowok="t"/>
              </v:shape>
            </v:group>
            <v:group style="position:absolute;left:3796;top:-18;width:2;height:2242" coordorigin="3796,-18" coordsize="2,2242">
              <v:shape style="position:absolute;left:3796;top:-18;width:2;height:2242" coordorigin="3796,-18" coordsize="0,2242" path="m3796,-18l3796,2223e" filled="false" stroked="true" strokeweight=".48pt" strokecolor="#000000">
                <v:path arrowok="t"/>
              </v:shape>
            </v:group>
            <v:group style="position:absolute;left:1150;top:2225;width:2;height:392" coordorigin="1150,2225" coordsize="2,392">
              <v:shape style="position:absolute;left:1150;top:2225;width:2;height:392" coordorigin="1150,2225" coordsize="0,392" path="m1150,2225l1150,2616e" filled="false" stroked="true" strokeweight="1.140pt" strokecolor="#d2d2d2">
                <v:path arrowok="t"/>
              </v:shape>
            </v:group>
            <v:group style="position:absolute;left:10687;top:2225;width:2;height:392" coordorigin="10687,2225" coordsize="2,392">
              <v:shape style="position:absolute;left:10687;top:2225;width:2;height:392" coordorigin="10687,2225" coordsize="0,392" path="m10687,2225l10687,2616e" filled="false" stroked="true" strokeweight="1.140pt" strokecolor="#d2d2d2">
                <v:path arrowok="t"/>
              </v:shape>
            </v:group>
            <v:group style="position:absolute;left:1162;top:2225;width:9514;height:392" coordorigin="1162,2225" coordsize="9514,392">
              <v:shape style="position:absolute;left:1162;top:2225;width:9514;height:392" coordorigin="1162,2225" coordsize="9514,392" path="m1162,2616l10675,2616,10675,2225,1162,2225,1162,2616xe" filled="true" fillcolor="#d2d2d2" stroked="false">
                <v:path arrowok="t"/>
                <v:fill type="solid"/>
              </v:shape>
            </v:group>
            <v:group style="position:absolute;left:1139;top:2219;width:2653;height:2" coordorigin="1139,2219" coordsize="2653,2">
              <v:shape style="position:absolute;left:1139;top:2219;width:2653;height:2" coordorigin="1139,2219" coordsize="2653,0" path="m1139,2219l3791,2219e" filled="false" stroked="true" strokeweight=".48pt" strokecolor="#000000">
                <v:path arrowok="t"/>
              </v:shape>
            </v:group>
            <v:group style="position:absolute;left:3801;top:2219;width:6898;height:2" coordorigin="3801,2219" coordsize="6898,2">
              <v:shape style="position:absolute;left:3801;top:2219;width:6898;height:2" coordorigin="3801,2219" coordsize="6898,0" path="m3801,2219l10698,2219e" filled="false" stroked="true" strokeweight=".48pt" strokecolor="#000000">
                <v:path arrowok="t"/>
              </v:shape>
            </v:group>
            <v:group style="position:absolute;left:1150;top:2627;width:2;height:392" coordorigin="1150,2627" coordsize="2,392">
              <v:shape style="position:absolute;left:1150;top:2627;width:2;height:392" coordorigin="1150,2627" coordsize="0,392" path="m1150,2627l1150,3018e" filled="false" stroked="true" strokeweight="1.140pt" strokecolor="#d2d2d2">
                <v:path arrowok="t"/>
              </v:shape>
            </v:group>
            <v:group style="position:absolute;left:3779;top:2627;width:2;height:392" coordorigin="3779,2627" coordsize="2,392">
              <v:shape style="position:absolute;left:3779;top:2627;width:2;height:392" coordorigin="3779,2627" coordsize="0,392" path="m3779,2627l3779,3018e" filled="false" stroked="true" strokeweight="1.140pt" strokecolor="#d2d2d2">
                <v:path arrowok="t"/>
              </v:shape>
            </v:group>
            <v:group style="position:absolute;left:1162;top:2627;width:2606;height:392" coordorigin="1162,2627" coordsize="2606,392">
              <v:shape style="position:absolute;left:1162;top:2627;width:2606;height:392" coordorigin="1162,2627" coordsize="2606,392" path="m1162,3018l3767,3018,3767,2627,1162,2627,1162,3018xe" filled="true" fillcolor="#d2d2d2" stroked="false">
                <v:path arrowok="t"/>
                <v:fill type="solid"/>
              </v:shape>
            </v:group>
            <v:group style="position:absolute;left:3812;top:2627;width:2;height:392" coordorigin="3812,2627" coordsize="2,392">
              <v:shape style="position:absolute;left:3812;top:2627;width:2;height:392" coordorigin="3812,2627" coordsize="0,392" path="m3812,2627l3812,3018e" filled="false" stroked="true" strokeweight="1.140pt" strokecolor="#d2d2d2">
                <v:path arrowok="t"/>
              </v:shape>
            </v:group>
            <v:group style="position:absolute;left:7039;top:2627;width:2;height:392" coordorigin="7039,2627" coordsize="2,392">
              <v:shape style="position:absolute;left:7039;top:2627;width:2;height:392" coordorigin="7039,2627" coordsize="0,392" path="m7039,2627l7039,3018e" filled="false" stroked="true" strokeweight="1.140pt" strokecolor="#d2d2d2">
                <v:path arrowok="t"/>
              </v:shape>
            </v:group>
            <v:group style="position:absolute;left:3824;top:2627;width:3205;height:392" coordorigin="3824,2627" coordsize="3205,392">
              <v:shape style="position:absolute;left:3824;top:2627;width:3205;height:392" coordorigin="3824,2627" coordsize="3205,392" path="m3824,3018l7028,3018,7028,2627,3824,2627,3824,3018xe" filled="true" fillcolor="#d2d2d2" stroked="false">
                <v:path arrowok="t"/>
                <v:fill type="solid"/>
              </v:shape>
            </v:group>
            <v:group style="position:absolute;left:7072;top:2627;width:2;height:392" coordorigin="7072,2627" coordsize="2,392">
              <v:shape style="position:absolute;left:7072;top:2627;width:2;height:392" coordorigin="7072,2627" coordsize="0,392" path="m7072,2627l7072,3018e" filled="false" stroked="true" strokeweight="1.140pt" strokecolor="#d2d2d2">
                <v:path arrowok="t"/>
              </v:shape>
            </v:group>
            <v:group style="position:absolute;left:10687;top:2627;width:2;height:392" coordorigin="10687,2627" coordsize="2,392">
              <v:shape style="position:absolute;left:10687;top:2627;width:2;height:392" coordorigin="10687,2627" coordsize="0,392" path="m10687,2627l10687,3018e" filled="false" stroked="true" strokeweight="1.140pt" strokecolor="#d2d2d2">
                <v:path arrowok="t"/>
              </v:shape>
            </v:group>
            <v:group style="position:absolute;left:7083;top:2627;width:3592;height:392" coordorigin="7083,2627" coordsize="3592,392">
              <v:shape style="position:absolute;left:7083;top:2627;width:3592;height:392" coordorigin="7083,2627" coordsize="3592,392" path="m7083,3018l10675,3018,10675,2627,7083,2627,7083,3018xe" filled="true" fillcolor="#d2d2d2" stroked="false">
                <v:path arrowok="t"/>
                <v:fill type="solid"/>
              </v:shape>
            </v:group>
            <v:group style="position:absolute;left:1139;top:2621;width:2653;height:2" coordorigin="1139,2621" coordsize="2653,2">
              <v:shape style="position:absolute;left:1139;top:2621;width:2653;height:2" coordorigin="1139,2621" coordsize="2653,0" path="m1139,2621l3791,2621e" filled="false" stroked="true" strokeweight=".48pt" strokecolor="#000000">
                <v:path arrowok="t"/>
              </v:shape>
            </v:group>
            <v:group style="position:absolute;left:3801;top:2621;width:3250;height:2" coordorigin="3801,2621" coordsize="3250,2">
              <v:shape style="position:absolute;left:3801;top:2621;width:3250;height:2" coordorigin="3801,2621" coordsize="3250,0" path="m3801,2621l7051,2621e" filled="false" stroked="true" strokeweight=".48pt" strokecolor="#000000">
                <v:path arrowok="t"/>
              </v:shape>
            </v:group>
            <v:group style="position:absolute;left:7060;top:2621;width:3638;height:2" coordorigin="7060,2621" coordsize="3638,2">
              <v:shape style="position:absolute;left:7060;top:2621;width:3638;height:2" coordorigin="7060,2621" coordsize="3638,0" path="m7060,2621l10698,2621e" filled="false" stroked="true" strokeweight=".48pt" strokecolor="#000000">
                <v:path arrowok="t"/>
              </v:shape>
            </v:group>
            <v:group style="position:absolute;left:1139;top:3029;width:2652;height:2204" coordorigin="1139,3029" coordsize="2652,2204">
              <v:shape style="position:absolute;left:1139;top:3029;width:2652;height:2204" coordorigin="1139,3029" coordsize="2652,2204" path="m1139,5232l3790,5232,3790,3029,1139,3029,1139,5232xe" filled="true" fillcolor="#d2d2d2" stroked="false">
                <v:path arrowok="t"/>
                <v:fill type="solid"/>
              </v:shape>
            </v:group>
            <v:group style="position:absolute;left:1150;top:5232;width:2;height:393" coordorigin="1150,5232" coordsize="2,393">
              <v:shape style="position:absolute;left:1150;top:5232;width:2;height:393" coordorigin="1150,5232" coordsize="0,393" path="m1150,5232l1150,5625e" filled="false" stroked="true" strokeweight="1.140pt" strokecolor="#d2d2d2">
                <v:path arrowok="t"/>
              </v:shape>
            </v:group>
            <v:group style="position:absolute;left:3779;top:5232;width:2;height:393" coordorigin="3779,5232" coordsize="2,393">
              <v:shape style="position:absolute;left:3779;top:5232;width:2;height:393" coordorigin="3779,5232" coordsize="0,393" path="m3779,5232l3779,5625e" filled="false" stroked="true" strokeweight="1.140pt" strokecolor="#d2d2d2">
                <v:path arrowok="t"/>
              </v:shape>
            </v:group>
            <v:group style="position:absolute;left:1139;top:5625;width:2652;height:2204" coordorigin="1139,5625" coordsize="2652,2204">
              <v:shape style="position:absolute;left:1139;top:5625;width:2652;height:2204" coordorigin="1139,5625" coordsize="2652,2204" path="m1139,7828l3790,7828,3790,5625,1139,5625,1139,7828xe" filled="true" fillcolor="#d2d2d2" stroked="false">
                <v:path arrowok="t"/>
                <v:fill type="solid"/>
              </v:shape>
            </v:group>
            <v:group style="position:absolute;left:1162;top:5232;width:2606;height:393" coordorigin="1162,5232" coordsize="2606,393">
              <v:shape style="position:absolute;left:1162;top:5232;width:2606;height:393" coordorigin="1162,5232" coordsize="2606,393" path="m1162,5625l3767,5625,3767,5232,1162,5232,1162,5625xe" filled="true" fillcolor="#d2d2d2" stroked="false">
                <v:path arrowok="t"/>
                <v:fill type="solid"/>
              </v:shape>
            </v:group>
            <v:group style="position:absolute;left:7060;top:3029;width:3638;height:136" coordorigin="7060,3029" coordsize="3638,136">
              <v:shape style="position:absolute;left:7060;top:3029;width:3638;height:136" coordorigin="7060,3029" coordsize="3638,136" path="m7060,3165l10698,3165,10698,3029,7060,3029,7060,3165xe" filled="true" fillcolor="#ffffff" stroked="false">
                <v:path arrowok="t"/>
                <v:fill type="solid"/>
              </v:shape>
            </v:group>
            <v:group style="position:absolute;left:7072;top:3165;width:2;height:4528" coordorigin="7072,3165" coordsize="2,4528">
              <v:shape style="position:absolute;left:7072;top:3165;width:2;height:4528" coordorigin="7072,3165" coordsize="0,4528" path="m7072,3165l7072,7692e" filled="false" stroked="true" strokeweight="1.140pt" strokecolor="#ffffff">
                <v:path arrowok="t"/>
              </v:shape>
            </v:group>
            <v:group style="position:absolute;left:7083;top:3165;width:3592;height:352" coordorigin="7083,3165" coordsize="3592,352">
              <v:shape style="position:absolute;left:7083;top:3165;width:3592;height:352" coordorigin="7083,3165" coordsize="3592,352" path="m7083,3516l10675,3516,10675,3165,7083,3165,7083,3516xe" filled="true" fillcolor="#ffffff" stroked="false">
                <v:path arrowok="t"/>
                <v:fill type="solid"/>
              </v:shape>
            </v:group>
            <v:group style="position:absolute;left:7083;top:5700;width:3592;height:312" coordorigin="7083,5700" coordsize="3592,312">
              <v:shape style="position:absolute;left:7083;top:5700;width:3592;height:312" coordorigin="7083,5700" coordsize="3592,312" path="m7083,6012l10675,6012,10675,5700,7083,5700,7083,6012xe" filled="true" fillcolor="#ffffff" stroked="false">
                <v:path arrowok="t"/>
                <v:fill type="solid"/>
              </v:shape>
            </v:group>
            <v:group style="position:absolute;left:7083;top:6012;width:3592;height:353" coordorigin="7083,6012" coordsize="3592,353">
              <v:shape style="position:absolute;left:7083;top:6012;width:3592;height:353" coordorigin="7083,6012" coordsize="3592,353" path="m7083,6365l10675,6365,10675,6012,7083,6012,7083,6365xe" filled="true" fillcolor="#ffffff" stroked="false">
                <v:path arrowok="t"/>
                <v:fill type="solid"/>
              </v:shape>
            </v:group>
            <v:group style="position:absolute;left:1139;top:3023;width:2653;height:2" coordorigin="1139,3023" coordsize="2653,2">
              <v:shape style="position:absolute;left:1139;top:3023;width:2653;height:2" coordorigin="1139,3023" coordsize="2653,0" path="m1139,3023l3791,3023e" filled="false" stroked="true" strokeweight=".48pt" strokecolor="#000000">
                <v:path arrowok="t"/>
              </v:shape>
            </v:group>
            <v:group style="position:absolute;left:3801;top:3023;width:3250;height:2" coordorigin="3801,3023" coordsize="3250,2">
              <v:shape style="position:absolute;left:3801;top:3023;width:3250;height:2" coordorigin="3801,3023" coordsize="3250,0" path="m3801,3023l7051,3023e" filled="false" stroked="true" strokeweight=".48pt" strokecolor="#000000">
                <v:path arrowok="t"/>
              </v:shape>
            </v:group>
            <v:group style="position:absolute;left:7060;top:3023;width:3638;height:2" coordorigin="7060,3023" coordsize="3638,2">
              <v:shape style="position:absolute;left:7060;top:3023;width:3638;height:2" coordorigin="7060,3023" coordsize="3638,0" path="m7060,3023l10698,3023e" filled="false" stroked="true" strokeweight=".48pt" strokecolor="#000000">
                <v:path arrowok="t"/>
              </v:shape>
            </v:group>
            <v:group style="position:absolute;left:1139;top:7839;width:2652;height:448" coordorigin="1139,7839" coordsize="2652,448">
              <v:shape style="position:absolute;left:1139;top:7839;width:2652;height:448" coordorigin="1139,7839" coordsize="2652,448" path="m1139,8287l3790,8287,3790,7839,1139,7839,1139,8287xe" filled="true" fillcolor="#d2d2d2" stroked="false">
                <v:path arrowok="t"/>
                <v:fill type="solid"/>
              </v:shape>
            </v:group>
            <v:group style="position:absolute;left:1150;top:8287;width:2;height:393" coordorigin="1150,8287" coordsize="2,393">
              <v:shape style="position:absolute;left:1150;top:8287;width:2;height:393" coordorigin="1150,8287" coordsize="0,393" path="m1150,8287l1150,8679e" filled="false" stroked="true" strokeweight="1.140pt" strokecolor="#d2d2d2">
                <v:path arrowok="t"/>
              </v:shape>
            </v:group>
            <v:group style="position:absolute;left:3779;top:8287;width:2;height:393" coordorigin="3779,8287" coordsize="2,393">
              <v:shape style="position:absolute;left:3779;top:8287;width:2;height:393" coordorigin="3779,8287" coordsize="0,393" path="m3779,8287l3779,8679e" filled="false" stroked="true" strokeweight="1.140pt" strokecolor="#d2d2d2">
                <v:path arrowok="t"/>
              </v:shape>
            </v:group>
            <v:group style="position:absolute;left:1139;top:8679;width:2652;height:448" coordorigin="1139,8679" coordsize="2652,448">
              <v:shape style="position:absolute;left:1139;top:8679;width:2652;height:448" coordorigin="1139,8679" coordsize="2652,448" path="m1139,9127l3790,9127,3790,8679,1139,8679,1139,9127xe" filled="true" fillcolor="#d2d2d2" stroked="false">
                <v:path arrowok="t"/>
                <v:fill type="solid"/>
              </v:shape>
            </v:group>
            <v:group style="position:absolute;left:1162;top:8287;width:2606;height:393" coordorigin="1162,8287" coordsize="2606,393">
              <v:shape style="position:absolute;left:1162;top:8287;width:2606;height:393" coordorigin="1162,8287" coordsize="2606,393" path="m1162,8679l3767,8679,3767,8287,1162,8287,1162,8679xe" filled="true" fillcolor="#d2d2d2" stroked="false">
                <v:path arrowok="t"/>
                <v:fill type="solid"/>
              </v:shape>
            </v:group>
            <v:group style="position:absolute;left:1139;top:7833;width:2653;height:2" coordorigin="1139,7833" coordsize="2653,2">
              <v:shape style="position:absolute;left:1139;top:7833;width:2653;height:2" coordorigin="1139,7833" coordsize="2653,0" path="m1139,7833l3791,7833e" filled="false" stroked="true" strokeweight=".48pt" strokecolor="#000000">
                <v:path arrowok="t"/>
              </v:shape>
            </v:group>
            <v:group style="position:absolute;left:3801;top:7833;width:3250;height:2" coordorigin="3801,7833" coordsize="3250,2">
              <v:shape style="position:absolute;left:3801;top:7833;width:3250;height:2" coordorigin="3801,7833" coordsize="3250,0" path="m3801,7833l7051,7833e" filled="false" stroked="true" strokeweight=".48pt" strokecolor="#000000">
                <v:path arrowok="t"/>
              </v:shape>
            </v:group>
            <v:group style="position:absolute;left:7060;top:7833;width:3638;height:2" coordorigin="7060,7833" coordsize="3638,2">
              <v:shape style="position:absolute;left:7060;top:7833;width:3638;height:2" coordorigin="7060,7833" coordsize="3638,0" path="m7060,7833l10698,7833e" filled="false" stroked="true" strokeweight=".48pt" strokecolor="#000000">
                <v:path arrowok="t"/>
              </v:shape>
            </v:group>
            <v:group style="position:absolute;left:1134;top:-18;width:2;height:9155" coordorigin="1134,-18" coordsize="2,9155">
              <v:shape style="position:absolute;left:1134;top:-18;width:2;height:9155" coordorigin="1134,-18" coordsize="0,9155" path="m1134,-18l1134,9136e" filled="false" stroked="true" strokeweight=".48pt" strokecolor="#000000">
                <v:path arrowok="t"/>
              </v:shape>
            </v:group>
            <v:group style="position:absolute;left:1139;top:9131;width:2653;height:2" coordorigin="1139,9131" coordsize="2653,2">
              <v:shape style="position:absolute;left:1139;top:9131;width:2653;height:2" coordorigin="1139,9131" coordsize="2653,0" path="m1139,9131l3791,9131e" filled="false" stroked="true" strokeweight=".48pt" strokecolor="#000000">
                <v:path arrowok="t"/>
              </v:shape>
            </v:group>
            <v:group style="position:absolute;left:3796;top:2616;width:2;height:6520" coordorigin="3796,2616" coordsize="2,6520">
              <v:shape style="position:absolute;left:3796;top:2616;width:2;height:6520" coordorigin="3796,2616" coordsize="0,6520" path="m3796,2616l3796,9136e" filled="false" stroked="true" strokeweight=".48pt" strokecolor="#000000">
                <v:path arrowok="t"/>
              </v:shape>
            </v:group>
            <v:group style="position:absolute;left:3801;top:9131;width:3250;height:2" coordorigin="3801,9131" coordsize="3250,2">
              <v:shape style="position:absolute;left:3801;top:9131;width:3250;height:2" coordorigin="3801,9131" coordsize="3250,0" path="m3801,9131l7051,9131e" filled="false" stroked="true" strokeweight=".48pt" strokecolor="#000000">
                <v:path arrowok="t"/>
              </v:shape>
            </v:group>
            <v:group style="position:absolute;left:7056;top:2616;width:2;height:6520" coordorigin="7056,2616" coordsize="2,6520">
              <v:shape style="position:absolute;left:7056;top:2616;width:2;height:6520" coordorigin="7056,2616" coordsize="0,6520" path="m7056,2616l7056,9136e" filled="false" stroked="true" strokeweight=".48pt" strokecolor="#000000">
                <v:path arrowok="t"/>
              </v:shape>
            </v:group>
            <v:group style="position:absolute;left:7060;top:9131;width:3638;height:2" coordorigin="7060,9131" coordsize="3638,2">
              <v:shape style="position:absolute;left:7060;top:9131;width:3638;height:2" coordorigin="7060,9131" coordsize="3638,0" path="m7060,9131l10698,9131e" filled="false" stroked="true" strokeweight=".48pt" strokecolor="#000000">
                <v:path arrowok="t"/>
              </v:shape>
            </v:group>
            <v:group style="position:absolute;left:10703;top:-18;width:2;height:9155" coordorigin="10703,-18" coordsize="2,9155">
              <v:shape style="position:absolute;left:10703;top:-18;width:2;height:9155" coordorigin="10703,-18" coordsize="0,9155" path="m10703,-18l10703,9136e" filled="false" stroked="true" strokeweight=".48pt" strokecolor="#000000">
                <v:path arrowok="t"/>
              </v:shape>
            </v:group>
            <w10:wrap type="none"/>
          </v:group>
        </w:pict>
      </w:r>
      <w:r>
        <w:rPr/>
        <w:t>内部控制评价报告全文披露日期</w:t>
      </w:r>
      <w:r>
        <w:rPr>
          <w:spacing w:val="52"/>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04 </w:t>
      </w:r>
      <w:r>
        <w:rPr/>
        <w:t>月</w:t>
      </w:r>
      <w:r>
        <w:rPr>
          <w:spacing w:val="-46"/>
        </w:rPr>
        <w:t> </w:t>
      </w:r>
      <w:r>
        <w:rPr>
          <w:rFonts w:ascii="Times New Roman" w:hAnsi="Times New Roman" w:cs="Times New Roman" w:eastAsia="Times New Roman" w:hint="default"/>
        </w:rPr>
        <w:t>26</w:t>
      </w:r>
      <w:r>
        <w:rPr>
          <w:rFonts w:ascii="Times New Roman" w:hAnsi="Times New Roman" w:cs="Times New Roman" w:eastAsia="Times New Roman" w:hint="default"/>
          <w:spacing w:val="-1"/>
        </w:rPr>
        <w:t> </w:t>
      </w:r>
      <w:r>
        <w:rPr/>
        <w:t>日</w:t>
      </w:r>
    </w:p>
    <w:p>
      <w:pPr>
        <w:spacing w:line="240" w:lineRule="auto" w:before="4"/>
        <w:rPr>
          <w:rFonts w:ascii="宋体" w:hAnsi="宋体" w:cs="宋体" w:eastAsia="宋体" w:hint="default"/>
          <w:sz w:val="8"/>
          <w:szCs w:val="8"/>
        </w:rPr>
      </w:pPr>
    </w:p>
    <w:p>
      <w:pPr>
        <w:pStyle w:val="BodyText"/>
        <w:spacing w:line="240" w:lineRule="auto" w:before="44"/>
        <w:ind w:left="1161" w:right="0"/>
        <w:jc w:val="left"/>
      </w:pPr>
      <w:r>
        <w:rPr/>
        <w:t>内部控制评价报告全文披露索引</w:t>
      </w:r>
      <w:r>
        <w:rPr>
          <w:spacing w:val="52"/>
        </w:rPr>
        <w:t> </w:t>
      </w:r>
      <w:r>
        <w:rPr/>
        <w:t>具体详见巨潮资讯网</w:t>
      </w:r>
    </w:p>
    <w:p>
      <w:pPr>
        <w:spacing w:line="240" w:lineRule="auto" w:before="4"/>
        <w:rPr>
          <w:rFonts w:ascii="宋体" w:hAnsi="宋体" w:cs="宋体" w:eastAsia="宋体" w:hint="default"/>
          <w:sz w:val="9"/>
          <w:szCs w:val="9"/>
        </w:rPr>
      </w:pPr>
    </w:p>
    <w:p>
      <w:pPr>
        <w:spacing w:after="0" w:line="240" w:lineRule="auto"/>
        <w:rPr>
          <w:rFonts w:ascii="宋体" w:hAnsi="宋体" w:cs="宋体" w:eastAsia="宋体" w:hint="default"/>
          <w:sz w:val="9"/>
          <w:szCs w:val="9"/>
        </w:rPr>
        <w:sectPr>
          <w:footerReference w:type="default" r:id="rId55"/>
          <w:pgSz w:w="11910" w:h="16840"/>
          <w:pgMar w:footer="979" w:header="851" w:top="1320" w:bottom="1160" w:left="0" w:right="0"/>
        </w:sectPr>
      </w:pPr>
    </w:p>
    <w:p>
      <w:pPr>
        <w:pStyle w:val="BodyText"/>
        <w:spacing w:line="316" w:lineRule="auto" w:before="44"/>
        <w:ind w:left="1161" w:right="-20"/>
        <w:jc w:val="left"/>
      </w:pPr>
      <w:r>
        <w:rPr/>
        <w:t>纳入评价范围单位资产总额占公 司合并财务报表资产总额的比例</w:t>
      </w:r>
    </w:p>
    <w:p>
      <w:pPr>
        <w:spacing w:line="240" w:lineRule="auto" w:before="5"/>
        <w:rPr>
          <w:rFonts w:ascii="宋体" w:hAnsi="宋体" w:cs="宋体" w:eastAsia="宋体" w:hint="default"/>
          <w:sz w:val="18"/>
          <w:szCs w:val="18"/>
        </w:rPr>
      </w:pPr>
      <w:r>
        <w:rPr/>
        <w:br w:type="column"/>
      </w:r>
      <w:r>
        <w:rPr>
          <w:rFonts w:ascii="宋体"/>
          <w:sz w:val="18"/>
        </w:rPr>
      </w:r>
    </w:p>
    <w:p>
      <w:pPr>
        <w:pStyle w:val="BodyText"/>
        <w:spacing w:line="240" w:lineRule="auto"/>
        <w:ind w:left="1143" w:right="1209"/>
        <w:jc w:val="center"/>
        <w:rPr>
          <w:rFonts w:ascii="Times New Roman" w:hAnsi="Times New Roman" w:cs="Times New Roman" w:eastAsia="Times New Roman" w:hint="default"/>
        </w:rPr>
      </w:pPr>
      <w:r>
        <w:rPr>
          <w:rFonts w:ascii="Times New Roman"/>
        </w:rPr>
        <w:t>100.00%</w:t>
      </w:r>
    </w:p>
    <w:p>
      <w:pPr>
        <w:spacing w:after="0" w:line="240" w:lineRule="auto"/>
        <w:jc w:val="center"/>
        <w:rPr>
          <w:rFonts w:ascii="Times New Roman" w:hAnsi="Times New Roman" w:cs="Times New Roman" w:eastAsia="Times New Roman" w:hint="default"/>
        </w:rPr>
        <w:sectPr>
          <w:type w:val="continuous"/>
          <w:pgSz w:w="11910" w:h="16840"/>
          <w:pgMar w:top="280" w:bottom="280" w:left="0" w:right="0"/>
          <w:cols w:num="2" w:equalWidth="0">
            <w:col w:w="3682" w:space="5187"/>
            <w:col w:w="3041"/>
          </w:cols>
        </w:sectPr>
      </w:pPr>
    </w:p>
    <w:p>
      <w:pPr>
        <w:pStyle w:val="BodyText"/>
        <w:spacing w:line="316" w:lineRule="auto" w:before="109"/>
        <w:ind w:left="1161" w:right="-20"/>
        <w:jc w:val="left"/>
      </w:pPr>
      <w:r>
        <w:rPr/>
        <w:t>纳入评价范围单位营业收入占公 司合并财务报表营业收入的比例</w:t>
      </w:r>
    </w:p>
    <w:p>
      <w:pPr>
        <w:spacing w:line="240" w:lineRule="auto" w:before="4"/>
        <w:rPr>
          <w:rFonts w:ascii="宋体" w:hAnsi="宋体" w:cs="宋体" w:eastAsia="宋体" w:hint="default"/>
          <w:sz w:val="23"/>
          <w:szCs w:val="23"/>
        </w:rPr>
      </w:pPr>
      <w:r>
        <w:rPr/>
        <w:br w:type="column"/>
      </w:r>
      <w:r>
        <w:rPr>
          <w:rFonts w:ascii="宋体"/>
          <w:sz w:val="23"/>
        </w:rPr>
      </w:r>
    </w:p>
    <w:p>
      <w:pPr>
        <w:pStyle w:val="BodyText"/>
        <w:spacing w:line="240" w:lineRule="auto"/>
        <w:ind w:left="1143" w:right="1209"/>
        <w:jc w:val="center"/>
        <w:rPr>
          <w:rFonts w:ascii="Times New Roman" w:hAnsi="Times New Roman" w:cs="Times New Roman" w:eastAsia="Times New Roman" w:hint="default"/>
        </w:rPr>
      </w:pPr>
      <w:r>
        <w:rPr>
          <w:rFonts w:ascii="Times New Roman"/>
        </w:rPr>
        <w:t>100.00%</w:t>
      </w:r>
    </w:p>
    <w:p>
      <w:pPr>
        <w:spacing w:after="0" w:line="240" w:lineRule="auto"/>
        <w:jc w:val="center"/>
        <w:rPr>
          <w:rFonts w:ascii="Times New Roman" w:hAnsi="Times New Roman" w:cs="Times New Roman" w:eastAsia="Times New Roman" w:hint="default"/>
        </w:rPr>
        <w:sectPr>
          <w:type w:val="continuous"/>
          <w:pgSz w:w="11910" w:h="16840"/>
          <w:pgMar w:top="280" w:bottom="280" w:left="0" w:right="0"/>
          <w:cols w:num="2" w:equalWidth="0">
            <w:col w:w="3682" w:space="5187"/>
            <w:col w:w="3041"/>
          </w:cols>
        </w:sectPr>
      </w:pPr>
    </w:p>
    <w:p>
      <w:pPr>
        <w:pStyle w:val="BodyText"/>
        <w:spacing w:line="240" w:lineRule="auto" w:before="109"/>
        <w:ind w:left="4090" w:right="4158"/>
        <w:jc w:val="center"/>
      </w:pPr>
      <w:r>
        <w:rPr/>
        <w:t>缺陷认定标准</w:t>
      </w:r>
    </w:p>
    <w:p>
      <w:pPr>
        <w:spacing w:line="240" w:lineRule="auto" w:before="4"/>
        <w:rPr>
          <w:rFonts w:ascii="宋体" w:hAnsi="宋体" w:cs="宋体" w:eastAsia="宋体" w:hint="default"/>
          <w:sz w:val="9"/>
          <w:szCs w:val="9"/>
        </w:rPr>
      </w:pPr>
    </w:p>
    <w:p>
      <w:pPr>
        <w:pStyle w:val="BodyText"/>
        <w:tabs>
          <w:tab w:pos="5065" w:val="left" w:leader="none"/>
          <w:tab w:pos="8428" w:val="left" w:leader="none"/>
        </w:tabs>
        <w:spacing w:line="240" w:lineRule="auto" w:before="44"/>
        <w:ind w:left="2284" w:right="0"/>
        <w:jc w:val="left"/>
      </w:pPr>
      <w:r>
        <w:rPr/>
        <w:t>类别</w:t>
        <w:tab/>
        <w:t>财务报告</w:t>
        <w:tab/>
        <w:t>非财务报告</w:t>
      </w:r>
    </w:p>
    <w:p>
      <w:pPr>
        <w:spacing w:line="240" w:lineRule="auto" w:before="4"/>
        <w:rPr>
          <w:rFonts w:ascii="宋体" w:hAnsi="宋体" w:cs="宋体" w:eastAsia="宋体" w:hint="default"/>
          <w:sz w:val="9"/>
          <w:szCs w:val="9"/>
        </w:rPr>
      </w:pPr>
    </w:p>
    <w:p>
      <w:pPr>
        <w:pStyle w:val="BodyText"/>
        <w:spacing w:line="186" w:lineRule="exact" w:before="44"/>
        <w:ind w:left="3823" w:right="0"/>
        <w:jc w:val="left"/>
      </w:pPr>
      <w:r>
        <w:rPr>
          <w:spacing w:val="-7"/>
        </w:rPr>
        <w:t>一、重大缺陷：单独缺陷或连同其他缺陷，</w:t>
      </w:r>
    </w:p>
    <w:p>
      <w:pPr>
        <w:pStyle w:val="BodyText"/>
        <w:spacing w:line="181" w:lineRule="exact"/>
        <w:ind w:left="7083" w:right="0"/>
        <w:jc w:val="left"/>
      </w:pPr>
      <w:r>
        <w:rPr>
          <w:spacing w:val="1"/>
        </w:rPr>
        <w:t>一、重大缺陷</w:t>
      </w:r>
      <w:r>
        <w:rPr>
          <w:spacing w:val="-89"/>
        </w:rPr>
        <w:t>：</w:t>
      </w:r>
      <w:r>
        <w:rPr>
          <w:spacing w:val="2"/>
        </w:rPr>
        <w:t>（</w:t>
      </w:r>
      <w:r>
        <w:rPr>
          <w:rFonts w:ascii="Times New Roman" w:hAnsi="Times New Roman" w:cs="Times New Roman" w:eastAsia="Times New Roman" w:hint="default"/>
          <w:spacing w:val="1"/>
        </w:rPr>
        <w:t>1</w:t>
      </w:r>
      <w:r>
        <w:rPr>
          <w:spacing w:val="1"/>
        </w:rPr>
        <w:t>）严重缺乏</w:t>
      </w:r>
      <w:r>
        <w:rPr>
          <w:rFonts w:ascii="Times New Roman" w:hAnsi="Times New Roman" w:cs="Times New Roman" w:eastAsia="Times New Roman" w:hint="default"/>
          <w:w w:val="99"/>
        </w:rPr>
        <w:t>"</w:t>
      </w:r>
      <w:r>
        <w:rPr>
          <w:spacing w:val="1"/>
        </w:rPr>
        <w:t>三重一大</w:t>
      </w:r>
      <w:r>
        <w:rPr>
          <w:rFonts w:ascii="Times New Roman" w:hAnsi="Times New Roman" w:cs="Times New Roman" w:eastAsia="Times New Roman" w:hint="default"/>
          <w:w w:val="99"/>
        </w:rPr>
        <w:t>"</w:t>
      </w:r>
      <w:r>
        <w:rPr>
          <w:spacing w:val="1"/>
        </w:rPr>
        <w:t>决策</w:t>
      </w:r>
      <w:r>
        <w:rPr/>
      </w:r>
    </w:p>
    <w:p>
      <w:pPr>
        <w:spacing w:after="0" w:line="181" w:lineRule="exact"/>
        <w:jc w:val="left"/>
        <w:sectPr>
          <w:type w:val="continuous"/>
          <w:pgSz w:w="11910" w:h="16840"/>
          <w:pgMar w:top="280" w:bottom="280" w:left="0" w:right="0"/>
        </w:sect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4"/>
          <w:szCs w:val="14"/>
        </w:rPr>
      </w:pPr>
    </w:p>
    <w:p>
      <w:pPr>
        <w:pStyle w:val="BodyText"/>
        <w:spacing w:line="240" w:lineRule="auto"/>
        <w:ind w:left="1161" w:right="-20"/>
        <w:jc w:val="left"/>
      </w:pPr>
      <w:r>
        <w:rPr/>
        <w:t>定性标准</w:t>
      </w:r>
    </w:p>
    <w:p>
      <w:pPr>
        <w:pStyle w:val="BodyText"/>
        <w:spacing w:line="180" w:lineRule="exact"/>
        <w:ind w:left="1161" w:right="0"/>
        <w:jc w:val="both"/>
      </w:pPr>
      <w:r>
        <w:rPr>
          <w:spacing w:val="7"/>
        </w:rPr>
        <w:br w:type="column"/>
      </w:r>
      <w:r>
        <w:rPr>
          <w:spacing w:val="7"/>
        </w:rPr>
        <w:t>导致不能及时防止或发现并纠正财务报</w:t>
      </w:r>
    </w:p>
    <w:p>
      <w:pPr>
        <w:pStyle w:val="BodyText"/>
        <w:spacing w:line="309" w:lineRule="auto" w:before="76"/>
        <w:ind w:left="1161" w:right="0"/>
        <w:jc w:val="both"/>
      </w:pPr>
      <w:r>
        <w:rPr>
          <w:spacing w:val="-2"/>
        </w:rPr>
        <w:t>告中的重大错报。出现下列情形的，认定</w:t>
      </w:r>
      <w:r>
        <w:rPr/>
        <w:t> </w:t>
      </w:r>
      <w:r>
        <w:rPr>
          <w:spacing w:val="-7"/>
        </w:rPr>
        <w:t>为重大缺陷：（</w:t>
      </w:r>
      <w:r>
        <w:rPr>
          <w:rFonts w:ascii="Times New Roman" w:hAnsi="Times New Roman" w:cs="Times New Roman" w:eastAsia="Times New Roman" w:hint="default"/>
          <w:spacing w:val="-7"/>
        </w:rPr>
        <w:t>1</w:t>
      </w:r>
      <w:r>
        <w:rPr>
          <w:spacing w:val="-7"/>
        </w:rPr>
        <w:t>）董事、监事和高级管理</w:t>
      </w:r>
      <w:r>
        <w:rPr>
          <w:spacing w:val="-86"/>
        </w:rPr>
        <w:t> </w:t>
      </w:r>
      <w:r>
        <w:rPr>
          <w:spacing w:val="-86"/>
        </w:rPr>
      </w:r>
      <w:r>
        <w:rPr/>
        <w:t>人员舞弊</w:t>
      </w:r>
      <w:r>
        <w:rPr>
          <w:rFonts w:ascii="Times New Roman" w:hAnsi="Times New Roman" w:cs="Times New Roman" w:eastAsia="Times New Roman" w:hint="default"/>
        </w:rPr>
        <w:t>;</w:t>
      </w:r>
      <w:r>
        <w:rPr/>
        <w:t>（</w:t>
      </w:r>
      <w:r>
        <w:rPr>
          <w:rFonts w:ascii="Times New Roman" w:hAnsi="Times New Roman" w:cs="Times New Roman" w:eastAsia="Times New Roman" w:hint="default"/>
        </w:rPr>
        <w:t>2</w:t>
      </w:r>
      <w:r>
        <w:rPr/>
        <w:t>）注册会计师发现当期财务 </w:t>
      </w:r>
      <w:r>
        <w:rPr>
          <w:spacing w:val="-2"/>
        </w:rPr>
        <w:t>报告存在重大错报，而内部控制在运行过</w:t>
      </w:r>
      <w:r>
        <w:rPr/>
        <w:t> </w:t>
      </w:r>
      <w:r>
        <w:rPr>
          <w:spacing w:val="-7"/>
        </w:rPr>
        <w:t>程中未能发现该错报；（</w:t>
      </w:r>
      <w:r>
        <w:rPr>
          <w:rFonts w:ascii="Times New Roman" w:hAnsi="Times New Roman" w:cs="Times New Roman" w:eastAsia="Times New Roman" w:hint="default"/>
          <w:spacing w:val="-7"/>
        </w:rPr>
        <w:t>3</w:t>
      </w:r>
      <w:r>
        <w:rPr>
          <w:spacing w:val="-7"/>
        </w:rPr>
        <w:t>）董事会或其授</w:t>
      </w:r>
      <w:r>
        <w:rPr>
          <w:spacing w:val="-83"/>
        </w:rPr>
        <w:t> </w:t>
      </w:r>
      <w:r>
        <w:rPr>
          <w:spacing w:val="-83"/>
        </w:rPr>
      </w:r>
      <w:r>
        <w:rPr>
          <w:spacing w:val="7"/>
        </w:rPr>
        <w:t>权机构及内审部门对公司的内部控制监</w:t>
      </w:r>
      <w:r>
        <w:rPr>
          <w:spacing w:val="-75"/>
        </w:rPr>
        <w:t> </w:t>
      </w:r>
      <w:r>
        <w:rPr>
          <w:spacing w:val="-75"/>
        </w:rPr>
      </w:r>
      <w:r>
        <w:rPr/>
        <w:t>督无效。</w:t>
      </w:r>
    </w:p>
    <w:p>
      <w:pPr>
        <w:pStyle w:val="BodyText"/>
        <w:spacing w:line="240" w:lineRule="auto" w:before="80"/>
        <w:ind w:left="15" w:right="0"/>
        <w:jc w:val="both"/>
      </w:pPr>
      <w:r>
        <w:rPr>
          <w:spacing w:val="3"/>
        </w:rPr>
        <w:br w:type="column"/>
      </w:r>
      <w:r>
        <w:rPr>
          <w:spacing w:val="3"/>
        </w:rPr>
        <w:t>程序，决策过程不民主，造成决策严重失误；</w:t>
      </w:r>
    </w:p>
    <w:p>
      <w:pPr>
        <w:pStyle w:val="BodyText"/>
        <w:spacing w:line="240" w:lineRule="auto" w:before="76"/>
        <w:ind w:left="15" w:right="0"/>
        <w:jc w:val="both"/>
      </w:pPr>
      <w:r>
        <w:rPr/>
        <w:t>（</w:t>
      </w:r>
      <w:r>
        <w:rPr>
          <w:rFonts w:ascii="Times New Roman" w:hAnsi="Times New Roman" w:cs="Times New Roman" w:eastAsia="Times New Roman" w:hint="default"/>
        </w:rPr>
        <w:t>2</w:t>
      </w:r>
      <w:r>
        <w:rPr/>
        <w:t>）经营行为严重违反国家有关法律、法规；</w:t>
      </w:r>
    </w:p>
    <w:p>
      <w:pPr>
        <w:pStyle w:val="BodyText"/>
        <w:spacing w:line="300" w:lineRule="auto" w:before="63"/>
        <w:ind w:left="15" w:right="1143"/>
        <w:jc w:val="both"/>
      </w:pPr>
      <w:r>
        <w:rPr>
          <w:spacing w:val="-1"/>
        </w:rPr>
        <w:t>（</w:t>
      </w:r>
      <w:r>
        <w:rPr>
          <w:rFonts w:ascii="Times New Roman" w:hAnsi="Times New Roman" w:cs="Times New Roman" w:eastAsia="Times New Roman" w:hint="default"/>
          <w:spacing w:val="-1"/>
        </w:rPr>
        <w:t>3</w:t>
      </w:r>
      <w:r>
        <w:rPr>
          <w:spacing w:val="-1"/>
        </w:rPr>
        <w:t>）管理人员或技术人员大量流失；（</w:t>
      </w:r>
      <w:r>
        <w:rPr>
          <w:rFonts w:ascii="Times New Roman" w:hAnsi="Times New Roman" w:cs="Times New Roman" w:eastAsia="Times New Roman" w:hint="default"/>
          <w:spacing w:val="-1"/>
        </w:rPr>
        <w:t>4</w:t>
      </w:r>
      <w:r>
        <w:rPr>
          <w:spacing w:val="-1"/>
        </w:rPr>
        <w:t>）内</w:t>
      </w:r>
      <w:r>
        <w:rPr>
          <w:spacing w:val="-85"/>
        </w:rPr>
        <w:t> </w:t>
      </w:r>
      <w:r>
        <w:rPr>
          <w:spacing w:val="3"/>
        </w:rPr>
        <w:t>部控制评价结果特别是重大缺陷未得到整改；</w:t>
      </w:r>
    </w:p>
    <w:p>
      <w:pPr>
        <w:pStyle w:val="BodyText"/>
        <w:spacing w:line="300" w:lineRule="auto" w:before="31"/>
        <w:ind w:left="15" w:right="1229"/>
        <w:jc w:val="both"/>
      </w:pPr>
      <w:r>
        <w:rPr>
          <w:spacing w:val="3"/>
        </w:rPr>
        <w:t>（</w:t>
      </w:r>
      <w:r>
        <w:rPr>
          <w:rFonts w:ascii="Times New Roman" w:hAnsi="Times New Roman" w:cs="Times New Roman" w:eastAsia="Times New Roman" w:hint="default"/>
          <w:spacing w:val="3"/>
        </w:rPr>
        <w:t>5</w:t>
      </w:r>
      <w:r>
        <w:rPr>
          <w:spacing w:val="3"/>
        </w:rPr>
        <w:t>）重要业务缺乏制度控制或制度系统性失</w:t>
      </w:r>
      <w:r>
        <w:rPr>
          <w:spacing w:val="-84"/>
        </w:rPr>
        <w:t> </w:t>
      </w:r>
      <w:r>
        <w:rPr>
          <w:spacing w:val="-84"/>
        </w:rPr>
      </w:r>
      <w:r>
        <w:rPr>
          <w:spacing w:val="-5"/>
        </w:rPr>
        <w:t>效；（</w:t>
      </w:r>
      <w:r>
        <w:rPr>
          <w:rFonts w:ascii="Times New Roman" w:hAnsi="Times New Roman" w:cs="Times New Roman" w:eastAsia="Times New Roman" w:hint="default"/>
          <w:spacing w:val="-5"/>
        </w:rPr>
        <w:t>6</w:t>
      </w:r>
      <w:r>
        <w:rPr>
          <w:spacing w:val="-5"/>
        </w:rPr>
        <w:t>）其造成的负面影响波及范围极广、普</w:t>
      </w:r>
      <w:r>
        <w:rPr>
          <w:spacing w:val="-85"/>
        </w:rPr>
        <w:t> </w:t>
      </w:r>
      <w:r>
        <w:rPr>
          <w:spacing w:val="-85"/>
        </w:rPr>
      </w:r>
      <w:r>
        <w:rPr>
          <w:spacing w:val="-1"/>
        </w:rPr>
        <w:t>遍引起公众关注，为公司声誉带来无法弥补的</w:t>
      </w:r>
    </w:p>
    <w:p>
      <w:pPr>
        <w:pStyle w:val="BodyText"/>
        <w:spacing w:line="240" w:lineRule="auto" w:before="31"/>
        <w:ind w:left="15" w:right="0"/>
        <w:jc w:val="both"/>
      </w:pPr>
      <w:r>
        <w:rPr/>
        <w:t>损害</w:t>
      </w:r>
      <w:r>
        <w:rPr>
          <w:spacing w:val="-95"/>
        </w:rPr>
        <w:t>；</w:t>
      </w:r>
      <w:r>
        <w:rPr/>
        <w:t>（</w:t>
      </w:r>
      <w:r>
        <w:rPr>
          <w:rFonts w:ascii="Times New Roman" w:hAnsi="Times New Roman" w:cs="Times New Roman" w:eastAsia="Times New Roman" w:hint="default"/>
        </w:rPr>
        <w:t>7</w:t>
      </w:r>
      <w:r>
        <w:rPr>
          <w:spacing w:val="-5"/>
        </w:rPr>
        <w:t>）</w:t>
      </w:r>
      <w:r>
        <w:rPr/>
        <w:t>政府或监管机构已经针对相关方面</w:t>
      </w:r>
    </w:p>
    <w:p>
      <w:pPr>
        <w:spacing w:after="0" w:line="240" w:lineRule="auto"/>
        <w:jc w:val="both"/>
        <w:sectPr>
          <w:type w:val="continuous"/>
          <w:pgSz w:w="11910" w:h="16840"/>
          <w:pgMar w:top="280" w:bottom="280" w:left="0" w:right="0"/>
          <w:cols w:num="3" w:equalWidth="0">
            <w:col w:w="1882" w:space="780"/>
            <w:col w:w="4367" w:space="40"/>
            <w:col w:w="4841"/>
          </w:cols>
        </w:sectPr>
      </w:pPr>
    </w:p>
    <w:p>
      <w:pPr>
        <w:pStyle w:val="BodyText"/>
        <w:spacing w:line="133" w:lineRule="exact"/>
        <w:ind w:left="3823" w:right="0"/>
        <w:jc w:val="left"/>
      </w:pPr>
      <w:r>
        <w:rPr>
          <w:spacing w:val="-7"/>
        </w:rPr>
        <w:t>二、重要缺陷：单独缺陷或连同其他缺陷，</w:t>
      </w:r>
    </w:p>
    <w:p>
      <w:pPr>
        <w:pStyle w:val="BodyText"/>
        <w:spacing w:line="166" w:lineRule="exact"/>
        <w:ind w:left="7083" w:right="0"/>
        <w:jc w:val="left"/>
      </w:pPr>
      <w:r>
        <w:rPr/>
        <w:t>进行调查。</w:t>
      </w:r>
    </w:p>
    <w:p>
      <w:pPr>
        <w:spacing w:after="0" w:line="166" w:lineRule="exact"/>
        <w:jc w:val="left"/>
        <w:sectPr>
          <w:type w:val="continuous"/>
          <w:pgSz w:w="11910" w:h="16840"/>
          <w:pgMar w:top="280" w:bottom="280" w:left="0" w:right="0"/>
        </w:sectPr>
      </w:pPr>
    </w:p>
    <w:p>
      <w:pPr>
        <w:pStyle w:val="BodyText"/>
        <w:spacing w:line="215" w:lineRule="exact"/>
        <w:ind w:left="3823" w:right="0"/>
        <w:jc w:val="both"/>
      </w:pPr>
      <w:r>
        <w:rPr>
          <w:spacing w:val="7"/>
        </w:rPr>
        <w:t>导致不能及时防止或发现并纠正财务报</w:t>
      </w:r>
    </w:p>
    <w:p>
      <w:pPr>
        <w:pStyle w:val="BodyText"/>
        <w:spacing w:line="319" w:lineRule="auto" w:before="76"/>
        <w:ind w:left="3823" w:right="0"/>
        <w:jc w:val="both"/>
      </w:pPr>
      <w:r>
        <w:rPr>
          <w:spacing w:val="7"/>
        </w:rPr>
        <w:t>告中虽不构成重大错报但应仍引起管理</w:t>
      </w:r>
      <w:r>
        <w:rPr>
          <w:spacing w:val="-75"/>
        </w:rPr>
        <w:t> </w:t>
      </w:r>
      <w:r>
        <w:rPr>
          <w:spacing w:val="-75"/>
        </w:rPr>
      </w:r>
      <w:r>
        <w:rPr/>
        <w:t>层 重 视 的 错 报</w:t>
      </w:r>
      <w:r>
        <w:rPr>
          <w:spacing w:val="54"/>
        </w:rPr>
        <w:t> </w:t>
      </w:r>
      <w:r>
        <w:rPr/>
        <w:t>。</w:t>
      </w:r>
      <w:r>
        <w:rPr/>
        <w:t> </w:t>
      </w:r>
      <w:r>
        <w:rPr>
          <w:spacing w:val="-2"/>
        </w:rPr>
        <w:t>三、一般缺陷：不构成重大缺陷或重要缺</w:t>
      </w:r>
      <w:r>
        <w:rPr/>
        <w:t> 陷的其他内部控制缺陷。</w:t>
      </w:r>
    </w:p>
    <w:p>
      <w:pPr>
        <w:pStyle w:val="BodyText"/>
        <w:spacing w:line="338" w:lineRule="auto" w:before="116"/>
        <w:ind w:left="15" w:right="1221" w:firstLine="90"/>
        <w:jc w:val="both"/>
      </w:pPr>
      <w:r>
        <w:rPr>
          <w:spacing w:val="3"/>
        </w:rPr>
        <w:br w:type="column"/>
      </w:r>
      <w:r>
        <w:rPr>
          <w:spacing w:val="3"/>
        </w:rPr>
        <w:t>二、重要缺陷：除上述重大缺陷的其他情形</w:t>
      </w:r>
      <w:r>
        <w:rPr/>
        <w:t> 按影响程度分别确定为重要缺陷或一般缺陷。 三、一般缺陷：除上述重大缺陷的其他情形按</w:t>
      </w:r>
    </w:p>
    <w:p>
      <w:pPr>
        <w:pStyle w:val="BodyText"/>
        <w:spacing w:line="240" w:lineRule="auto" w:before="4"/>
        <w:ind w:left="15" w:right="0"/>
        <w:jc w:val="both"/>
      </w:pPr>
      <w:r>
        <w:rPr/>
        <w:t>影响程度分别确定为重要缺陷或一般缺陷。</w:t>
      </w:r>
    </w:p>
    <w:p>
      <w:pPr>
        <w:spacing w:after="0" w:line="240" w:lineRule="auto"/>
        <w:jc w:val="both"/>
        <w:sectPr>
          <w:type w:val="continuous"/>
          <w:pgSz w:w="11910" w:h="16840"/>
          <w:pgMar w:top="280" w:bottom="280" w:left="0" w:right="0"/>
          <w:cols w:num="2" w:equalWidth="0">
            <w:col w:w="7028" w:space="40"/>
            <w:col w:w="4842"/>
          </w:cols>
        </w:sect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24"/>
          <w:szCs w:val="24"/>
        </w:rPr>
      </w:pPr>
    </w:p>
    <w:p>
      <w:pPr>
        <w:pStyle w:val="BodyText"/>
        <w:spacing w:line="240" w:lineRule="auto"/>
        <w:ind w:left="1161" w:right="-20"/>
        <w:jc w:val="left"/>
      </w:pPr>
      <w:r>
        <w:rPr/>
        <w:t>定量标准</w:t>
      </w:r>
    </w:p>
    <w:p>
      <w:pPr>
        <w:pStyle w:val="BodyText"/>
        <w:spacing w:line="300" w:lineRule="auto" w:before="107"/>
        <w:ind w:left="1161" w:right="1228"/>
        <w:jc w:val="both"/>
      </w:pPr>
      <w:r>
        <w:rPr/>
        <w:br w:type="column"/>
      </w:r>
      <w:r>
        <w:rPr/>
        <w:t>一、重大缺陷定量标准：错报≧总资产的 一、重大缺陷定量标准：错报≧总资产的</w:t>
      </w:r>
      <w:r>
        <w:rPr>
          <w:spacing w:val="-52"/>
        </w:rPr>
        <w:t> </w:t>
      </w:r>
      <w:r>
        <w:rPr>
          <w:rFonts w:ascii="Times New Roman" w:hAnsi="Times New Roman" w:cs="Times New Roman" w:eastAsia="Times New Roman" w:hint="default"/>
        </w:rPr>
        <w:t>3% 3%</w:t>
      </w:r>
      <w:r>
        <w:rPr>
          <w:rFonts w:ascii="Times New Roman" w:hAnsi="Times New Roman" w:cs="Times New Roman" w:eastAsia="Times New Roman" w:hint="default"/>
          <w:spacing w:val="17"/>
        </w:rPr>
        <w:t> </w:t>
      </w:r>
      <w:r>
        <w:rPr>
          <w:spacing w:val="12"/>
        </w:rPr>
        <w:t>或者错报≧营业收入总额的</w:t>
      </w:r>
      <w:r>
        <w:rPr>
          <w:spacing w:val="17"/>
        </w:rPr>
        <w:t> </w:t>
      </w:r>
      <w:r>
        <w:rPr>
          <w:rFonts w:ascii="Times New Roman" w:hAnsi="Times New Roman" w:cs="Times New Roman" w:eastAsia="Times New Roman" w:hint="default"/>
          <w:spacing w:val="4"/>
        </w:rPr>
        <w:t>3%</w:t>
      </w:r>
      <w:r>
        <w:rPr>
          <w:spacing w:val="4"/>
        </w:rPr>
        <w:t>。</w:t>
      </w:r>
      <w:r>
        <w:rPr>
          <w:spacing w:val="-34"/>
        </w:rPr>
        <w:t> </w:t>
      </w:r>
      <w:r>
        <w:rPr>
          <w:spacing w:val="52"/>
        </w:rPr>
        <w:t>或者错报</w:t>
      </w:r>
      <w:r>
        <w:rPr>
          <w:spacing w:val="-19"/>
        </w:rPr>
        <w:t> </w:t>
      </w:r>
      <w:r>
        <w:rPr/>
        <w:t>≧</w:t>
      </w:r>
      <w:r>
        <w:rPr>
          <w:spacing w:val="-18"/>
        </w:rPr>
        <w:t> </w:t>
      </w:r>
      <w:r>
        <w:rPr>
          <w:spacing w:val="60"/>
        </w:rPr>
        <w:t>营业收入总额的</w:t>
      </w:r>
      <w:r>
        <w:rPr>
          <w:spacing w:val="73"/>
        </w:rPr>
        <w:t> </w:t>
      </w:r>
      <w:r>
        <w:rPr>
          <w:rFonts w:ascii="Times New Roman" w:hAnsi="Times New Roman" w:cs="Times New Roman" w:eastAsia="Times New Roman" w:hint="default"/>
        </w:rPr>
        <w:t>3%</w:t>
      </w:r>
      <w:r>
        <w:rPr>
          <w:rFonts w:ascii="Times New Roman" w:hAnsi="Times New Roman" w:cs="Times New Roman" w:eastAsia="Times New Roman" w:hint="default"/>
          <w:spacing w:val="26"/>
        </w:rPr>
        <w:t> </w:t>
      </w:r>
      <w:r>
        <w:rPr/>
        <w:t>。 二、重要缺陷定量标准：总资产的 </w:t>
      </w:r>
      <w:r>
        <w:rPr>
          <w:rFonts w:ascii="Times New Roman" w:hAnsi="Times New Roman" w:cs="Times New Roman" w:eastAsia="Times New Roman" w:hint="default"/>
        </w:rPr>
        <w:t>2%</w:t>
      </w:r>
      <w:r>
        <w:rPr/>
        <w:t>≦ 二、重要缺陷定量标准：总资产的</w:t>
      </w:r>
      <w:r>
        <w:rPr>
          <w:spacing w:val="-23"/>
        </w:rPr>
        <w:t> </w:t>
      </w:r>
      <w:r>
        <w:rPr>
          <w:rFonts w:ascii="Times New Roman" w:hAnsi="Times New Roman" w:cs="Times New Roman" w:eastAsia="Times New Roman" w:hint="default"/>
        </w:rPr>
        <w:t>2%</w:t>
      </w:r>
      <w:r>
        <w:rPr/>
        <w:t>≦错报</w:t>
      </w:r>
      <w:r>
        <w:rPr>
          <w:spacing w:val="1"/>
        </w:rPr>
        <w:t> </w:t>
      </w:r>
      <w:r>
        <w:rPr>
          <w:spacing w:val="4"/>
        </w:rPr>
        <w:t>错报﹤总资产的</w:t>
      </w:r>
      <w:r>
        <w:rPr>
          <w:spacing w:val="7"/>
        </w:rPr>
        <w:t> </w:t>
      </w:r>
      <w:r>
        <w:rPr>
          <w:rFonts w:ascii="Times New Roman" w:hAnsi="Times New Roman" w:cs="Times New Roman" w:eastAsia="Times New Roman" w:hint="default"/>
        </w:rPr>
        <w:t>3% </w:t>
      </w:r>
      <w:r>
        <w:rPr>
          <w:rFonts w:ascii="Times New Roman" w:hAnsi="Times New Roman" w:cs="Times New Roman" w:eastAsia="Times New Roman" w:hint="default"/>
          <w:spacing w:val="6"/>
        </w:rPr>
        <w:t> </w:t>
      </w:r>
      <w:r>
        <w:rPr>
          <w:spacing w:val="4"/>
        </w:rPr>
        <w:t>或者营业收入总额</w:t>
      </w:r>
      <w:r>
        <w:rPr>
          <w:spacing w:val="-35"/>
        </w:rPr>
        <w:t> </w:t>
      </w:r>
      <w:r>
        <w:rPr/>
        <w:t>﹤总资产的</w:t>
      </w:r>
      <w:r>
        <w:rPr>
          <w:spacing w:val="-39"/>
        </w:rPr>
        <w:t> </w:t>
      </w:r>
      <w:r>
        <w:rPr>
          <w:rFonts w:ascii="Times New Roman" w:hAnsi="Times New Roman" w:cs="Times New Roman" w:eastAsia="Times New Roman" w:hint="default"/>
        </w:rPr>
        <w:t>3%  </w:t>
      </w:r>
      <w:r>
        <w:rPr/>
        <w:t>或者营业收入总额的 </w:t>
      </w:r>
      <w:r>
        <w:rPr>
          <w:rFonts w:ascii="Times New Roman" w:hAnsi="Times New Roman" w:cs="Times New Roman" w:eastAsia="Times New Roman" w:hint="default"/>
        </w:rPr>
        <w:t>2%</w:t>
      </w:r>
      <w:r>
        <w:rPr/>
        <w:t>≦错</w:t>
      </w:r>
    </w:p>
    <w:p>
      <w:pPr>
        <w:spacing w:after="0" w:line="300" w:lineRule="auto"/>
        <w:jc w:val="both"/>
        <w:sectPr>
          <w:type w:val="continuous"/>
          <w:pgSz w:w="11910" w:h="16840"/>
          <w:pgMar w:top="280" w:bottom="280" w:left="0" w:right="0"/>
          <w:cols w:num="2" w:equalWidth="0">
            <w:col w:w="1882" w:space="780"/>
            <w:col w:w="9248"/>
          </w:cols>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661"/>
        <w:gridCol w:w="3260"/>
        <w:gridCol w:w="3647"/>
      </w:tblGrid>
      <w:tr>
        <w:trPr>
          <w:trHeight w:val="986"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23" w:right="20"/>
              <w:jc w:val="both"/>
              <w:rPr>
                <w:rFonts w:ascii="宋体" w:hAnsi="宋体" w:cs="宋体" w:eastAsia="宋体" w:hint="default"/>
                <w:sz w:val="18"/>
                <w:szCs w:val="18"/>
              </w:rPr>
            </w:pPr>
            <w:r>
              <w:rPr>
                <w:rFonts w:ascii="宋体" w:hAnsi="宋体" w:cs="宋体" w:eastAsia="宋体" w:hint="default"/>
                <w:sz w:val="18"/>
                <w:szCs w:val="18"/>
              </w:rPr>
              <w:t>的 </w:t>
            </w: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≦错报﹤营业收入总额的</w:t>
            </w:r>
            <w:r>
              <w:rPr>
                <w:rFonts w:ascii="宋体" w:hAnsi="宋体" w:cs="宋体" w:eastAsia="宋体" w:hint="default"/>
                <w:spacing w:val="40"/>
                <w:sz w:val="18"/>
                <w:szCs w:val="18"/>
              </w:rPr>
              <w:t> </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w:t>
            </w:r>
            <w:r>
              <w:rPr>
                <w:rFonts w:ascii="宋体" w:hAnsi="宋体" w:cs="宋体" w:eastAsia="宋体" w:hint="default"/>
                <w:sz w:val="18"/>
                <w:szCs w:val="18"/>
              </w:rPr>
              <w:t> 三、一般缺陷：错报﹤总资产的</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或者 错报﹤营业收入总额的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3647" w:type="dxa"/>
            <w:tcBorders>
              <w:top w:val="single" w:sz="4" w:space="0" w:color="000000"/>
              <w:left w:val="single" w:sz="4" w:space="0" w:color="000000"/>
              <w:bottom w:val="single" w:sz="4" w:space="0" w:color="000000"/>
              <w:right w:val="single" w:sz="4" w:space="0" w:color="000000"/>
            </w:tcBorders>
          </w:tcPr>
          <w:p>
            <w:pPr>
              <w:pStyle w:val="TableParagraph"/>
              <w:tabs>
                <w:tab w:pos="3048" w:val="left" w:leader="none"/>
              </w:tabs>
              <w:spacing w:line="300" w:lineRule="auto" w:before="10"/>
              <w:ind w:left="22" w:right="19"/>
              <w:jc w:val="left"/>
              <w:rPr>
                <w:rFonts w:ascii="宋体" w:hAnsi="宋体" w:cs="宋体" w:eastAsia="宋体" w:hint="default"/>
                <w:sz w:val="18"/>
                <w:szCs w:val="18"/>
              </w:rPr>
            </w:pPr>
            <w:r>
              <w:rPr>
                <w:rFonts w:ascii="宋体" w:hAnsi="宋体" w:cs="宋体" w:eastAsia="宋体" w:hint="default"/>
                <w:sz w:val="18"/>
                <w:szCs w:val="18"/>
              </w:rPr>
              <w:t>报</w:t>
            </w:r>
            <w:r>
              <w:rPr>
                <w:rFonts w:ascii="宋体" w:hAnsi="宋体" w:cs="宋体" w:eastAsia="宋体" w:hint="default"/>
                <w:spacing w:val="56"/>
                <w:sz w:val="18"/>
                <w:szCs w:val="18"/>
              </w:rPr>
              <w:t> </w:t>
            </w:r>
            <w:r>
              <w:rPr>
                <w:rFonts w:ascii="宋体" w:hAnsi="宋体" w:cs="宋体" w:eastAsia="宋体" w:hint="default"/>
                <w:sz w:val="18"/>
                <w:szCs w:val="18"/>
              </w:rPr>
              <w:t>﹤</w:t>
            </w:r>
            <w:r>
              <w:rPr>
                <w:rFonts w:ascii="宋体" w:hAnsi="宋体" w:cs="宋体" w:eastAsia="宋体" w:hint="default"/>
                <w:spacing w:val="56"/>
                <w:sz w:val="18"/>
                <w:szCs w:val="18"/>
              </w:rPr>
              <w:t> </w:t>
            </w:r>
            <w:r>
              <w:rPr>
                <w:rFonts w:ascii="宋体" w:hAnsi="宋体" w:cs="宋体" w:eastAsia="宋体" w:hint="default"/>
                <w:sz w:val="18"/>
                <w:szCs w:val="18"/>
              </w:rPr>
              <w:t>营</w:t>
            </w:r>
            <w:r>
              <w:rPr>
                <w:rFonts w:ascii="宋体" w:hAnsi="宋体" w:cs="宋体" w:eastAsia="宋体" w:hint="default"/>
                <w:spacing w:val="55"/>
                <w:sz w:val="18"/>
                <w:szCs w:val="18"/>
              </w:rPr>
              <w:t> </w:t>
            </w:r>
            <w:r>
              <w:rPr>
                <w:rFonts w:ascii="宋体" w:hAnsi="宋体" w:cs="宋体" w:eastAsia="宋体" w:hint="default"/>
                <w:sz w:val="18"/>
                <w:szCs w:val="18"/>
              </w:rPr>
              <w:t>业</w:t>
            </w:r>
            <w:r>
              <w:rPr>
                <w:rFonts w:ascii="宋体" w:hAnsi="宋体" w:cs="宋体" w:eastAsia="宋体" w:hint="default"/>
                <w:spacing w:val="56"/>
                <w:sz w:val="18"/>
                <w:szCs w:val="18"/>
              </w:rPr>
              <w:t> </w:t>
            </w:r>
            <w:r>
              <w:rPr>
                <w:rFonts w:ascii="宋体" w:hAnsi="宋体" w:cs="宋体" w:eastAsia="宋体" w:hint="default"/>
                <w:sz w:val="18"/>
                <w:szCs w:val="18"/>
              </w:rPr>
              <w:t>收</w:t>
            </w:r>
            <w:r>
              <w:rPr>
                <w:rFonts w:ascii="宋体" w:hAnsi="宋体" w:cs="宋体" w:eastAsia="宋体" w:hint="default"/>
                <w:spacing w:val="56"/>
                <w:sz w:val="18"/>
                <w:szCs w:val="18"/>
              </w:rPr>
              <w:t> </w:t>
            </w:r>
            <w:r>
              <w:rPr>
                <w:rFonts w:ascii="宋体" w:hAnsi="宋体" w:cs="宋体" w:eastAsia="宋体" w:hint="default"/>
                <w:sz w:val="18"/>
                <w:szCs w:val="18"/>
              </w:rPr>
              <w:t>入</w:t>
            </w:r>
            <w:r>
              <w:rPr>
                <w:rFonts w:ascii="宋体" w:hAnsi="宋体" w:cs="宋体" w:eastAsia="宋体" w:hint="default"/>
                <w:spacing w:val="55"/>
                <w:sz w:val="18"/>
                <w:szCs w:val="18"/>
              </w:rPr>
              <w:t> </w:t>
            </w:r>
            <w:r>
              <w:rPr>
                <w:rFonts w:ascii="宋体" w:hAnsi="宋体" w:cs="宋体" w:eastAsia="宋体" w:hint="default"/>
                <w:sz w:val="18"/>
                <w:szCs w:val="18"/>
              </w:rPr>
              <w:t>总</w:t>
            </w:r>
            <w:r>
              <w:rPr>
                <w:rFonts w:ascii="宋体" w:hAnsi="宋体" w:cs="宋体" w:eastAsia="宋体" w:hint="default"/>
                <w:spacing w:val="56"/>
                <w:sz w:val="18"/>
                <w:szCs w:val="18"/>
              </w:rPr>
              <w:t> </w:t>
            </w:r>
            <w:r>
              <w:rPr>
                <w:rFonts w:ascii="宋体" w:hAnsi="宋体" w:cs="宋体" w:eastAsia="宋体" w:hint="default"/>
                <w:sz w:val="18"/>
                <w:szCs w:val="18"/>
              </w:rPr>
              <w:t>额</w:t>
            </w:r>
            <w:r>
              <w:rPr>
                <w:rFonts w:ascii="宋体" w:hAnsi="宋体" w:cs="宋体" w:eastAsia="宋体" w:hint="default"/>
                <w:spacing w:val="56"/>
                <w:sz w:val="18"/>
                <w:szCs w:val="18"/>
              </w:rPr>
              <w:t> </w:t>
            </w:r>
            <w:r>
              <w:rPr>
                <w:rFonts w:ascii="宋体" w:hAnsi="宋体" w:cs="宋体" w:eastAsia="宋体" w:hint="default"/>
                <w:sz w:val="18"/>
                <w:szCs w:val="18"/>
              </w:rPr>
              <w:t>的</w:t>
              <w:tab/>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 三、一般缺陷：影响﹤总资产的</w:t>
            </w:r>
            <w:r>
              <w:rPr>
                <w:rFonts w:ascii="宋体" w:hAnsi="宋体" w:cs="宋体" w:eastAsia="宋体" w:hint="default"/>
                <w:spacing w:val="18"/>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或者影响</w:t>
            </w:r>
          </w:p>
          <w:p>
            <w:pPr>
              <w:pStyle w:val="TableParagraph"/>
              <w:spacing w:line="240" w:lineRule="auto" w:before="14"/>
              <w:ind w:left="22" w:right="0"/>
              <w:jc w:val="left"/>
              <w:rPr>
                <w:rFonts w:ascii="宋体" w:hAnsi="宋体" w:cs="宋体" w:eastAsia="宋体" w:hint="default"/>
                <w:sz w:val="18"/>
                <w:szCs w:val="18"/>
              </w:rPr>
            </w:pPr>
            <w:r>
              <w:rPr>
                <w:rFonts w:ascii="宋体" w:hAnsi="宋体" w:cs="宋体" w:eastAsia="宋体" w:hint="default"/>
                <w:sz w:val="18"/>
                <w:szCs w:val="18"/>
              </w:rPr>
              <w:t>﹤营业收入总额的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r>
      <w:tr>
        <w:trPr>
          <w:trHeight w:val="40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十、内部控制审计报告或鉴证报告" w:id="149"/>
      <w:bookmarkEnd w:id="149"/>
      <w:r>
        <w:rPr>
          <w:b w:val="0"/>
          <w:bCs w:val="0"/>
        </w:rPr>
      </w:r>
      <w:r>
        <w:rPr/>
        <w:t>十、内部控制审计报告或鉴证报告</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right="0"/>
        <w:jc w:val="left"/>
      </w:pPr>
      <w:r>
        <w:rPr/>
        <w:t>不适用</w:t>
      </w:r>
    </w:p>
    <w:p>
      <w:pPr>
        <w:spacing w:after="0" w:line="240" w:lineRule="auto"/>
        <w:jc w:val="left"/>
        <w:sectPr>
          <w:footerReference w:type="default" r:id="rId56"/>
          <w:pgSz w:w="11910" w:h="16840"/>
          <w:pgMar w:footer="979" w:header="851" w:top="1320" w:bottom="1160" w:left="0" w:right="0"/>
          <w:pgNumType w:start="101"/>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pStyle w:val="Heading1"/>
        <w:spacing w:line="240" w:lineRule="auto"/>
        <w:ind w:right="0"/>
        <w:jc w:val="center"/>
        <w:rPr>
          <w:b w:val="0"/>
          <w:bCs w:val="0"/>
        </w:rPr>
      </w:pPr>
      <w:bookmarkStart w:name="第十节 公司债券相关情况" w:id="150"/>
      <w:bookmarkEnd w:id="150"/>
      <w:r>
        <w:rPr>
          <w:b w:val="0"/>
          <w:bCs w:val="0"/>
        </w:rPr>
      </w:r>
      <w:bookmarkStart w:name="_bookmark9" w:id="151"/>
      <w:bookmarkEnd w:id="151"/>
      <w:r>
        <w:rPr>
          <w:b w:val="0"/>
          <w:bCs w:val="0"/>
        </w:rPr>
      </w:r>
      <w:r>
        <w:rPr/>
        <w:t>第十节</w:t>
      </w:r>
      <w:r>
        <w:rPr>
          <w:spacing w:val="-9"/>
        </w:rPr>
        <w:t> </w:t>
      </w:r>
      <w:r>
        <w:rPr/>
        <w:t>公司债券相关情况</w:t>
      </w:r>
      <w:r>
        <w:rPr>
          <w:b w:val="0"/>
          <w:bCs w:val="0"/>
        </w:rPr>
      </w:r>
    </w:p>
    <w:p>
      <w:pPr>
        <w:spacing w:line="240" w:lineRule="auto" w:before="0"/>
        <w:rPr>
          <w:rFonts w:ascii="宋体" w:hAnsi="宋体" w:cs="宋体" w:eastAsia="宋体" w:hint="default"/>
          <w:b/>
          <w:bCs/>
          <w:sz w:val="32"/>
          <w:szCs w:val="32"/>
        </w:rPr>
      </w:pPr>
    </w:p>
    <w:p>
      <w:pPr>
        <w:pStyle w:val="BodyText"/>
        <w:spacing w:line="516" w:lineRule="auto" w:before="217"/>
        <w:ind w:right="2113"/>
        <w:jc w:val="left"/>
        <w:rPr>
          <w:rFonts w:ascii="宋体" w:hAnsi="宋体" w:cs="宋体" w:eastAsia="宋体" w:hint="default"/>
        </w:rPr>
      </w:pPr>
      <w:r>
        <w:rPr/>
        <w:t>公司是否存在公开发行并在证券交易所上市，且在年度报告批准报出日未到期或到期未能全额兑付的公司债券 </w:t>
      </w:r>
      <w:r>
        <w:rPr>
          <w:rFonts w:ascii="宋体" w:hAnsi="宋体" w:cs="宋体" w:eastAsia="宋体" w:hint="default"/>
          <w:b/>
          <w:bCs/>
        </w:rPr>
        <w:t>否</w:t>
      </w:r>
      <w:r>
        <w:rPr>
          <w:rFonts w:ascii="宋体" w:hAnsi="宋体" w:cs="宋体" w:eastAsia="宋体" w:hint="default"/>
        </w:rPr>
      </w:r>
    </w:p>
    <w:p>
      <w:pPr>
        <w:spacing w:after="0" w:line="516" w:lineRule="auto"/>
        <w:jc w:val="left"/>
        <w:rPr>
          <w:rFonts w:ascii="宋体" w:hAnsi="宋体" w:cs="宋体" w:eastAsia="宋体" w:hint="default"/>
        </w:rPr>
        <w:sectPr>
          <w:pgSz w:w="11910" w:h="16840"/>
          <w:pgMar w:header="851" w:footer="979" w:top="1320" w:bottom="1160" w:left="0" w:right="0"/>
        </w:sect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19"/>
          <w:szCs w:val="19"/>
        </w:rPr>
      </w:pPr>
    </w:p>
    <w:p>
      <w:pPr>
        <w:pStyle w:val="Heading1"/>
        <w:spacing w:line="240" w:lineRule="auto"/>
        <w:ind w:right="0"/>
        <w:jc w:val="center"/>
        <w:rPr>
          <w:b w:val="0"/>
          <w:bCs w:val="0"/>
        </w:rPr>
      </w:pPr>
      <w:bookmarkStart w:name="第十一节 财务报告" w:id="152"/>
      <w:bookmarkEnd w:id="152"/>
      <w:r>
        <w:rPr>
          <w:b w:val="0"/>
          <w:bCs w:val="0"/>
        </w:rPr>
      </w:r>
      <w:bookmarkStart w:name="_bookmark10" w:id="153"/>
      <w:bookmarkEnd w:id="153"/>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left="1133" w:right="0"/>
        <w:jc w:val="left"/>
        <w:rPr>
          <w:b w:val="0"/>
          <w:bCs w:val="0"/>
        </w:rPr>
      </w:pPr>
      <w:bookmarkStart w:name="一、审计报告" w:id="154"/>
      <w:bookmarkEnd w:id="154"/>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[2018]</w:t>
            </w:r>
            <w:r>
              <w:rPr>
                <w:rFonts w:ascii="宋体" w:hAnsi="宋体" w:cs="宋体" w:eastAsia="宋体" w:hint="default"/>
                <w:sz w:val="18"/>
                <w:szCs w:val="18"/>
              </w:rPr>
              <w:t>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ZA13935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肖菲、陈迅骅</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29"/>
          <w:szCs w:val="29"/>
        </w:rPr>
      </w:pPr>
    </w:p>
    <w:p>
      <w:pPr>
        <w:pStyle w:val="Heading2"/>
        <w:spacing w:line="240" w:lineRule="auto" w:before="26"/>
        <w:ind w:left="1" w:right="0"/>
        <w:jc w:val="center"/>
        <w:rPr>
          <w:b w:val="0"/>
          <w:bCs w:val="0"/>
        </w:rPr>
      </w:pPr>
      <w:r>
        <w:rPr/>
        <w:t>审计报告</w:t>
      </w:r>
      <w:r>
        <w:rPr>
          <w:b w:val="0"/>
          <w:bCs w:val="0"/>
        </w:rPr>
      </w:r>
    </w:p>
    <w:p>
      <w:pPr>
        <w:spacing w:line="240" w:lineRule="auto" w:before="1"/>
        <w:rPr>
          <w:rFonts w:ascii="宋体" w:hAnsi="宋体" w:cs="宋体" w:eastAsia="宋体" w:hint="default"/>
          <w:b/>
          <w:bCs/>
          <w:sz w:val="27"/>
          <w:szCs w:val="27"/>
        </w:rPr>
      </w:pPr>
    </w:p>
    <w:p>
      <w:pPr>
        <w:pStyle w:val="BodyText"/>
        <w:spacing w:line="240" w:lineRule="auto" w:before="44"/>
        <w:ind w:left="630" w:right="1130"/>
        <w:jc w:val="right"/>
      </w:pPr>
      <w:r>
        <w:rPr>
          <w:spacing w:val="-1"/>
        </w:rPr>
        <w:t>信会师报字</w:t>
      </w:r>
      <w:r>
        <w:rPr>
          <w:rFonts w:ascii="Times New Roman" w:hAnsi="Times New Roman" w:cs="Times New Roman" w:eastAsia="Times New Roman" w:hint="default"/>
          <w:spacing w:val="-1"/>
        </w:rPr>
        <w:t>[2018]</w:t>
      </w:r>
      <w:r>
        <w:rPr>
          <w:spacing w:val="-1"/>
        </w:rPr>
        <w:t>第</w:t>
      </w:r>
      <w:r>
        <w:rPr>
          <w:rFonts w:ascii="Times New Roman" w:hAnsi="Times New Roman" w:cs="Times New Roman" w:eastAsia="Times New Roman" w:hint="default"/>
          <w:spacing w:val="-1"/>
        </w:rPr>
        <w:t>ZA13935</w:t>
      </w:r>
      <w:r>
        <w:rPr>
          <w:spacing w:val="-1"/>
        </w:rPr>
        <w:t>号</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4"/>
        <w:spacing w:line="477" w:lineRule="auto"/>
        <w:ind w:right="7320" w:hanging="362"/>
        <w:jc w:val="left"/>
        <w:rPr>
          <w:b w:val="0"/>
          <w:bCs w:val="0"/>
        </w:rPr>
      </w:pPr>
      <w:r>
        <w:rPr/>
        <w:t>北京神州泰岳软件股份有限公司全体股东：</w:t>
      </w:r>
      <w:r>
        <w:rPr>
          <w:w w:val="99"/>
        </w:rPr>
        <w:t> </w:t>
      </w:r>
      <w:r>
        <w:rPr/>
        <w:t>一、审计意见</w:t>
      </w:r>
      <w:r>
        <w:rPr>
          <w:b w:val="0"/>
          <w:bCs w:val="0"/>
        </w:rPr>
      </w:r>
    </w:p>
    <w:p>
      <w:pPr>
        <w:pStyle w:val="BodyText"/>
        <w:spacing w:line="451" w:lineRule="auto" w:before="54"/>
        <w:ind w:right="1130" w:firstLine="360"/>
        <w:jc w:val="right"/>
      </w:pPr>
      <w:r>
        <w:rPr>
          <w:spacing w:val="-2"/>
        </w:rPr>
        <w:t>我们审计了北京神州泰岳软件股份有限公司（以下简称神州泰岳）财务报表，包括</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日的合并及母公司资产</w:t>
      </w:r>
      <w:r>
        <w:rPr/>
        <w:t> </w:t>
      </w:r>
      <w:r>
        <w:rPr>
          <w:spacing w:val="-5"/>
        </w:rPr>
        <w:t>负债表，</w:t>
      </w:r>
      <w:r>
        <w:rPr>
          <w:rFonts w:ascii="Times New Roman" w:hAnsi="Times New Roman" w:cs="Times New Roman" w:eastAsia="Times New Roman" w:hint="default"/>
          <w:spacing w:val="-5"/>
        </w:rPr>
        <w:t>2017</w:t>
      </w:r>
      <w:r>
        <w:rPr>
          <w:spacing w:val="-5"/>
        </w:rPr>
        <w:t>年度的合并及母公司利润表、合并及母公司现金流量表、合并及母公司股东权益变动表以及相关财务报表附注。</w:t>
      </w:r>
      <w:r>
        <w:rPr>
          <w:spacing w:val="-80"/>
        </w:rPr>
        <w:t> </w:t>
      </w:r>
      <w:r>
        <w:rPr>
          <w:spacing w:val="-80"/>
        </w:rPr>
      </w:r>
      <w:r>
        <w:rPr>
          <w:spacing w:val="-2"/>
        </w:rPr>
        <w:t>我们认为，后附的财务报表在所有重大方面按照企业会计准则的规定编制，公允反映了神州泰岳</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日的合并</w:t>
      </w:r>
    </w:p>
    <w:p>
      <w:pPr>
        <w:spacing w:line="451" w:lineRule="auto" w:before="43"/>
        <w:ind w:left="1495" w:right="5173" w:hanging="362"/>
        <w:jc w:val="left"/>
        <w:rPr>
          <w:rFonts w:ascii="宋体" w:hAnsi="宋体" w:cs="宋体" w:eastAsia="宋体" w:hint="default"/>
          <w:sz w:val="18"/>
          <w:szCs w:val="18"/>
        </w:rPr>
      </w:pPr>
      <w:r>
        <w:rPr>
          <w:rFonts w:ascii="宋体" w:hAnsi="宋体" w:cs="宋体" w:eastAsia="宋体" w:hint="default"/>
          <w:sz w:val="18"/>
          <w:szCs w:val="18"/>
        </w:rPr>
        <w:t>及母公司财务状况以及</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年度的合并及母公司经营成果和现金流量。 </w:t>
      </w:r>
      <w:r>
        <w:rPr>
          <w:rFonts w:ascii="宋体" w:hAnsi="宋体" w:cs="宋体" w:eastAsia="宋体" w:hint="default"/>
          <w:b/>
          <w:bCs/>
          <w:sz w:val="18"/>
          <w:szCs w:val="18"/>
        </w:rPr>
        <w:t>二、形成审计意见的基础</w:t>
      </w:r>
      <w:r>
        <w:rPr>
          <w:rFonts w:ascii="宋体" w:hAnsi="宋体" w:cs="宋体" w:eastAsia="宋体" w:hint="default"/>
          <w:sz w:val="18"/>
          <w:szCs w:val="18"/>
        </w:rPr>
      </w:r>
    </w:p>
    <w:p>
      <w:pPr>
        <w:pStyle w:val="BodyText"/>
        <w:spacing w:line="463" w:lineRule="auto" w:before="74"/>
        <w:ind w:right="1130" w:firstLine="360"/>
        <w:jc w:val="both"/>
      </w:pPr>
      <w:r>
        <w:rPr>
          <w:spacing w:val="-2"/>
        </w:rPr>
        <w:t>我们按照中国注册会计师审计准则的规定执行了审计工作。审计报告的</w:t>
      </w:r>
      <w:r>
        <w:rPr>
          <w:rFonts w:ascii="Times New Roman" w:hAnsi="Times New Roman" w:cs="Times New Roman" w:eastAsia="Times New Roman" w:hint="default"/>
          <w:spacing w:val="-2"/>
        </w:rPr>
        <w:t>“</w:t>
      </w:r>
      <w:r>
        <w:rPr>
          <w:spacing w:val="-2"/>
        </w:rPr>
        <w:t>注册会计师对财务报表审计的责任</w:t>
      </w:r>
      <w:r>
        <w:rPr>
          <w:rFonts w:ascii="Times New Roman" w:hAnsi="Times New Roman" w:cs="Times New Roman" w:eastAsia="Times New Roman" w:hint="default"/>
          <w:spacing w:val="-2"/>
        </w:rPr>
        <w:t>”</w:t>
      </w:r>
      <w:r>
        <w:rPr>
          <w:spacing w:val="-2"/>
        </w:rPr>
        <w:t>部分进一步</w:t>
      </w:r>
      <w:r>
        <w:rPr/>
        <w:t> </w:t>
      </w:r>
      <w:r>
        <w:rPr>
          <w:spacing w:val="-2"/>
        </w:rPr>
        <w:t>阐述了我们在这些准则下的责任。按照中国注册会计师职业道德守则，我们独立于神州泰岳，并履行了职业道德方面的其他</w:t>
      </w:r>
      <w:r>
        <w:rPr>
          <w:spacing w:val="-65"/>
        </w:rPr>
        <w:t> </w:t>
      </w:r>
      <w:r>
        <w:rPr>
          <w:spacing w:val="-65"/>
        </w:rPr>
      </w:r>
      <w:r>
        <w:rPr/>
        <w:t>责任。我们相信，我们获取的审计证据是充分、适当的，为发表审计意见提供了基础。</w:t>
      </w:r>
    </w:p>
    <w:p>
      <w:pPr>
        <w:pStyle w:val="BodyText"/>
        <w:spacing w:line="477" w:lineRule="auto" w:before="65"/>
        <w:ind w:left="1493" w:right="0" w:firstLine="1"/>
        <w:jc w:val="left"/>
      </w:pPr>
      <w:r>
        <w:rPr>
          <w:rFonts w:ascii="宋体" w:hAnsi="宋体" w:cs="宋体" w:eastAsia="宋体" w:hint="default"/>
          <w:b/>
          <w:bCs/>
        </w:rPr>
        <w:t>三、关键审计事项</w:t>
      </w:r>
      <w:r>
        <w:rPr>
          <w:rFonts w:ascii="宋体" w:hAnsi="宋体" w:cs="宋体" w:eastAsia="宋体" w:hint="default"/>
          <w:b/>
          <w:bCs/>
          <w:w w:val="99"/>
        </w:rPr>
        <w:t> </w:t>
      </w:r>
      <w:r>
        <w:rPr>
          <w:spacing w:val="-2"/>
        </w:rPr>
        <w:t>关键审计事项是我们根据职业判断，认为对本期财务报表审计最为重要的事项。这些事项的应对以对财务报表整体进行</w:t>
      </w:r>
    </w:p>
    <w:p>
      <w:pPr>
        <w:pStyle w:val="BodyText"/>
        <w:spacing w:line="240" w:lineRule="auto" w:before="54"/>
        <w:ind w:right="0"/>
        <w:jc w:val="left"/>
      </w:pPr>
      <w:r>
        <w:rPr/>
        <w:t>审计并形成审计意见为背景</w:t>
      </w:r>
      <w:r>
        <w:rPr>
          <w:spacing w:val="-87"/>
        </w:rPr>
        <w:t>，</w:t>
      </w:r>
      <w:r>
        <w:rPr/>
        <w:t>我们不对这些事项单独发表意见</w:t>
      </w:r>
      <w:r>
        <w:rPr>
          <w:spacing w:val="-87"/>
        </w:rPr>
        <w:t>。</w:t>
      </w:r>
      <w:r>
        <w:rPr/>
        <w:t>我们确定下列事项是需要在审计报告中沟通的关键审计事项。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9"/>
          <w:szCs w:val="29"/>
        </w:rPr>
      </w:pPr>
    </w:p>
    <w:p>
      <w:pPr>
        <w:pStyle w:val="BodyText"/>
        <w:spacing w:line="240" w:lineRule="auto" w:before="45"/>
        <w:ind w:left="630" w:right="835"/>
        <w:jc w:val="right"/>
      </w:pPr>
      <w:r>
        <w:rPr/>
        <w:pict>
          <v:shape style="position:absolute;margin-left:56.34pt;margin-top:-77.478271pt;width:493.9pt;height:298.95pt;mso-position-horizontal-relative:page;mso-position-vertical-relative:paragraph;z-index:2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963"/>
                    <w:gridCol w:w="4893"/>
                  </w:tblGrid>
                  <w:tr>
                    <w:trPr>
                      <w:trHeight w:val="426" w:hRule="exact"/>
                    </w:trPr>
                    <w:tc>
                      <w:tcPr>
                        <w:tcW w:w="49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b/>
                            <w:bCs/>
                            <w:sz w:val="18"/>
                            <w:szCs w:val="18"/>
                          </w:rPr>
                          <w:t>关键审计事项</w:t>
                        </w:r>
                        <w:r>
                          <w:rPr>
                            <w:rFonts w:ascii="宋体" w:hAnsi="宋体" w:cs="宋体" w:eastAsia="宋体" w:hint="default"/>
                            <w:sz w:val="18"/>
                            <w:szCs w:val="18"/>
                          </w:rPr>
                        </w:r>
                      </w:p>
                    </w:tc>
                    <w:tc>
                      <w:tcPr>
                        <w:tcW w:w="489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263" w:right="0"/>
                          <w:jc w:val="left"/>
                          <w:rPr>
                            <w:rFonts w:ascii="宋体" w:hAnsi="宋体" w:cs="宋体" w:eastAsia="宋体" w:hint="default"/>
                            <w:sz w:val="18"/>
                            <w:szCs w:val="18"/>
                          </w:rPr>
                        </w:pPr>
                        <w:r>
                          <w:rPr>
                            <w:rFonts w:ascii="宋体" w:hAnsi="宋体" w:cs="宋体" w:eastAsia="宋体" w:hint="default"/>
                            <w:b/>
                            <w:bCs/>
                            <w:sz w:val="18"/>
                            <w:szCs w:val="18"/>
                          </w:rPr>
                          <w:t>该事项在审计中是如何应对的</w:t>
                        </w:r>
                        <w:r>
                          <w:rPr>
                            <w:rFonts w:ascii="宋体" w:hAnsi="宋体" w:cs="宋体" w:eastAsia="宋体" w:hint="default"/>
                            <w:sz w:val="18"/>
                            <w:szCs w:val="18"/>
                          </w:rPr>
                        </w:r>
                      </w:p>
                    </w:tc>
                  </w:tr>
                  <w:tr>
                    <w:trPr>
                      <w:trHeight w:val="427" w:hRule="exact"/>
                    </w:trPr>
                    <w:tc>
                      <w:tcPr>
                        <w:tcW w:w="985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b/>
                            <w:bCs/>
                            <w:sz w:val="18"/>
                            <w:szCs w:val="18"/>
                          </w:rPr>
                          <w:t>（一）应收款项减值</w:t>
                        </w:r>
                        <w:r>
                          <w:rPr>
                            <w:rFonts w:ascii="宋体" w:hAnsi="宋体" w:cs="宋体" w:eastAsia="宋体" w:hint="default"/>
                            <w:sz w:val="18"/>
                            <w:szCs w:val="18"/>
                          </w:rPr>
                        </w:r>
                      </w:p>
                    </w:tc>
                  </w:tr>
                  <w:tr>
                    <w:trPr>
                      <w:trHeight w:val="4684" w:hRule="exact"/>
                    </w:trPr>
                    <w:tc>
                      <w:tcPr>
                        <w:tcW w:w="4963" w:type="dxa"/>
                        <w:tcBorders>
                          <w:top w:val="single" w:sz="6" w:space="0" w:color="000000"/>
                          <w:left w:val="single" w:sz="6" w:space="0" w:color="000000"/>
                          <w:bottom w:val="single" w:sz="6" w:space="0" w:color="000000"/>
                          <w:right w:val="single" w:sz="6" w:space="0" w:color="000000"/>
                        </w:tcBorders>
                      </w:tcPr>
                      <w:p>
                        <w:pPr>
                          <w:pStyle w:val="TableParagraph"/>
                          <w:spacing w:line="338" w:lineRule="auto" w:before="62"/>
                          <w:ind w:left="2" w:right="-17"/>
                          <w:jc w:val="left"/>
                          <w:rPr>
                            <w:rFonts w:ascii="宋体" w:hAnsi="宋体" w:cs="宋体" w:eastAsia="宋体" w:hint="default"/>
                            <w:sz w:val="18"/>
                            <w:szCs w:val="18"/>
                          </w:rPr>
                        </w:pPr>
                        <w:r>
                          <w:rPr>
                            <w:rFonts w:ascii="宋体" w:hAnsi="宋体" w:cs="宋体" w:eastAsia="宋体" w:hint="default"/>
                            <w:spacing w:val="-3"/>
                            <w:sz w:val="18"/>
                            <w:szCs w:val="18"/>
                          </w:rPr>
                          <w:t>参见财务报表附注五（十一）应收款项与财务报表附注七（五）</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应收账款以及财务报表附注七（九）其他应收款。</w:t>
                        </w:r>
                        <w:r>
                          <w:rPr>
                            <w:rFonts w:ascii="宋体" w:hAnsi="宋体" w:cs="宋体" w:eastAsia="宋体" w:hint="default"/>
                            <w:sz w:val="18"/>
                            <w:szCs w:val="18"/>
                          </w:rPr>
                          <w:t> 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日，神州泰岳合并财务报表中应收账款的账面</w:t>
                        </w:r>
                      </w:p>
                      <w:p>
                        <w:pPr>
                          <w:pStyle w:val="TableParagraph"/>
                          <w:spacing w:line="230" w:lineRule="exact"/>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余额合计为</w:t>
                        </w:r>
                        <w:r>
                          <w:rPr>
                            <w:rFonts w:ascii="Times New Roman" w:hAnsi="Times New Roman" w:cs="Times New Roman" w:eastAsia="Times New Roman" w:hint="default"/>
                            <w:sz w:val="18"/>
                            <w:szCs w:val="18"/>
                          </w:rPr>
                          <w:t>1,338,541,795.17</w:t>
                        </w:r>
                        <w:r>
                          <w:rPr>
                            <w:rFonts w:ascii="宋体" w:hAnsi="宋体" w:cs="宋体" w:eastAsia="宋体" w:hint="default"/>
                            <w:sz w:val="18"/>
                            <w:szCs w:val="18"/>
                          </w:rPr>
                          <w:t>元，坏账准备合计为</w:t>
                        </w:r>
                        <w:r>
                          <w:rPr>
                            <w:rFonts w:ascii="Times New Roman" w:hAnsi="Times New Roman" w:cs="Times New Roman" w:eastAsia="Times New Roman" w:hint="default"/>
                            <w:sz w:val="18"/>
                            <w:szCs w:val="18"/>
                          </w:rPr>
                          <w:t>214,394,052.80</w:t>
                        </w:r>
                      </w:p>
                      <w:p>
                        <w:pPr>
                          <w:pStyle w:val="TableParagraph"/>
                          <w:spacing w:line="240" w:lineRule="auto" w:before="63"/>
                          <w:ind w:left="2" w:right="0"/>
                          <w:jc w:val="left"/>
                          <w:rPr>
                            <w:rFonts w:ascii="宋体" w:hAnsi="宋体" w:cs="宋体" w:eastAsia="宋体" w:hint="default"/>
                            <w:sz w:val="18"/>
                            <w:szCs w:val="18"/>
                          </w:rPr>
                        </w:pPr>
                        <w:r>
                          <w:rPr>
                            <w:rFonts w:ascii="宋体" w:hAnsi="宋体" w:cs="宋体" w:eastAsia="宋体" w:hint="default"/>
                            <w:sz w:val="18"/>
                            <w:szCs w:val="18"/>
                          </w:rPr>
                          <w:t>元；神州泰岳合并财务报表中其他应收账款的账面余额合计为</w:t>
                        </w:r>
                      </w:p>
                      <w:p>
                        <w:pPr>
                          <w:pStyle w:val="TableParagraph"/>
                          <w:spacing w:line="240" w:lineRule="auto" w:before="77"/>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452,269,542.01</w:t>
                        </w:r>
                        <w:r>
                          <w:rPr>
                            <w:rFonts w:ascii="宋体" w:hAnsi="宋体" w:cs="宋体" w:eastAsia="宋体" w:hint="default"/>
                            <w:sz w:val="18"/>
                            <w:szCs w:val="18"/>
                          </w:rPr>
                          <w:t>元，坏账准备合计为</w:t>
                        </w:r>
                        <w:r>
                          <w:rPr>
                            <w:rFonts w:ascii="Times New Roman" w:hAnsi="Times New Roman" w:cs="Times New Roman" w:eastAsia="Times New Roman" w:hint="default"/>
                            <w:sz w:val="18"/>
                            <w:szCs w:val="18"/>
                          </w:rPr>
                          <w:t>29,657,192.02</w:t>
                        </w:r>
                        <w:r>
                          <w:rPr>
                            <w:rFonts w:ascii="宋体" w:hAnsi="宋体" w:cs="宋体" w:eastAsia="宋体" w:hint="default"/>
                            <w:sz w:val="18"/>
                            <w:szCs w:val="18"/>
                          </w:rPr>
                          <w:t>元。</w:t>
                        </w:r>
                      </w:p>
                      <w:p>
                        <w:pPr>
                          <w:pStyle w:val="TableParagraph"/>
                          <w:spacing w:line="319" w:lineRule="auto" w:before="101"/>
                          <w:ind w:left="2" w:right="85"/>
                          <w:jc w:val="left"/>
                          <w:rPr>
                            <w:rFonts w:ascii="宋体" w:hAnsi="宋体" w:cs="宋体" w:eastAsia="宋体" w:hint="default"/>
                            <w:sz w:val="18"/>
                            <w:szCs w:val="18"/>
                          </w:rPr>
                        </w:pPr>
                        <w:r>
                          <w:rPr>
                            <w:rFonts w:ascii="宋体" w:hAnsi="宋体" w:cs="宋体" w:eastAsia="宋体" w:hint="default"/>
                            <w:sz w:val="18"/>
                            <w:szCs w:val="18"/>
                          </w:rPr>
                          <w:t>当存在客观证据表明应收账款存在减值时，管理层根据预计未 来现金流量现值低于账面价值的差额计提单项减值准备。对于 不存在减值客观证据的应收款项，管理层根据信用风险特征将 其分为若干组合进行评估。管理层根据以前年度与之具有类似 信用风险特征的应收款项组合的实际损失率及账龄分析为基 础，结合现时情况确定应计提的坏账准备。</w:t>
                        </w:r>
                      </w:p>
                      <w:p>
                        <w:pPr>
                          <w:pStyle w:val="TableParagraph"/>
                          <w:spacing w:line="319" w:lineRule="auto" w:before="56"/>
                          <w:ind w:left="2" w:right="85"/>
                          <w:jc w:val="left"/>
                          <w:rPr>
                            <w:rFonts w:ascii="宋体" w:hAnsi="宋体" w:cs="宋体" w:eastAsia="宋体" w:hint="default"/>
                            <w:sz w:val="18"/>
                            <w:szCs w:val="18"/>
                          </w:rPr>
                        </w:pPr>
                        <w:r>
                          <w:rPr>
                            <w:rFonts w:ascii="宋体" w:hAnsi="宋体" w:cs="宋体" w:eastAsia="宋体" w:hint="default"/>
                            <w:sz w:val="18"/>
                            <w:szCs w:val="18"/>
                          </w:rPr>
                          <w:t>由于应收款项金额重大，且管理层在确定应收款项减值时作出 了重大判断，我们将应收款项的减值确定为关键审计事项。</w:t>
                        </w:r>
                      </w:p>
                    </w:tc>
                    <w:tc>
                      <w:tcPr>
                        <w:tcW w:w="4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both"/>
                          <w:rPr>
                            <w:rFonts w:ascii="宋体" w:hAnsi="宋体" w:cs="宋体" w:eastAsia="宋体" w:hint="default"/>
                            <w:sz w:val="18"/>
                            <w:szCs w:val="18"/>
                          </w:rPr>
                        </w:pPr>
                        <w:r>
                          <w:rPr>
                            <w:rFonts w:ascii="宋体" w:hAnsi="宋体" w:cs="宋体" w:eastAsia="宋体" w:hint="default"/>
                            <w:sz w:val="18"/>
                            <w:szCs w:val="18"/>
                          </w:rPr>
                          <w:t>与应收款项减值有关的审计程序包括：</w:t>
                        </w:r>
                      </w:p>
                      <w:p>
                        <w:pPr>
                          <w:pStyle w:val="TableParagraph"/>
                          <w:spacing w:line="302" w:lineRule="auto" w:before="116"/>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、我们评价并测试了管理层复核、评估和确定应收款项减值的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内部控制，包括有关识别减值客观证据和计算减值准备的控制</w:t>
                        </w:r>
                      </w:p>
                      <w:p>
                        <w:pPr>
                          <w:pStyle w:val="TableParagraph"/>
                          <w:spacing w:line="302" w:lineRule="auto" w:before="68"/>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、我们选取样本检查了管理层编制的应收款项账龄分析表的准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确性，并测试了与维护账龄分析表相关信息的控制程序。</w:t>
                        </w:r>
                      </w:p>
                      <w:p>
                        <w:pPr>
                          <w:pStyle w:val="TableParagraph"/>
                          <w:spacing w:line="312" w:lineRule="auto" w:before="68"/>
                          <w:ind w:left="2" w:right="3"/>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、我们选取金额重大或高风险的应收款项，独立测试了其可收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回性。我们在评估应收款项的可回收性时，检查了相关的支持 性证据，包括期后收款、客户的信用历史、经营情况、还款能 力等。</w:t>
                        </w:r>
                      </w:p>
                      <w:p>
                        <w:pPr>
                          <w:pStyle w:val="TableParagraph"/>
                          <w:spacing w:line="302" w:lineRule="auto" w:before="62"/>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、对于存在诉讼或争议的款项，我们参考了专业人士的专业意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见和类似案例，以判断可回收性。</w:t>
                        </w:r>
                      </w:p>
                      <w:p>
                        <w:pPr>
                          <w:pStyle w:val="TableParagraph"/>
                          <w:spacing w:line="309" w:lineRule="auto" w:before="68"/>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、我们通过考虑历史上同类应收款项组合的实际坏账发生金额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及情况，结合客户信用和市场条件等因素，评估了管理层将应 收款项划分为若干组合进行减值评估的方法和计算是否适当。</w:t>
                        </w:r>
                      </w:p>
                    </w:tc>
                  </w:tr>
                  <w:tr>
                    <w:trPr>
                      <w:trHeight w:val="427" w:hRule="exact"/>
                    </w:trPr>
                    <w:tc>
                      <w:tcPr>
                        <w:tcW w:w="9856"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b/>
                            <w:bCs/>
                            <w:sz w:val="18"/>
                            <w:szCs w:val="18"/>
                          </w:rPr>
                          <w:t>（二）商誉减值</w:t>
                        </w:r>
                        <w:r>
                          <w:rPr>
                            <w:rFonts w:ascii="宋体" w:hAnsi="宋体" w:cs="宋体" w:eastAsia="宋体" w:hint="default"/>
                            <w:sz w:val="18"/>
                            <w:szCs w:val="18"/>
                          </w:rPr>
                        </w:r>
                      </w:p>
                    </w:tc>
                  </w:tr>
                </w:tbl>
                <w:p>
                  <w:pPr/>
                </w:p>
              </w:txbxContent>
            </v:textbox>
            <w10:wrap type="none"/>
          </v:shape>
        </w:pict>
      </w:r>
      <w:r>
        <w:rPr/>
        <w:t>。</w:t>
      </w:r>
    </w:p>
    <w:p>
      <w:pPr>
        <w:spacing w:after="0" w:line="240" w:lineRule="auto"/>
        <w:jc w:val="right"/>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6" w:type="dxa"/>
        <w:tblLayout w:type="fixed"/>
        <w:tblCellMar>
          <w:top w:w="0" w:type="dxa"/>
          <w:left w:w="0" w:type="dxa"/>
          <w:bottom w:w="0" w:type="dxa"/>
          <w:right w:w="0" w:type="dxa"/>
        </w:tblCellMar>
        <w:tblLook w:val="01E0"/>
      </w:tblPr>
      <w:tblGrid>
        <w:gridCol w:w="4963"/>
        <w:gridCol w:w="4893"/>
      </w:tblGrid>
      <w:tr>
        <w:trPr>
          <w:trHeight w:val="5972" w:hRule="exact"/>
        </w:trPr>
        <w:tc>
          <w:tcPr>
            <w:tcW w:w="4963" w:type="dxa"/>
            <w:tcBorders>
              <w:top w:val="single" w:sz="6" w:space="0" w:color="000000"/>
              <w:left w:val="single" w:sz="6" w:space="0" w:color="000000"/>
              <w:bottom w:val="single" w:sz="6" w:space="0" w:color="000000"/>
              <w:right w:val="single" w:sz="6" w:space="0" w:color="000000"/>
            </w:tcBorders>
          </w:tcPr>
          <w:p>
            <w:pPr>
              <w:pStyle w:val="TableParagraph"/>
              <w:spacing w:line="338" w:lineRule="auto" w:before="62"/>
              <w:ind w:left="2" w:right="6"/>
              <w:jc w:val="left"/>
              <w:rPr>
                <w:rFonts w:ascii="宋体" w:hAnsi="宋体" w:cs="宋体" w:eastAsia="宋体" w:hint="default"/>
                <w:sz w:val="18"/>
                <w:szCs w:val="18"/>
              </w:rPr>
            </w:pPr>
            <w:r>
              <w:rPr>
                <w:rFonts w:ascii="宋体" w:hAnsi="宋体" w:cs="宋体" w:eastAsia="宋体" w:hint="default"/>
                <w:spacing w:val="2"/>
                <w:sz w:val="18"/>
                <w:szCs w:val="18"/>
              </w:rPr>
              <w:t>商誉减值的会计政策详情及分析请参见财务报表附注五（二十</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二）长期资产减值以及财务报表附注七（二十七）商誉。 </w:t>
            </w:r>
            <w:r>
              <w:rPr>
                <w:rFonts w:ascii="宋体" w:hAnsi="宋体" w:cs="宋体" w:eastAsia="宋体" w:hint="default"/>
                <w:spacing w:val="2"/>
                <w:sz w:val="18"/>
                <w:szCs w:val="18"/>
              </w:rPr>
              <w:t>截至</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宋体" w:hAnsi="宋体" w:cs="宋体" w:eastAsia="宋体" w:hint="default"/>
                <w:spacing w:val="2"/>
                <w:sz w:val="18"/>
                <w:szCs w:val="18"/>
              </w:rPr>
              <w:t>月</w:t>
            </w:r>
            <w:r>
              <w:rPr>
                <w:rFonts w:ascii="Times New Roman" w:hAnsi="Times New Roman" w:cs="Times New Roman" w:eastAsia="Times New Roman" w:hint="default"/>
                <w:spacing w:val="2"/>
                <w:sz w:val="18"/>
                <w:szCs w:val="18"/>
              </w:rPr>
              <w:t>31</w:t>
            </w:r>
            <w:r>
              <w:rPr>
                <w:rFonts w:ascii="宋体" w:hAnsi="宋体" w:cs="宋体" w:eastAsia="宋体" w:hint="default"/>
                <w:spacing w:val="2"/>
                <w:sz w:val="18"/>
                <w:szCs w:val="18"/>
              </w:rPr>
              <w:t>日，神州泰岳合并报表中商誉的账面价值合</w:t>
            </w:r>
          </w:p>
          <w:p>
            <w:pPr>
              <w:pStyle w:val="TableParagraph"/>
              <w:spacing w:line="230" w:lineRule="exact"/>
              <w:ind w:left="2" w:right="0"/>
              <w:jc w:val="both"/>
              <w:rPr>
                <w:rFonts w:ascii="宋体" w:hAnsi="宋体" w:cs="宋体" w:eastAsia="宋体" w:hint="default"/>
                <w:sz w:val="18"/>
                <w:szCs w:val="18"/>
              </w:rPr>
            </w:pPr>
            <w:r>
              <w:rPr>
                <w:rFonts w:ascii="宋体" w:hAnsi="宋体" w:cs="宋体" w:eastAsia="宋体" w:hint="default"/>
                <w:spacing w:val="7"/>
                <w:sz w:val="18"/>
                <w:szCs w:val="18"/>
              </w:rPr>
              <w:t>计人民币</w:t>
            </w:r>
            <w:r>
              <w:rPr>
                <w:rFonts w:ascii="Times New Roman" w:hAnsi="Times New Roman" w:cs="Times New Roman" w:eastAsia="Times New Roman" w:hint="default"/>
                <w:spacing w:val="7"/>
                <w:sz w:val="18"/>
                <w:szCs w:val="18"/>
              </w:rPr>
              <w:t>2,111,969,054.86</w:t>
            </w:r>
            <w:r>
              <w:rPr>
                <w:rFonts w:ascii="宋体" w:hAnsi="宋体" w:cs="宋体" w:eastAsia="宋体" w:hint="default"/>
                <w:spacing w:val="7"/>
                <w:sz w:val="18"/>
                <w:szCs w:val="18"/>
              </w:rPr>
              <w:t>元，相应的减值准备余额为人民币</w:t>
            </w:r>
          </w:p>
          <w:p>
            <w:pPr>
              <w:pStyle w:val="TableParagraph"/>
              <w:spacing w:line="240" w:lineRule="auto" w:before="64"/>
              <w:ind w:left="2"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49,353,600.00</w:t>
            </w:r>
            <w:r>
              <w:rPr>
                <w:rFonts w:ascii="宋体" w:hAnsi="宋体" w:cs="宋体" w:eastAsia="宋体" w:hint="default"/>
                <w:sz w:val="18"/>
                <w:szCs w:val="18"/>
              </w:rPr>
              <w:t>元。</w:t>
            </w:r>
          </w:p>
          <w:p>
            <w:pPr>
              <w:pStyle w:val="TableParagraph"/>
              <w:spacing w:line="319" w:lineRule="auto" w:before="102"/>
              <w:ind w:left="2" w:right="1"/>
              <w:jc w:val="both"/>
              <w:rPr>
                <w:rFonts w:ascii="宋体" w:hAnsi="宋体" w:cs="宋体" w:eastAsia="宋体" w:hint="default"/>
                <w:sz w:val="18"/>
                <w:szCs w:val="18"/>
              </w:rPr>
            </w:pPr>
            <w:r>
              <w:rPr>
                <w:rFonts w:ascii="宋体" w:hAnsi="宋体" w:cs="宋体" w:eastAsia="宋体" w:hint="default"/>
                <w:spacing w:val="2"/>
                <w:sz w:val="18"/>
                <w:szCs w:val="18"/>
              </w:rPr>
              <w:t>管理层每年评估商誉可能出现减值的情况。商誉的减值评估结</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9"/>
                <w:sz w:val="18"/>
                <w:szCs w:val="18"/>
              </w:rPr>
              <w:t>果由管理层依据其聘任的外部评估师编制的估值报告进行确</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2"/>
                <w:sz w:val="18"/>
                <w:szCs w:val="18"/>
              </w:rPr>
              <w:t>定。减值评估是依据所编制的折现现金流预测而估计商誉的使</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用价值。折现现金流预测的编制涉及运用重大判断和估计，特</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别是确定收入增长率、永续增长率、成本上涨，以及确定所应</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用的风险调整折现率时均存在固有不确定性和可能受到管理层</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偏好的影响。</w:t>
            </w:r>
          </w:p>
          <w:p>
            <w:pPr>
              <w:pStyle w:val="TableParagraph"/>
              <w:spacing w:line="319" w:lineRule="auto" w:before="55"/>
              <w:ind w:left="2" w:right="1"/>
              <w:jc w:val="both"/>
              <w:rPr>
                <w:rFonts w:ascii="宋体" w:hAnsi="宋体" w:cs="宋体" w:eastAsia="宋体" w:hint="default"/>
                <w:sz w:val="18"/>
                <w:szCs w:val="18"/>
              </w:rPr>
            </w:pPr>
            <w:r>
              <w:rPr>
                <w:rFonts w:ascii="宋体" w:hAnsi="宋体" w:cs="宋体" w:eastAsia="宋体" w:hint="default"/>
                <w:spacing w:val="2"/>
                <w:sz w:val="18"/>
                <w:szCs w:val="18"/>
              </w:rPr>
              <w:t>由于商誉的减值预测和折现未来现金流量涉及固有不确定性，</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以及管理层在选用假设和估计时可能出现偏好的风险，我们将</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评估商誉的减值视为关键审计事项。</w:t>
            </w:r>
          </w:p>
        </w:tc>
        <w:tc>
          <w:tcPr>
            <w:tcW w:w="489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both"/>
              <w:rPr>
                <w:rFonts w:ascii="宋体" w:hAnsi="宋体" w:cs="宋体" w:eastAsia="宋体" w:hint="default"/>
                <w:sz w:val="18"/>
                <w:szCs w:val="18"/>
              </w:rPr>
            </w:pPr>
            <w:r>
              <w:rPr>
                <w:rFonts w:ascii="宋体" w:hAnsi="宋体" w:cs="宋体" w:eastAsia="宋体" w:hint="default"/>
                <w:sz w:val="18"/>
                <w:szCs w:val="18"/>
              </w:rPr>
              <w:t>与商誉减值有关的审计程序包括：</w:t>
            </w:r>
          </w:p>
          <w:p>
            <w:pPr>
              <w:pStyle w:val="TableParagraph"/>
              <w:spacing w:line="309" w:lineRule="auto" w:before="115"/>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、我们评估及测试了与商誉减值测试相关的内部控制的设计及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执行有效性，包括关键假设的采用及减值计提金额的复核及审</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批；</w:t>
            </w:r>
          </w:p>
          <w:p>
            <w:pPr>
              <w:pStyle w:val="TableParagraph"/>
              <w:spacing w:line="302" w:lineRule="auto" w:before="64"/>
              <w:ind w:left="2" w:right="3"/>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、评价管理层委聘的外部估值专家的胜任能力、专业素质和客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观性；</w:t>
            </w:r>
          </w:p>
          <w:p>
            <w:pPr>
              <w:pStyle w:val="TableParagraph"/>
              <w:spacing w:line="302" w:lineRule="auto" w:before="68"/>
              <w:ind w:left="2" w:right="3"/>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、通过参考行业惯例，评估了管理层进行现金流量预测时使用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的估值方法的适当性；</w:t>
            </w:r>
          </w:p>
          <w:p>
            <w:pPr>
              <w:pStyle w:val="TableParagraph"/>
              <w:spacing w:line="309" w:lineRule="auto" w:before="68"/>
              <w:ind w:left="2" w:right="3"/>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4</w:t>
            </w:r>
            <w:r>
              <w:rPr>
                <w:rFonts w:ascii="宋体" w:hAnsi="宋体" w:cs="宋体" w:eastAsia="宋体" w:hint="default"/>
                <w:spacing w:val="-3"/>
                <w:sz w:val="18"/>
                <w:szCs w:val="18"/>
              </w:rPr>
              <w:t>、通过将收入增长率、永续增长率和成本上涨等关键输入值与</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过往业绩、管理层预算和预测及行业报告进行比较，审慎评价</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编制折现现金流预测中采用的关键假设及判断；</w:t>
            </w:r>
          </w:p>
          <w:p>
            <w:pPr>
              <w:pStyle w:val="TableParagraph"/>
              <w:spacing w:line="312" w:lineRule="auto" w:before="64"/>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5</w:t>
            </w:r>
            <w:r>
              <w:rPr>
                <w:rFonts w:ascii="宋体" w:hAnsi="宋体" w:cs="宋体" w:eastAsia="宋体" w:hint="default"/>
                <w:spacing w:val="-3"/>
                <w:sz w:val="18"/>
                <w:szCs w:val="18"/>
              </w:rPr>
              <w:t>、基于同行业可比公司的市场数据重新计算折现率，并将我们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的计算结果与管理层计算预计未来现金流量现值时采用的折现</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率进行比较，以评价其计算预计未来现金流量现值时采用的折</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现率；</w:t>
            </w:r>
          </w:p>
          <w:p>
            <w:pPr>
              <w:pStyle w:val="TableParagraph"/>
              <w:spacing w:line="309" w:lineRule="auto" w:before="61"/>
              <w:ind w:left="2" w:right="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6</w:t>
            </w:r>
            <w:r>
              <w:rPr>
                <w:rFonts w:ascii="宋体" w:hAnsi="宋体" w:cs="宋体" w:eastAsia="宋体" w:hint="default"/>
                <w:spacing w:val="-3"/>
                <w:sz w:val="18"/>
                <w:szCs w:val="18"/>
              </w:rPr>
              <w:t>、对预测收入和采用的折现率等关键假设进行敏感性分析，以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评价关键假设的变化对减值评估结果的影响以及考虑对关键假</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设的选择是否存在管理层偏向的迹象；</w:t>
            </w:r>
          </w:p>
        </w:tc>
      </w:tr>
    </w:tbl>
    <w:p>
      <w:pPr>
        <w:pStyle w:val="BodyText"/>
        <w:spacing w:line="477" w:lineRule="auto" w:before="88"/>
        <w:ind w:left="1494" w:right="1118" w:firstLine="1"/>
        <w:jc w:val="left"/>
      </w:pPr>
      <w:r>
        <w:rPr>
          <w:rFonts w:ascii="宋体" w:hAnsi="宋体" w:cs="宋体" w:eastAsia="宋体" w:hint="default"/>
          <w:b/>
          <w:bCs/>
        </w:rPr>
        <w:t>四、其他信息</w:t>
      </w:r>
      <w:r>
        <w:rPr>
          <w:rFonts w:ascii="宋体" w:hAnsi="宋体" w:cs="宋体" w:eastAsia="宋体" w:hint="default"/>
          <w:b/>
          <w:bCs/>
          <w:w w:val="99"/>
        </w:rPr>
        <w:t> </w:t>
      </w:r>
      <w:r>
        <w:rPr>
          <w:spacing w:val="-2"/>
        </w:rPr>
        <w:t>神州泰岳管理层（以下简称管理层）对其他信息负责。其他信息包括神州泰岳</w:t>
      </w:r>
      <w:r>
        <w:rPr>
          <w:rFonts w:ascii="Times New Roman" w:hAnsi="Times New Roman" w:cs="Times New Roman" w:eastAsia="Times New Roman" w:hint="default"/>
          <w:spacing w:val="-2"/>
        </w:rPr>
        <w:t>2017</w:t>
      </w:r>
      <w:r>
        <w:rPr>
          <w:spacing w:val="-2"/>
        </w:rPr>
        <w:t>年年度报告中涵盖的信息，但不包括</w:t>
      </w:r>
    </w:p>
    <w:p>
      <w:pPr>
        <w:pStyle w:val="BodyText"/>
        <w:spacing w:line="477" w:lineRule="auto" w:before="22"/>
        <w:ind w:left="1493" w:right="1118" w:hanging="360"/>
        <w:jc w:val="left"/>
      </w:pPr>
      <w:r>
        <w:rPr/>
        <w:t>财务报表和我们的审计报告。 我们对财务报表发表的审计意见不涵盖其他信息，我们也不对其他信息发表任何形式的鉴证结论。 </w:t>
      </w:r>
      <w:r>
        <w:rPr>
          <w:spacing w:val="-2"/>
        </w:rPr>
        <w:t>结合我们对财务报表的审计，我们的责任是阅读其他信息，在此过程中，考虑其他信息是否与财务报表或我们在审计过</w:t>
      </w:r>
    </w:p>
    <w:p>
      <w:pPr>
        <w:pStyle w:val="BodyText"/>
        <w:spacing w:line="477" w:lineRule="auto" w:before="54"/>
        <w:ind w:left="1494" w:right="0" w:hanging="360"/>
        <w:jc w:val="left"/>
      </w:pPr>
      <w:r>
        <w:rPr/>
        <w:t>程中了解到的情况存在重大不一致或者似乎存在重大错报。 </w:t>
      </w:r>
      <w:r>
        <w:rPr>
          <w:spacing w:val="-2"/>
        </w:rPr>
        <w:t>基于我们已执行的工作，如果我们确定其他信息存在重大错报，我们应当报告该事实。在这方面，我们无任何事项需要</w:t>
      </w:r>
    </w:p>
    <w:p>
      <w:pPr>
        <w:pStyle w:val="BodyText"/>
        <w:spacing w:line="240" w:lineRule="auto" w:before="54"/>
        <w:ind w:left="1134" w:right="0"/>
        <w:jc w:val="left"/>
      </w:pPr>
      <w:r>
        <w:rPr/>
        <w:t>报告。</w:t>
      </w:r>
    </w:p>
    <w:p>
      <w:pPr>
        <w:spacing w:line="240" w:lineRule="auto" w:before="10"/>
        <w:rPr>
          <w:rFonts w:ascii="宋体" w:hAnsi="宋体" w:cs="宋体" w:eastAsia="宋体" w:hint="default"/>
          <w:sz w:val="17"/>
          <w:szCs w:val="17"/>
        </w:rPr>
      </w:pPr>
    </w:p>
    <w:p>
      <w:pPr>
        <w:spacing w:line="477" w:lineRule="auto" w:before="0"/>
        <w:ind w:left="1494" w:right="0" w:firstLine="1"/>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w w:val="99"/>
          <w:sz w:val="18"/>
          <w:szCs w:val="18"/>
        </w:rPr>
        <w:t> </w:t>
      </w:r>
      <w:r>
        <w:rPr>
          <w:rFonts w:ascii="宋体" w:hAnsi="宋体" w:cs="宋体" w:eastAsia="宋体" w:hint="default"/>
          <w:spacing w:val="-2"/>
          <w:sz w:val="18"/>
          <w:szCs w:val="18"/>
        </w:rPr>
        <w:t>管理层负责按照企业会计准则的规定编制财务报表，使其实现公允反映，并设计、执行和维护必要的内部控制，以使财</w:t>
      </w:r>
    </w:p>
    <w:p>
      <w:pPr>
        <w:pStyle w:val="BodyText"/>
        <w:spacing w:line="477" w:lineRule="auto" w:before="54"/>
        <w:ind w:left="1494" w:right="0" w:hanging="360"/>
        <w:jc w:val="left"/>
      </w:pPr>
      <w:r>
        <w:rPr/>
        <w:t>务报表不存在由于舞弊或错误导致的重大错报。 </w:t>
      </w:r>
      <w:r>
        <w:rPr>
          <w:spacing w:val="-2"/>
        </w:rPr>
        <w:t>在编制财务报表时，管理层负责评估神州泰岳的持续经营能力，披露与持续经营相关的事项（如适用），并运用持续经</w:t>
      </w:r>
    </w:p>
    <w:p>
      <w:pPr>
        <w:spacing w:line="477" w:lineRule="auto" w:before="54"/>
        <w:ind w:left="1494" w:right="5712" w:hanging="360"/>
        <w:jc w:val="left"/>
        <w:rPr>
          <w:rFonts w:ascii="宋体" w:hAnsi="宋体" w:cs="宋体" w:eastAsia="宋体" w:hint="default"/>
          <w:sz w:val="18"/>
          <w:szCs w:val="18"/>
        </w:rPr>
      </w:pPr>
      <w:r>
        <w:rPr>
          <w:rFonts w:ascii="宋体" w:hAnsi="宋体" w:cs="宋体" w:eastAsia="宋体" w:hint="default"/>
          <w:sz w:val="18"/>
          <w:szCs w:val="18"/>
        </w:rPr>
        <w:t>营假设，除非计划进行清算、终止运营或别无其他现实的选择。 治理层负责监督神州泰岳的财务报告过程。 </w:t>
      </w:r>
      <w:r>
        <w:rPr>
          <w:rFonts w:ascii="宋体" w:hAnsi="宋体" w:cs="宋体" w:eastAsia="宋体" w:hint="default"/>
          <w:b/>
          <w:bCs/>
          <w:sz w:val="18"/>
          <w:szCs w:val="18"/>
        </w:rPr>
        <w:t>六、注册会计师对财务报表审计的责任</w:t>
      </w:r>
      <w:r>
        <w:rPr>
          <w:rFonts w:ascii="宋体" w:hAnsi="宋体" w:cs="宋体" w:eastAsia="宋体" w:hint="default"/>
          <w:sz w:val="18"/>
          <w:szCs w:val="18"/>
        </w:rPr>
      </w:r>
    </w:p>
    <w:p>
      <w:pPr>
        <w:pStyle w:val="BodyText"/>
        <w:spacing w:line="477" w:lineRule="auto" w:before="54"/>
        <w:ind w:left="1134" w:right="0" w:firstLine="360"/>
        <w:jc w:val="left"/>
      </w:pPr>
      <w:r>
        <w:rPr>
          <w:spacing w:val="-2"/>
        </w:rPr>
        <w:t>我们的目标是对财务报表整体是否不存在由于舞弊或错误导致的重大错报获取合理保证，并出具包含审计意见的审计报</w:t>
      </w:r>
      <w:r>
        <w:rPr/>
        <w:t> </w:t>
      </w:r>
      <w:r>
        <w:rPr>
          <w:spacing w:val="-2"/>
        </w:rPr>
        <w:t>告。合理保证是高水平的保证，但并不能保证按照审计准则执行的审计在某一重大错报存在时总能发现。错报可能由于舞弊</w:t>
      </w:r>
    </w:p>
    <w:p>
      <w:pPr>
        <w:spacing w:after="0" w:line="477"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1118"/>
        <w:jc w:val="left"/>
      </w:pP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pStyle w:val="BodyText"/>
        <w:spacing w:line="240" w:lineRule="auto" w:before="54"/>
        <w:ind w:left="1494" w:right="0"/>
        <w:jc w:val="left"/>
      </w:pPr>
      <w:r>
        <w:rPr/>
        <w:t>在按照审计准则执行审计工作的过程中，我们运用职业判断，并保持职业怀疑。同时，我们也执行以下工作：</w:t>
      </w:r>
    </w:p>
    <w:p>
      <w:pPr>
        <w:spacing w:line="240" w:lineRule="auto" w:before="10"/>
        <w:rPr>
          <w:rFonts w:ascii="宋体" w:hAnsi="宋体" w:cs="宋体" w:eastAsia="宋体" w:hint="default"/>
          <w:sz w:val="17"/>
          <w:szCs w:val="17"/>
        </w:rPr>
      </w:pPr>
    </w:p>
    <w:p>
      <w:pPr>
        <w:pStyle w:val="BodyText"/>
        <w:spacing w:line="463" w:lineRule="auto"/>
        <w:ind w:left="1134" w:right="1032" w:firstLine="360"/>
        <w:jc w:val="left"/>
      </w:pPr>
      <w:r>
        <w:rPr/>
        <w:t>（</w:t>
      </w:r>
      <w:r>
        <w:rPr>
          <w:rFonts w:ascii="Times New Roman" w:hAnsi="Times New Roman" w:cs="Times New Roman" w:eastAsia="Times New Roman" w:hint="default"/>
        </w:rPr>
        <w:t>1</w:t>
      </w:r>
      <w:r>
        <w:rPr/>
        <w:t>）识别和评估由于舞弊或错误导致的财务报表重大错报风险，设计和实施审计程序以应对这些风险，并获取充分、 适当的审计证据，作为发表审计意见的基础。由于舞弊可能涉及串通、伪造、故意遗漏、虚假陈述或凌驾于内部控制之上，</w:t>
      </w:r>
      <w:r>
        <w:rPr>
          <w:spacing w:val="-85"/>
        </w:rPr>
        <w:t> </w:t>
      </w:r>
      <w:r>
        <w:rPr>
          <w:spacing w:val="-85"/>
        </w:rPr>
      </w:r>
      <w:r>
        <w:rPr/>
        <w:t>未能发现由于舞弊导致的重大错报的风险高于未能发现由于错误导致的重大错报的风险。</w:t>
      </w:r>
    </w:p>
    <w:p>
      <w:pPr>
        <w:pStyle w:val="BodyText"/>
        <w:spacing w:line="240" w:lineRule="auto" w:before="65"/>
        <w:ind w:left="1493" w:right="0"/>
        <w:jc w:val="left"/>
      </w:pPr>
      <w:r>
        <w:rPr/>
        <w:t>（</w:t>
      </w:r>
      <w:r>
        <w:rPr>
          <w:rFonts w:ascii="Times New Roman" w:hAnsi="Times New Roman" w:cs="Times New Roman" w:eastAsia="Times New Roman" w:hint="default"/>
        </w:rPr>
        <w:t>2</w:t>
      </w:r>
      <w:r>
        <w:rPr/>
        <w:t>）了解与审计相关的内部控制，以设计恰当的审计程序，但目的并非对内部控制的有效性发表意见。</w:t>
      </w:r>
    </w:p>
    <w:p>
      <w:pPr>
        <w:spacing w:line="240" w:lineRule="auto" w:before="9"/>
        <w:rPr>
          <w:rFonts w:ascii="宋体" w:hAnsi="宋体" w:cs="宋体" w:eastAsia="宋体" w:hint="default"/>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3</w:t>
      </w:r>
      <w:r>
        <w:rPr/>
        <w:t>）评价管理层选用会计政策的恰当性和作出会计估计及相关披露的合理性。</w:t>
      </w:r>
    </w:p>
    <w:p>
      <w:pPr>
        <w:spacing w:line="240" w:lineRule="auto" w:before="9"/>
        <w:rPr>
          <w:rFonts w:ascii="宋体" w:hAnsi="宋体" w:cs="宋体" w:eastAsia="宋体" w:hint="default"/>
          <w:sz w:val="16"/>
          <w:szCs w:val="16"/>
        </w:rPr>
      </w:pPr>
    </w:p>
    <w:p>
      <w:pPr>
        <w:pStyle w:val="BodyText"/>
        <w:spacing w:line="468" w:lineRule="auto"/>
        <w:ind w:left="1134" w:right="1131" w:firstLine="360"/>
        <w:jc w:val="both"/>
      </w:pPr>
      <w:r>
        <w:rPr/>
        <w:t>（</w:t>
      </w:r>
      <w:r>
        <w:rPr>
          <w:rFonts w:ascii="Times New Roman" w:hAnsi="Times New Roman" w:cs="Times New Roman" w:eastAsia="Times New Roman" w:hint="default"/>
        </w:rPr>
        <w:t>4</w:t>
      </w:r>
      <w:r>
        <w:rPr/>
        <w:t>）对管理层使用持续经营假设的恰当性得出结论。同时，根据获取的审计证据，就可能导致对神州泰岳持续经营能 </w:t>
      </w:r>
      <w:r>
        <w:rPr>
          <w:spacing w:val="-2"/>
        </w:rPr>
        <w:t>力产生重大疑虑的事项或情况是否存在重大不确定性得出结论。如果我们得出结论认为存在重大不确定性，审计准则要求我</w:t>
      </w:r>
      <w:r>
        <w:rPr>
          <w:spacing w:val="-64"/>
        </w:rPr>
        <w:t> </w:t>
      </w:r>
      <w:r>
        <w:rPr>
          <w:spacing w:val="-64"/>
        </w:rPr>
      </w:r>
      <w:r>
        <w:rPr>
          <w:spacing w:val="-2"/>
        </w:rPr>
        <w:t>们在审计报告中提请报表使用者注意财务报表中的相关披露；如果披露不充分，我们应当发表非无保留意见。我们的结论基</w:t>
      </w:r>
      <w:r>
        <w:rPr>
          <w:spacing w:val="-66"/>
        </w:rPr>
        <w:t> </w:t>
      </w:r>
      <w:r>
        <w:rPr>
          <w:spacing w:val="-66"/>
        </w:rPr>
      </w:r>
      <w:r>
        <w:rPr/>
        <w:t>于截至审计报告日可获得的信息。然而，未来的事项或情况可能导致神州泰岳不能持续经营。</w:t>
      </w:r>
    </w:p>
    <w:p>
      <w:pPr>
        <w:pStyle w:val="BodyText"/>
        <w:spacing w:line="240" w:lineRule="auto" w:before="61"/>
        <w:ind w:left="1493" w:right="0"/>
        <w:jc w:val="left"/>
      </w:pPr>
      <w:r>
        <w:rPr/>
        <w:t>（</w:t>
      </w:r>
      <w:r>
        <w:rPr>
          <w:rFonts w:ascii="Times New Roman" w:hAnsi="Times New Roman" w:cs="Times New Roman" w:eastAsia="Times New Roman" w:hint="default"/>
        </w:rPr>
        <w:t>5</w:t>
      </w:r>
      <w:r>
        <w:rPr/>
        <w:t>）评价财务报表的总体列报、结构和内容（包括披露），并评价财务报表是否公允反映相关交易和事项。</w:t>
      </w:r>
    </w:p>
    <w:p>
      <w:pPr>
        <w:spacing w:line="240" w:lineRule="auto" w:before="9"/>
        <w:rPr>
          <w:rFonts w:ascii="宋体" w:hAnsi="宋体" w:cs="宋体" w:eastAsia="宋体" w:hint="default"/>
          <w:sz w:val="16"/>
          <w:szCs w:val="16"/>
        </w:rPr>
      </w:pPr>
    </w:p>
    <w:p>
      <w:pPr>
        <w:pStyle w:val="BodyText"/>
        <w:spacing w:line="451" w:lineRule="auto"/>
        <w:ind w:left="1134" w:right="1122" w:firstLine="360"/>
        <w:jc w:val="left"/>
      </w:pPr>
      <w:r>
        <w:rPr/>
        <w:t>（</w:t>
      </w:r>
      <w:r>
        <w:rPr>
          <w:rFonts w:ascii="Times New Roman" w:hAnsi="Times New Roman" w:cs="Times New Roman" w:eastAsia="Times New Roman" w:hint="default"/>
        </w:rPr>
        <w:t>6</w:t>
      </w:r>
      <w:r>
        <w:rPr/>
        <w:t>）就神州泰岳中实体或业务活动的财务信息获取充分、适当的审计证据，以对财务报表发表审计意见。我们负责指 导、监督和执行集团审计，并对审计意见承担全部责任。</w:t>
      </w:r>
    </w:p>
    <w:p>
      <w:pPr>
        <w:pStyle w:val="BodyText"/>
        <w:spacing w:line="477" w:lineRule="auto" w:before="74"/>
        <w:ind w:left="1134" w:right="0" w:firstLine="360"/>
        <w:jc w:val="left"/>
      </w:pPr>
      <w:r>
        <w:rPr>
          <w:spacing w:val="-2"/>
        </w:rPr>
        <w:t>我们与治理层就计划的审计范围、时间安排和重大审计发现等事项进行沟通，包括沟通我们在审计中识别出的值得关注</w:t>
      </w:r>
      <w:r>
        <w:rPr/>
        <w:t> 的内部控制缺陷。</w:t>
      </w:r>
    </w:p>
    <w:p>
      <w:pPr>
        <w:pStyle w:val="BodyText"/>
        <w:spacing w:line="477" w:lineRule="auto" w:before="54"/>
        <w:ind w:left="1134" w:right="0" w:firstLine="360"/>
        <w:jc w:val="left"/>
      </w:pPr>
      <w:r>
        <w:rPr>
          <w:spacing w:val="-2"/>
        </w:rPr>
        <w:t>我们还就已遵守与独立性相关的职业道德要求向治理层提供声明，并与治理层沟通可能被合理认为影响我们独立性的所</w:t>
      </w:r>
      <w:r>
        <w:rPr/>
        <w:t> 有关系和其他事项，以及相关的防范措施（如适用）。</w:t>
      </w:r>
    </w:p>
    <w:p>
      <w:pPr>
        <w:pStyle w:val="BodyText"/>
        <w:spacing w:line="477" w:lineRule="auto" w:before="54"/>
        <w:ind w:left="1134" w:right="1131"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6"/>
        </w:rPr>
        <w:t> </w:t>
      </w:r>
      <w:r>
        <w:rPr>
          <w:spacing w:val="-66"/>
        </w:rPr>
      </w:r>
      <w:r>
        <w:rPr/>
        <w:t>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21"/>
          <w:szCs w:val="21"/>
        </w:rPr>
      </w:pPr>
    </w:p>
    <w:p>
      <w:pPr>
        <w:pStyle w:val="Heading4"/>
        <w:tabs>
          <w:tab w:pos="6667" w:val="left" w:leader="none"/>
        </w:tabs>
        <w:spacing w:line="240" w:lineRule="auto"/>
        <w:ind w:right="0"/>
        <w:jc w:val="left"/>
        <w:rPr>
          <w:b w:val="0"/>
          <w:bCs w:val="0"/>
        </w:rPr>
      </w:pPr>
      <w:r>
        <w:rPr>
          <w:w w:val="95"/>
        </w:rPr>
        <w:t>立信会计师事务所</w:t>
        <w:tab/>
      </w:r>
      <w:r>
        <w:rPr/>
        <w:t>中国注册会计师：肖菲</w:t>
      </w:r>
      <w:r>
        <w:rPr>
          <w:b w:val="0"/>
          <w:bCs w:val="0"/>
        </w:rPr>
      </w:r>
    </w:p>
    <w:p>
      <w:pPr>
        <w:spacing w:line="240" w:lineRule="auto" w:before="10"/>
        <w:rPr>
          <w:rFonts w:ascii="宋体" w:hAnsi="宋体" w:cs="宋体" w:eastAsia="宋体" w:hint="default"/>
          <w:b/>
          <w:bCs/>
          <w:sz w:val="17"/>
          <w:szCs w:val="17"/>
        </w:rPr>
      </w:pPr>
    </w:p>
    <w:p>
      <w:pPr>
        <w:pStyle w:val="Heading4"/>
        <w:tabs>
          <w:tab w:pos="6827" w:val="left" w:leader="none"/>
        </w:tabs>
        <w:spacing w:line="240" w:lineRule="auto"/>
        <w:ind w:right="0"/>
        <w:jc w:val="left"/>
        <w:rPr>
          <w:b w:val="0"/>
          <w:bCs w:val="0"/>
        </w:rPr>
      </w:pPr>
      <w:r>
        <w:rPr>
          <w:w w:val="95"/>
        </w:rPr>
        <w:t>（特殊普通合伙）</w:t>
        <w:tab/>
      </w:r>
      <w:r>
        <w:rPr/>
        <w:t>（项目合伙人）</w:t>
      </w:r>
      <w:r>
        <w:rPr>
          <w:b w:val="0"/>
          <w:bCs w:val="0"/>
        </w:rPr>
      </w:r>
    </w:p>
    <w:p>
      <w:pPr>
        <w:spacing w:line="240" w:lineRule="auto" w:before="10"/>
        <w:rPr>
          <w:rFonts w:ascii="宋体" w:hAnsi="宋体" w:cs="宋体" w:eastAsia="宋体" w:hint="default"/>
          <w:b/>
          <w:bCs/>
          <w:sz w:val="17"/>
          <w:szCs w:val="17"/>
        </w:rPr>
      </w:pPr>
    </w:p>
    <w:p>
      <w:pPr>
        <w:pStyle w:val="Heading4"/>
        <w:spacing w:line="240" w:lineRule="auto"/>
        <w:ind w:left="6668" w:right="0"/>
        <w:jc w:val="left"/>
        <w:rPr>
          <w:b w:val="0"/>
          <w:bCs w:val="0"/>
        </w:rPr>
      </w:pPr>
      <w:r>
        <w:rPr/>
        <w:t>中国注册会计师：陈迅骅</w:t>
      </w:r>
      <w:r>
        <w:rPr>
          <w:b w:val="0"/>
          <w:bCs w:val="0"/>
        </w:rPr>
      </w:r>
    </w:p>
    <w:p>
      <w:pPr>
        <w:spacing w:line="240" w:lineRule="auto" w:before="10"/>
        <w:rPr>
          <w:rFonts w:ascii="宋体" w:hAnsi="宋体" w:cs="宋体" w:eastAsia="宋体" w:hint="default"/>
          <w:b/>
          <w:bCs/>
          <w:sz w:val="17"/>
          <w:szCs w:val="17"/>
        </w:rPr>
      </w:pPr>
    </w:p>
    <w:p>
      <w:pPr>
        <w:pStyle w:val="Heading4"/>
        <w:tabs>
          <w:tab w:pos="6667" w:val="left" w:leader="none"/>
        </w:tabs>
        <w:spacing w:line="240" w:lineRule="auto"/>
        <w:ind w:right="0"/>
        <w:jc w:val="left"/>
        <w:rPr>
          <w:b w:val="0"/>
          <w:bCs w:val="0"/>
        </w:rPr>
      </w:pPr>
      <w:r>
        <w:rPr>
          <w:w w:val="95"/>
        </w:rPr>
        <w:t>中国</w:t>
      </w:r>
      <w:r>
        <w:rPr>
          <w:rFonts w:ascii="Times New Roman" w:hAnsi="Times New Roman" w:cs="Times New Roman" w:eastAsia="Times New Roman" w:hint="default"/>
          <w:w w:val="95"/>
        </w:rPr>
        <w:t>•</w:t>
      </w:r>
      <w:r>
        <w:rPr>
          <w:w w:val="95"/>
        </w:rPr>
        <w:t>上海</w:t>
        <w:tab/>
      </w:r>
      <w:r>
        <w:rPr/>
        <w:t>二〇一八年四月二十六日</w:t>
      </w:r>
      <w:r>
        <w:rPr>
          <w:b w:val="0"/>
          <w:bCs w:val="0"/>
        </w:rPr>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2"/>
        <w:spacing w:line="240" w:lineRule="auto" w:before="9"/>
        <w:ind w:right="0"/>
        <w:jc w:val="left"/>
        <w:rPr>
          <w:b w:val="0"/>
          <w:bCs w:val="0"/>
        </w:rPr>
      </w:pPr>
      <w:bookmarkStart w:name="二、财务报表" w:id="155"/>
      <w:bookmarkEnd w:id="155"/>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left"/>
      </w:pPr>
      <w:r>
        <w:rPr/>
        <w:t>财务附注中报表的单位为：人民币元</w:t>
      </w:r>
    </w:p>
    <w:p>
      <w:pPr>
        <w:spacing w:line="240" w:lineRule="auto" w:before="10"/>
        <w:rPr>
          <w:rFonts w:ascii="宋体" w:hAnsi="宋体" w:cs="宋体" w:eastAsia="宋体" w:hint="default"/>
          <w:sz w:val="26"/>
          <w:szCs w:val="26"/>
        </w:rPr>
      </w:pPr>
    </w:p>
    <w:p>
      <w:pPr>
        <w:pStyle w:val="Heading3"/>
        <w:spacing w:line="240" w:lineRule="auto"/>
        <w:ind w:left="1133" w:right="0"/>
        <w:jc w:val="left"/>
        <w:rPr>
          <w:b w:val="0"/>
          <w:bCs w:val="0"/>
        </w:rPr>
      </w:pPr>
      <w:bookmarkStart w:name="1、合并资产负债表" w:id="156"/>
      <w:bookmarkEnd w:id="156"/>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51" w:footer="979" w:top="1320" w:bottom="1160" w:left="0" w:right="0"/>
        </w:sectPr>
      </w:pPr>
    </w:p>
    <w:p>
      <w:pPr>
        <w:pStyle w:val="BodyText"/>
        <w:spacing w:line="240" w:lineRule="auto" w:before="44"/>
        <w:ind w:right="-19"/>
        <w:jc w:val="left"/>
      </w:pPr>
      <w:r>
        <w:rPr/>
        <w:t>编制单位：北京神州泰岳软件股份有限公司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0"/>
        <w:ind w:left="617" w:right="-17"/>
        <w:jc w:val="left"/>
      </w:pP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113" w:right="1112"/>
        <w:jc w:val="center"/>
      </w:pPr>
      <w:r>
        <w:rPr/>
        <w:t>单位：元</w:t>
      </w:r>
    </w:p>
    <w:p>
      <w:pPr>
        <w:spacing w:after="0" w:line="240" w:lineRule="auto"/>
        <w:jc w:val="center"/>
        <w:sectPr>
          <w:type w:val="continuous"/>
          <w:pgSz w:w="11910" w:h="16840"/>
          <w:pgMar w:top="280" w:bottom="280" w:left="0" w:right="0"/>
          <w:cols w:num="3" w:equalWidth="0">
            <w:col w:w="4555" w:space="40"/>
            <w:col w:w="2102" w:space="2223"/>
            <w:col w:w="2990"/>
          </w:cols>
        </w:sectPr>
      </w:pP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789,487,325.40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855,390,068.14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413,300.00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548,420,189.00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1,124,147,742.37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1,116,607,697.35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17,488,533.77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17,827,959.21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422,612,349.99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46,006,392.66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225,711,685.55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326,386,971.29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205,235,975.95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110,258,075.63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2,785,096,913.03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3,040,897,353.28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发放贷款及垫款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363,997,368.12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602,561,043.10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280" w:bottom="280" w:left="0" w:right="0"/>
        </w:sectPr>
      </w:pPr>
    </w:p>
    <w:p>
      <w:pPr>
        <w:spacing w:line="240" w:lineRule="auto" w:before="4"/>
        <w:rPr>
          <w:rFonts w:ascii="Times New Roman" w:hAnsi="Times New Roman" w:cs="Times New Roman" w:eastAsia="Times New Roman" w:hint="default"/>
          <w:sz w:val="3"/>
          <w:szCs w:val="3"/>
        </w:rPr>
      </w:pPr>
    </w:p>
    <w:p>
      <w:pPr>
        <w:spacing w:line="20" w:lineRule="exact"/>
        <w:ind w:left="109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4"/>
          <w:szCs w:val="4"/>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305,366,447.10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333,597,917.93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159,980,567.72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164,062,029.92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423,187,880.87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431,072,690.73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120,021.25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1,612,887.96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368,313,073.42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309,222,066.14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35,708,813.97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30,651,193.70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2,062,615,454.86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2,069,215,454.86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6,468,270.47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20,024,766.31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36,727,690.45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26,148,522.94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377,042,891.17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2,042,891.17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4,139,528,479.40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3,990,211,464.76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6,924,625,392.43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7,031,108,818.04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301,445,999.00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414,686,106.00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1"/>
              <w:jc w:val="righ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215,120,889.30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173,220,208.63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116,716,453.49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93,288,935.79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41"/>
              <w:jc w:val="righ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71,259,152.20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94,267,282.13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129,763,691.94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207,502,502.14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20,662,667.36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8,474,319.45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107,579,431.40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175,184,379.60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1,160,319.52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2,321,106.60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1,463,708,604.21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1,668,944,840.34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298,201,572.72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297,375,433.30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19,147,291.50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17,773,113.14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2,005,966.64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9,030,773.46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1,587,836.11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2,464,563.66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320,942,666.97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327,543,883.56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1,784,651,271.18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1,996,488,723.90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1,961,091,984.00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427,255,737.04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377,830,811.74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-4,286,173.91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38,807.98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231,293,196.44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225,840,997.25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2,530,844,496.31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2,468,546,635.77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5,146,199,239.88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5,033,349,236.74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-6,225,118.63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1,270,857.40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5,139,974,121.25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5,034,620,094.14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6,924,625,392.43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7,031,108,818.04</w:t>
            </w:r>
          </w:p>
        </w:tc>
      </w:tr>
    </w:tbl>
    <w:p>
      <w:pPr>
        <w:spacing w:line="240" w:lineRule="auto" w:before="3"/>
        <w:rPr>
          <w:rFonts w:ascii="Times New Roman" w:hAnsi="Times New Roman" w:cs="Times New Roman" w:eastAsia="Times New Roman" w:hint="default"/>
          <w:sz w:val="23"/>
          <w:szCs w:val="23"/>
        </w:rPr>
      </w:pPr>
    </w:p>
    <w:p>
      <w:pPr>
        <w:pStyle w:val="BodyText"/>
        <w:tabs>
          <w:tab w:pos="3330" w:val="left" w:leader="none"/>
          <w:tab w:pos="7381" w:val="left" w:leader="none"/>
        </w:tabs>
        <w:spacing w:line="240" w:lineRule="auto" w:before="44"/>
        <w:ind w:left="0" w:right="1229"/>
        <w:jc w:val="right"/>
      </w:pPr>
      <w:r>
        <w:rPr/>
        <w:t>法定代表人：王宁先生</w:t>
        <w:tab/>
        <w:t>主管会计工作负责人：林红女士</w:t>
        <w:tab/>
        <w:t>会计机构负责人：王辉先生</w:t>
      </w:r>
    </w:p>
    <w:p>
      <w:pPr>
        <w:spacing w:line="240" w:lineRule="auto" w:before="11"/>
        <w:rPr>
          <w:rFonts w:ascii="宋体" w:hAnsi="宋体" w:cs="宋体" w:eastAsia="宋体" w:hint="default"/>
          <w:sz w:val="26"/>
          <w:szCs w:val="26"/>
        </w:rPr>
      </w:pPr>
    </w:p>
    <w:p>
      <w:pPr>
        <w:pStyle w:val="Heading3"/>
        <w:spacing w:line="240" w:lineRule="auto"/>
        <w:ind w:left="1133" w:right="0"/>
        <w:jc w:val="left"/>
        <w:rPr>
          <w:b w:val="0"/>
          <w:bCs w:val="0"/>
        </w:rPr>
      </w:pPr>
      <w:bookmarkStart w:name="2、母公司资产负债表" w:id="157"/>
      <w:bookmarkEnd w:id="157"/>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277,901,087.16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247,315,168.95</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689,936,666.75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602,219,153.86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3,396,415.57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3,409,455.59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452,933,117.27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591,936,105.51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151,179,649.01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142,303,179.26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193,075,463.55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40,075,463.55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1,768,422,399.31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1,647,258,526.72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345,700,000.00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582,043,656.83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3,285,004,103.72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2,910,206,552.96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159,980,567.72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164,062,029.92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221,618,651.52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224,343,331.64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200,403,033.21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142,893,313.12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33,391,252.91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27,174,364.91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4,246,097,609.08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4,050,723,249.38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6,014,520,008.39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5,697,981,776.10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35,000,000.00</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168,893,062.08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114,021,502.15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50,234,732.05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37,415,198.31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40,775,924.98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45,803,001.20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64,143,030.20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159,286,093.24</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20,662,667.36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8,474,319.45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1,134,997,249.28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888,774,729.91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持有待售的负债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2,086,706,665.95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1,788,774,844.26</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298,201,572.72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297,375,433.30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900,000.00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10,915,261.68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11,192,429.57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4,024,720.08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309,116,834.40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313,492,582.95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2,395,823,500.35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2,102,267,427.21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1,961,091,984.00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1,961,091,984.00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9"/>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412,094,525.08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383,682,677.79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-7,053,837.63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1,909,490.13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230,387,899.16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224,935,699.97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1,022,175,937.43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1,024,094,497.00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3,618,696,508.04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3,595,714,348.89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6,014,520,008.39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5,697,981,776.10</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3、合并利润表" w:id="158"/>
      <w:bookmarkEnd w:id="158"/>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057"/>
        <w:gridCol w:w="3222"/>
        <w:gridCol w:w="3278"/>
      </w:tblGrid>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2,026,498,700.16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2,936,581,930.55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2,026,498,700.16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2,936,581,930.55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2,001,617,841.03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2,654,336,086.67</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622,510,033.65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1,713,331,012.59</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r>
        <w:rPr/>
        <w:pict>
          <v:group style="position:absolute;margin-left:212.119995pt;margin-top:400.699982pt;width:157.7pt;height:19.650pt;mso-position-horizontal-relative:page;mso-position-vertical-relative:page;z-index:-1192960" coordorigin="4242,8014" coordsize="3154,393">
            <v:shape style="position:absolute;left:4242;top:8014;width:3154;height:393" coordorigin="4242,8014" coordsize="3154,393" path="m4242,8406l7396,8406,7396,8014,4242,8014,4242,8406xe" filled="true" fillcolor="#ffffff" stroked="false">
              <v:path arrowok="t"/>
              <v:fill type="solid"/>
            </v:shape>
            <w10:wrap type="none"/>
          </v:group>
        </w:pict>
      </w:r>
      <w:r>
        <w:rPr/>
        <w:pict>
          <v:group style="position:absolute;margin-left:212.119995pt;margin-top:536.919983pt;width:157.7pt;height:19.650pt;mso-position-horizontal-relative:page;mso-position-vertical-relative:page;z-index:-1192936" coordorigin="4242,10738" coordsize="3154,393">
            <v:shape style="position:absolute;left:4242;top:10738;width:3154;height:393" coordorigin="4242,10738" coordsize="3154,393" path="m4242,11131l7396,11131,7396,10738,4242,10738,4242,11131xe" filled="true" fillcolor="#ffffff" stroked="false">
              <v:path arrowok="t"/>
              <v:fill type="solid"/>
            </v:shape>
            <w10:wrap type="none"/>
          </v:group>
        </w:pict>
      </w:r>
    </w:p>
    <w:tbl>
      <w:tblPr>
        <w:tblW w:w="0" w:type="auto"/>
        <w:jc w:val="left"/>
        <w:tblInd w:w="1129" w:type="dxa"/>
        <w:tblLayout w:type="fixed"/>
        <w:tblCellMar>
          <w:top w:w="0" w:type="dxa"/>
          <w:left w:w="0" w:type="dxa"/>
          <w:bottom w:w="0" w:type="dxa"/>
          <w:right w:w="0" w:type="dxa"/>
        </w:tblCellMar>
        <w:tblLook w:val="01E0"/>
      </w:tblPr>
      <w:tblGrid>
        <w:gridCol w:w="3080"/>
        <w:gridCol w:w="1063"/>
        <w:gridCol w:w="2148"/>
        <w:gridCol w:w="3278"/>
      </w:tblGrid>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65"/>
              <w:jc w:val="righ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15,914,690.68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15,693,979.80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456,691,665.34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175,401,170.69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745,597,615.35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669,394,532.10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68,835,073.74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8,726,708.12</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92,068,762.27</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71,788,683.37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55,243,912.84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191,196,425.88</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firstLine="72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w:t>
            </w:r>
            <w:r>
              <w:rPr>
                <w:rFonts w:ascii="宋体" w:hAnsi="宋体" w:cs="宋体" w:eastAsia="宋体" w:hint="default"/>
                <w:sz w:val="18"/>
                <w:szCs w:val="18"/>
              </w:rPr>
              <w:t> 的投资收益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088" w:right="0"/>
              <w:jc w:val="left"/>
              <w:rPr>
                <w:rFonts w:ascii="Times New Roman" w:hAnsi="Times New Roman" w:cs="Times New Roman" w:eastAsia="Times New Roman" w:hint="default"/>
                <w:sz w:val="18"/>
                <w:szCs w:val="18"/>
              </w:rPr>
            </w:pPr>
            <w:r>
              <w:rPr>
                <w:rFonts w:ascii="Times New Roman"/>
                <w:sz w:val="18"/>
              </w:rPr>
              <w:t>-11,164,660.01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10,113,511.21</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right="119"/>
              <w:jc w:val="right"/>
              <w:rPr>
                <w:rFonts w:ascii="宋体" w:hAnsi="宋体" w:cs="宋体" w:eastAsia="宋体" w:hint="default"/>
                <w:sz w:val="18"/>
                <w:szCs w:val="18"/>
              </w:rPr>
            </w:pPr>
            <w:r>
              <w:rPr>
                <w:rFonts w:ascii="宋体" w:hAnsi="宋体" w:cs="宋体" w:eastAsia="宋体" w:hint="default"/>
                <w:spacing w:val="-1"/>
                <w:sz w:val="18"/>
                <w:szCs w:val="18"/>
              </w:rPr>
              <w:t>汇兑收益（损失以</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号填列</w:t>
            </w:r>
          </w:p>
        </w:tc>
        <w:tc>
          <w:tcPr>
            <w:tcW w:w="3211" w:type="dxa"/>
            <w:gridSpan w:val="2"/>
            <w:tcBorders>
              <w:top w:val="single" w:sz="4" w:space="0" w:color="000000"/>
              <w:left w:val="single" w:sz="9" w:space="0" w:color="FFFFFF"/>
              <w:bottom w:val="single" w:sz="4" w:space="0" w:color="000000"/>
              <w:right w:val="single" w:sz="4" w:space="0" w:color="000000"/>
            </w:tcBorders>
          </w:tcPr>
          <w:p>
            <w:pPr>
              <w:pStyle w:val="TableParagraph"/>
              <w:tabs>
                <w:tab w:pos="2226" w:val="left" w:leader="none"/>
              </w:tabs>
              <w:spacing w:line="240" w:lineRule="auto" w:before="51"/>
              <w:ind w:left="-14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6,125,520.23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209,097.37</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w:t>
            </w:r>
            <w:r>
              <w:rPr>
                <w:rFonts w:ascii="宋体" w:hAnsi="宋体" w:cs="宋体" w:eastAsia="宋体" w:hint="default"/>
                <w:spacing w:val="-76"/>
                <w:sz w:val="18"/>
                <w:szCs w:val="18"/>
              </w:rPr>
              <w:t>益</w:t>
            </w:r>
            <w:r>
              <w:rPr>
                <w:rFonts w:ascii="宋体" w:hAnsi="宋体" w:cs="宋体" w:eastAsia="宋体" w:hint="default"/>
                <w:sz w:val="18"/>
                <w:szCs w:val="18"/>
              </w:rPr>
              <w:t>（损失以</w:t>
            </w:r>
            <w:r>
              <w:rPr>
                <w:rFonts w:ascii="Times New Roman" w:hAnsi="Times New Roman" w:cs="Times New Roman" w:eastAsia="Times New Roman" w:hint="default"/>
                <w:spacing w:val="-1"/>
                <w:w w:val="100"/>
                <w:sz w:val="18"/>
                <w:szCs w:val="18"/>
              </w:rPr>
              <w:t>“</w:t>
            </w:r>
            <w:r>
              <w:rPr>
                <w:rFonts w:ascii="Times New Roman" w:hAnsi="Times New Roman" w:cs="Times New Roman" w:eastAsia="Times New Roman" w:hint="default"/>
                <w:w w:val="99"/>
                <w:sz w:val="18"/>
                <w:szCs w:val="18"/>
              </w:rPr>
              <w:t>-</w:t>
            </w:r>
            <w:r>
              <w:rPr>
                <w:rFonts w:ascii="Times New Roman" w:hAnsi="Times New Roman" w:cs="Times New Roman" w:eastAsia="Times New Roman" w:hint="default"/>
                <w:w w:val="100"/>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20,231,587.03</w:t>
            </w: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3" w:right="0"/>
              <w:jc w:val="left"/>
              <w:rPr>
                <w:rFonts w:ascii="Times New Roman" w:hAnsi="Times New Roman" w:cs="Times New Roman" w:eastAsia="Times New Roman" w:hint="default"/>
                <w:sz w:val="18"/>
                <w:szCs w:val="18"/>
              </w:rPr>
            </w:pPr>
            <w:r>
              <w:rPr>
                <w:rFonts w:ascii="Times New Roman"/>
                <w:sz w:val="18"/>
              </w:rPr>
              <w:t>106,481,879.23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473,651,367.13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13,323,713.08</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41,567,361.33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633,992.99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18,894,264.70</w:t>
            </w:r>
          </w:p>
        </w:tc>
      </w:tr>
      <w:tr>
        <w:trPr>
          <w:trHeight w:val="402" w:hRule="exact"/>
        </w:trPr>
        <w:tc>
          <w:tcPr>
            <w:tcW w:w="3080" w:type="dxa"/>
            <w:tcBorders>
              <w:top w:val="single" w:sz="4" w:space="0" w:color="000000"/>
              <w:left w:val="single" w:sz="4" w:space="0" w:color="000000"/>
              <w:bottom w:val="single" w:sz="4" w:space="0" w:color="000000"/>
              <w:right w:val="single" w:sz="9" w:space="0" w:color="FFFFFF"/>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四、利润总额（亏损总额以</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号填列</w:t>
            </w:r>
          </w:p>
        </w:tc>
        <w:tc>
          <w:tcPr>
            <w:tcW w:w="1063" w:type="dxa"/>
            <w:tcBorders>
              <w:top w:val="single" w:sz="4" w:space="0" w:color="000000"/>
              <w:left w:val="single" w:sz="9" w:space="0" w:color="FFFFFF"/>
              <w:bottom w:val="single" w:sz="4" w:space="0" w:color="000000"/>
              <w:right w:val="nil" w:sz="6" w:space="0" w:color="auto"/>
            </w:tcBorders>
          </w:tcPr>
          <w:p>
            <w:pPr>
              <w:pStyle w:val="TableParagraph"/>
              <w:spacing w:line="240" w:lineRule="auto" w:before="51"/>
              <w:ind w:left="-129" w:right="0"/>
              <w:jc w:val="left"/>
              <w:rPr>
                <w:rFonts w:ascii="宋体" w:hAnsi="宋体" w:cs="宋体" w:eastAsia="宋体" w:hint="default"/>
                <w:sz w:val="18"/>
                <w:szCs w:val="18"/>
              </w:rPr>
            </w:pPr>
            <w:r>
              <w:rPr>
                <w:rFonts w:ascii="宋体" w:hAnsi="宋体" w:cs="宋体" w:eastAsia="宋体" w:hint="default"/>
                <w:sz w:val="18"/>
                <w:szCs w:val="18"/>
              </w:rPr>
              <w:t>）</w:t>
            </w:r>
          </w:p>
        </w:tc>
        <w:tc>
          <w:tcPr>
            <w:tcW w:w="214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1"/>
              <w:ind w:left="1000" w:right="0"/>
              <w:jc w:val="left"/>
              <w:rPr>
                <w:rFonts w:ascii="Times New Roman" w:hAnsi="Times New Roman" w:cs="Times New Roman" w:eastAsia="Times New Roman" w:hint="default"/>
                <w:sz w:val="18"/>
                <w:szCs w:val="18"/>
              </w:rPr>
            </w:pPr>
            <w:r>
              <w:rPr>
                <w:rFonts w:ascii="Times New Roman"/>
                <w:sz w:val="18"/>
              </w:rPr>
              <w:t>119,171,599.32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496,324,463.76</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22,113,707.72</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27,265,390.00</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97,057,891.60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469,059,073.76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（一）持续经营净利润（净亏损以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97,057,891.60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469,059,073.76</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0" w:right="0"/>
              <w:jc w:val="left"/>
              <w:rPr>
                <w:rFonts w:ascii="宋体" w:hAnsi="宋体" w:cs="宋体" w:eastAsia="宋体" w:hint="default"/>
                <w:sz w:val="18"/>
                <w:szCs w:val="18"/>
              </w:rPr>
            </w:pPr>
            <w:r>
              <w:rPr>
                <w:rFonts w:ascii="宋体" w:hAnsi="宋体" w:cs="宋体" w:eastAsia="宋体" w:hint="default"/>
                <w:spacing w:val="-2"/>
                <w:sz w:val="18"/>
                <w:szCs w:val="18"/>
              </w:rPr>
              <w:t>（二）终止经营净利润（净亏损以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211" w:type="dxa"/>
            <w:gridSpan w:val="2"/>
            <w:tcBorders>
              <w:top w:val="single" w:sz="4" w:space="0" w:color="000000"/>
              <w:left w:val="single" w:sz="4" w:space="0" w:color="000000"/>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58" w:right="0"/>
              <w:jc w:val="left"/>
              <w:rPr>
                <w:rFonts w:ascii="Times New Roman" w:hAnsi="Times New Roman" w:cs="Times New Roman" w:eastAsia="Times New Roman" w:hint="default"/>
                <w:sz w:val="18"/>
                <w:szCs w:val="18"/>
              </w:rPr>
            </w:pPr>
            <w:r>
              <w:rPr>
                <w:rFonts w:ascii="Times New Roman"/>
                <w:sz w:val="18"/>
              </w:rPr>
              <w:t>119,550,096.20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507,331,705.29</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83" w:right="0"/>
              <w:jc w:val="left"/>
              <w:rPr>
                <w:rFonts w:ascii="Times New Roman" w:hAnsi="Times New Roman" w:cs="Times New Roman" w:eastAsia="Times New Roman" w:hint="default"/>
                <w:sz w:val="18"/>
                <w:szCs w:val="18"/>
              </w:rPr>
            </w:pPr>
            <w:r>
              <w:rPr>
                <w:rFonts w:ascii="Times New Roman"/>
                <w:sz w:val="18"/>
              </w:rPr>
              <w:t>-22,492,204.60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-38,272,631.53</w:t>
            </w:r>
          </w:p>
        </w:tc>
      </w:tr>
      <w:tr>
        <w:trPr>
          <w:trHeight w:val="402"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-3,404,992.35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-160,419,176.44</w:t>
            </w:r>
          </w:p>
        </w:tc>
      </w:tr>
      <w:tr>
        <w:trPr>
          <w:trHeight w:val="714" w:hRule="exact"/>
        </w:trPr>
        <w:tc>
          <w:tcPr>
            <w:tcW w:w="30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5"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2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-4,324,981.89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-161,286,738.61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3057"/>
        <w:gridCol w:w="3222"/>
        <w:gridCol w:w="3278"/>
      </w:tblGrid>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firstLine="342"/>
              <w:jc w:val="left"/>
              <w:rPr>
                <w:rFonts w:ascii="宋体" w:hAnsi="宋体" w:cs="宋体" w:eastAsia="宋体" w:hint="default"/>
                <w:sz w:val="18"/>
                <w:szCs w:val="18"/>
              </w:rPr>
            </w:pPr>
            <w:r>
              <w:rPr>
                <w:rFonts w:ascii="宋体" w:hAnsi="宋体" w:cs="宋体" w:eastAsia="宋体" w:hint="default"/>
                <w:spacing w:val="-2"/>
                <w:sz w:val="18"/>
                <w:szCs w:val="18"/>
              </w:rPr>
              <w:t>（一）以后不能重分类进损益的其</w:t>
            </w:r>
            <w:r>
              <w:rPr>
                <w:rFonts w:ascii="宋体" w:hAnsi="宋体" w:cs="宋体" w:eastAsia="宋体" w:hint="default"/>
                <w:sz w:val="18"/>
                <w:szCs w:val="18"/>
              </w:rPr>
              <w:t> 他综合收益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重新计量设定受益计划净 负债或净资产的变动</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权益法下在被投资单位不 能重分类进损益的其他综合收益中享 有的份额</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firstLine="342"/>
              <w:jc w:val="left"/>
              <w:rPr>
                <w:rFonts w:ascii="宋体" w:hAnsi="宋体" w:cs="宋体" w:eastAsia="宋体" w:hint="default"/>
                <w:sz w:val="18"/>
                <w:szCs w:val="18"/>
              </w:rPr>
            </w:pPr>
            <w:r>
              <w:rPr>
                <w:rFonts w:ascii="宋体" w:hAnsi="宋体" w:cs="宋体" w:eastAsia="宋体" w:hint="default"/>
                <w:spacing w:val="-2"/>
                <w:sz w:val="18"/>
                <w:szCs w:val="18"/>
              </w:rPr>
              <w:t>（二）以后将重分类进损益的其他</w:t>
            </w:r>
            <w:r>
              <w:rPr>
                <w:rFonts w:ascii="宋体" w:hAnsi="宋体" w:cs="宋体" w:eastAsia="宋体" w:hint="default"/>
                <w:sz w:val="18"/>
                <w:szCs w:val="18"/>
              </w:rPr>
              <w:t> 综合收益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-4,324,981.89</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-161,286,738.61</w:t>
            </w:r>
          </w:p>
        </w:tc>
      </w:tr>
      <w:tr>
        <w:trPr>
          <w:trHeight w:val="1026"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权益法下在被投资单位以 后将重分类进损益的其他综合收益中 享有的份额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-9,219,659.73</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4,928,328.01</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可供出售金融资产公允价</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值变动损益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-166,886,616.94</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19"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持有至到期投资重分类为 可供出售金融资产损益</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现金流量套期损益的有效</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部分</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99"/>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4,894,677.84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671,550.32</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222" w:type="dxa"/>
            <w:tcBorders>
              <w:top w:val="single" w:sz="4" w:space="0" w:color="000000"/>
              <w:left w:val="single" w:sz="13" w:space="0" w:color="D2D2D2"/>
              <w:bottom w:val="single" w:sz="4" w:space="0" w:color="000000"/>
              <w:right w:val="single" w:sz="4" w:space="0" w:color="000000"/>
            </w:tcBorders>
          </w:tcPr>
          <w:p>
            <w:pPr/>
          </w:p>
        </w:tc>
        <w:tc>
          <w:tcPr>
            <w:tcW w:w="327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4"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919,989.54</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867,562.17</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93,652,899.25</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308,639,897.32</w:t>
            </w:r>
          </w:p>
        </w:tc>
      </w:tr>
      <w:tr>
        <w:trPr>
          <w:trHeight w:val="714"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4" w:firstLine="36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 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115,225,114.31</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346,044,966.68</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4"/>
              <w:jc w:val="righ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-21,572,215.06</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-37,405,069.36</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22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0.0610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0.2565</w:t>
            </w:r>
          </w:p>
        </w:tc>
      </w:tr>
      <w:tr>
        <w:trPr>
          <w:trHeight w:val="402" w:hRule="exact"/>
        </w:trPr>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22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0.0610</w:t>
            </w:r>
          </w:p>
        </w:tc>
        <w:tc>
          <w:tcPr>
            <w:tcW w:w="3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0.2565</w:t>
            </w:r>
          </w:p>
        </w:tc>
      </w:tr>
    </w:tbl>
    <w:p>
      <w:pPr>
        <w:pStyle w:val="BodyText"/>
        <w:tabs>
          <w:tab w:pos="4464" w:val="left" w:leader="none"/>
          <w:tab w:pos="8515" w:val="left" w:leader="none"/>
        </w:tabs>
        <w:spacing w:line="592" w:lineRule="auto" w:before="51"/>
        <w:ind w:right="1229"/>
        <w:jc w:val="both"/>
        <w:rPr>
          <w:rFonts w:ascii="宋体" w:hAnsi="宋体" w:cs="宋体" w:eastAsia="宋体" w:hint="default"/>
          <w:sz w:val="21"/>
          <w:szCs w:val="21"/>
        </w:rPr>
      </w:pPr>
      <w:r>
        <w:rPr/>
        <w:t>本期发生同一控制下企业合并的，被合并方在合并前实现的净利润为：</w:t>
      </w:r>
      <w:r>
        <w:rPr>
          <w:rFonts w:ascii="Times New Roman" w:hAnsi="Times New Roman" w:cs="Times New Roman" w:eastAsia="Times New Roman" w:hint="default"/>
        </w:rPr>
        <w:t>0.00 </w:t>
      </w:r>
      <w:r>
        <w:rPr/>
        <w:t>元，上期被合并方实现的净利润为：</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法定代表人：王宁先生</w:t>
        <w:tab/>
        <w:t>主管会计工作负责人：林红女士</w:t>
        <w:tab/>
        <w:t>会计机构负责人：王辉先生 </w:t>
      </w:r>
      <w:bookmarkStart w:name="4、母公司利润表" w:id="159"/>
      <w:bookmarkEnd w:id="159"/>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pStyle w:val="BodyText"/>
        <w:spacing w:line="240" w:lineRule="auto" w:before="7"/>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57"/>
        <w:gridCol w:w="3300"/>
        <w:gridCol w:w="3300"/>
      </w:tblGrid>
      <w:tr>
        <w:trPr>
          <w:trHeight w:val="402" w:hRule="exact"/>
        </w:trPr>
        <w:tc>
          <w:tcPr>
            <w:tcW w:w="2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130" w:right="0"/>
              <w:jc w:val="left"/>
              <w:rPr>
                <w:rFonts w:ascii="Times New Roman" w:hAnsi="Times New Roman" w:cs="Times New Roman" w:eastAsia="Times New Roman" w:hint="default"/>
                <w:sz w:val="18"/>
                <w:szCs w:val="18"/>
              </w:rPr>
            </w:pPr>
            <w:r>
              <w:rPr>
                <w:rFonts w:ascii="Times New Roman"/>
                <w:sz w:val="18"/>
              </w:rPr>
              <w:t>719,973,484.31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643,398,930.25</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223,543,384.65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171,733,648.79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6,995,160.36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7,195,983.62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59,137,472.71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51,519,812.91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326,596,871.81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264,333,153.96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40,872,858.08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8,316,550.73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52,347,807.96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50,417,749.57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77"/>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41,868,364.13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173,468,181.15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-10,300,197.45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10,750,656.87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76,525.40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44,215.16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10,116,430.69</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62,541,248.96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263,394,426.98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10,596,951.27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29,681,858.69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78,849.17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157,236.30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73,059,351.06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292,919,049.37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18,537,359.15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8,278,166.93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54,521,991.91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284,640,882.44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54,521,991.91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284,640,882.44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-8,963,327.76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-161,958,288.93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（一）以后不能重分类进损益的 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 净负债或净资产的变动</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firstLine="900"/>
              <w:jc w:val="both"/>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权益法下在被投资单位 不能重分类进损益的其他综合收益中 享有的份额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（二）以后将重分类进损益的其 他综合收益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-8,963,327.76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-161,958,288.93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权益法下在被投资单位</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-8,963,327.76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4,928,328.01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2945"/>
        <w:gridCol w:w="3312"/>
        <w:gridCol w:w="3300"/>
      </w:tblGrid>
      <w:tr>
        <w:trPr>
          <w:trHeight w:val="67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11" w:right="41"/>
              <w:jc w:val="left"/>
              <w:rPr>
                <w:rFonts w:ascii="宋体" w:hAnsi="宋体" w:cs="宋体" w:eastAsia="宋体" w:hint="default"/>
                <w:sz w:val="18"/>
                <w:szCs w:val="18"/>
              </w:rPr>
            </w:pPr>
            <w:r>
              <w:rPr>
                <w:rFonts w:ascii="宋体" w:hAnsi="宋体" w:cs="宋体" w:eastAsia="宋体" w:hint="default"/>
                <w:sz w:val="18"/>
                <w:szCs w:val="18"/>
              </w:rPr>
              <w:t>以后将重分类进损益的其他综合收益 中享有的份额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-166,886,616.94</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86"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45,558,664.15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122,682,593.51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5、合并现金流量表" w:id="160"/>
      <w:bookmarkEnd w:id="160"/>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2,970,319,559.72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2,798,834,795.98</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客户存款和同业存放款项净增加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14,656,317.24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20,600,103.25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88,379,423.29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85,218,553.61</w:t>
            </w:r>
          </w:p>
        </w:tc>
      </w:tr>
      <w:tr>
        <w:trPr>
          <w:trHeight w:val="403"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3,073,355,300.25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2,904,653,452.84</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1,190,395,512.64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1,852,208,659.37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8"/>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654,415,550.21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568,016,199.97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92,098,901.41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98,817,341.84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595,780,533.69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294,319,874.11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2,532,690,497.95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2,813,362,075.29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540,664,802.30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91,291,377.55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857,460,303.16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668,044,379.57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27,901,909.00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7,492,170.00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11,439,114.46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3,281,665.76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5,275,796.85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-1,943,311.06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902,077,123.47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676,874,904.27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527,593,872.77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178,942,220.65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654,262,000.00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922,394,873.52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484,602,411.19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1,181,855,872.77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1,585,939,505.36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-279,778,749.30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-909,064,601.09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32,381,750.00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35,306,197.54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32,381,750.00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15,015,280.00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1,170,695,225.54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1,210,921,144.32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61,681,500.45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20,476,974.11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1,264,758,475.99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1,266,704,315.97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1,283,935,332.54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76,826,439.32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96,000,275.68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108,200,641.32</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196,488,536.64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117,220,698.97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1,576,424,144.86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302,247,779.61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-311,665,668.87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964,456,536.36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-14,895,833.14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14,555,419.92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-65,675,449.01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161,238,732.74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843,110,603.92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681,871,871.18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777,435,154.91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6、母公司现金流量表" w:id="161"/>
      <w:bookmarkEnd w:id="161"/>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690,713,458.63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617,411,088.26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5,782,942.61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7,061,223.27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1,460,998,072.68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858,732,348.05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2,157,494,473.92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1,483,204,659.58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210,329,156.29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218,654,914.09</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281,878,013.29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2"/>
                <w:sz w:val="18"/>
              </w:rPr>
              <w:t>211,261,115.37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40,373,554.69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42,788,822.81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1,138,503,977.20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903,404,758.17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1,671,084,701.47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1,376,109,610.44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486,409,772.45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107,095,049.14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664,970,082.35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520,544,657.31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27,901,909.00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7,492,170.00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943"/>
        <w:gridCol w:w="3314"/>
        <w:gridCol w:w="3300"/>
      </w:tblGrid>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250,905.99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162,000.00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693,122,897.34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528,198,827.31</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87,690,050.51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70,853,662.93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941,470,000.00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1,205,030,866.20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1,029,160,050.51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1,275,884,529.13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-336,037,153.17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-747,685,701.82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20,290,917.54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665,000,000.00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889,926,439.32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4,371,737.49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7,917,646.44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669,371,737.49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918,135,003.30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55,826,439.32</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79,792,472.93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96,781,780.06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111,994,228.14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100,377,358.97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784,786,701.07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252,985,578.35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-115,414,963.58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665,149,424.95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34,957,655.70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24,558,772.27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235,992,379.73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211,433,607.46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270,950,035.43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235,992,379.73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合并所有者权益变动表" w:id="162"/>
      <w:bookmarkEnd w:id="162"/>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34" w:right="0"/>
        <w:jc w:val="left"/>
      </w:pPr>
      <w:r>
        <w:rPr/>
        <w:t>本期金额</w:t>
      </w:r>
    </w:p>
    <w:p>
      <w:pPr>
        <w:pStyle w:val="BodyText"/>
        <w:spacing w:line="240" w:lineRule="auto" w:before="117"/>
        <w:ind w:left="630" w:right="1130"/>
        <w:jc w:val="right"/>
      </w:pPr>
      <w:r>
        <w:rPr/>
        <w:t>单位：元</w:t>
      </w:r>
    </w:p>
    <w:p>
      <w:pPr>
        <w:spacing w:after="0" w:line="240" w:lineRule="auto"/>
        <w:jc w:val="right"/>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40" w:type="dxa"/>
        <w:tblLayout w:type="fixed"/>
        <w:tblCellMar>
          <w:top w:w="0" w:type="dxa"/>
          <w:left w:w="0" w:type="dxa"/>
          <w:bottom w:w="0" w:type="dxa"/>
          <w:right w:w="0" w:type="dxa"/>
        </w:tblCellMar>
        <w:tblLook w:val="01E0"/>
      </w:tblPr>
      <w:tblGrid>
        <w:gridCol w:w="1415"/>
        <w:gridCol w:w="574"/>
        <w:gridCol w:w="530"/>
        <w:gridCol w:w="532"/>
        <w:gridCol w:w="530"/>
        <w:gridCol w:w="665"/>
        <w:gridCol w:w="665"/>
        <w:gridCol w:w="665"/>
        <w:gridCol w:w="665"/>
        <w:gridCol w:w="664"/>
        <w:gridCol w:w="666"/>
        <w:gridCol w:w="665"/>
        <w:gridCol w:w="665"/>
        <w:gridCol w:w="659"/>
      </w:tblGrid>
      <w:tr>
        <w:trPr>
          <w:trHeight w:val="402"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8145"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1" w:hRule="exact"/>
        </w:trPr>
        <w:tc>
          <w:tcPr>
            <w:tcW w:w="1415" w:type="dxa"/>
            <w:vMerge/>
            <w:tcBorders>
              <w:left w:val="single" w:sz="4" w:space="0" w:color="000000"/>
              <w:right w:val="single" w:sz="4" w:space="0" w:color="000000"/>
            </w:tcBorders>
            <w:shd w:val="clear" w:color="auto" w:fill="D2D2D2"/>
          </w:tcPr>
          <w:p>
            <w:pPr/>
          </w:p>
        </w:tc>
        <w:tc>
          <w:tcPr>
            <w:tcW w:w="6821"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6821"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574"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4" w:type="dxa"/>
            <w:tcBorders>
              <w:top w:val="single" w:sz="4" w:space="0" w:color="000000"/>
              <w:left w:val="single" w:sz="4" w:space="0" w:color="000000"/>
              <w:bottom w:val="nil" w:sz="6" w:space="0" w:color="auto"/>
              <w:right w:val="single" w:sz="4" w:space="0" w:color="000000"/>
            </w:tcBorders>
            <w:shd w:val="clear" w:color="auto" w:fill="D2D2D2"/>
          </w:tcPr>
          <w:p>
            <w:pPr/>
          </w:p>
        </w:tc>
        <w:tc>
          <w:tcPr>
            <w:tcW w:w="666"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15" w:type="dxa"/>
            <w:vMerge w:val="restart"/>
            <w:tcBorders>
              <w:top w:val="nil" w:sz="6" w:space="0" w:color="auto"/>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5"/>
              <w:ind w:left="108"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15" w:type="dxa"/>
            <w:vMerge/>
            <w:tcBorders>
              <w:left w:val="single" w:sz="4" w:space="0" w:color="000000"/>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4" w:type="dxa"/>
            <w:vMerge/>
            <w:tcBorders>
              <w:left w:val="single" w:sz="4" w:space="0" w:color="000000"/>
              <w:bottom w:val="nil" w:sz="6" w:space="0" w:color="auto"/>
              <w:right w:val="single" w:sz="4" w:space="0" w:color="000000"/>
            </w:tcBorders>
            <w:shd w:val="clear" w:color="auto" w:fill="D2D2D2"/>
          </w:tcPr>
          <w:p>
            <w:pPr/>
          </w:p>
        </w:tc>
        <w:tc>
          <w:tcPr>
            <w:tcW w:w="666"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4" w:type="dxa"/>
            <w:tcBorders>
              <w:top w:val="nil" w:sz="6" w:space="0" w:color="auto"/>
              <w:left w:val="single" w:sz="4" w:space="0" w:color="000000"/>
              <w:bottom w:val="single" w:sz="4" w:space="0" w:color="000000"/>
              <w:right w:val="single" w:sz="4" w:space="0" w:color="000000"/>
            </w:tcBorders>
            <w:shd w:val="clear" w:color="auto" w:fill="D2D2D2"/>
          </w:tcPr>
          <w:p>
            <w:pPr/>
          </w:p>
        </w:tc>
        <w:tc>
          <w:tcPr>
            <w:tcW w:w="666"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62"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5"/>
              <w:ind w:left="18"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before="106"/>
              <w:ind w:left="198" w:right="0"/>
              <w:jc w:val="center"/>
              <w:rPr>
                <w:rFonts w:ascii="Times New Roman" w:hAnsi="Times New Roman" w:cs="Times New Roman" w:eastAsia="Times New Roman" w:hint="default"/>
                <w:sz w:val="18"/>
                <w:szCs w:val="18"/>
              </w:rPr>
            </w:pPr>
            <w:r>
              <w:rPr>
                <w:rFonts w:ascii="Times New Roman"/>
                <w:sz w:val="18"/>
              </w:rPr>
              <w:t>4.00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377,830</w:t>
            </w:r>
          </w:p>
          <w:p>
            <w:pPr>
              <w:pStyle w:val="TableParagraph"/>
              <w:spacing w:line="240" w:lineRule="auto" w:before="106"/>
              <w:ind w:left="98" w:right="0"/>
              <w:jc w:val="left"/>
              <w:rPr>
                <w:rFonts w:ascii="Times New Roman" w:hAnsi="Times New Roman" w:cs="Times New Roman" w:eastAsia="Times New Roman" w:hint="default"/>
                <w:sz w:val="18"/>
                <w:szCs w:val="18"/>
              </w:rPr>
            </w:pPr>
            <w:r>
              <w:rPr>
                <w:rFonts w:ascii="Times New Roman"/>
                <w:sz w:val="18"/>
              </w:rPr>
              <w:t>,811.74</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38,807.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98</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225,840</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,997.25</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2,468,5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46,635.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77</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1,270,8</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57.40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5,034,6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20,094.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14</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1"/>
              <w:ind w:left="62"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5"/>
              <w:ind w:left="18"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before="106"/>
              <w:ind w:left="198" w:right="0"/>
              <w:jc w:val="center"/>
              <w:rPr>
                <w:rFonts w:ascii="Times New Roman" w:hAnsi="Times New Roman" w:cs="Times New Roman" w:eastAsia="Times New Roman" w:hint="default"/>
                <w:sz w:val="18"/>
                <w:szCs w:val="18"/>
              </w:rPr>
            </w:pPr>
            <w:r>
              <w:rPr>
                <w:rFonts w:ascii="Times New Roman"/>
                <w:sz w:val="18"/>
              </w:rPr>
              <w:t>4.00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377,830</w:t>
            </w:r>
          </w:p>
          <w:p>
            <w:pPr>
              <w:pStyle w:val="TableParagraph"/>
              <w:spacing w:line="240" w:lineRule="auto" w:before="106"/>
              <w:ind w:left="98" w:right="0"/>
              <w:jc w:val="left"/>
              <w:rPr>
                <w:rFonts w:ascii="Times New Roman" w:hAnsi="Times New Roman" w:cs="Times New Roman" w:eastAsia="Times New Roman" w:hint="default"/>
                <w:sz w:val="18"/>
                <w:szCs w:val="18"/>
              </w:rPr>
            </w:pPr>
            <w:r>
              <w:rPr>
                <w:rFonts w:ascii="Times New Roman"/>
                <w:sz w:val="18"/>
              </w:rPr>
              <w:t>,811.74</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38,807.</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98</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225,840</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,997.25</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2,468,5</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46,635.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77</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1,270,8</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57.40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5,034,6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20,094.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14</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49,424,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925.30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-4,324,9</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81.89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99.19</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62,297,</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860.54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-7,495,9</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76.03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105,354</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,027.11</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-4,324,9</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81.89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 w:right="0"/>
              <w:jc w:val="left"/>
              <w:rPr>
                <w:rFonts w:ascii="Times New Roman" w:hAnsi="Times New Roman" w:cs="Times New Roman" w:eastAsia="Times New Roman" w:hint="default"/>
                <w:sz w:val="18"/>
                <w:szCs w:val="18"/>
              </w:rPr>
            </w:pPr>
            <w:r>
              <w:rPr>
                <w:rFonts w:ascii="Times New Roman"/>
                <w:sz w:val="18"/>
              </w:rPr>
              <w:t>119,550</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,096.20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-21,572,</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215.06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93,652,</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899.25</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9"/>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52,874,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076.39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left"/>
              <w:rPr>
                <w:rFonts w:ascii="Times New Roman" w:hAnsi="Times New Roman" w:cs="Times New Roman" w:eastAsia="Times New Roman" w:hint="default"/>
                <w:sz w:val="18"/>
                <w:szCs w:val="18"/>
              </w:rPr>
            </w:pPr>
            <w:r>
              <w:rPr>
                <w:rFonts w:ascii="Times New Roman"/>
                <w:sz w:val="18"/>
              </w:rPr>
              <w:t>-811,68</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4.18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14,076,</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239.03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66,138,</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631.24</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52,874,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076.39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2" w:right="0"/>
              <w:jc w:val="left"/>
              <w:rPr>
                <w:rFonts w:ascii="Times New Roman" w:hAnsi="Times New Roman" w:cs="Times New Roman" w:eastAsia="Times New Roman" w:hint="default"/>
                <w:sz w:val="18"/>
                <w:szCs w:val="18"/>
              </w:rPr>
            </w:pPr>
            <w:r>
              <w:rPr>
                <w:rFonts w:ascii="Times New Roman"/>
                <w:sz w:val="18"/>
              </w:rPr>
              <w:t>-811,68</w:t>
            </w:r>
          </w:p>
          <w:p>
            <w:pPr>
              <w:pStyle w:val="TableParagraph"/>
              <w:spacing w:line="240" w:lineRule="auto" w:before="106"/>
              <w:ind w:left="316" w:right="0"/>
              <w:jc w:val="left"/>
              <w:rPr>
                <w:rFonts w:ascii="Times New Roman" w:hAnsi="Times New Roman" w:cs="Times New Roman" w:eastAsia="Times New Roman" w:hint="default"/>
                <w:sz w:val="18"/>
                <w:szCs w:val="18"/>
              </w:rPr>
            </w:pPr>
            <w:r>
              <w:rPr>
                <w:rFonts w:ascii="Times New Roman"/>
                <w:sz w:val="18"/>
              </w:rPr>
              <w:t>4.18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11,484,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478.13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63,546,</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870.34</w:t>
            </w: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4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2,591,7</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60.90</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61" w:right="0"/>
              <w:jc w:val="center"/>
              <w:rPr>
                <w:rFonts w:ascii="Times New Roman" w:hAnsi="Times New Roman" w:cs="Times New Roman" w:eastAsia="Times New Roman" w:hint="default"/>
                <w:sz w:val="18"/>
                <w:szCs w:val="18"/>
              </w:rPr>
            </w:pPr>
            <w:r>
              <w:rPr>
                <w:rFonts w:ascii="Times New Roman"/>
                <w:sz w:val="18"/>
              </w:rPr>
              <w:t>2,591,7</w:t>
            </w:r>
          </w:p>
          <w:p>
            <w:pPr>
              <w:pStyle w:val="TableParagraph"/>
              <w:spacing w:line="240" w:lineRule="auto" w:before="106"/>
              <w:ind w:left="197" w:right="0"/>
              <w:jc w:val="center"/>
              <w:rPr>
                <w:rFonts w:ascii="Times New Roman" w:hAnsi="Times New Roman" w:cs="Times New Roman" w:eastAsia="Times New Roman" w:hint="default"/>
                <w:sz w:val="18"/>
                <w:szCs w:val="18"/>
              </w:rPr>
            </w:pPr>
            <w:r>
              <w:rPr>
                <w:rFonts w:ascii="Times New Roman"/>
                <w:sz w:val="18"/>
              </w:rPr>
              <w:t>60.90</w:t>
            </w: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99.19</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-56,440,</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551.48</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352.29</w:t>
            </w:r>
          </w:p>
        </w:tc>
      </w:tr>
      <w:tr>
        <w:trPr>
          <w:trHeight w:val="393"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61"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99.19</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99.19</w:t>
            </w:r>
          </w:p>
        </w:tc>
        <w:tc>
          <w:tcPr>
            <w:tcW w:w="665"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
        </w:tc>
      </w:tr>
      <w:tr>
        <w:trPr>
          <w:trHeight w:val="392"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352.29</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352.29</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-3,449,1</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51.09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-3,449,1</w:t>
            </w:r>
          </w:p>
          <w:p>
            <w:pPr>
              <w:pStyle w:val="TableParagraph"/>
              <w:spacing w:line="240" w:lineRule="auto" w:before="106"/>
              <w:ind w:left="197" w:right="0"/>
              <w:jc w:val="center"/>
              <w:rPr>
                <w:rFonts w:ascii="Times New Roman" w:hAnsi="Times New Roman" w:cs="Times New Roman" w:eastAsia="Times New Roman" w:hint="default"/>
                <w:sz w:val="18"/>
                <w:szCs w:val="18"/>
              </w:rPr>
            </w:pPr>
            <w:r>
              <w:rPr>
                <w:rFonts w:ascii="Times New Roman"/>
                <w:sz w:val="18"/>
              </w:rPr>
              <w:t>51.09</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5"/>
              <w:ind w:left="14"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before="106"/>
              <w:ind w:left="194" w:right="0"/>
              <w:jc w:val="center"/>
              <w:rPr>
                <w:rFonts w:ascii="Times New Roman" w:hAnsi="Times New Roman" w:cs="Times New Roman" w:eastAsia="Times New Roman" w:hint="default"/>
                <w:sz w:val="18"/>
                <w:szCs w:val="18"/>
              </w:rPr>
            </w:pPr>
            <w:r>
              <w:rPr>
                <w:rFonts w:ascii="Times New Roman"/>
                <w:sz w:val="18"/>
              </w:rPr>
              <w:t>4.00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427,255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,737.04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-4,286,1</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73.91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231,293</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,196.44</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2,530,8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44,496.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2" w:right="0"/>
              <w:jc w:val="center"/>
              <w:rPr>
                <w:rFonts w:ascii="Times New Roman" w:hAnsi="Times New Roman" w:cs="Times New Roman" w:eastAsia="Times New Roman" w:hint="default"/>
                <w:sz w:val="18"/>
                <w:szCs w:val="18"/>
              </w:rPr>
            </w:pPr>
            <w:r>
              <w:rPr>
                <w:rFonts w:ascii="Times New Roman"/>
                <w:sz w:val="18"/>
              </w:rPr>
              <w:t>-6,225,1</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18.63</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5,139,9</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74,121.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25</w:t>
            </w:r>
          </w:p>
        </w:tc>
      </w:tr>
    </w:tbl>
    <w:p>
      <w:pPr>
        <w:pStyle w:val="BodyText"/>
        <w:spacing w:line="240" w:lineRule="auto" w:before="51"/>
        <w:ind w:left="1134" w:right="0"/>
        <w:jc w:val="left"/>
      </w:pPr>
      <w:r>
        <w:rPr/>
        <w:t>上期金额</w:t>
      </w:r>
    </w:p>
    <w:p>
      <w:pPr>
        <w:pStyle w:val="BodyText"/>
        <w:spacing w:line="240" w:lineRule="auto" w:before="117"/>
        <w:ind w:left="630" w:right="1130"/>
        <w:jc w:val="right"/>
      </w:pPr>
      <w:r>
        <w:rPr/>
        <w:t>单位：元</w:t>
      </w: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415"/>
        <w:gridCol w:w="574"/>
        <w:gridCol w:w="530"/>
        <w:gridCol w:w="532"/>
        <w:gridCol w:w="530"/>
        <w:gridCol w:w="665"/>
        <w:gridCol w:w="665"/>
        <w:gridCol w:w="665"/>
        <w:gridCol w:w="665"/>
        <w:gridCol w:w="665"/>
        <w:gridCol w:w="665"/>
        <w:gridCol w:w="678"/>
        <w:gridCol w:w="652"/>
        <w:gridCol w:w="659"/>
      </w:tblGrid>
      <w:tr>
        <w:trPr>
          <w:trHeight w:val="402" w:hRule="exact"/>
        </w:trPr>
        <w:tc>
          <w:tcPr>
            <w:tcW w:w="1415" w:type="dxa"/>
            <w:vMerge w:val="restart"/>
            <w:tcBorders>
              <w:top w:val="single" w:sz="4" w:space="0" w:color="000000"/>
              <w:left w:val="single" w:sz="4" w:space="0" w:color="000000"/>
              <w:right w:val="single" w:sz="4" w:space="0" w:color="000000"/>
            </w:tcBorders>
            <w:shd w:val="clear" w:color="auto" w:fill="D2D2D2"/>
          </w:tcPr>
          <w:p>
            <w:pPr/>
          </w:p>
        </w:tc>
        <w:tc>
          <w:tcPr>
            <w:tcW w:w="8144"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15" w:type="dxa"/>
            <w:vMerge/>
            <w:tcBorders>
              <w:left w:val="single" w:sz="4" w:space="0" w:color="000000"/>
              <w:right w:val="single" w:sz="4" w:space="0" w:color="000000"/>
            </w:tcBorders>
            <w:shd w:val="clear" w:color="auto" w:fill="D2D2D2"/>
          </w:tcPr>
          <w:p>
            <w:pPr/>
          </w:p>
        </w:tc>
        <w:tc>
          <w:tcPr>
            <w:tcW w:w="6834"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6834"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4"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1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574"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4" w:hRule="exact"/>
        </w:trPr>
        <w:tc>
          <w:tcPr>
            <w:tcW w:w="1415" w:type="dxa"/>
            <w:vMerge/>
            <w:tcBorders>
              <w:left w:val="single" w:sz="4" w:space="0" w:color="000000"/>
              <w:bottom w:val="nil" w:sz="6" w:space="0" w:color="auto"/>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15" w:type="dxa"/>
            <w:vMerge w:val="restart"/>
            <w:tcBorders>
              <w:top w:val="nil" w:sz="6" w:space="0" w:color="auto"/>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3"/>
              <w:ind w:left="10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8" w:hRule="exact"/>
        </w:trPr>
        <w:tc>
          <w:tcPr>
            <w:tcW w:w="1415" w:type="dxa"/>
            <w:vMerge/>
            <w:tcBorders>
              <w:left w:val="single" w:sz="4" w:space="0" w:color="000000"/>
              <w:right w:val="single" w:sz="4" w:space="0" w:color="000000"/>
            </w:tcBorders>
            <w:shd w:val="clear" w:color="auto" w:fill="D2D2D2"/>
          </w:tcPr>
          <w:p>
            <w:pPr/>
          </w:p>
        </w:tc>
        <w:tc>
          <w:tcPr>
            <w:tcW w:w="574"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15" w:type="dxa"/>
            <w:vMerge/>
            <w:tcBorders>
              <w:left w:val="single" w:sz="4" w:space="0" w:color="000000"/>
              <w:right w:val="single" w:sz="4" w:space="0" w:color="000000"/>
            </w:tcBorders>
            <w:shd w:val="clear" w:color="auto" w:fill="D2D2D2"/>
          </w:tcPr>
          <w:p>
            <w:pPr/>
          </w:p>
        </w:tc>
        <w:tc>
          <w:tcPr>
            <w:tcW w:w="574"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8" w:hRule="exact"/>
        </w:trPr>
        <w:tc>
          <w:tcPr>
            <w:tcW w:w="1415" w:type="dxa"/>
            <w:vMerge/>
            <w:tcBorders>
              <w:left w:val="single" w:sz="4" w:space="0" w:color="000000"/>
              <w:bottom w:val="single" w:sz="4" w:space="0" w:color="000000"/>
              <w:right w:val="single" w:sz="4" w:space="0" w:color="000000"/>
            </w:tcBorders>
            <w:shd w:val="clear" w:color="auto" w:fill="D2D2D2"/>
          </w:tcPr>
          <w:p>
            <w:pPr/>
          </w:p>
        </w:tc>
        <w:tc>
          <w:tcPr>
            <w:tcW w:w="574"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8" w:hRule="exact"/>
        </w:trPr>
        <w:tc>
          <w:tcPr>
            <w:tcW w:w="1415" w:type="dxa"/>
            <w:tcBorders>
              <w:top w:val="single" w:sz="4" w:space="0" w:color="000000"/>
              <w:left w:val="single" w:sz="4" w:space="0" w:color="000000"/>
              <w:bottom w:val="nil" w:sz="6" w:space="0" w:color="auto"/>
              <w:right w:val="single" w:sz="4" w:space="0" w:color="000000"/>
            </w:tcBorders>
            <w:shd w:val="clear" w:color="auto" w:fill="D2D2D2"/>
          </w:tcPr>
          <w:p>
            <w:pPr/>
          </w:p>
        </w:tc>
        <w:tc>
          <w:tcPr>
            <w:tcW w:w="574" w:type="dxa"/>
            <w:vMerge w:val="restart"/>
            <w:tcBorders>
              <w:top w:val="single" w:sz="4" w:space="0" w:color="000000"/>
              <w:left w:val="single" w:sz="9" w:space="0" w:color="D2D2D2"/>
              <w:right w:val="single" w:sz="4" w:space="0" w:color="000000"/>
            </w:tcBorders>
          </w:tcPr>
          <w:p>
            <w:pPr>
              <w:pStyle w:val="TableParagraph"/>
              <w:spacing w:line="240" w:lineRule="auto" w:before="92"/>
              <w:ind w:left="62" w:right="0"/>
              <w:jc w:val="center"/>
              <w:rPr>
                <w:rFonts w:ascii="Times New Roman" w:hAnsi="Times New Roman" w:cs="Times New Roman" w:eastAsia="Times New Roman" w:hint="default"/>
                <w:sz w:val="18"/>
                <w:szCs w:val="18"/>
              </w:rPr>
            </w:pPr>
            <w:r>
              <w:rPr>
                <w:rFonts w:ascii="Times New Roman"/>
                <w:sz w:val="18"/>
              </w:rPr>
              <w:t>1,994,</w:t>
            </w:r>
          </w:p>
          <w:p>
            <w:pPr>
              <w:pStyle w:val="TableParagraph"/>
              <w:spacing w:line="240" w:lineRule="auto" w:before="104"/>
              <w:ind w:left="18" w:right="0"/>
              <w:jc w:val="center"/>
              <w:rPr>
                <w:rFonts w:ascii="Times New Roman" w:hAnsi="Times New Roman" w:cs="Times New Roman" w:eastAsia="Times New Roman" w:hint="default"/>
                <w:sz w:val="18"/>
                <w:szCs w:val="18"/>
              </w:rPr>
            </w:pPr>
            <w:r>
              <w:rPr>
                <w:rFonts w:ascii="Times New Roman"/>
                <w:sz w:val="18"/>
              </w:rPr>
              <w:t>479,92</w:t>
            </w:r>
          </w:p>
          <w:p>
            <w:pPr>
              <w:pStyle w:val="TableParagraph"/>
              <w:spacing w:line="240" w:lineRule="auto" w:before="106"/>
              <w:ind w:left="198" w:right="0"/>
              <w:jc w:val="center"/>
              <w:rPr>
                <w:rFonts w:ascii="Times New Roman" w:hAnsi="Times New Roman" w:cs="Times New Roman" w:eastAsia="Times New Roman" w:hint="default"/>
                <w:sz w:val="18"/>
                <w:szCs w:val="18"/>
              </w:rPr>
            </w:pPr>
            <w:r>
              <w:rPr>
                <w:rFonts w:ascii="Times New Roman"/>
                <w:sz w:val="18"/>
              </w:rPr>
              <w:t>6.00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524,688</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,463.03</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15,905,</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926.84</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161,325</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,546.59</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197,376</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,909.01</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2,084,0</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45,123.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13</w:t>
            </w: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38,856,</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880.76</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4,984,8</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66,921.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68</w:t>
            </w:r>
          </w:p>
        </w:tc>
      </w:tr>
      <w:tr>
        <w:trPr>
          <w:trHeight w:val="391" w:hRule="exact"/>
        </w:trPr>
        <w:tc>
          <w:tcPr>
            <w:tcW w:w="141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74"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15" w:type="dxa"/>
            <w:tcBorders>
              <w:top w:val="nil" w:sz="6" w:space="0" w:color="auto"/>
              <w:left w:val="single" w:sz="4" w:space="0" w:color="000000"/>
              <w:bottom w:val="single" w:sz="4" w:space="0" w:color="000000"/>
              <w:right w:val="single" w:sz="4" w:space="0" w:color="000000"/>
            </w:tcBorders>
            <w:shd w:val="clear" w:color="auto" w:fill="D2D2D2"/>
          </w:tcPr>
          <w:p>
            <w:pPr/>
          </w:p>
        </w:tc>
        <w:tc>
          <w:tcPr>
            <w:tcW w:w="574"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0"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4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31"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74"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1,994,</w:t>
            </w:r>
          </w:p>
          <w:p>
            <w:pPr>
              <w:pStyle w:val="TableParagraph"/>
              <w:spacing w:line="240" w:lineRule="auto" w:before="105"/>
              <w:ind w:left="13" w:right="0"/>
              <w:jc w:val="center"/>
              <w:rPr>
                <w:rFonts w:ascii="Times New Roman" w:hAnsi="Times New Roman" w:cs="Times New Roman" w:eastAsia="Times New Roman" w:hint="default"/>
                <w:sz w:val="18"/>
                <w:szCs w:val="18"/>
              </w:rPr>
            </w:pPr>
            <w:r>
              <w:rPr>
                <w:rFonts w:ascii="Times New Roman"/>
                <w:sz w:val="18"/>
              </w:rPr>
              <w:t>479,92</w:t>
            </w:r>
          </w:p>
          <w:p>
            <w:pPr>
              <w:pStyle w:val="TableParagraph"/>
              <w:spacing w:line="240" w:lineRule="auto" w:before="106"/>
              <w:ind w:left="193" w:right="0"/>
              <w:jc w:val="center"/>
              <w:rPr>
                <w:rFonts w:ascii="Times New Roman" w:hAnsi="Times New Roman" w:cs="Times New Roman" w:eastAsia="Times New Roman" w:hint="default"/>
                <w:sz w:val="18"/>
                <w:szCs w:val="18"/>
              </w:rPr>
            </w:pPr>
            <w:r>
              <w:rPr>
                <w:rFonts w:ascii="Times New Roman"/>
                <w:sz w:val="18"/>
              </w:rPr>
              <w:t>6.00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524,688</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,463.03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15,905,</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926.84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161,325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,546.59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197,376</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,909.01</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2,084,0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45,123.</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13</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38,856,</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880.76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4,984,8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66,921.</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68</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-33,38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7,942.</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-146,85</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7,651.2</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-15,905,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926.84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-161,28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6,738.6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28,464,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088.24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384,501</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,512.64</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-37,586</w:t>
            </w:r>
          </w:p>
          <w:p>
            <w:pPr>
              <w:pStyle w:val="TableParagraph"/>
              <w:spacing w:line="240" w:lineRule="auto" w:before="106"/>
              <w:ind w:left="79" w:right="0"/>
              <w:jc w:val="left"/>
              <w:rPr>
                <w:rFonts w:ascii="Times New Roman" w:hAnsi="Times New Roman" w:cs="Times New Roman" w:eastAsia="Times New Roman" w:hint="default"/>
                <w:sz w:val="18"/>
                <w:szCs w:val="18"/>
              </w:rPr>
            </w:pPr>
            <w:r>
              <w:rPr>
                <w:rFonts w:ascii="Times New Roman"/>
                <w:sz w:val="18"/>
              </w:rPr>
              <w:t>,023.36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49,753,</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172.46</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-161,28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6,738.6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507,331</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,705.29</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-37,405</w:t>
            </w:r>
          </w:p>
          <w:p>
            <w:pPr>
              <w:pStyle w:val="TableParagraph"/>
              <w:spacing w:line="240" w:lineRule="auto" w:before="106"/>
              <w:ind w:left="79" w:right="0"/>
              <w:jc w:val="left"/>
              <w:rPr>
                <w:rFonts w:ascii="Times New Roman" w:hAnsi="Times New Roman" w:cs="Times New Roman" w:eastAsia="Times New Roman" w:hint="default"/>
                <w:sz w:val="18"/>
                <w:szCs w:val="18"/>
              </w:rPr>
            </w:pPr>
            <w:r>
              <w:rPr>
                <w:rFonts w:ascii="Times New Roman"/>
                <w:sz w:val="18"/>
              </w:rPr>
              <w:t>,069.36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308,639</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,897.32</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-33,38</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7,942.</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-138,07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7,480.4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-15,905,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926.84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64" w:right="0"/>
              <w:jc w:val="left"/>
              <w:rPr>
                <w:rFonts w:ascii="Times New Roman" w:hAnsi="Times New Roman" w:cs="Times New Roman" w:eastAsia="Times New Roman" w:hint="default"/>
                <w:sz w:val="18"/>
                <w:szCs w:val="18"/>
              </w:rPr>
            </w:pPr>
            <w:r>
              <w:rPr>
                <w:rFonts w:ascii="Times New Roman"/>
                <w:sz w:val="18"/>
              </w:rPr>
              <w:t>-180,95</w:t>
            </w:r>
          </w:p>
          <w:p>
            <w:pPr>
              <w:pStyle w:val="TableParagraph"/>
              <w:spacing w:line="240" w:lineRule="auto" w:before="106"/>
              <w:ind w:left="304" w:right="0"/>
              <w:jc w:val="left"/>
              <w:rPr>
                <w:rFonts w:ascii="Times New Roman" w:hAnsi="Times New Roman" w:cs="Times New Roman" w:eastAsia="Times New Roman" w:hint="default"/>
                <w:sz w:val="18"/>
                <w:szCs w:val="18"/>
              </w:rPr>
            </w:pPr>
            <w:r>
              <w:rPr>
                <w:rFonts w:ascii="Times New Roman"/>
                <w:sz w:val="18"/>
              </w:rPr>
              <w:t>4.00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-155,74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0,449.6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-3,863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,352.0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30,415,</w:t>
            </w:r>
          </w:p>
          <w:p>
            <w:pPr>
              <w:pStyle w:val="TableParagraph"/>
              <w:spacing w:line="240" w:lineRule="auto" w:before="106"/>
              <w:ind w:left="137" w:right="0"/>
              <w:jc w:val="left"/>
              <w:rPr>
                <w:rFonts w:ascii="Times New Roman" w:hAnsi="Times New Roman" w:cs="Times New Roman" w:eastAsia="Times New Roman" w:hint="default"/>
                <w:sz w:val="18"/>
                <w:szCs w:val="18"/>
              </w:rPr>
            </w:pPr>
            <w:r>
              <w:rPr>
                <w:rFonts w:ascii="Times New Roman"/>
                <w:sz w:val="18"/>
              </w:rPr>
              <w:t>120.36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left"/>
              <w:rPr>
                <w:rFonts w:ascii="Times New Roman" w:hAnsi="Times New Roman" w:cs="Times New Roman" w:eastAsia="Times New Roman" w:hint="default"/>
                <w:sz w:val="18"/>
                <w:szCs w:val="18"/>
              </w:rPr>
            </w:pPr>
            <w:r>
              <w:rPr>
                <w:rFonts w:ascii="Times New Roman"/>
                <w:sz w:val="18"/>
              </w:rPr>
              <w:t>878,505</w:t>
            </w:r>
          </w:p>
          <w:p>
            <w:pPr>
              <w:pStyle w:val="TableParagraph"/>
              <w:spacing w:line="240" w:lineRule="auto" w:before="106"/>
              <w:ind w:left="394" w:right="0"/>
              <w:jc w:val="left"/>
              <w:rPr>
                <w:rFonts w:ascii="Times New Roman" w:hAnsi="Times New Roman" w:cs="Times New Roman" w:eastAsia="Times New Roman" w:hint="default"/>
                <w:sz w:val="18"/>
                <w:szCs w:val="18"/>
              </w:rPr>
            </w:pPr>
            <w:r>
              <w:rPr>
                <w:rFonts w:ascii="Times New Roman"/>
                <w:sz w:val="18"/>
              </w:rPr>
              <w:t>.15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27,430,</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273.51</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 w:right="0"/>
              <w:jc w:val="center"/>
              <w:rPr>
                <w:rFonts w:ascii="Times New Roman" w:hAnsi="Times New Roman" w:cs="Times New Roman" w:eastAsia="Times New Roman" w:hint="default"/>
                <w:sz w:val="18"/>
                <w:szCs w:val="18"/>
              </w:rPr>
            </w:pPr>
            <w:r>
              <w:rPr>
                <w:rFonts w:ascii="Times New Roman"/>
                <w:sz w:val="18"/>
              </w:rPr>
              <w:t>-31,130,</w:t>
            </w:r>
          </w:p>
          <w:p>
            <w:pPr>
              <w:pStyle w:val="TableParagraph"/>
              <w:spacing w:line="240" w:lineRule="auto" w:before="106"/>
              <w:ind w:left="115" w:right="0"/>
              <w:jc w:val="center"/>
              <w:rPr>
                <w:rFonts w:ascii="Times New Roman" w:hAnsi="Times New Roman" w:cs="Times New Roman" w:eastAsia="Times New Roman" w:hint="default"/>
                <w:sz w:val="18"/>
                <w:szCs w:val="18"/>
              </w:rPr>
            </w:pPr>
            <w:r>
              <w:rPr>
                <w:rFonts w:ascii="Times New Roman"/>
                <w:sz w:val="18"/>
              </w:rPr>
              <w:t>573.91</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 w:right="0"/>
              <w:jc w:val="center"/>
              <w:rPr>
                <w:rFonts w:ascii="Times New Roman" w:hAnsi="Times New Roman" w:cs="Times New Roman" w:eastAsia="Times New Roman" w:hint="default"/>
                <w:sz w:val="18"/>
                <w:szCs w:val="18"/>
              </w:rPr>
            </w:pPr>
            <w:r>
              <w:rPr>
                <w:rFonts w:ascii="Times New Roman"/>
                <w:sz w:val="18"/>
              </w:rPr>
              <w:t>-15,905,</w:t>
            </w:r>
          </w:p>
          <w:p>
            <w:pPr>
              <w:pStyle w:val="TableParagraph"/>
              <w:spacing w:line="240" w:lineRule="auto" w:before="106"/>
              <w:ind w:left="113" w:right="0"/>
              <w:jc w:val="center"/>
              <w:rPr>
                <w:rFonts w:ascii="Times New Roman" w:hAnsi="Times New Roman" w:cs="Times New Roman" w:eastAsia="Times New Roman" w:hint="default"/>
                <w:sz w:val="18"/>
                <w:szCs w:val="18"/>
              </w:rPr>
            </w:pPr>
            <w:r>
              <w:rPr>
                <w:rFonts w:ascii="Times New Roman"/>
                <w:sz w:val="18"/>
              </w:rPr>
              <w:t>926.84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-15,224,</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647.07</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 w:right="0"/>
              <w:jc w:val="left"/>
              <w:rPr>
                <w:rFonts w:ascii="Times New Roman" w:hAnsi="Times New Roman" w:cs="Times New Roman" w:eastAsia="Times New Roman" w:hint="default"/>
                <w:sz w:val="18"/>
                <w:szCs w:val="18"/>
              </w:rPr>
            </w:pPr>
            <w:r>
              <w:rPr>
                <w:rFonts w:ascii="Times New Roman"/>
                <w:sz w:val="18"/>
              </w:rPr>
              <w:t>-29,52</w:t>
            </w:r>
          </w:p>
          <w:p>
            <w:pPr>
              <w:pStyle w:val="TableParagraph"/>
              <w:spacing w:line="240" w:lineRule="auto" w:before="105"/>
              <w:ind w:left="79" w:right="0"/>
              <w:jc w:val="left"/>
              <w:rPr>
                <w:rFonts w:ascii="Times New Roman" w:hAnsi="Times New Roman" w:cs="Times New Roman" w:eastAsia="Times New Roman" w:hint="default"/>
                <w:sz w:val="18"/>
                <w:szCs w:val="18"/>
              </w:rPr>
            </w:pPr>
            <w:r>
              <w:rPr>
                <w:rFonts w:ascii="Times New Roman"/>
                <w:sz w:val="18"/>
              </w:rPr>
              <w:t>4,590.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-137,36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2,026.9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9" w:right="0"/>
              <w:jc w:val="left"/>
              <w:rPr>
                <w:rFonts w:ascii="Times New Roman" w:hAnsi="Times New Roman" w:cs="Times New Roman" w:eastAsia="Times New Roman" w:hint="default"/>
                <w:sz w:val="18"/>
                <w:szCs w:val="18"/>
              </w:rPr>
            </w:pPr>
            <w:r>
              <w:rPr>
                <w:rFonts w:ascii="Times New Roman"/>
                <w:sz w:val="18"/>
              </w:rPr>
              <w:t>-1,059,</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459.15</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-167,94</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6,076.0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28,464,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088.24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-122,83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0,192.6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-94,366,</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104.41</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28,464,</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088.24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-28,464,</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088.24</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-94,366,</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104.41</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-94,366,</w:t>
            </w:r>
          </w:p>
          <w:p>
            <w:pPr>
              <w:pStyle w:val="TableParagraph"/>
              <w:spacing w:line="240" w:lineRule="auto" w:before="106"/>
              <w:ind w:left="107" w:right="0"/>
              <w:jc w:val="center"/>
              <w:rPr>
                <w:rFonts w:ascii="Times New Roman" w:hAnsi="Times New Roman" w:cs="Times New Roman" w:eastAsia="Times New Roman" w:hint="default"/>
                <w:sz w:val="18"/>
                <w:szCs w:val="18"/>
              </w:rPr>
            </w:pPr>
            <w:r>
              <w:rPr>
                <w:rFonts w:ascii="Times New Roman"/>
                <w:sz w:val="18"/>
              </w:rPr>
              <w:t>104.41</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-8,780,1</w:t>
            </w:r>
          </w:p>
          <w:p>
            <w:pPr>
              <w:pStyle w:val="TableParagraph"/>
              <w:spacing w:line="240" w:lineRule="auto" w:before="105"/>
              <w:ind w:left="206" w:right="0"/>
              <w:jc w:val="center"/>
              <w:rPr>
                <w:rFonts w:ascii="Times New Roman" w:hAnsi="Times New Roman" w:cs="Times New Roman" w:eastAsia="Times New Roman" w:hint="default"/>
                <w:sz w:val="18"/>
                <w:szCs w:val="18"/>
              </w:rPr>
            </w:pPr>
            <w:r>
              <w:rPr>
                <w:rFonts w:ascii="Times New Roman"/>
                <w:sz w:val="18"/>
              </w:rPr>
              <w:t>70.80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-8,780,1</w:t>
            </w:r>
          </w:p>
          <w:p>
            <w:pPr>
              <w:pStyle w:val="TableParagraph"/>
              <w:spacing w:line="240" w:lineRule="auto" w:before="105"/>
              <w:ind w:left="197" w:right="0"/>
              <w:jc w:val="center"/>
              <w:rPr>
                <w:rFonts w:ascii="Times New Roman" w:hAnsi="Times New Roman" w:cs="Times New Roman" w:eastAsia="Times New Roman" w:hint="default"/>
                <w:sz w:val="18"/>
                <w:szCs w:val="18"/>
              </w:rPr>
            </w:pPr>
            <w:r>
              <w:rPr>
                <w:rFonts w:ascii="Times New Roman"/>
                <w:sz w:val="18"/>
              </w:rPr>
              <w:t>70.80</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1,961,</w:t>
            </w:r>
          </w:p>
          <w:p>
            <w:pPr>
              <w:pStyle w:val="TableParagraph"/>
              <w:spacing w:line="240" w:lineRule="auto" w:before="104"/>
              <w:ind w:left="13" w:right="0"/>
              <w:jc w:val="center"/>
              <w:rPr>
                <w:rFonts w:ascii="Times New Roman" w:hAnsi="Times New Roman" w:cs="Times New Roman" w:eastAsia="Times New Roman" w:hint="default"/>
                <w:sz w:val="18"/>
                <w:szCs w:val="18"/>
              </w:rPr>
            </w:pPr>
            <w:r>
              <w:rPr>
                <w:rFonts w:ascii="Times New Roman"/>
                <w:sz w:val="18"/>
              </w:rPr>
              <w:t>091,98</w:t>
            </w:r>
          </w:p>
          <w:p>
            <w:pPr>
              <w:pStyle w:val="TableParagraph"/>
              <w:spacing w:line="240" w:lineRule="auto" w:before="106"/>
              <w:ind w:left="193" w:right="0"/>
              <w:jc w:val="center"/>
              <w:rPr>
                <w:rFonts w:ascii="Times New Roman" w:hAnsi="Times New Roman" w:cs="Times New Roman" w:eastAsia="Times New Roman" w:hint="default"/>
                <w:sz w:val="18"/>
                <w:szCs w:val="18"/>
              </w:rPr>
            </w:pPr>
            <w:r>
              <w:rPr>
                <w:rFonts w:ascii="Times New Roman"/>
                <w:sz w:val="18"/>
              </w:rPr>
              <w:t>4.00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377,830</w:t>
            </w:r>
          </w:p>
          <w:p>
            <w:pPr>
              <w:pStyle w:val="TableParagraph"/>
              <w:spacing w:line="240" w:lineRule="auto" w:before="105"/>
              <w:ind w:left="99" w:right="0"/>
              <w:jc w:val="left"/>
              <w:rPr>
                <w:rFonts w:ascii="Times New Roman" w:hAnsi="Times New Roman" w:cs="Times New Roman" w:eastAsia="Times New Roman" w:hint="default"/>
                <w:sz w:val="18"/>
                <w:szCs w:val="18"/>
              </w:rPr>
            </w:pPr>
            <w:r>
              <w:rPr>
                <w:rFonts w:ascii="Times New Roman"/>
                <w:sz w:val="18"/>
              </w:rPr>
              <w:t>,811.74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38,807.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98</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225,840</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,997.25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2,468,5</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46,635.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77</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center"/>
              <w:rPr>
                <w:rFonts w:ascii="Times New Roman" w:hAnsi="Times New Roman" w:cs="Times New Roman" w:eastAsia="Times New Roman" w:hint="default"/>
                <w:sz w:val="18"/>
                <w:szCs w:val="18"/>
              </w:rPr>
            </w:pPr>
            <w:r>
              <w:rPr>
                <w:rFonts w:ascii="Times New Roman"/>
                <w:sz w:val="18"/>
              </w:rPr>
              <w:t>1,270,8</w:t>
            </w:r>
          </w:p>
          <w:p>
            <w:pPr>
              <w:pStyle w:val="TableParagraph"/>
              <w:spacing w:line="240" w:lineRule="auto" w:before="105"/>
              <w:ind w:left="192" w:right="0"/>
              <w:jc w:val="center"/>
              <w:rPr>
                <w:rFonts w:ascii="Times New Roman" w:hAnsi="Times New Roman" w:cs="Times New Roman" w:eastAsia="Times New Roman" w:hint="default"/>
                <w:sz w:val="18"/>
                <w:szCs w:val="18"/>
              </w:rPr>
            </w:pPr>
            <w:r>
              <w:rPr>
                <w:rFonts w:ascii="Times New Roman"/>
                <w:sz w:val="18"/>
              </w:rPr>
              <w:t>57.40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5,034,6</w:t>
            </w:r>
          </w:p>
          <w:p>
            <w:pPr>
              <w:pStyle w:val="TableParagraph"/>
              <w:spacing w:line="240" w:lineRule="auto" w:before="104"/>
              <w:ind w:right="21"/>
              <w:jc w:val="right"/>
              <w:rPr>
                <w:rFonts w:ascii="Times New Roman" w:hAnsi="Times New Roman" w:cs="Times New Roman" w:eastAsia="Times New Roman" w:hint="default"/>
                <w:sz w:val="18"/>
                <w:szCs w:val="18"/>
              </w:rPr>
            </w:pPr>
            <w:r>
              <w:rPr>
                <w:rFonts w:ascii="Times New Roman"/>
                <w:sz w:val="18"/>
              </w:rPr>
              <w:t>20,094.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14</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8、母公司所有者权益变动表" w:id="163"/>
      <w:bookmarkEnd w:id="163"/>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34" w:right="0"/>
        <w:jc w:val="left"/>
      </w:pPr>
      <w:r>
        <w:rPr/>
        <w:t>本期金额</w:t>
      </w:r>
    </w:p>
    <w:p>
      <w:pPr>
        <w:pStyle w:val="BodyText"/>
        <w:spacing w:line="240" w:lineRule="auto" w:before="116"/>
        <w:ind w:left="630" w:right="1130"/>
        <w:jc w:val="right"/>
      </w:pPr>
      <w:r>
        <w:rPr/>
        <w:t>单位：元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418"/>
        <w:gridCol w:w="703"/>
        <w:gridCol w:w="665"/>
        <w:gridCol w:w="665"/>
        <w:gridCol w:w="665"/>
        <w:gridCol w:w="797"/>
        <w:gridCol w:w="798"/>
        <w:gridCol w:w="798"/>
        <w:gridCol w:w="798"/>
        <w:gridCol w:w="797"/>
        <w:gridCol w:w="676"/>
        <w:gridCol w:w="781"/>
      </w:tblGrid>
      <w:tr>
        <w:trPr>
          <w:trHeight w:val="397"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8143"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1" w:hRule="exact"/>
        </w:trPr>
        <w:tc>
          <w:tcPr>
            <w:tcW w:w="141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1" w:hRule="exact"/>
        </w:trPr>
        <w:tc>
          <w:tcPr>
            <w:tcW w:w="1418" w:type="dxa"/>
            <w:vMerge/>
            <w:tcBorders>
              <w:left w:val="single" w:sz="4" w:space="0" w:color="000000"/>
              <w:bottom w:val="nil" w:sz="6" w:space="0" w:color="auto"/>
              <w:right w:val="single" w:sz="4" w:space="0" w:color="000000"/>
            </w:tcBorders>
            <w:shd w:val="clear" w:color="auto" w:fill="D2D2D2"/>
          </w:tcPr>
          <w:p>
            <w:pPr/>
          </w:p>
        </w:tc>
        <w:tc>
          <w:tcPr>
            <w:tcW w:w="7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1" w:hRule="exact"/>
        </w:trPr>
        <w:tc>
          <w:tcPr>
            <w:tcW w:w="1418" w:type="dxa"/>
            <w:vMerge w:val="restart"/>
            <w:tcBorders>
              <w:top w:val="nil" w:sz="6" w:space="0" w:color="auto"/>
              <w:left w:val="single" w:sz="4" w:space="0" w:color="000000"/>
              <w:right w:val="single" w:sz="4" w:space="0" w:color="000000"/>
            </w:tcBorders>
            <w:shd w:val="clear" w:color="auto" w:fill="D2D2D2"/>
          </w:tcPr>
          <w:p>
            <w:pPr/>
          </w:p>
        </w:tc>
        <w:tc>
          <w:tcPr>
            <w:tcW w:w="703"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18" w:type="dxa"/>
            <w:vMerge/>
            <w:tcBorders>
              <w:left w:val="single" w:sz="4" w:space="0" w:color="000000"/>
              <w:bottom w:val="single" w:sz="4" w:space="0" w:color="000000"/>
              <w:right w:val="single" w:sz="4" w:space="0" w:color="000000"/>
            </w:tcBorders>
            <w:shd w:val="clear" w:color="auto" w:fill="D2D2D2"/>
          </w:tcPr>
          <w:p>
            <w:pPr/>
          </w:p>
        </w:tc>
        <w:tc>
          <w:tcPr>
            <w:tcW w:w="703"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317"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5"/>
              <w:ind w:left="32" w:right="0"/>
              <w:jc w:val="left"/>
              <w:rPr>
                <w:rFonts w:ascii="Times New Roman" w:hAnsi="Times New Roman" w:cs="Times New Roman" w:eastAsia="Times New Roman" w:hint="default"/>
                <w:sz w:val="18"/>
                <w:szCs w:val="18"/>
              </w:rPr>
            </w:pPr>
            <w:r>
              <w:rPr>
                <w:rFonts w:ascii="Times New Roman"/>
                <w:sz w:val="18"/>
              </w:rPr>
              <w:t>1,984.00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383,682,6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77.79</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22" w:space="0" w:color="D2D2D2"/>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1,909,490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.13</w:t>
            </w: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224,935,6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99.97</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68"/>
              <w:ind w:right="20"/>
              <w:jc w:val="right"/>
              <w:rPr>
                <w:rFonts w:ascii="Times New Roman" w:hAnsi="Times New Roman" w:cs="Times New Roman" w:eastAsia="Times New Roman" w:hint="default"/>
                <w:sz w:val="18"/>
                <w:szCs w:val="18"/>
              </w:rPr>
            </w:pPr>
            <w:r>
              <w:rPr>
                <w:rFonts w:ascii="Times New Roman"/>
                <w:sz w:val="18"/>
              </w:rPr>
              <w:t>1,024,0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94,497.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7"/>
                <w:szCs w:val="17"/>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3,595,714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,348.89</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317"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1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3" w:type="dxa"/>
            <w:vMerge w:val="restart"/>
            <w:tcBorders>
              <w:top w:val="single" w:sz="4" w:space="0" w:color="000000"/>
              <w:left w:val="single" w:sz="10"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2"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5"/>
              <w:ind w:left="32" w:right="0"/>
              <w:jc w:val="left"/>
              <w:rPr>
                <w:rFonts w:ascii="Times New Roman" w:hAnsi="Times New Roman" w:cs="Times New Roman" w:eastAsia="Times New Roman" w:hint="default"/>
                <w:sz w:val="18"/>
                <w:szCs w:val="18"/>
              </w:rPr>
            </w:pPr>
            <w:r>
              <w:rPr>
                <w:rFonts w:ascii="Times New Roman"/>
                <w:sz w:val="18"/>
              </w:rPr>
              <w:t>1,984.00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383,682,6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77.79</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1,909,490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.13</w:t>
            </w: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224,935,6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99.97</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94,497.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3,595,714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,348.89</w:t>
            </w:r>
          </w:p>
        </w:tc>
      </w:tr>
      <w:tr>
        <w:trPr>
          <w:trHeight w:val="392" w:hRule="exact"/>
        </w:trPr>
        <w:tc>
          <w:tcPr>
            <w:tcW w:w="141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703"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317" w:hRule="exact"/>
        </w:trPr>
        <w:tc>
          <w:tcPr>
            <w:tcW w:w="141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3"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9"/>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 w:right="0"/>
              <w:jc w:val="left"/>
              <w:rPr>
                <w:rFonts w:ascii="Times New Roman" w:hAnsi="Times New Roman" w:cs="Times New Roman" w:eastAsia="Times New Roman" w:hint="default"/>
                <w:sz w:val="18"/>
                <w:szCs w:val="18"/>
              </w:rPr>
            </w:pPr>
            <w:r>
              <w:rPr>
                <w:rFonts w:ascii="Times New Roman"/>
                <w:sz w:val="18"/>
              </w:rPr>
              <w:t>28,411,84</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-8,963,32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7.76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5,452,199</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 w:right="0"/>
              <w:jc w:val="center"/>
              <w:rPr>
                <w:rFonts w:ascii="Times New Roman" w:hAnsi="Times New Roman" w:cs="Times New Roman" w:eastAsia="Times New Roman" w:hint="default"/>
                <w:sz w:val="18"/>
                <w:szCs w:val="18"/>
              </w:rPr>
            </w:pPr>
            <w:r>
              <w:rPr>
                <w:rFonts w:ascii="Times New Roman"/>
                <w:sz w:val="18"/>
              </w:rPr>
              <w:t>-1,918,5</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59.57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22,982,15</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9.15</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-8,963,32</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7.76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991.91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45,558,66</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4.15</w:t>
            </w:r>
          </w:p>
        </w:tc>
      </w:tr>
      <w:tr>
        <w:trPr>
          <w:trHeight w:val="714" w:hRule="exact"/>
        </w:trPr>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0"/>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703" w:type="dxa"/>
            <w:tcBorders>
              <w:top w:val="single" w:sz="4" w:space="0" w:color="000000"/>
              <w:left w:val="single" w:sz="10"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8.38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8.38</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8.38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31,860,99</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8.38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5,452,199</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.19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-56,440,</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551.48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-50,988,3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52.29</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5,452,199</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.19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-5,452,1</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99.19</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-50,988,</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352.29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-50,988,3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52.29</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-3,449,15</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1.09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-3,449,15</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1.09</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1,984.00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412,094,5</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25.08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-7,053,83</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7.63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230,387,8</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99.16</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1,022,1</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75,937.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43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3,618,696</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,508.04</w:t>
            </w:r>
          </w:p>
        </w:tc>
      </w:tr>
    </w:tbl>
    <w:p>
      <w:pPr>
        <w:pStyle w:val="BodyText"/>
        <w:spacing w:line="240" w:lineRule="auto" w:before="51"/>
        <w:ind w:left="1134" w:right="0"/>
        <w:jc w:val="left"/>
      </w:pPr>
      <w:r>
        <w:rPr/>
        <w:t>上期金额</w:t>
      </w:r>
    </w:p>
    <w:p>
      <w:pPr>
        <w:pStyle w:val="BodyText"/>
        <w:spacing w:line="240" w:lineRule="auto" w:before="117"/>
        <w:ind w:left="630" w:right="1130"/>
        <w:jc w:val="right"/>
      </w:pPr>
      <w:r>
        <w:rPr/>
        <w:t>单位：元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11"/>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42"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FFFFFF"/>
              <w:left w:val="single" w:sz="4" w:space="0" w:color="000000"/>
              <w:bottom w:val="single" w:sz="4" w:space="0" w:color="000000"/>
              <w:right w:val="single" w:sz="4" w:space="0" w:color="000000"/>
            </w:tcBorders>
            <w:shd w:val="clear" w:color="auto" w:fill="D2D2D2"/>
          </w:tcPr>
          <w:p>
            <w:pPr>
              <w:pStyle w:val="TableParagraph"/>
              <w:spacing w:line="240" w:lineRule="auto" w:before="51"/>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5"/>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5"/>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5"/>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5"/>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402"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1,994,47</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9,926.00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528,063,5</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63.32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15,905,92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6.84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163,867,7</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79.06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196,471,6</w:t>
            </w:r>
          </w:p>
          <w:p>
            <w:pPr>
              <w:pStyle w:val="TableParagraph"/>
              <w:spacing w:line="240" w:lineRule="auto" w:before="106"/>
              <w:ind w:left="366" w:right="0"/>
              <w:jc w:val="left"/>
              <w:rPr>
                <w:rFonts w:ascii="Times New Roman" w:hAnsi="Times New Roman" w:cs="Times New Roman" w:eastAsia="Times New Roman" w:hint="default"/>
                <w:sz w:val="18"/>
                <w:szCs w:val="18"/>
              </w:rPr>
            </w:pPr>
            <w:r>
              <w:rPr>
                <w:rFonts w:ascii="Times New Roman"/>
                <w:sz w:val="18"/>
              </w:rPr>
              <w:t>11.73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862,283</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,807.21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3,729,260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,760.48</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1,994,47</w:t>
            </w:r>
          </w:p>
          <w:p>
            <w:pPr>
              <w:pStyle w:val="TableParagraph"/>
              <w:spacing w:line="240" w:lineRule="auto" w:before="106"/>
              <w:ind w:left="27" w:right="0"/>
              <w:jc w:val="left"/>
              <w:rPr>
                <w:rFonts w:ascii="Times New Roman" w:hAnsi="Times New Roman" w:cs="Times New Roman" w:eastAsia="Times New Roman" w:hint="default"/>
                <w:sz w:val="18"/>
                <w:szCs w:val="18"/>
              </w:rPr>
            </w:pPr>
            <w:r>
              <w:rPr>
                <w:rFonts w:ascii="Times New Roman"/>
                <w:sz w:val="18"/>
              </w:rPr>
              <w:t>9,926.00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528,063,5</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63.32</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15,905,92</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6.84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163,867,7</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79.06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196,471,6</w:t>
            </w:r>
          </w:p>
          <w:p>
            <w:pPr>
              <w:pStyle w:val="TableParagraph"/>
              <w:spacing w:line="240" w:lineRule="auto" w:before="106"/>
              <w:ind w:left="366" w:right="0"/>
              <w:jc w:val="left"/>
              <w:rPr>
                <w:rFonts w:ascii="Times New Roman" w:hAnsi="Times New Roman" w:cs="Times New Roman" w:eastAsia="Times New Roman" w:hint="default"/>
                <w:sz w:val="18"/>
                <w:szCs w:val="18"/>
              </w:rPr>
            </w:pPr>
            <w:r>
              <w:rPr>
                <w:rFonts w:ascii="Times New Roman"/>
                <w:sz w:val="18"/>
              </w:rPr>
              <w:t>11.73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862,283</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,807.21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 w:right="0"/>
              <w:jc w:val="center"/>
              <w:rPr>
                <w:rFonts w:ascii="Times New Roman" w:hAnsi="Times New Roman" w:cs="Times New Roman" w:eastAsia="Times New Roman" w:hint="default"/>
                <w:sz w:val="18"/>
                <w:szCs w:val="18"/>
              </w:rPr>
            </w:pPr>
            <w:r>
              <w:rPr>
                <w:rFonts w:ascii="Times New Roman"/>
                <w:sz w:val="18"/>
              </w:rPr>
              <w:t>3,729,260</w:t>
            </w:r>
          </w:p>
          <w:p>
            <w:pPr>
              <w:pStyle w:val="TableParagraph"/>
              <w:spacing w:line="240" w:lineRule="auto" w:before="106"/>
              <w:ind w:left="184" w:right="0"/>
              <w:jc w:val="center"/>
              <w:rPr>
                <w:rFonts w:ascii="Times New Roman" w:hAnsi="Times New Roman" w:cs="Times New Roman" w:eastAsia="Times New Roman" w:hint="default"/>
                <w:sz w:val="18"/>
                <w:szCs w:val="18"/>
              </w:rPr>
            </w:pPr>
            <w:r>
              <w:rPr>
                <w:rFonts w:ascii="Times New Roman"/>
                <w:sz w:val="18"/>
              </w:rPr>
              <w:t>,760.48</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3" w:right="0"/>
              <w:jc w:val="center"/>
              <w:rPr>
                <w:rFonts w:ascii="Times New Roman" w:hAnsi="Times New Roman" w:cs="Times New Roman" w:eastAsia="Times New Roman" w:hint="default"/>
                <w:sz w:val="18"/>
                <w:szCs w:val="18"/>
              </w:rPr>
            </w:pPr>
            <w:r>
              <w:rPr>
                <w:rFonts w:ascii="Times New Roman"/>
                <w:sz w:val="18"/>
              </w:rPr>
              <w:t>-33,387,</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942.00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-144,380,</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885.53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-15,905,9</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26.84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z w:val="18"/>
              </w:rPr>
              <w:t>-161,958,</w:t>
            </w:r>
          </w:p>
          <w:p>
            <w:pPr>
              <w:pStyle w:val="TableParagraph"/>
              <w:spacing w:line="240" w:lineRule="auto" w:before="106"/>
              <w:ind w:left="249" w:right="0"/>
              <w:jc w:val="center"/>
              <w:rPr>
                <w:rFonts w:ascii="Times New Roman" w:hAnsi="Times New Roman" w:cs="Times New Roman" w:eastAsia="Times New Roman" w:hint="default"/>
                <w:sz w:val="18"/>
                <w:szCs w:val="18"/>
              </w:rPr>
            </w:pPr>
            <w:r>
              <w:rPr>
                <w:rFonts w:ascii="Times New Roman"/>
                <w:sz w:val="18"/>
              </w:rPr>
              <w:t>288.93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28,464,08</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8.24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8" w:right="0"/>
              <w:jc w:val="left"/>
              <w:rPr>
                <w:rFonts w:ascii="Times New Roman" w:hAnsi="Times New Roman" w:cs="Times New Roman" w:eastAsia="Times New Roman" w:hint="default"/>
                <w:sz w:val="18"/>
                <w:szCs w:val="18"/>
              </w:rPr>
            </w:pPr>
            <w:r>
              <w:rPr>
                <w:rFonts w:ascii="Times New Roman"/>
                <w:sz w:val="18"/>
              </w:rPr>
              <w:t>161,810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,689.79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-133,546,</w:t>
            </w:r>
          </w:p>
          <w:p>
            <w:pPr>
              <w:pStyle w:val="TableParagraph"/>
              <w:spacing w:line="240" w:lineRule="auto" w:before="106"/>
              <w:ind w:left="259" w:right="0"/>
              <w:jc w:val="left"/>
              <w:rPr>
                <w:rFonts w:ascii="Times New Roman" w:hAnsi="Times New Roman" w:cs="Times New Roman" w:eastAsia="Times New Roman" w:hint="default"/>
                <w:sz w:val="18"/>
                <w:szCs w:val="18"/>
              </w:rPr>
            </w:pPr>
            <w:r>
              <w:rPr>
                <w:rFonts w:ascii="Times New Roman"/>
                <w:sz w:val="18"/>
              </w:rPr>
              <w:t>411.59</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3" w:right="0"/>
              <w:jc w:val="center"/>
              <w:rPr>
                <w:rFonts w:ascii="Times New Roman" w:hAnsi="Times New Roman" w:cs="Times New Roman" w:eastAsia="Times New Roman" w:hint="default"/>
                <w:sz w:val="18"/>
                <w:szCs w:val="18"/>
              </w:rPr>
            </w:pPr>
            <w:r>
              <w:rPr>
                <w:rFonts w:ascii="Times New Roman"/>
                <w:sz w:val="18"/>
              </w:rPr>
              <w:t>-161,958,</w:t>
            </w:r>
          </w:p>
          <w:p>
            <w:pPr>
              <w:pStyle w:val="TableParagraph"/>
              <w:spacing w:line="240" w:lineRule="auto" w:before="106"/>
              <w:ind w:left="249" w:right="0"/>
              <w:jc w:val="center"/>
              <w:rPr>
                <w:rFonts w:ascii="Times New Roman" w:hAnsi="Times New Roman" w:cs="Times New Roman" w:eastAsia="Times New Roman" w:hint="default"/>
                <w:sz w:val="18"/>
                <w:szCs w:val="18"/>
              </w:rPr>
            </w:pPr>
            <w:r>
              <w:rPr>
                <w:rFonts w:ascii="Times New Roman"/>
                <w:sz w:val="18"/>
              </w:rPr>
              <w:t>288.93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284,640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,882.44</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122,682,5</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93.51</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-33,387,</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942.00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-135,600,</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714.73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 w:right="0"/>
              <w:jc w:val="left"/>
              <w:rPr>
                <w:rFonts w:ascii="Times New Roman" w:hAnsi="Times New Roman" w:cs="Times New Roman" w:eastAsia="Times New Roman" w:hint="default"/>
                <w:sz w:val="18"/>
                <w:szCs w:val="18"/>
              </w:rPr>
            </w:pPr>
            <w:r>
              <w:rPr>
                <w:rFonts w:ascii="Times New Roman"/>
                <w:sz w:val="18"/>
              </w:rPr>
              <w:t>-15,905,9</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26.84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-153,082,</w:t>
            </w:r>
          </w:p>
          <w:p>
            <w:pPr>
              <w:pStyle w:val="TableParagraph"/>
              <w:spacing w:line="240" w:lineRule="auto" w:before="106"/>
              <w:ind w:left="230" w:right="0"/>
              <w:jc w:val="center"/>
              <w:rPr>
                <w:rFonts w:ascii="Times New Roman" w:hAnsi="Times New Roman" w:cs="Times New Roman" w:eastAsia="Times New Roman" w:hint="default"/>
                <w:sz w:val="18"/>
                <w:szCs w:val="18"/>
              </w:rPr>
            </w:pPr>
            <w:r>
              <w:rPr>
                <w:rFonts w:ascii="Times New Roman"/>
                <w:sz w:val="18"/>
              </w:rPr>
              <w:t>729.89</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．股东投入的普 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-3,863,3</w:t>
            </w:r>
          </w:p>
          <w:p>
            <w:pPr>
              <w:pStyle w:val="TableParagraph"/>
              <w:spacing w:line="240" w:lineRule="auto" w:before="106"/>
              <w:ind w:left="230" w:right="0"/>
              <w:jc w:val="center"/>
              <w:rPr>
                <w:rFonts w:ascii="Times New Roman" w:hAnsi="Times New Roman" w:cs="Times New Roman" w:eastAsia="Times New Roman" w:hint="default"/>
                <w:sz w:val="18"/>
                <w:szCs w:val="18"/>
              </w:rPr>
            </w:pPr>
            <w:r>
              <w:rPr>
                <w:rFonts w:ascii="Times New Roman"/>
                <w:sz w:val="18"/>
              </w:rPr>
              <w:t>52.00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32,891,88</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6.12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29,028,53</w:t>
            </w:r>
          </w:p>
          <w:p>
            <w:pPr>
              <w:pStyle w:val="TableParagraph"/>
              <w:spacing w:line="240" w:lineRule="auto" w:before="106"/>
              <w:ind w:left="433" w:right="0"/>
              <w:jc w:val="left"/>
              <w:rPr>
                <w:rFonts w:ascii="Times New Roman" w:hAnsi="Times New Roman" w:cs="Times New Roman" w:eastAsia="Times New Roman" w:hint="default"/>
                <w:sz w:val="18"/>
                <w:szCs w:val="18"/>
              </w:rPr>
            </w:pPr>
            <w:r>
              <w:rPr>
                <w:rFonts w:ascii="Times New Roman"/>
                <w:sz w:val="18"/>
              </w:rPr>
              <w:t>4.12</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-31,130,5</w:t>
            </w:r>
          </w:p>
          <w:p>
            <w:pPr>
              <w:pStyle w:val="TableParagraph"/>
              <w:spacing w:line="240" w:lineRule="auto" w:before="106"/>
              <w:ind w:left="360" w:right="0"/>
              <w:jc w:val="left"/>
              <w:rPr>
                <w:rFonts w:ascii="Times New Roman" w:hAnsi="Times New Roman" w:cs="Times New Roman" w:eastAsia="Times New Roman" w:hint="default"/>
                <w:sz w:val="18"/>
                <w:szCs w:val="18"/>
              </w:rPr>
            </w:pPr>
            <w:r>
              <w:rPr>
                <w:rFonts w:ascii="Times New Roman"/>
                <w:sz w:val="18"/>
              </w:rPr>
              <w:t>73.91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75" w:right="0"/>
              <w:jc w:val="left"/>
              <w:rPr>
                <w:rFonts w:ascii="Times New Roman" w:hAnsi="Times New Roman" w:cs="Times New Roman" w:eastAsia="Times New Roman" w:hint="default"/>
                <w:sz w:val="18"/>
                <w:szCs w:val="18"/>
              </w:rPr>
            </w:pPr>
            <w:r>
              <w:rPr>
                <w:rFonts w:ascii="Times New Roman"/>
                <w:sz w:val="18"/>
              </w:rPr>
              <w:t>-15,905,9</w:t>
            </w:r>
          </w:p>
          <w:p>
            <w:pPr>
              <w:pStyle w:val="TableParagraph"/>
              <w:spacing w:line="240" w:lineRule="auto" w:before="106"/>
              <w:ind w:left="361" w:right="0"/>
              <w:jc w:val="left"/>
              <w:rPr>
                <w:rFonts w:ascii="Times New Roman" w:hAnsi="Times New Roman" w:cs="Times New Roman" w:eastAsia="Times New Roman" w:hint="default"/>
                <w:sz w:val="18"/>
                <w:szCs w:val="18"/>
              </w:rPr>
            </w:pPr>
            <w:r>
              <w:rPr>
                <w:rFonts w:ascii="Times New Roman"/>
                <w:sz w:val="18"/>
              </w:rPr>
              <w:t>26.84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-15,224,6</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47.07</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-29,524,</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590.00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-137,362,</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026.94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3" w:right="0"/>
              <w:jc w:val="center"/>
              <w:rPr>
                <w:rFonts w:ascii="Times New Roman" w:hAnsi="Times New Roman" w:cs="Times New Roman" w:eastAsia="Times New Roman" w:hint="default"/>
                <w:sz w:val="18"/>
                <w:szCs w:val="18"/>
              </w:rPr>
            </w:pPr>
            <w:r>
              <w:rPr>
                <w:rFonts w:ascii="Times New Roman"/>
                <w:sz w:val="18"/>
              </w:rPr>
              <w:t>-166,886,</w:t>
            </w:r>
          </w:p>
          <w:p>
            <w:pPr>
              <w:pStyle w:val="TableParagraph"/>
              <w:spacing w:line="240" w:lineRule="auto" w:before="106"/>
              <w:ind w:left="230" w:right="0"/>
              <w:jc w:val="center"/>
              <w:rPr>
                <w:rFonts w:ascii="Times New Roman" w:hAnsi="Times New Roman" w:cs="Times New Roman" w:eastAsia="Times New Roman" w:hint="default"/>
                <w:sz w:val="18"/>
                <w:szCs w:val="18"/>
              </w:rPr>
            </w:pPr>
            <w:r>
              <w:rPr>
                <w:rFonts w:ascii="Times New Roman"/>
                <w:sz w:val="18"/>
              </w:rPr>
              <w:t>616.94</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28,464,08</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8.24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-122,83</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0,192.6</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57" w:right="0"/>
              <w:jc w:val="left"/>
              <w:rPr>
                <w:rFonts w:ascii="Times New Roman" w:hAnsi="Times New Roman" w:cs="Times New Roman" w:eastAsia="Times New Roman" w:hint="default"/>
                <w:sz w:val="18"/>
                <w:szCs w:val="18"/>
              </w:rPr>
            </w:pPr>
            <w:r>
              <w:rPr>
                <w:rFonts w:ascii="Times New Roman"/>
                <w:sz w:val="18"/>
              </w:rPr>
              <w:t>-94,366,1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04.41</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28,464,08</w:t>
            </w:r>
          </w:p>
          <w:p>
            <w:pPr>
              <w:pStyle w:val="TableParagraph"/>
              <w:spacing w:line="240" w:lineRule="auto" w:before="106"/>
              <w:ind w:left="450" w:right="0"/>
              <w:jc w:val="left"/>
              <w:rPr>
                <w:rFonts w:ascii="Times New Roman" w:hAnsi="Times New Roman" w:cs="Times New Roman" w:eastAsia="Times New Roman" w:hint="default"/>
                <w:sz w:val="18"/>
                <w:szCs w:val="18"/>
              </w:rPr>
            </w:pPr>
            <w:r>
              <w:rPr>
                <w:rFonts w:ascii="Times New Roman"/>
                <w:sz w:val="18"/>
              </w:rPr>
              <w:t>8.24</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-28,464,</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088.24</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-94,366,</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104.41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-94,366,1</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04.41</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-8,780,17</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0.80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-8,780,17</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0.80</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1,961,09</w:t>
            </w:r>
          </w:p>
          <w:p>
            <w:pPr>
              <w:pStyle w:val="TableParagraph"/>
              <w:spacing w:line="240" w:lineRule="auto" w:before="105"/>
              <w:ind w:left="27" w:right="0"/>
              <w:jc w:val="left"/>
              <w:rPr>
                <w:rFonts w:ascii="Times New Roman" w:hAnsi="Times New Roman" w:cs="Times New Roman" w:eastAsia="Times New Roman" w:hint="default"/>
                <w:sz w:val="18"/>
                <w:szCs w:val="18"/>
              </w:rPr>
            </w:pPr>
            <w:r>
              <w:rPr>
                <w:rFonts w:ascii="Times New Roman"/>
                <w:sz w:val="18"/>
              </w:rPr>
              <w:t>1,984.00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383,682,6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77.79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1,909,490</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.13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224,935,6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99.97</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1,024,0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94,497.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 w:right="0"/>
              <w:jc w:val="center"/>
              <w:rPr>
                <w:rFonts w:ascii="Times New Roman" w:hAnsi="Times New Roman" w:cs="Times New Roman" w:eastAsia="Times New Roman" w:hint="default"/>
                <w:sz w:val="18"/>
                <w:szCs w:val="18"/>
              </w:rPr>
            </w:pPr>
            <w:r>
              <w:rPr>
                <w:rFonts w:ascii="Times New Roman"/>
                <w:sz w:val="18"/>
              </w:rPr>
              <w:t>3,595,714</w:t>
            </w:r>
          </w:p>
          <w:p>
            <w:pPr>
              <w:pStyle w:val="TableParagraph"/>
              <w:spacing w:line="240" w:lineRule="auto" w:before="105"/>
              <w:ind w:left="184" w:right="0"/>
              <w:jc w:val="center"/>
              <w:rPr>
                <w:rFonts w:ascii="Times New Roman" w:hAnsi="Times New Roman" w:cs="Times New Roman" w:eastAsia="Times New Roman" w:hint="default"/>
                <w:sz w:val="18"/>
                <w:szCs w:val="18"/>
              </w:rPr>
            </w:pPr>
            <w:r>
              <w:rPr>
                <w:rFonts w:ascii="Times New Roman"/>
                <w:sz w:val="18"/>
              </w:rPr>
              <w:t>,348.89</w:t>
            </w:r>
          </w:p>
        </w:tc>
      </w:tr>
    </w:tbl>
    <w:p>
      <w:pPr>
        <w:spacing w:line="240" w:lineRule="auto" w:before="7"/>
        <w:rPr>
          <w:rFonts w:ascii="Times New Roman" w:hAnsi="Times New Roman" w:cs="Times New Roman" w:eastAsia="Times New Roman" w:hint="default"/>
          <w:sz w:val="20"/>
          <w:szCs w:val="20"/>
        </w:rPr>
      </w:pPr>
    </w:p>
    <w:p>
      <w:pPr>
        <w:pStyle w:val="Heading2"/>
        <w:spacing w:line="240" w:lineRule="auto" w:before="26"/>
        <w:ind w:right="0"/>
        <w:jc w:val="left"/>
        <w:rPr>
          <w:b w:val="0"/>
          <w:bCs w:val="0"/>
        </w:rPr>
      </w:pPr>
      <w:bookmarkStart w:name="三、公司基本情况" w:id="164"/>
      <w:bookmarkEnd w:id="164"/>
      <w:r>
        <w:rPr>
          <w:b w:val="0"/>
          <w:bCs w:val="0"/>
        </w:rPr>
      </w:r>
      <w:r>
        <w:rPr/>
        <w:t>三、公司基本情况</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3" w:right="0" w:firstLine="1"/>
        <w:jc w:val="left"/>
      </w:pPr>
      <w:r>
        <w:rPr>
          <w:rFonts w:ascii="宋体" w:hAnsi="宋体" w:cs="宋体" w:eastAsia="宋体" w:hint="default"/>
          <w:b/>
          <w:bCs/>
        </w:rPr>
        <w:t>（一）公司概况</w:t>
      </w:r>
      <w:r>
        <w:rPr>
          <w:rFonts w:ascii="宋体" w:hAnsi="宋体" w:cs="宋体" w:eastAsia="宋体" w:hint="default"/>
          <w:b/>
          <w:bCs/>
          <w:w w:val="99"/>
        </w:rPr>
        <w:t> </w:t>
      </w:r>
      <w:r>
        <w:rPr/>
        <w:t>北京神州泰岳软件股份有限公司（以下简称</w:t>
      </w:r>
      <w:r>
        <w:rPr>
          <w:rFonts w:ascii="Times New Roman" w:hAnsi="Times New Roman" w:cs="Times New Roman" w:eastAsia="Times New Roman" w:hint="default"/>
        </w:rPr>
        <w:t>“</w:t>
      </w:r>
      <w:r>
        <w:rPr/>
        <w:t>公司</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本公司</w:t>
      </w:r>
      <w:r>
        <w:rPr>
          <w:rFonts w:ascii="Times New Roman" w:hAnsi="Times New Roman" w:cs="Times New Roman" w:eastAsia="Times New Roman" w:hint="default"/>
        </w:rPr>
        <w:t>”</w:t>
      </w:r>
      <w:r>
        <w:rPr/>
        <w:t>）前身系北京神州泰岳软件有限公司，成立于</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5</w:t>
      </w:r>
      <w:r>
        <w:rPr/>
        <w:t>月</w:t>
      </w:r>
    </w:p>
    <w:p>
      <w:pPr>
        <w:pStyle w:val="BodyText"/>
        <w:spacing w:line="240" w:lineRule="auto" w:before="21"/>
        <w:ind w:right="0"/>
        <w:jc w:val="left"/>
      </w:pPr>
      <w:r>
        <w:rPr>
          <w:rFonts w:ascii="Times New Roman" w:hAnsi="Times New Roman" w:cs="Times New Roman" w:eastAsia="Times New Roman" w:hint="default"/>
        </w:rPr>
        <w:t>18</w:t>
      </w:r>
      <w:r>
        <w:rPr/>
        <w:t>日，成立时注册资本为人民币</w:t>
      </w:r>
      <w:r>
        <w:rPr>
          <w:rFonts w:ascii="Times New Roman" w:hAnsi="Times New Roman" w:cs="Times New Roman" w:eastAsia="Times New Roman" w:hint="default"/>
        </w:rPr>
        <w:t>1,000</w:t>
      </w:r>
      <w:r>
        <w:rPr/>
        <w:t>万元。</w:t>
      </w:r>
    </w:p>
    <w:p>
      <w:pPr>
        <w:spacing w:line="240" w:lineRule="auto" w:before="10"/>
        <w:rPr>
          <w:rFonts w:ascii="宋体" w:hAnsi="宋体" w:cs="宋体" w:eastAsia="宋体" w:hint="default"/>
          <w:sz w:val="16"/>
          <w:szCs w:val="16"/>
        </w:rPr>
      </w:pPr>
    </w:p>
    <w:p>
      <w:pPr>
        <w:pStyle w:val="BodyText"/>
        <w:spacing w:line="451" w:lineRule="auto"/>
        <w:ind w:right="1129" w:firstLine="360"/>
        <w:jc w:val="both"/>
      </w:pPr>
      <w:r>
        <w:rPr>
          <w:rFonts w:ascii="Times New Roman" w:hAnsi="Times New Roman" w:cs="Times New Roman" w:eastAsia="Times New Roman" w:hint="default"/>
        </w:rPr>
        <w:t>2002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w:t>
      </w:r>
      <w:r>
        <w:rPr/>
        <w:t>日，经股东会表决通过，以截至</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30</w:t>
      </w:r>
      <w:r>
        <w:rPr/>
        <w:t>日经审计的净资产为基数，按照</w:t>
      </w:r>
      <w:r>
        <w:rPr>
          <w:rFonts w:ascii="Times New Roman" w:hAnsi="Times New Roman" w:cs="Times New Roman" w:eastAsia="Times New Roman" w:hint="default"/>
        </w:rPr>
        <w:t>1</w:t>
      </w:r>
      <w:r>
        <w:rPr/>
        <w:t>：</w:t>
      </w:r>
      <w:r>
        <w:rPr>
          <w:rFonts w:ascii="Times New Roman" w:hAnsi="Times New Roman" w:cs="Times New Roman" w:eastAsia="Times New Roman" w:hint="default"/>
        </w:rPr>
        <w:t>1</w:t>
      </w:r>
      <w:r>
        <w:rPr/>
        <w:t>的比例折股，整体变更设 </w:t>
      </w:r>
      <w:r>
        <w:rPr>
          <w:spacing w:val="-2"/>
        </w:rPr>
        <w:t>立为股份有限公司。</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27</w:t>
      </w:r>
      <w:r>
        <w:rPr>
          <w:spacing w:val="-2"/>
        </w:rPr>
        <w:t>日，北京市人民政府经济体制改革办公室出具京政体改股函【</w:t>
      </w:r>
      <w:r>
        <w:rPr>
          <w:rFonts w:ascii="Times New Roman" w:hAnsi="Times New Roman" w:cs="Times New Roman" w:eastAsia="Times New Roman" w:hint="default"/>
          <w:spacing w:val="-2"/>
        </w:rPr>
        <w:t>2002</w:t>
      </w:r>
      <w:r>
        <w:rPr>
          <w:spacing w:val="-2"/>
        </w:rPr>
        <w:t>】</w:t>
      </w:r>
      <w:r>
        <w:rPr>
          <w:rFonts w:ascii="Times New Roman" w:hAnsi="Times New Roman" w:cs="Times New Roman" w:eastAsia="Times New Roman" w:hint="default"/>
          <w:spacing w:val="-2"/>
        </w:rPr>
        <w:t>7</w:t>
      </w:r>
      <w:r>
        <w:rPr>
          <w:spacing w:val="-2"/>
        </w:rPr>
        <w:t>号文批准了公司的上</w:t>
      </w:r>
      <w:r>
        <w:rPr>
          <w:spacing w:val="-53"/>
        </w:rPr>
        <w:t> </w:t>
      </w:r>
      <w:r>
        <w:rPr/>
        <w:t>述整体改制方案。</w:t>
      </w:r>
      <w:r>
        <w:rPr>
          <w:rFonts w:ascii="Times New Roman" w:hAnsi="Times New Roman" w:cs="Times New Roman" w:eastAsia="Times New Roman" w:hint="default"/>
        </w:rPr>
        <w:t>2002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27</w:t>
      </w:r>
      <w:r>
        <w:rPr/>
        <w:t>日，北京京都会计师事务所有限公司出具北京京都验字〔</w:t>
      </w:r>
      <w:r>
        <w:rPr>
          <w:rFonts w:ascii="Times New Roman" w:hAnsi="Times New Roman" w:cs="Times New Roman" w:eastAsia="Times New Roman" w:hint="default"/>
        </w:rPr>
        <w:t>2002</w:t>
      </w:r>
      <w:r>
        <w:rPr/>
        <w:t>〕第</w:t>
      </w:r>
      <w:r>
        <w:rPr>
          <w:rFonts w:ascii="Times New Roman" w:hAnsi="Times New Roman" w:cs="Times New Roman" w:eastAsia="Times New Roman" w:hint="default"/>
        </w:rPr>
        <w:t>0025</w:t>
      </w:r>
      <w:r>
        <w:rPr/>
        <w:t>号《验资报告》审验</w:t>
      </w:r>
      <w:r>
        <w:rPr>
          <w:spacing w:val="-83"/>
        </w:rPr>
        <w:t> </w:t>
      </w:r>
      <w:r>
        <w:rPr>
          <w:spacing w:val="-83"/>
        </w:rPr>
      </w:r>
      <w:r>
        <w:rPr>
          <w:spacing w:val="2"/>
        </w:rPr>
        <w:t>确认，公司注册资本人民币</w:t>
      </w:r>
      <w:r>
        <w:rPr>
          <w:rFonts w:ascii="Times New Roman" w:hAnsi="Times New Roman" w:cs="Times New Roman" w:eastAsia="Times New Roman" w:hint="default"/>
          <w:spacing w:val="2"/>
        </w:rPr>
        <w:t>2,159.20</w:t>
      </w:r>
      <w:r>
        <w:rPr>
          <w:spacing w:val="2"/>
        </w:rPr>
        <w:t>万元已缴足。</w:t>
      </w:r>
      <w:r>
        <w:rPr>
          <w:rFonts w:ascii="Times New Roman" w:hAnsi="Times New Roman" w:cs="Times New Roman" w:eastAsia="Times New Roman" w:hint="default"/>
          <w:spacing w:val="2"/>
        </w:rPr>
        <w:t>2002</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3</w:t>
      </w:r>
      <w:r>
        <w:rPr>
          <w:spacing w:val="2"/>
        </w:rPr>
        <w:t>日，公司在北京市工商行政管理局注册登记并取得注册号为</w:t>
      </w:r>
      <w:r>
        <w:rPr>
          <w:spacing w:val="-52"/>
        </w:rPr>
        <w:t> </w:t>
      </w:r>
      <w:r>
        <w:rPr>
          <w:spacing w:val="-52"/>
        </w:rPr>
      </w:r>
      <w:r>
        <w:rPr>
          <w:rFonts w:ascii="Times New Roman" w:hAnsi="Times New Roman" w:cs="Times New Roman" w:eastAsia="Times New Roman" w:hint="default"/>
        </w:rPr>
        <w:t>1100001270093</w:t>
      </w:r>
      <w:r>
        <w:rPr/>
        <w:t>的《企业法人营业执照》。</w:t>
      </w:r>
    </w:p>
    <w:p>
      <w:pPr>
        <w:pStyle w:val="BodyText"/>
        <w:spacing w:line="240" w:lineRule="auto" w:before="43"/>
        <w:ind w:left="1493" w:right="0"/>
        <w:jc w:val="left"/>
      </w:pPr>
      <w:r>
        <w:rPr/>
        <w:t>经历次股权转让和增资，至</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25</w:t>
      </w:r>
      <w:r>
        <w:rPr/>
        <w:t>日，公司注册资本为人民币</w:t>
      </w:r>
      <w:r>
        <w:rPr>
          <w:rFonts w:ascii="Times New Roman" w:hAnsi="Times New Roman" w:cs="Times New Roman" w:eastAsia="Times New Roman" w:hint="default"/>
        </w:rPr>
        <w:t>9,480</w:t>
      </w:r>
      <w:r>
        <w:rPr/>
        <w:t>万元。</w:t>
      </w:r>
    </w:p>
    <w:p>
      <w:pPr>
        <w:spacing w:line="240" w:lineRule="auto" w:before="9"/>
        <w:rPr>
          <w:rFonts w:ascii="宋体" w:hAnsi="宋体" w:cs="宋体" w:eastAsia="宋体" w:hint="default"/>
          <w:sz w:val="16"/>
          <w:szCs w:val="16"/>
        </w:rPr>
      </w:pPr>
    </w:p>
    <w:p>
      <w:pPr>
        <w:pStyle w:val="BodyText"/>
        <w:spacing w:line="451" w:lineRule="auto"/>
        <w:ind w:right="1130" w:firstLine="360"/>
        <w:jc w:val="both"/>
      </w:pPr>
      <w:r>
        <w:rPr>
          <w:rFonts w:ascii="Times New Roman" w:hAnsi="Times New Roman" w:cs="Times New Roman" w:eastAsia="Times New Roman" w:hint="default"/>
          <w:spacing w:val="-4"/>
        </w:rPr>
        <w:t>2009</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20</w:t>
      </w:r>
      <w:r>
        <w:rPr>
          <w:spacing w:val="-4"/>
        </w:rPr>
        <w:t>日，经中国证券监督管理委员会以</w:t>
      </w:r>
      <w:r>
        <w:rPr>
          <w:rFonts w:ascii="Times New Roman" w:hAnsi="Times New Roman" w:cs="Times New Roman" w:eastAsia="Times New Roman" w:hint="default"/>
          <w:spacing w:val="-4"/>
        </w:rPr>
        <w:t>“</w:t>
      </w:r>
      <w:r>
        <w:rPr>
          <w:spacing w:val="-4"/>
        </w:rPr>
        <w:t>证监许可【</w:t>
      </w:r>
      <w:r>
        <w:rPr>
          <w:rFonts w:ascii="Times New Roman" w:hAnsi="Times New Roman" w:cs="Times New Roman" w:eastAsia="Times New Roman" w:hint="default"/>
          <w:spacing w:val="-4"/>
        </w:rPr>
        <w:t>2009</w:t>
      </w:r>
      <w:r>
        <w:rPr>
          <w:spacing w:val="-4"/>
        </w:rPr>
        <w:t>】</w:t>
      </w:r>
      <w:r>
        <w:rPr>
          <w:rFonts w:ascii="Times New Roman" w:hAnsi="Times New Roman" w:cs="Times New Roman" w:eastAsia="Times New Roman" w:hint="default"/>
          <w:spacing w:val="-4"/>
        </w:rPr>
        <w:t>952</w:t>
      </w:r>
      <w:r>
        <w:rPr>
          <w:spacing w:val="-4"/>
        </w:rPr>
        <w:t>号</w:t>
      </w:r>
      <w:r>
        <w:rPr>
          <w:rFonts w:ascii="Times New Roman" w:hAnsi="Times New Roman" w:cs="Times New Roman" w:eastAsia="Times New Roman" w:hint="default"/>
          <w:spacing w:val="-4"/>
        </w:rPr>
        <w:t>”</w:t>
      </w:r>
      <w:r>
        <w:rPr>
          <w:spacing w:val="-4"/>
        </w:rPr>
        <w:t>文核准，向社会公众公开发行境内上市内资（</w:t>
      </w:r>
      <w:r>
        <w:rPr>
          <w:rFonts w:ascii="Times New Roman" w:hAnsi="Times New Roman" w:cs="Times New Roman" w:eastAsia="Times New Roman" w:hint="default"/>
          <w:spacing w:val="-4"/>
        </w:rPr>
        <w:t>A</w:t>
      </w:r>
      <w:r>
        <w:rPr>
          <w:rFonts w:ascii="Times New Roman" w:hAnsi="Times New Roman" w:cs="Times New Roman" w:eastAsia="Times New Roman" w:hint="default"/>
          <w:w w:val="99"/>
        </w:rPr>
        <w:t> </w:t>
      </w:r>
      <w:r>
        <w:rPr>
          <w:spacing w:val="-1"/>
        </w:rPr>
        <w:t>股）股票</w:t>
      </w:r>
      <w:r>
        <w:rPr>
          <w:rFonts w:ascii="Times New Roman" w:hAnsi="Times New Roman" w:cs="Times New Roman" w:eastAsia="Times New Roman" w:hint="default"/>
          <w:spacing w:val="-1"/>
        </w:rPr>
        <w:t>3,160</w:t>
      </w:r>
      <w:r>
        <w:rPr>
          <w:spacing w:val="-1"/>
        </w:rPr>
        <w:t>万股并在深圳交易所创业板上市交易。</w:t>
      </w:r>
      <w:r>
        <w:rPr>
          <w:rFonts w:ascii="Times New Roman" w:hAnsi="Times New Roman" w:cs="Times New Roman" w:eastAsia="Times New Roman" w:hint="default"/>
          <w:spacing w:val="-1"/>
        </w:rPr>
        <w:t>2009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4</w:t>
      </w:r>
      <w:r>
        <w:rPr>
          <w:spacing w:val="-1"/>
        </w:rPr>
        <w:t>日，由北京市工商行政管理局换发企业法人营业执照，注</w:t>
      </w:r>
      <w:r>
        <w:rPr>
          <w:spacing w:val="-70"/>
        </w:rPr>
        <w:t> </w:t>
      </w:r>
      <w:r>
        <w:rPr>
          <w:spacing w:val="-70"/>
        </w:rPr>
      </w:r>
      <w:r>
        <w:rPr/>
        <w:t>册号</w:t>
      </w:r>
      <w:r>
        <w:rPr>
          <w:rFonts w:ascii="Times New Roman" w:hAnsi="Times New Roman" w:cs="Times New Roman" w:eastAsia="Times New Roman" w:hint="default"/>
        </w:rPr>
        <w:t>110000002700930</w:t>
      </w:r>
      <w:r>
        <w:rPr/>
        <w:t>。</w:t>
      </w:r>
    </w:p>
    <w:p>
      <w:pPr>
        <w:pStyle w:val="BodyText"/>
        <w:spacing w:line="451" w:lineRule="auto" w:before="43"/>
        <w:ind w:left="1134" w:right="1130" w:firstLine="360"/>
        <w:jc w:val="both"/>
      </w:pP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8</w:t>
      </w:r>
      <w:r>
        <w:rPr>
          <w:spacing w:val="-1"/>
        </w:rPr>
        <w:t>日，经公司</w:t>
      </w:r>
      <w:r>
        <w:rPr>
          <w:rFonts w:ascii="Times New Roman" w:hAnsi="Times New Roman" w:cs="Times New Roman" w:eastAsia="Times New Roman" w:hint="default"/>
          <w:spacing w:val="-1"/>
        </w:rPr>
        <w:t>2009</w:t>
      </w:r>
      <w:r>
        <w:rPr>
          <w:spacing w:val="-1"/>
        </w:rPr>
        <w:t>年度股东大会决议通过，以</w:t>
      </w:r>
      <w:r>
        <w:rPr>
          <w:rFonts w:ascii="Times New Roman" w:hAnsi="Times New Roman" w:cs="Times New Roman" w:eastAsia="Times New Roman" w:hint="default"/>
          <w:spacing w:val="-1"/>
        </w:rPr>
        <w:t>2009</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日公司总股本</w:t>
      </w:r>
      <w:r>
        <w:rPr>
          <w:rFonts w:ascii="Times New Roman" w:hAnsi="Times New Roman" w:cs="Times New Roman" w:eastAsia="Times New Roman" w:hint="default"/>
          <w:spacing w:val="-1"/>
        </w:rPr>
        <w:t>12,640</w:t>
      </w:r>
      <w:r>
        <w:rPr>
          <w:spacing w:val="-1"/>
        </w:rPr>
        <w:t>万股为基数，以资本公积金向</w:t>
      </w:r>
      <w:r>
        <w:rPr/>
        <w:t> 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15</w:t>
      </w:r>
      <w:r>
        <w:rPr/>
        <w:t>股，合计转增股本</w:t>
      </w:r>
      <w:r>
        <w:rPr>
          <w:rFonts w:ascii="Times New Roman" w:hAnsi="Times New Roman" w:cs="Times New Roman" w:eastAsia="Times New Roman" w:hint="default"/>
        </w:rPr>
        <w:t>18,960</w:t>
      </w:r>
      <w:r>
        <w:rPr/>
        <w:t>万股。</w:t>
      </w:r>
    </w:p>
    <w:p>
      <w:pPr>
        <w:pStyle w:val="BodyText"/>
        <w:spacing w:line="451" w:lineRule="auto" w:before="43"/>
        <w:ind w:left="1134" w:right="1130" w:firstLine="360"/>
        <w:jc w:val="both"/>
      </w:pP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4</w:t>
      </w:r>
      <w:r>
        <w:rPr>
          <w:spacing w:val="-1"/>
        </w:rPr>
        <w:t>月</w:t>
      </w:r>
      <w:r>
        <w:rPr>
          <w:rFonts w:ascii="Times New Roman" w:hAnsi="Times New Roman" w:cs="Times New Roman" w:eastAsia="Times New Roman" w:hint="default"/>
          <w:spacing w:val="-1"/>
        </w:rPr>
        <w:t>8</w:t>
      </w:r>
      <w:r>
        <w:rPr>
          <w:spacing w:val="-1"/>
        </w:rPr>
        <w:t>日，经公司</w:t>
      </w:r>
      <w:r>
        <w:rPr>
          <w:rFonts w:ascii="Times New Roman" w:hAnsi="Times New Roman" w:cs="Times New Roman" w:eastAsia="Times New Roman" w:hint="default"/>
          <w:spacing w:val="-1"/>
        </w:rPr>
        <w:t>2010</w:t>
      </w:r>
      <w:r>
        <w:rPr>
          <w:spacing w:val="-1"/>
        </w:rPr>
        <w:t>年度股东大会决议通过，以</w:t>
      </w:r>
      <w:r>
        <w:rPr>
          <w:rFonts w:ascii="Times New Roman" w:hAnsi="Times New Roman" w:cs="Times New Roman" w:eastAsia="Times New Roman" w:hint="default"/>
          <w:spacing w:val="-1"/>
        </w:rPr>
        <w:t>2010</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日公司总股本</w:t>
      </w:r>
      <w:r>
        <w:rPr>
          <w:rFonts w:ascii="Times New Roman" w:hAnsi="Times New Roman" w:cs="Times New Roman" w:eastAsia="Times New Roman" w:hint="default"/>
          <w:spacing w:val="-1"/>
        </w:rPr>
        <w:t>31,600</w:t>
      </w:r>
      <w:r>
        <w:rPr>
          <w:spacing w:val="-1"/>
        </w:rPr>
        <w:t>万股为基数，以资本公积金向</w:t>
      </w:r>
      <w:r>
        <w:rPr/>
        <w:t> 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2</w:t>
      </w:r>
      <w:r>
        <w:rPr/>
        <w:t>股，合计转增股本</w:t>
      </w:r>
      <w:r>
        <w:rPr>
          <w:rFonts w:ascii="Times New Roman" w:hAnsi="Times New Roman" w:cs="Times New Roman" w:eastAsia="Times New Roman" w:hint="default"/>
        </w:rPr>
        <w:t>6,320</w:t>
      </w:r>
      <w:r>
        <w:rPr/>
        <w:t>万股。</w:t>
      </w:r>
    </w:p>
    <w:p>
      <w:pPr>
        <w:pStyle w:val="BodyText"/>
        <w:spacing w:line="451" w:lineRule="auto" w:before="43"/>
        <w:ind w:left="1134" w:right="1131" w:firstLine="360"/>
        <w:jc w:val="both"/>
      </w:pP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7</w:t>
      </w:r>
      <w:r>
        <w:rPr>
          <w:spacing w:val="-2"/>
        </w:rPr>
        <w:t>日，公司</w:t>
      </w:r>
      <w:r>
        <w:rPr>
          <w:rFonts w:ascii="Times New Roman" w:hAnsi="Times New Roman" w:cs="Times New Roman" w:eastAsia="Times New Roman" w:hint="default"/>
          <w:spacing w:val="-2"/>
        </w:rPr>
        <w:t>2012</w:t>
      </w:r>
      <w:r>
        <w:rPr>
          <w:spacing w:val="-2"/>
        </w:rPr>
        <w:t>年第一次临时股东大会决议通过《北京神州泰岳软件股份有限公司股票期权与限制性股票激励</w:t>
      </w:r>
      <w:r>
        <w:rPr/>
        <w:t> </w:t>
      </w:r>
      <w:r>
        <w:rPr>
          <w:spacing w:val="-1"/>
        </w:rPr>
        <w:t>计划》，向</w:t>
      </w:r>
      <w:r>
        <w:rPr>
          <w:rFonts w:ascii="Times New Roman" w:hAnsi="Times New Roman" w:cs="Times New Roman" w:eastAsia="Times New Roman" w:hint="default"/>
          <w:spacing w:val="-1"/>
        </w:rPr>
        <w:t>185</w:t>
      </w:r>
      <w:r>
        <w:rPr>
          <w:spacing w:val="-1"/>
        </w:rPr>
        <w:t>名自然人发行限制性股票</w:t>
      </w:r>
      <w:r>
        <w:rPr>
          <w:rFonts w:ascii="Times New Roman" w:hAnsi="Times New Roman" w:cs="Times New Roman" w:eastAsia="Times New Roman" w:hint="default"/>
          <w:spacing w:val="-1"/>
        </w:rPr>
        <w:t>418.37</w:t>
      </w:r>
      <w:r>
        <w:rPr>
          <w:spacing w:val="-1"/>
        </w:rPr>
        <w:t>万股。</w:t>
      </w:r>
      <w:r>
        <w:rPr>
          <w:rFonts w:ascii="Times New Roman" w:hAnsi="Times New Roman" w:cs="Times New Roman" w:eastAsia="Times New Roman" w:hint="default"/>
          <w:spacing w:val="-1"/>
        </w:rPr>
        <w:t>2012</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5</w:t>
      </w:r>
      <w:r>
        <w:rPr>
          <w:spacing w:val="-1"/>
        </w:rPr>
        <w:t>日，由北京市工商行政管理局换发企业法人营业执照，注</w:t>
      </w:r>
    </w:p>
    <w:p>
      <w:pPr>
        <w:spacing w:after="0" w:line="451"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t>册号</w:t>
      </w:r>
      <w:r>
        <w:rPr>
          <w:rFonts w:ascii="Times New Roman" w:hAnsi="Times New Roman" w:cs="Times New Roman" w:eastAsia="Times New Roman" w:hint="default"/>
        </w:rPr>
        <w:t>110000002700930</w:t>
      </w:r>
      <w:r>
        <w:rPr/>
        <w:t>。</w:t>
      </w:r>
    </w:p>
    <w:p>
      <w:pPr>
        <w:spacing w:line="240" w:lineRule="auto" w:before="9"/>
        <w:rPr>
          <w:rFonts w:ascii="宋体" w:hAnsi="宋体" w:cs="宋体" w:eastAsia="宋体" w:hint="default"/>
          <w:sz w:val="16"/>
          <w:szCs w:val="16"/>
        </w:rPr>
      </w:pPr>
    </w:p>
    <w:p>
      <w:pPr>
        <w:pStyle w:val="BodyText"/>
        <w:spacing w:line="451" w:lineRule="auto"/>
        <w:ind w:right="1129" w:firstLine="360"/>
        <w:jc w:val="both"/>
      </w:pPr>
      <w:r>
        <w:rPr>
          <w:rFonts w:ascii="Times New Roman" w:hAnsi="Times New Roman" w:cs="Times New Roman" w:eastAsia="Times New Roman" w:hint="default"/>
        </w:rPr>
        <w:t>2013</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20</w:t>
      </w:r>
      <w:r>
        <w:rPr/>
        <w:t>日，公司</w:t>
      </w:r>
      <w:r>
        <w:rPr>
          <w:rFonts w:ascii="Times New Roman" w:hAnsi="Times New Roman" w:cs="Times New Roman" w:eastAsia="Times New Roman" w:hint="default"/>
        </w:rPr>
        <w:t>2012</w:t>
      </w:r>
      <w:r>
        <w:rPr/>
        <w:t>年度股东大会决议审议通过了《</w:t>
      </w:r>
      <w:r>
        <w:rPr>
          <w:rFonts w:ascii="Times New Roman" w:hAnsi="Times New Roman" w:cs="Times New Roman" w:eastAsia="Times New Roman" w:hint="default"/>
        </w:rPr>
        <w:t>2012</w:t>
      </w:r>
      <w:r>
        <w:rPr/>
        <w:t>年度利润分配及资本公积金转增股本预案》，截止</w:t>
      </w:r>
      <w:r>
        <w:rPr>
          <w:rFonts w:ascii="Times New Roman" w:hAnsi="Times New Roman" w:cs="Times New Roman" w:eastAsia="Times New Roman" w:hint="default"/>
        </w:rPr>
        <w:t>2012 </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日，母公司资本公积金为</w:t>
      </w:r>
      <w:r>
        <w:rPr>
          <w:rFonts w:ascii="Times New Roman" w:hAnsi="Times New Roman" w:cs="Times New Roman" w:eastAsia="Times New Roman" w:hint="default"/>
          <w:spacing w:val="-2"/>
        </w:rPr>
        <w:t>1,556,513,432.57</w:t>
      </w:r>
      <w:r>
        <w:rPr>
          <w:spacing w:val="-2"/>
        </w:rPr>
        <w:t>元，本次以</w:t>
      </w:r>
      <w:r>
        <w:rPr>
          <w:rFonts w:ascii="Times New Roman" w:hAnsi="Times New Roman" w:cs="Times New Roman" w:eastAsia="Times New Roman" w:hint="default"/>
          <w:spacing w:val="-2"/>
        </w:rPr>
        <w:t>2012</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日公司总股本</w:t>
      </w:r>
      <w:r>
        <w:rPr>
          <w:rFonts w:ascii="Times New Roman" w:hAnsi="Times New Roman" w:cs="Times New Roman" w:eastAsia="Times New Roman" w:hint="default"/>
          <w:spacing w:val="-2"/>
        </w:rPr>
        <w:t>38,338.37</w:t>
      </w:r>
      <w:r>
        <w:rPr>
          <w:spacing w:val="-2"/>
        </w:rPr>
        <w:t>万股为基数，由资本公积</w:t>
      </w:r>
      <w:r>
        <w:rPr>
          <w:spacing w:val="-30"/>
        </w:rPr>
        <w:t> </w:t>
      </w:r>
      <w:r>
        <w:rPr>
          <w:spacing w:val="-30"/>
        </w:rPr>
      </w:r>
      <w:r>
        <w:rPr/>
        <w:t>金向全体股东每</w:t>
      </w:r>
      <w:r>
        <w:rPr>
          <w:rFonts w:ascii="Times New Roman" w:hAnsi="Times New Roman" w:cs="Times New Roman" w:eastAsia="Times New Roman" w:hint="default"/>
        </w:rPr>
        <w:t>10</w:t>
      </w:r>
      <w:r>
        <w:rPr>
          <w:rFonts w:ascii="Times New Roman" w:hAnsi="Times New Roman" w:cs="Times New Roman" w:eastAsia="Times New Roman" w:hint="default"/>
          <w:spacing w:val="38"/>
        </w:rPr>
        <w:t> </w:t>
      </w:r>
      <w:r>
        <w:rPr>
          <w:spacing w:val="-4"/>
        </w:rPr>
        <w:t>股转增</w:t>
      </w:r>
      <w:r>
        <w:rPr>
          <w:rFonts w:ascii="Times New Roman" w:hAnsi="Times New Roman" w:cs="Times New Roman" w:eastAsia="Times New Roman" w:hint="default"/>
          <w:spacing w:val="-4"/>
        </w:rPr>
        <w:t>6</w:t>
      </w:r>
      <w:r>
        <w:rPr>
          <w:spacing w:val="-4"/>
        </w:rPr>
        <w:t>股，合计转增</w:t>
      </w:r>
      <w:r>
        <w:rPr>
          <w:rFonts w:ascii="Times New Roman" w:hAnsi="Times New Roman" w:cs="Times New Roman" w:eastAsia="Times New Roman" w:hint="default"/>
          <w:spacing w:val="-4"/>
        </w:rPr>
        <w:t>23,003.02</w:t>
      </w:r>
      <w:r>
        <w:rPr>
          <w:spacing w:val="-4"/>
        </w:rPr>
        <w:t>万股。</w:t>
      </w:r>
      <w:r>
        <w:rPr>
          <w:rFonts w:ascii="Times New Roman" w:hAnsi="Times New Roman" w:cs="Times New Roman" w:eastAsia="Times New Roman" w:hint="default"/>
          <w:spacing w:val="-4"/>
        </w:rPr>
        <w:t>2013</w:t>
      </w:r>
      <w:r>
        <w:rPr>
          <w:spacing w:val="-4"/>
        </w:rPr>
        <w:t>年</w:t>
      </w:r>
      <w:r>
        <w:rPr>
          <w:rFonts w:ascii="Times New Roman" w:hAnsi="Times New Roman" w:cs="Times New Roman" w:eastAsia="Times New Roman" w:hint="default"/>
          <w:spacing w:val="-4"/>
        </w:rPr>
        <w:t>6</w:t>
      </w:r>
      <w:r>
        <w:rPr>
          <w:spacing w:val="-4"/>
        </w:rPr>
        <w:t>月</w:t>
      </w:r>
      <w:r>
        <w:rPr>
          <w:rFonts w:ascii="Times New Roman" w:hAnsi="Times New Roman" w:cs="Times New Roman" w:eastAsia="Times New Roman" w:hint="default"/>
          <w:spacing w:val="-4"/>
        </w:rPr>
        <w:t>19</w:t>
      </w:r>
      <w:r>
        <w:rPr>
          <w:spacing w:val="-4"/>
        </w:rPr>
        <w:t>日，由北京市工商行政管理局换发企业法人营业执照，</w:t>
      </w:r>
      <w:r>
        <w:rPr>
          <w:spacing w:val="-85"/>
        </w:rPr>
        <w:t> </w:t>
      </w:r>
      <w:r>
        <w:rPr>
          <w:spacing w:val="-85"/>
        </w:rPr>
      </w:r>
      <w:r>
        <w:rPr/>
        <w:t>注册号</w:t>
      </w:r>
      <w:r>
        <w:rPr>
          <w:rFonts w:ascii="Times New Roman" w:hAnsi="Times New Roman" w:cs="Times New Roman" w:eastAsia="Times New Roman" w:hint="default"/>
        </w:rPr>
        <w:t>110000002700930</w:t>
      </w:r>
      <w:r>
        <w:rPr/>
        <w:t>。</w:t>
      </w:r>
    </w:p>
    <w:p>
      <w:pPr>
        <w:pStyle w:val="BodyText"/>
        <w:spacing w:line="458" w:lineRule="auto" w:before="43"/>
        <w:ind w:right="1129" w:firstLine="360"/>
        <w:jc w:val="both"/>
      </w:pPr>
      <w:r>
        <w:rPr>
          <w:rFonts w:ascii="Times New Roman" w:hAnsi="Times New Roman" w:cs="Times New Roman" w:eastAsia="Times New Roman" w:hint="default"/>
        </w:rPr>
        <w:t>2013</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日，公司第五届董事会第六次会议审议通过了《关于回购注销部分已不符合激励条件的原激励对象已获授 </w:t>
      </w:r>
      <w:r>
        <w:rPr>
          <w:spacing w:val="-2"/>
        </w:rPr>
        <w:t>的限制性股票的议案》。由于部分原激励对象因个人原因已离职，根据相关规定，其已不具备激励对象资格，公司对该等原</w:t>
      </w:r>
      <w:r>
        <w:rPr>
          <w:spacing w:val="-66"/>
        </w:rPr>
        <w:t> </w:t>
      </w:r>
      <w:r>
        <w:rPr>
          <w:spacing w:val="-66"/>
        </w:rPr>
      </w:r>
      <w:r>
        <w:rPr/>
        <w:t>激励对象获授的限制性股票全部注销回购，回购数量为</w:t>
      </w:r>
      <w:r>
        <w:rPr>
          <w:rFonts w:ascii="Times New Roman" w:hAnsi="Times New Roman" w:cs="Times New Roman" w:eastAsia="Times New Roman" w:hint="default"/>
        </w:rPr>
        <w:t>280,800</w:t>
      </w:r>
      <w:r>
        <w:rPr/>
        <w:t>股，回购价格为</w:t>
      </w:r>
      <w:r>
        <w:rPr>
          <w:rFonts w:ascii="Times New Roman" w:hAnsi="Times New Roman" w:cs="Times New Roman" w:eastAsia="Times New Roman" w:hint="default"/>
        </w:rPr>
        <w:t>5.36</w:t>
      </w:r>
      <w:r>
        <w:rPr/>
        <w:t>元</w:t>
      </w:r>
      <w:r>
        <w:rPr>
          <w:rFonts w:ascii="Times New Roman" w:hAnsi="Times New Roman" w:cs="Times New Roman" w:eastAsia="Times New Roman" w:hint="default"/>
        </w:rPr>
        <w:t>/</w:t>
      </w:r>
      <w:r>
        <w:rPr/>
        <w:t>股。注销完成后，公司注册资本由人</w:t>
      </w:r>
      <w:r>
        <w:rPr>
          <w:spacing w:val="-49"/>
        </w:rPr>
        <w:t> </w:t>
      </w:r>
      <w:r>
        <w:rPr>
          <w:spacing w:val="-49"/>
        </w:rPr>
      </w:r>
      <w:r>
        <w:rPr/>
        <w:t>民币</w:t>
      </w:r>
      <w:r>
        <w:rPr>
          <w:rFonts w:ascii="Times New Roman" w:hAnsi="Times New Roman" w:cs="Times New Roman" w:eastAsia="Times New Roman" w:hint="default"/>
        </w:rPr>
        <w:t>613,413,920</w:t>
      </w:r>
      <w:r>
        <w:rPr/>
        <w:t>元减少至人民币</w:t>
      </w:r>
      <w:r>
        <w:rPr>
          <w:rFonts w:ascii="Times New Roman" w:hAnsi="Times New Roman" w:cs="Times New Roman" w:eastAsia="Times New Roman" w:hint="default"/>
        </w:rPr>
        <w:t>613,133,120</w:t>
      </w:r>
      <w:r>
        <w:rPr/>
        <w:t>元；公司股份总数由人民币普通股</w:t>
      </w:r>
      <w:r>
        <w:rPr>
          <w:rFonts w:ascii="Times New Roman" w:hAnsi="Times New Roman" w:cs="Times New Roman" w:eastAsia="Times New Roman" w:hint="default"/>
        </w:rPr>
        <w:t>613,413,920</w:t>
      </w:r>
      <w:r>
        <w:rPr/>
        <w:t>股减少至</w:t>
      </w:r>
      <w:r>
        <w:rPr>
          <w:rFonts w:ascii="Times New Roman" w:hAnsi="Times New Roman" w:cs="Times New Roman" w:eastAsia="Times New Roman" w:hint="default"/>
        </w:rPr>
        <w:t>613,133,120</w:t>
      </w:r>
      <w:r>
        <w:rPr/>
        <w:t>股。</w:t>
      </w:r>
    </w:p>
    <w:p>
      <w:pPr>
        <w:pStyle w:val="BodyText"/>
        <w:spacing w:line="451" w:lineRule="auto" w:before="37"/>
        <w:ind w:right="1131" w:firstLine="360"/>
        <w:jc w:val="both"/>
      </w:pPr>
      <w:r>
        <w:rPr>
          <w:rFonts w:ascii="Times New Roman" w:hAnsi="Times New Roman" w:cs="Times New Roman" w:eastAsia="Times New Roman" w:hint="default"/>
        </w:rPr>
        <w:t>2013</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21</w:t>
      </w:r>
      <w:r>
        <w:rPr/>
        <w:t>日，根据公司</w:t>
      </w:r>
      <w:r>
        <w:rPr>
          <w:rFonts w:ascii="Times New Roman" w:hAnsi="Times New Roman" w:cs="Times New Roman" w:eastAsia="Times New Roman" w:hint="default"/>
        </w:rPr>
        <w:t>2013</w:t>
      </w:r>
      <w:r>
        <w:rPr/>
        <w:t>年第二次临时股东大会审议通过的《公司注册资本变更的议案》和《关于修改</w:t>
      </w:r>
      <w:r>
        <w:rPr>
          <w:rFonts w:ascii="Times New Roman" w:hAnsi="Times New Roman" w:cs="Times New Roman" w:eastAsia="Times New Roman" w:hint="default"/>
        </w:rPr>
        <w:t>&lt;</w:t>
      </w:r>
      <w:r>
        <w:rPr/>
        <w:t>公司章 程</w:t>
      </w:r>
      <w:r>
        <w:rPr>
          <w:rFonts w:ascii="Times New Roman" w:hAnsi="Times New Roman" w:cs="Times New Roman" w:eastAsia="Times New Roman" w:hint="default"/>
        </w:rPr>
        <w:t>&gt;</w:t>
      </w:r>
      <w:r>
        <w:rPr/>
        <w:t>的议案》，公司已完成相应的工商变更登记手续，并取得了北京市工商行政管理局换发的《企业法人营业执照》，注册 号为</w:t>
      </w:r>
      <w:r>
        <w:rPr>
          <w:rFonts w:ascii="Times New Roman" w:hAnsi="Times New Roman" w:cs="Times New Roman" w:eastAsia="Times New Roman" w:hint="default"/>
        </w:rPr>
        <w:t>110000002700930</w:t>
      </w:r>
      <w:r>
        <w:rPr/>
        <w:t>。</w:t>
      </w:r>
    </w:p>
    <w:p>
      <w:pPr>
        <w:pStyle w:val="BodyText"/>
        <w:spacing w:line="451" w:lineRule="auto" w:before="43"/>
        <w:ind w:right="1131" w:firstLine="360"/>
        <w:jc w:val="both"/>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9</w:t>
      </w:r>
      <w:r>
        <w:rPr/>
        <w:t>日，公司</w:t>
      </w:r>
      <w:r>
        <w:rPr>
          <w:rFonts w:ascii="Times New Roman" w:hAnsi="Times New Roman" w:cs="Times New Roman" w:eastAsia="Times New Roman" w:hint="default"/>
        </w:rPr>
        <w:t>2013</w:t>
      </w:r>
      <w:r>
        <w:rPr/>
        <w:t>年度股东大会审议通过《关于修改</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的议案》，因公司股权激励计划之股票期权行 </w:t>
      </w:r>
      <w:r>
        <w:rPr>
          <w:spacing w:val="5"/>
        </w:rPr>
        <w:t>权而增加股份数为</w:t>
      </w:r>
      <w:r>
        <w:rPr>
          <w:rFonts w:ascii="Times New Roman" w:hAnsi="Times New Roman" w:cs="Times New Roman" w:eastAsia="Times New Roman" w:hint="default"/>
          <w:spacing w:val="5"/>
        </w:rPr>
        <w:t>2,083,264</w:t>
      </w:r>
      <w:r>
        <w:rPr>
          <w:spacing w:val="5"/>
        </w:rPr>
        <w:t>股；同时，根据公司《</w:t>
      </w:r>
      <w:r>
        <w:rPr>
          <w:rFonts w:ascii="Times New Roman" w:hAnsi="Times New Roman" w:cs="Times New Roman" w:eastAsia="Times New Roman" w:hint="default"/>
          <w:spacing w:val="5"/>
        </w:rPr>
        <w:t>2013</w:t>
      </w:r>
      <w:r>
        <w:rPr>
          <w:spacing w:val="5"/>
        </w:rPr>
        <w:t>年度利润分配及转增股本预案》，以公司</w:t>
      </w:r>
      <w:r>
        <w:rPr>
          <w:rFonts w:ascii="Times New Roman" w:hAnsi="Times New Roman" w:cs="Times New Roman" w:eastAsia="Times New Roman" w:hint="default"/>
          <w:spacing w:val="5"/>
        </w:rPr>
        <w:t>2014</w:t>
      </w:r>
      <w:r>
        <w:rPr>
          <w:spacing w:val="5"/>
        </w:rPr>
        <w:t>年</w:t>
      </w:r>
      <w:r>
        <w:rPr>
          <w:rFonts w:ascii="Times New Roman" w:hAnsi="Times New Roman" w:cs="Times New Roman" w:eastAsia="Times New Roman" w:hint="default"/>
          <w:spacing w:val="5"/>
        </w:rPr>
        <w:t>2</w:t>
      </w:r>
      <w:r>
        <w:rPr>
          <w:spacing w:val="5"/>
        </w:rPr>
        <w:t>月</w:t>
      </w:r>
      <w:r>
        <w:rPr>
          <w:rFonts w:ascii="Times New Roman" w:hAnsi="Times New Roman" w:cs="Times New Roman" w:eastAsia="Times New Roman" w:hint="default"/>
          <w:spacing w:val="5"/>
        </w:rPr>
        <w:t>28</w:t>
      </w:r>
      <w:r>
        <w:rPr>
          <w:spacing w:val="5"/>
        </w:rPr>
        <w:t>日总股本</w:t>
      </w:r>
      <w:r>
        <w:rPr>
          <w:spacing w:val="-47"/>
        </w:rPr>
        <w:t> </w:t>
      </w:r>
      <w:r>
        <w:rPr>
          <w:spacing w:val="-47"/>
        </w:rPr>
      </w:r>
      <w:r>
        <w:rPr>
          <w:rFonts w:ascii="Times New Roman" w:hAnsi="Times New Roman" w:cs="Times New Roman" w:eastAsia="Times New Roman" w:hint="default"/>
        </w:rPr>
        <w:t>615,216,384</w:t>
      </w:r>
      <w:r>
        <w:rPr/>
        <w:t>股为基数，向全体股东以每</w:t>
      </w:r>
      <w:r>
        <w:rPr>
          <w:rFonts w:ascii="Times New Roman" w:hAnsi="Times New Roman" w:cs="Times New Roman" w:eastAsia="Times New Roman" w:hint="default"/>
        </w:rPr>
        <w:t>10</w:t>
      </w:r>
      <w:r>
        <w:rPr/>
        <w:t>股派发现金红利</w:t>
      </w:r>
      <w:r>
        <w:rPr>
          <w:rFonts w:ascii="Times New Roman" w:hAnsi="Times New Roman" w:cs="Times New Roman" w:eastAsia="Times New Roman" w:hint="default"/>
        </w:rPr>
        <w:t>2.5</w:t>
      </w:r>
      <w:r>
        <w:rPr/>
        <w:t>元（含税），以资本公积金向全体股东每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10</w:t>
      </w:r>
      <w:r>
        <w:rPr/>
        <w:t>股，实施</w:t>
      </w:r>
      <w:r>
        <w:rPr>
          <w:spacing w:val="-45"/>
        </w:rPr>
        <w:t> </w:t>
      </w:r>
      <w:r>
        <w:rPr>
          <w:spacing w:val="-45"/>
        </w:rPr>
      </w:r>
      <w:r>
        <w:rPr>
          <w:spacing w:val="2"/>
        </w:rPr>
        <w:t>完成后公司注册资本增至</w:t>
      </w:r>
      <w:r>
        <w:rPr>
          <w:rFonts w:ascii="Times New Roman" w:hAnsi="Times New Roman" w:cs="Times New Roman" w:eastAsia="Times New Roman" w:hint="default"/>
          <w:spacing w:val="2"/>
        </w:rPr>
        <w:t>1,230,432,768.00</w:t>
      </w:r>
      <w:r>
        <w:rPr>
          <w:spacing w:val="2"/>
        </w:rPr>
        <w:t>元。</w:t>
      </w:r>
      <w:r>
        <w:rPr>
          <w:rFonts w:ascii="Times New Roman" w:hAnsi="Times New Roman" w:cs="Times New Roman" w:eastAsia="Times New Roman" w:hint="default"/>
          <w:spacing w:val="2"/>
        </w:rPr>
        <w:t>2014</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25</w:t>
      </w:r>
      <w:r>
        <w:rPr>
          <w:spacing w:val="2"/>
        </w:rPr>
        <w:t>日，由北京市工商行政管理局换发企业法人营业执照，注册号</w:t>
      </w:r>
      <w:r>
        <w:rPr>
          <w:spacing w:val="-64"/>
        </w:rPr>
        <w:t> </w:t>
      </w:r>
      <w:r>
        <w:rPr>
          <w:spacing w:val="-64"/>
        </w:rPr>
      </w:r>
      <w:r>
        <w:rPr>
          <w:rFonts w:ascii="Times New Roman" w:hAnsi="Times New Roman" w:cs="Times New Roman" w:eastAsia="Times New Roman" w:hint="default"/>
        </w:rPr>
        <w:t>110000002700930</w:t>
      </w:r>
      <w:r>
        <w:rPr/>
        <w:t>。</w:t>
      </w:r>
    </w:p>
    <w:p>
      <w:pPr>
        <w:pStyle w:val="BodyText"/>
        <w:spacing w:line="451" w:lineRule="auto" w:before="43"/>
        <w:ind w:right="1127" w:firstLine="360"/>
        <w:jc w:val="both"/>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27</w:t>
      </w:r>
      <w:r>
        <w:rPr>
          <w:spacing w:val="-1"/>
        </w:rPr>
        <w:t>日，公司</w:t>
      </w:r>
      <w:r>
        <w:rPr>
          <w:rFonts w:ascii="Times New Roman" w:hAnsi="Times New Roman" w:cs="Times New Roman" w:eastAsia="Times New Roman" w:hint="default"/>
          <w:spacing w:val="-1"/>
        </w:rPr>
        <w:t>2014</w:t>
      </w:r>
      <w:r>
        <w:rPr>
          <w:spacing w:val="-1"/>
        </w:rPr>
        <w:t>年第一次临时股东大会审议通过《关于变更公司注册资本的议案》、《关于修改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rFonts w:ascii="Times New Roman" w:hAnsi="Times New Roman" w:cs="Times New Roman" w:eastAsia="Times New Roman" w:hint="default"/>
        </w:rPr>
        <w:t> </w:t>
      </w:r>
      <w:r>
        <w:rPr/>
        <w:t>的议案》，公司因发行股份及支付现金购买资产的相关股份上市手续已办理完毕，公司股本增加了</w:t>
      </w:r>
      <w:r>
        <w:rPr>
          <w:rFonts w:ascii="Times New Roman" w:hAnsi="Times New Roman" w:cs="Times New Roman" w:eastAsia="Times New Roman" w:hint="default"/>
        </w:rPr>
        <w:t>92,756,183</w:t>
      </w:r>
      <w:r>
        <w:rPr/>
        <w:t>股，公司股份</w:t>
      </w:r>
      <w:r>
        <w:rPr>
          <w:spacing w:val="-84"/>
        </w:rPr>
        <w:t> </w:t>
      </w:r>
      <w:r>
        <w:rPr>
          <w:spacing w:val="-84"/>
        </w:rPr>
      </w:r>
      <w:r>
        <w:rPr/>
        <w:t>总数由</w:t>
      </w:r>
      <w:r>
        <w:rPr>
          <w:rFonts w:ascii="Times New Roman" w:hAnsi="Times New Roman" w:cs="Times New Roman" w:eastAsia="Times New Roman" w:hint="default"/>
        </w:rPr>
        <w:t>1,230,432,768.00</w:t>
      </w:r>
      <w:r>
        <w:rPr/>
        <w:t>股变更为</w:t>
      </w:r>
      <w:r>
        <w:rPr>
          <w:rFonts w:ascii="Times New Roman" w:hAnsi="Times New Roman" w:cs="Times New Roman" w:eastAsia="Times New Roman" w:hint="default"/>
        </w:rPr>
        <w:t>1,323,188,951</w:t>
      </w:r>
      <w:r>
        <w:rPr/>
        <w:t>股，注册资本由人民币</w:t>
      </w:r>
      <w:r>
        <w:rPr>
          <w:rFonts w:ascii="Times New Roman" w:hAnsi="Times New Roman" w:cs="Times New Roman" w:eastAsia="Times New Roman" w:hint="default"/>
        </w:rPr>
        <w:t>1,230,432,768.00</w:t>
      </w:r>
      <w:r>
        <w:rPr/>
        <w:t>元变更为人民币</w:t>
      </w:r>
      <w:r>
        <w:rPr>
          <w:rFonts w:ascii="Times New Roman" w:hAnsi="Times New Roman" w:cs="Times New Roman" w:eastAsia="Times New Roman" w:hint="default"/>
        </w:rPr>
        <w:t>1,323,188,951.00</w:t>
      </w:r>
      <w:r>
        <w:rPr/>
        <w:t>元。</w:t>
      </w:r>
    </w:p>
    <w:p>
      <w:pPr>
        <w:pStyle w:val="BodyText"/>
        <w:spacing w:line="240" w:lineRule="auto" w:before="43"/>
        <w:ind w:right="0"/>
        <w:jc w:val="left"/>
      </w:pPr>
      <w:r>
        <w:rPr>
          <w:rFonts w:ascii="Times New Roman" w:hAnsi="Times New Roman" w:cs="Times New Roman" w:eastAsia="Times New Roman" w:hint="default"/>
        </w:rPr>
        <w:t>2014</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14</w:t>
      </w:r>
      <w:r>
        <w:rPr/>
        <w:t>日，由北京市工商行政管理局换发企业法人营业执照，注册号</w:t>
      </w:r>
      <w:r>
        <w:rPr>
          <w:rFonts w:ascii="Times New Roman" w:hAnsi="Times New Roman" w:cs="Times New Roman" w:eastAsia="Times New Roman" w:hint="default"/>
        </w:rPr>
        <w:t>110000002700930</w:t>
      </w:r>
      <w:r>
        <w:rPr/>
        <w:t>。</w:t>
      </w:r>
    </w:p>
    <w:p>
      <w:pPr>
        <w:spacing w:line="240" w:lineRule="auto" w:before="9"/>
        <w:rPr>
          <w:rFonts w:ascii="宋体" w:hAnsi="宋体" w:cs="宋体" w:eastAsia="宋体" w:hint="default"/>
          <w:sz w:val="16"/>
          <w:szCs w:val="16"/>
        </w:rPr>
      </w:pPr>
    </w:p>
    <w:p>
      <w:pPr>
        <w:pStyle w:val="BodyText"/>
        <w:spacing w:line="463" w:lineRule="auto"/>
        <w:ind w:left="1134" w:right="1129" w:firstLine="360"/>
        <w:jc w:val="both"/>
      </w:pPr>
      <w:r>
        <w:rPr>
          <w:rFonts w:ascii="Times New Roman" w:hAnsi="Times New Roman" w:cs="Times New Roman" w:eastAsia="Times New Roman" w:hint="default"/>
          <w:spacing w:val="-1"/>
        </w:rPr>
        <w:t>2014</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3</w:t>
      </w:r>
      <w:r>
        <w:rPr>
          <w:spacing w:val="-1"/>
        </w:rPr>
        <w:t>日，公司</w:t>
      </w:r>
      <w:r>
        <w:rPr>
          <w:rFonts w:ascii="Times New Roman" w:hAnsi="Times New Roman" w:cs="Times New Roman" w:eastAsia="Times New Roman" w:hint="default"/>
          <w:spacing w:val="-1"/>
        </w:rPr>
        <w:t>2014</w:t>
      </w:r>
      <w:r>
        <w:rPr>
          <w:spacing w:val="-1"/>
        </w:rPr>
        <w:t>年第二次临时股东大会审议通过了《关于修改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的议案》，因公司股权激励计划第</w:t>
      </w:r>
      <w:r>
        <w:rPr/>
        <w:t> </w:t>
      </w:r>
      <w:r>
        <w:rPr>
          <w:spacing w:val="14"/>
        </w:rPr>
        <w:t>一个行权期激励对象行权、</w:t>
      </w:r>
      <w:r>
        <w:rPr>
          <w:spacing w:val="-68"/>
        </w:rPr>
        <w:t> </w:t>
      </w:r>
      <w:r>
        <w:rPr>
          <w:spacing w:val="15"/>
        </w:rPr>
        <w:t>回购注销不符合激励条件的原激励对象已获授的限制性股票等原因，</w:t>
      </w:r>
      <w:r>
        <w:rPr>
          <w:spacing w:val="-68"/>
        </w:rPr>
        <w:t> </w:t>
      </w:r>
      <w:r>
        <w:rPr>
          <w:spacing w:val="14"/>
        </w:rPr>
        <w:t>公司股份总数由</w:t>
      </w:r>
      <w:r>
        <w:rPr>
          <w:spacing w:val="-74"/>
        </w:rPr>
        <w:t> </w:t>
      </w:r>
      <w:r>
        <w:rPr>
          <w:spacing w:val="-74"/>
        </w:rPr>
      </w:r>
      <w:r>
        <w:rPr>
          <w:rFonts w:ascii="Times New Roman" w:hAnsi="Times New Roman" w:cs="Times New Roman" w:eastAsia="Times New Roman" w:hint="default"/>
        </w:rPr>
        <w:t>1,323,188,951</w:t>
      </w:r>
      <w:r>
        <w:rPr/>
        <w:t>股变更为</w:t>
      </w:r>
      <w:r>
        <w:rPr>
          <w:rFonts w:ascii="Times New Roman" w:hAnsi="Times New Roman" w:cs="Times New Roman" w:eastAsia="Times New Roman" w:hint="default"/>
        </w:rPr>
        <w:t>1,323,268,087</w:t>
      </w:r>
      <w:r>
        <w:rPr/>
        <w:t>股，注册资本由人民币</w:t>
      </w:r>
      <w:r>
        <w:rPr>
          <w:rFonts w:ascii="Times New Roman" w:hAnsi="Times New Roman" w:cs="Times New Roman" w:eastAsia="Times New Roman" w:hint="default"/>
        </w:rPr>
        <w:t>1,323,188,951.00</w:t>
      </w:r>
      <w:r>
        <w:rPr/>
        <w:t>元变更为人民币</w:t>
      </w:r>
      <w:r>
        <w:rPr>
          <w:rFonts w:ascii="Times New Roman" w:hAnsi="Times New Roman" w:cs="Times New Roman" w:eastAsia="Times New Roman" w:hint="default"/>
        </w:rPr>
        <w:t>1,323,268,087.00</w:t>
      </w:r>
      <w:r>
        <w:rPr/>
        <w:t>元。</w:t>
      </w:r>
      <w:r>
        <w:rPr>
          <w:rFonts w:ascii="Times New Roman" w:hAnsi="Times New Roman" w:cs="Times New Roman" w:eastAsia="Times New Roman" w:hint="default"/>
        </w:rPr>
        <w:t>2014</w:t>
      </w:r>
      <w:r>
        <w:rPr/>
        <w:t>年</w:t>
      </w:r>
      <w:r>
        <w:rPr>
          <w:rFonts w:ascii="Times New Roman" w:hAnsi="Times New Roman" w:cs="Times New Roman" w:eastAsia="Times New Roman" w:hint="default"/>
        </w:rPr>
        <w:t>11</w:t>
      </w:r>
      <w:r>
        <w:rPr/>
        <w:t>月</w:t>
      </w:r>
    </w:p>
    <w:p>
      <w:pPr>
        <w:pStyle w:val="BodyText"/>
        <w:spacing w:line="240" w:lineRule="auto" w:before="33"/>
        <w:ind w:right="0"/>
        <w:jc w:val="left"/>
      </w:pPr>
      <w:r>
        <w:rPr>
          <w:rFonts w:ascii="Times New Roman" w:hAnsi="Times New Roman" w:cs="Times New Roman" w:eastAsia="Times New Roman" w:hint="default"/>
        </w:rPr>
        <w:t>18</w:t>
      </w:r>
      <w:r>
        <w:rPr/>
        <w:t>日，由北京市工商行政管理局换发企业法人营业执照，注册号</w:t>
      </w:r>
      <w:r>
        <w:rPr>
          <w:rFonts w:ascii="Times New Roman" w:hAnsi="Times New Roman" w:cs="Times New Roman" w:eastAsia="Times New Roman" w:hint="default"/>
        </w:rPr>
        <w:t>110000002700930</w:t>
      </w:r>
      <w:r>
        <w:rPr/>
        <w:t>。</w:t>
      </w:r>
    </w:p>
    <w:p>
      <w:pPr>
        <w:spacing w:line="240" w:lineRule="auto" w:before="9"/>
        <w:rPr>
          <w:rFonts w:ascii="宋体" w:hAnsi="宋体" w:cs="宋体" w:eastAsia="宋体" w:hint="default"/>
          <w:sz w:val="16"/>
          <w:szCs w:val="16"/>
        </w:rPr>
      </w:pPr>
    </w:p>
    <w:p>
      <w:pPr>
        <w:pStyle w:val="BodyText"/>
        <w:spacing w:line="458" w:lineRule="auto"/>
        <w:ind w:right="1130" w:firstLine="360"/>
        <w:jc w:val="both"/>
      </w:pPr>
      <w:r>
        <w:rPr>
          <w:rFonts w:ascii="Times New Roman" w:hAnsi="Times New Roman" w:cs="Times New Roman" w:eastAsia="Times New Roman" w:hint="default"/>
          <w:spacing w:val="-1"/>
        </w:rPr>
        <w:t>2015</w:t>
      </w:r>
      <w:r>
        <w:rPr>
          <w:spacing w:val="-1"/>
        </w:rPr>
        <w:t>年</w:t>
      </w:r>
      <w:r>
        <w:rPr>
          <w:rFonts w:ascii="Times New Roman" w:hAnsi="Times New Roman" w:cs="Times New Roman" w:eastAsia="Times New Roman" w:hint="default"/>
          <w:spacing w:val="-1"/>
        </w:rPr>
        <w:t>8</w:t>
      </w:r>
      <w:r>
        <w:rPr>
          <w:spacing w:val="-1"/>
        </w:rPr>
        <w:t>月</w:t>
      </w:r>
      <w:r>
        <w:rPr>
          <w:rFonts w:ascii="Times New Roman" w:hAnsi="Times New Roman" w:cs="Times New Roman" w:eastAsia="Times New Roman" w:hint="default"/>
          <w:spacing w:val="-1"/>
        </w:rPr>
        <w:t>20</w:t>
      </w:r>
      <w:r>
        <w:rPr>
          <w:spacing w:val="-1"/>
        </w:rPr>
        <w:t>日，公司</w:t>
      </w:r>
      <w:r>
        <w:rPr>
          <w:rFonts w:ascii="Times New Roman" w:hAnsi="Times New Roman" w:cs="Times New Roman" w:eastAsia="Times New Roman" w:hint="default"/>
          <w:spacing w:val="-1"/>
        </w:rPr>
        <w:t>2015</w:t>
      </w:r>
      <w:r>
        <w:rPr>
          <w:spacing w:val="-1"/>
        </w:rPr>
        <w:t>年第四次临时股东大会审议通过了《关于修改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的议案》，因根据公司《</w:t>
      </w:r>
      <w:r>
        <w:rPr>
          <w:rFonts w:ascii="Times New Roman" w:hAnsi="Times New Roman" w:cs="Times New Roman" w:eastAsia="Times New Roman" w:hint="default"/>
          <w:spacing w:val="-1"/>
        </w:rPr>
        <w:t>2014</w:t>
      </w:r>
      <w:r>
        <w:rPr>
          <w:spacing w:val="-1"/>
        </w:rPr>
        <w:t>年度</w:t>
      </w:r>
      <w:r>
        <w:rPr>
          <w:spacing w:val="1"/>
        </w:rPr>
        <w:t> </w:t>
      </w:r>
      <w:r>
        <w:rPr>
          <w:spacing w:val="-4"/>
        </w:rPr>
        <w:t>利润分配及转增股本预案》，以公司</w:t>
      </w:r>
      <w:r>
        <w:rPr>
          <w:rFonts w:ascii="Times New Roman" w:hAnsi="Times New Roman" w:cs="Times New Roman" w:eastAsia="Times New Roman" w:hint="default"/>
          <w:spacing w:val="-4"/>
        </w:rPr>
        <w:t>2015</w:t>
      </w:r>
      <w:r>
        <w:rPr>
          <w:spacing w:val="-4"/>
        </w:rPr>
        <w:t>年</w:t>
      </w:r>
      <w:r>
        <w:rPr>
          <w:rFonts w:ascii="Times New Roman" w:hAnsi="Times New Roman" w:cs="Times New Roman" w:eastAsia="Times New Roman" w:hint="default"/>
          <w:spacing w:val="-4"/>
        </w:rPr>
        <w:t>3</w:t>
      </w:r>
      <w:r>
        <w:rPr>
          <w:spacing w:val="-4"/>
        </w:rPr>
        <w:t>月</w:t>
      </w:r>
      <w:r>
        <w:rPr>
          <w:rFonts w:ascii="Times New Roman" w:hAnsi="Times New Roman" w:cs="Times New Roman" w:eastAsia="Times New Roman" w:hint="default"/>
          <w:spacing w:val="-4"/>
        </w:rPr>
        <w:t>31</w:t>
      </w:r>
      <w:r>
        <w:rPr>
          <w:spacing w:val="-4"/>
        </w:rPr>
        <w:t>日总股本</w:t>
      </w:r>
      <w:r>
        <w:rPr>
          <w:rFonts w:ascii="Times New Roman" w:hAnsi="Times New Roman" w:cs="Times New Roman" w:eastAsia="Times New Roman" w:hint="default"/>
          <w:spacing w:val="-4"/>
        </w:rPr>
        <w:t>1,327,841,494</w:t>
      </w:r>
      <w:r>
        <w:rPr>
          <w:spacing w:val="-4"/>
        </w:rPr>
        <w:t>为基数，以资本公积金向全体股东每</w:t>
      </w:r>
      <w:r>
        <w:rPr>
          <w:rFonts w:ascii="Times New Roman" w:hAnsi="Times New Roman" w:cs="Times New Roman" w:eastAsia="Times New Roman" w:hint="default"/>
          <w:spacing w:val="-4"/>
        </w:rPr>
        <w:t>10</w:t>
      </w:r>
      <w:r>
        <w:rPr>
          <w:spacing w:val="-4"/>
        </w:rPr>
        <w:t>股转增</w:t>
      </w:r>
      <w:r>
        <w:rPr>
          <w:rFonts w:ascii="Times New Roman" w:hAnsi="Times New Roman" w:cs="Times New Roman" w:eastAsia="Times New Roman" w:hint="default"/>
          <w:spacing w:val="-4"/>
        </w:rPr>
        <w:t>5.020004</w:t>
      </w:r>
      <w:r>
        <w:rPr>
          <w:rFonts w:ascii="Times New Roman" w:hAnsi="Times New Roman" w:cs="Times New Roman" w:eastAsia="Times New Roman" w:hint="default"/>
          <w:spacing w:val="-28"/>
        </w:rPr>
        <w:t> </w:t>
      </w:r>
      <w:r>
        <w:rPr>
          <w:rFonts w:ascii="Times New Roman" w:hAnsi="Times New Roman" w:cs="Times New Roman" w:eastAsia="Times New Roman" w:hint="default"/>
          <w:spacing w:val="-28"/>
        </w:rPr>
      </w:r>
      <w:r>
        <w:rPr>
          <w:spacing w:val="-2"/>
        </w:rPr>
        <w:t>股，以及因公司股权激励计划之股票期权行权而增加股份数、因李毅等承诺人应补偿的股份由上市公司注销减少股份数等原</w:t>
      </w:r>
      <w:r>
        <w:rPr>
          <w:spacing w:val="-64"/>
        </w:rPr>
        <w:t> </w:t>
      </w:r>
      <w:r>
        <w:rPr>
          <w:spacing w:val="-64"/>
        </w:rPr>
      </w:r>
      <w:r>
        <w:rPr/>
        <w:t>因</w:t>
      </w:r>
      <w:r>
        <w:rPr>
          <w:spacing w:val="-63"/>
        </w:rPr>
        <w:t> </w:t>
      </w:r>
      <w:r>
        <w:rPr/>
        <w:t>，</w:t>
      </w:r>
      <w:r>
        <w:rPr>
          <w:spacing w:val="-63"/>
        </w:rPr>
        <w:t> </w:t>
      </w:r>
      <w:r>
        <w:rPr/>
        <w:t>公</w:t>
      </w:r>
      <w:r>
        <w:rPr>
          <w:spacing w:val="-63"/>
        </w:rPr>
        <w:t> </w:t>
      </w:r>
      <w:r>
        <w:rPr/>
        <w:t>司</w:t>
      </w:r>
      <w:r>
        <w:rPr>
          <w:spacing w:val="-64"/>
        </w:rPr>
        <w:t> </w:t>
      </w:r>
      <w:r>
        <w:rPr/>
        <w:t>股</w:t>
      </w:r>
      <w:r>
        <w:rPr>
          <w:spacing w:val="-64"/>
        </w:rPr>
        <w:t> </w:t>
      </w:r>
      <w:r>
        <w:rPr/>
        <w:t>份</w:t>
      </w:r>
      <w:r>
        <w:rPr>
          <w:spacing w:val="-63"/>
        </w:rPr>
        <w:t> </w:t>
      </w:r>
      <w:r>
        <w:rPr/>
        <w:t>总</w:t>
      </w:r>
      <w:r>
        <w:rPr>
          <w:spacing w:val="-63"/>
        </w:rPr>
        <w:t> </w:t>
      </w:r>
      <w:r>
        <w:rPr/>
        <w:t>数</w:t>
      </w:r>
      <w:r>
        <w:rPr>
          <w:spacing w:val="-63"/>
        </w:rPr>
        <w:t> </w:t>
      </w:r>
      <w:r>
        <w:rPr/>
        <w:t>由</w:t>
      </w:r>
      <w:r>
        <w:rPr>
          <w:spacing w:val="-61"/>
        </w:rPr>
        <w:t> </w:t>
      </w:r>
      <w:r>
        <w:rPr>
          <w:rFonts w:ascii="Times New Roman" w:hAnsi="Times New Roman" w:cs="Times New Roman" w:eastAsia="Times New Roman" w:hint="default"/>
        </w:rPr>
        <w:t>1,323,268,087</w:t>
      </w:r>
      <w:r>
        <w:rPr>
          <w:rFonts w:ascii="Times New Roman" w:hAnsi="Times New Roman" w:cs="Times New Roman" w:eastAsia="Times New Roman" w:hint="default"/>
          <w:spacing w:val="-18"/>
        </w:rPr>
        <w:t> </w:t>
      </w:r>
      <w:r>
        <w:rPr/>
        <w:t>股</w:t>
      </w:r>
      <w:r>
        <w:rPr>
          <w:spacing w:val="-63"/>
        </w:rPr>
        <w:t> </w:t>
      </w:r>
      <w:r>
        <w:rPr/>
        <w:t>变</w:t>
      </w:r>
      <w:r>
        <w:rPr>
          <w:spacing w:val="-64"/>
        </w:rPr>
        <w:t> </w:t>
      </w:r>
      <w:r>
        <w:rPr/>
        <w:t>更</w:t>
      </w:r>
      <w:r>
        <w:rPr>
          <w:spacing w:val="-63"/>
        </w:rPr>
        <w:t> </w:t>
      </w:r>
      <w:r>
        <w:rPr/>
        <w:t>为</w:t>
      </w:r>
      <w:r>
        <w:rPr>
          <w:spacing w:val="-62"/>
        </w:rPr>
        <w:t> </w:t>
      </w:r>
      <w:r>
        <w:rPr>
          <w:rFonts w:ascii="Times New Roman" w:hAnsi="Times New Roman" w:cs="Times New Roman" w:eastAsia="Times New Roman" w:hint="default"/>
        </w:rPr>
        <w:t>1,986,470,666</w:t>
      </w:r>
      <w:r>
        <w:rPr>
          <w:rFonts w:ascii="Times New Roman" w:hAnsi="Times New Roman" w:cs="Times New Roman" w:eastAsia="Times New Roman" w:hint="default"/>
          <w:spacing w:val="-17"/>
        </w:rPr>
        <w:t> </w:t>
      </w:r>
      <w:r>
        <w:rPr/>
        <w:t>股</w:t>
      </w:r>
      <w:r>
        <w:rPr>
          <w:spacing w:val="-63"/>
        </w:rPr>
        <w:t> </w:t>
      </w:r>
      <w:r>
        <w:rPr/>
        <w:t>，</w:t>
      </w:r>
      <w:r>
        <w:rPr>
          <w:spacing w:val="-63"/>
        </w:rPr>
        <w:t> </w:t>
      </w:r>
      <w:r>
        <w:rPr/>
        <w:t>注</w:t>
      </w:r>
      <w:r>
        <w:rPr>
          <w:spacing w:val="-64"/>
        </w:rPr>
        <w:t> </w:t>
      </w:r>
      <w:r>
        <w:rPr/>
        <w:t>册</w:t>
      </w:r>
      <w:r>
        <w:rPr>
          <w:spacing w:val="-64"/>
        </w:rPr>
        <w:t> </w:t>
      </w:r>
      <w:r>
        <w:rPr/>
        <w:t>资</w:t>
      </w:r>
      <w:r>
        <w:rPr>
          <w:spacing w:val="-63"/>
        </w:rPr>
        <w:t> </w:t>
      </w:r>
      <w:r>
        <w:rPr/>
        <w:t>本</w:t>
      </w:r>
      <w:r>
        <w:rPr>
          <w:spacing w:val="-63"/>
        </w:rPr>
        <w:t> </w:t>
      </w:r>
      <w:r>
        <w:rPr/>
        <w:t>由</w:t>
      </w:r>
      <w:r>
        <w:rPr>
          <w:spacing w:val="-63"/>
        </w:rPr>
        <w:t> </w:t>
      </w:r>
      <w:r>
        <w:rPr/>
        <w:t>人</w:t>
      </w:r>
      <w:r>
        <w:rPr>
          <w:spacing w:val="-64"/>
        </w:rPr>
        <w:t> </w:t>
      </w:r>
      <w:r>
        <w:rPr/>
        <w:t>民</w:t>
      </w:r>
      <w:r>
        <w:rPr>
          <w:spacing w:val="-64"/>
        </w:rPr>
        <w:t> </w:t>
      </w:r>
      <w:r>
        <w:rPr/>
        <w:t>币</w:t>
      </w:r>
      <w:r>
        <w:rPr>
          <w:spacing w:val="-61"/>
        </w:rPr>
        <w:t> </w:t>
      </w:r>
      <w:r>
        <w:rPr>
          <w:rFonts w:ascii="Times New Roman" w:hAnsi="Times New Roman" w:cs="Times New Roman" w:eastAsia="Times New Roman" w:hint="default"/>
        </w:rPr>
        <w:t>1,323,268,087.00</w:t>
      </w:r>
      <w:r>
        <w:rPr>
          <w:rFonts w:ascii="Times New Roman" w:hAnsi="Times New Roman" w:cs="Times New Roman" w:eastAsia="Times New Roman" w:hint="default"/>
          <w:spacing w:val="-16"/>
        </w:rPr>
        <w:t> </w:t>
      </w:r>
      <w:r>
        <w:rPr/>
        <w:t>元</w:t>
      </w:r>
      <w:r>
        <w:rPr>
          <w:spacing w:val="-64"/>
        </w:rPr>
        <w:t> </w:t>
      </w:r>
      <w:r>
        <w:rPr/>
        <w:t>变</w:t>
      </w:r>
      <w:r>
        <w:rPr>
          <w:spacing w:val="-63"/>
        </w:rPr>
        <w:t> </w:t>
      </w:r>
      <w:r>
        <w:rPr/>
        <w:t>更</w:t>
      </w:r>
      <w:r>
        <w:rPr>
          <w:spacing w:val="-63"/>
        </w:rPr>
        <w:t> </w:t>
      </w:r>
      <w:r>
        <w:rPr/>
        <w:t>为</w:t>
      </w:r>
      <w:r>
        <w:rPr>
          <w:spacing w:val="-64"/>
        </w:rPr>
        <w:t> </w:t>
      </w:r>
      <w:r>
        <w:rPr/>
        <w:t>人</w:t>
      </w:r>
      <w:r>
        <w:rPr>
          <w:spacing w:val="-63"/>
        </w:rPr>
        <w:t> </w:t>
      </w:r>
      <w:r>
        <w:rPr/>
        <w:t>民</w:t>
      </w:r>
      <w:r>
        <w:rPr>
          <w:spacing w:val="-63"/>
        </w:rPr>
        <w:t> </w:t>
      </w:r>
      <w:r>
        <w:rPr/>
        <w:t>币</w:t>
      </w:r>
      <w:r>
        <w:rPr/>
        <w:t> </w:t>
      </w:r>
      <w:r>
        <w:rPr>
          <w:rFonts w:ascii="Times New Roman" w:hAnsi="Times New Roman" w:cs="Times New Roman" w:eastAsia="Times New Roman" w:hint="default"/>
        </w:rPr>
        <w:t>1,986,470,666.00</w:t>
      </w:r>
      <w:r>
        <w:rPr/>
        <w:t>元。</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1</w:t>
      </w:r>
      <w:r>
        <w:rPr/>
        <w:t>日，由北京市工商行政管理局换发企业法人营业执照，注册号</w:t>
      </w:r>
      <w:r>
        <w:rPr>
          <w:rFonts w:ascii="Times New Roman" w:hAnsi="Times New Roman" w:cs="Times New Roman" w:eastAsia="Times New Roman" w:hint="default"/>
        </w:rPr>
        <w:t>110000002700930</w:t>
      </w:r>
      <w:r>
        <w:rPr/>
        <w:t>。</w:t>
      </w:r>
    </w:p>
    <w:p>
      <w:pPr>
        <w:spacing w:after="0" w:line="458"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right="1129" w:firstLine="360"/>
        <w:jc w:val="both"/>
      </w:pP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6</w:t>
      </w:r>
      <w:r>
        <w:rPr/>
        <w:t>日，公司</w:t>
      </w:r>
      <w:r>
        <w:rPr>
          <w:rFonts w:ascii="Times New Roman" w:hAnsi="Times New Roman" w:cs="Times New Roman" w:eastAsia="Times New Roman" w:hint="default"/>
        </w:rPr>
        <w:t>2016</w:t>
      </w:r>
      <w:r>
        <w:rPr/>
        <w:t>年第一次临时股东大会审议通过了《关于修改</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的议案》，因公司股权激励计划激 </w:t>
      </w:r>
      <w:r>
        <w:rPr>
          <w:spacing w:val="-1"/>
        </w:rPr>
        <w:t>励对象自主行权、回购注销不符合激励条件的原激励对象已获授的限制性股票等原因，公司股份总数由</w:t>
      </w:r>
      <w:r>
        <w:rPr>
          <w:rFonts w:ascii="Times New Roman" w:hAnsi="Times New Roman" w:cs="Times New Roman" w:eastAsia="Times New Roman" w:hint="default"/>
          <w:spacing w:val="-1"/>
        </w:rPr>
        <w:t>1,986,470,666</w:t>
      </w:r>
      <w:r>
        <w:rPr>
          <w:spacing w:val="-1"/>
        </w:rPr>
        <w:t>股变更</w:t>
      </w:r>
      <w:r>
        <w:rPr>
          <w:spacing w:val="-66"/>
        </w:rPr>
        <w:t> </w:t>
      </w:r>
      <w:r>
        <w:rPr>
          <w:spacing w:val="-1"/>
        </w:rPr>
        <w:t>为</w:t>
      </w:r>
      <w:r>
        <w:rPr>
          <w:rFonts w:ascii="Times New Roman" w:hAnsi="Times New Roman" w:cs="Times New Roman" w:eastAsia="Times New Roman" w:hint="default"/>
          <w:spacing w:val="-1"/>
        </w:rPr>
        <w:t>1,993,382,320</w:t>
      </w:r>
      <w:r>
        <w:rPr>
          <w:spacing w:val="-1"/>
        </w:rPr>
        <w:t>股，注册资本由人民币</w:t>
      </w:r>
      <w:r>
        <w:rPr>
          <w:rFonts w:ascii="Times New Roman" w:hAnsi="Times New Roman" w:cs="Times New Roman" w:eastAsia="Times New Roman" w:hint="default"/>
          <w:spacing w:val="-1"/>
        </w:rPr>
        <w:t>1,986,470,666.00</w:t>
      </w:r>
      <w:r>
        <w:rPr>
          <w:spacing w:val="-1"/>
        </w:rPr>
        <w:t>元变更为人民币</w:t>
      </w:r>
      <w:r>
        <w:rPr>
          <w:rFonts w:ascii="Times New Roman" w:hAnsi="Times New Roman" w:cs="Times New Roman" w:eastAsia="Times New Roman" w:hint="default"/>
          <w:spacing w:val="-1"/>
        </w:rPr>
        <w:t>1,993,382,320.00</w:t>
      </w:r>
      <w:r>
        <w:rPr>
          <w:spacing w:val="-1"/>
        </w:rPr>
        <w:t>元。</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w:t>
      </w:r>
      <w:r>
        <w:rPr>
          <w:spacing w:val="-1"/>
        </w:rPr>
        <w:t>日，由北京市工商行</w:t>
      </w:r>
      <w:r>
        <w:rPr>
          <w:spacing w:val="-56"/>
        </w:rPr>
        <w:t> </w:t>
      </w:r>
      <w:r>
        <w:rPr>
          <w:spacing w:val="-56"/>
        </w:rPr>
      </w:r>
      <w:r>
        <w:rPr/>
        <w:t>政管理局换发企业法人营业执照，统一社会信用代码</w:t>
      </w:r>
      <w:r>
        <w:rPr>
          <w:rFonts w:ascii="Times New Roman" w:hAnsi="Times New Roman" w:cs="Times New Roman" w:eastAsia="Times New Roman" w:hint="default"/>
        </w:rPr>
        <w:t>91110000802090167W</w:t>
      </w:r>
      <w:r>
        <w:rPr/>
        <w:t>。</w:t>
      </w:r>
    </w:p>
    <w:p>
      <w:pPr>
        <w:pStyle w:val="BodyText"/>
        <w:spacing w:line="451" w:lineRule="auto" w:before="43"/>
        <w:ind w:right="1131" w:firstLine="360"/>
        <w:jc w:val="both"/>
      </w:pP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6</w:t>
      </w:r>
      <w:r>
        <w:rPr>
          <w:spacing w:val="-1"/>
        </w:rPr>
        <w:t>月</w:t>
      </w:r>
      <w:r>
        <w:rPr>
          <w:rFonts w:ascii="Times New Roman" w:hAnsi="Times New Roman" w:cs="Times New Roman" w:eastAsia="Times New Roman" w:hint="default"/>
          <w:spacing w:val="-1"/>
        </w:rPr>
        <w:t>22</w:t>
      </w:r>
      <w:r>
        <w:rPr>
          <w:spacing w:val="-1"/>
        </w:rPr>
        <w:t>日，公司</w:t>
      </w:r>
      <w:r>
        <w:rPr>
          <w:rFonts w:ascii="Times New Roman" w:hAnsi="Times New Roman" w:cs="Times New Roman" w:eastAsia="Times New Roman" w:hint="default"/>
          <w:spacing w:val="-1"/>
        </w:rPr>
        <w:t>2016</w:t>
      </w:r>
      <w:r>
        <w:rPr>
          <w:spacing w:val="-1"/>
        </w:rPr>
        <w:t>年第四次临时股东大会审议通过了《关于修改</w:t>
      </w:r>
      <w:r>
        <w:rPr>
          <w:rFonts w:ascii="Times New Roman" w:hAnsi="Times New Roman" w:cs="Times New Roman" w:eastAsia="Times New Roman" w:hint="default"/>
          <w:spacing w:val="-1"/>
        </w:rPr>
        <w:t>&lt;</w:t>
      </w:r>
      <w:r>
        <w:rPr>
          <w:spacing w:val="-1"/>
        </w:rPr>
        <w:t>公司章程</w:t>
      </w:r>
      <w:r>
        <w:rPr>
          <w:rFonts w:ascii="Times New Roman" w:hAnsi="Times New Roman" w:cs="Times New Roman" w:eastAsia="Times New Roman" w:hint="default"/>
          <w:spacing w:val="-1"/>
        </w:rPr>
        <w:t>&gt;</w:t>
      </w:r>
      <w:r>
        <w:rPr>
          <w:spacing w:val="-1"/>
        </w:rPr>
        <w:t>的议案》，因公司股权激励计划第</w:t>
      </w:r>
      <w:r>
        <w:rPr/>
        <w:t> </w:t>
      </w:r>
      <w:r>
        <w:rPr>
          <w:spacing w:val="-2"/>
        </w:rPr>
        <w:t>三期激励对象自主行权，公司总股本增加</w:t>
      </w:r>
      <w:r>
        <w:rPr>
          <w:rFonts w:ascii="Times New Roman" w:hAnsi="Times New Roman" w:cs="Times New Roman" w:eastAsia="Times New Roman" w:hint="default"/>
          <w:spacing w:val="-2"/>
        </w:rPr>
        <w:t>2,605,548</w:t>
      </w:r>
      <w:r>
        <w:rPr>
          <w:spacing w:val="-2"/>
        </w:rPr>
        <w:t>股；回购注销已不符合激励条件的原激励对象已获授的限制性股票，公司</w:t>
      </w:r>
      <w:r>
        <w:rPr>
          <w:spacing w:val="-57"/>
        </w:rPr>
        <w:t> </w:t>
      </w:r>
      <w:r>
        <w:rPr>
          <w:spacing w:val="-57"/>
        </w:rPr>
      </w:r>
      <w:r>
        <w:rPr/>
        <w:t>总股本减少</w:t>
      </w:r>
      <w:r>
        <w:rPr>
          <w:rFonts w:ascii="Times New Roman" w:hAnsi="Times New Roman" w:cs="Times New Roman" w:eastAsia="Times New Roman" w:hint="default"/>
        </w:rPr>
        <w:t>5,371,294</w:t>
      </w:r>
      <w:r>
        <w:rPr/>
        <w:t>股；公司发行股份及支付现金购买资产业绩补偿股票回购注销，公司总股本减少</w:t>
      </w:r>
      <w:r>
        <w:rPr>
          <w:rFonts w:ascii="Times New Roman" w:hAnsi="Times New Roman" w:cs="Times New Roman" w:eastAsia="Times New Roman" w:hint="default"/>
        </w:rPr>
        <w:t>29,524,590</w:t>
      </w:r>
      <w:r>
        <w:rPr/>
        <w:t>股。公司股</w:t>
      </w:r>
      <w:r>
        <w:rPr>
          <w:spacing w:val="-86"/>
        </w:rPr>
        <w:t> </w:t>
      </w:r>
      <w:r>
        <w:rPr>
          <w:spacing w:val="-86"/>
        </w:rPr>
      </w:r>
      <w:r>
        <w:rPr>
          <w:spacing w:val="-3"/>
        </w:rPr>
        <w:t>份总数由</w:t>
      </w:r>
      <w:r>
        <w:rPr>
          <w:rFonts w:ascii="Times New Roman" w:hAnsi="Times New Roman" w:cs="Times New Roman" w:eastAsia="Times New Roman" w:hint="default"/>
          <w:spacing w:val="-3"/>
        </w:rPr>
        <w:t>1,993,382,320</w:t>
      </w:r>
      <w:r>
        <w:rPr>
          <w:spacing w:val="-3"/>
        </w:rPr>
        <w:t>股变更为</w:t>
      </w:r>
      <w:r>
        <w:rPr>
          <w:rFonts w:ascii="Times New Roman" w:hAnsi="Times New Roman" w:cs="Times New Roman" w:eastAsia="Times New Roman" w:hint="default"/>
          <w:spacing w:val="-3"/>
        </w:rPr>
        <w:t>1,961,091,984</w:t>
      </w:r>
      <w:r>
        <w:rPr>
          <w:spacing w:val="-3"/>
        </w:rPr>
        <w:t>股，注册资本由人民币</w:t>
      </w:r>
      <w:r>
        <w:rPr>
          <w:rFonts w:ascii="Times New Roman" w:hAnsi="Times New Roman" w:cs="Times New Roman" w:eastAsia="Times New Roman" w:hint="default"/>
          <w:spacing w:val="-3"/>
        </w:rPr>
        <w:t>1,993,382,320.00</w:t>
      </w:r>
      <w:r>
        <w:rPr>
          <w:spacing w:val="-3"/>
        </w:rPr>
        <w:t>元变更为人民币</w:t>
      </w:r>
      <w:r>
        <w:rPr>
          <w:rFonts w:ascii="Times New Roman" w:hAnsi="Times New Roman" w:cs="Times New Roman" w:eastAsia="Times New Roman" w:hint="default"/>
          <w:spacing w:val="-3"/>
        </w:rPr>
        <w:t>1,961,091,984.00</w:t>
      </w:r>
      <w:r>
        <w:rPr>
          <w:spacing w:val="-3"/>
        </w:rPr>
        <w:t>元。</w:t>
      </w:r>
      <w:r>
        <w:rPr>
          <w:rFonts w:ascii="Times New Roman" w:hAnsi="Times New Roman" w:cs="Times New Roman" w:eastAsia="Times New Roman" w:hint="default"/>
          <w:spacing w:val="-3"/>
        </w:rPr>
        <w:t>2016</w:t>
      </w:r>
      <w:r>
        <w:rPr>
          <w:rFonts w:ascii="Times New Roman" w:hAnsi="Times New Roman" w:cs="Times New Roman" w:eastAsia="Times New Roman" w:hint="default"/>
          <w:spacing w:val="37"/>
        </w:rPr>
        <w:t> </w:t>
      </w:r>
      <w:r>
        <w:rPr>
          <w:rFonts w:ascii="Times New Roman" w:hAnsi="Times New Roman" w:cs="Times New Roman" w:eastAsia="Times New Roman" w:hint="default"/>
          <w:spacing w:val="37"/>
        </w:rPr>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30</w:t>
      </w:r>
      <w:r>
        <w:rPr/>
        <w:t>日，由北京市工商行政管理局换发企业法人营业执照，统一社会信用代码</w:t>
      </w:r>
      <w:r>
        <w:rPr>
          <w:rFonts w:ascii="Times New Roman" w:hAnsi="Times New Roman" w:cs="Times New Roman" w:eastAsia="Times New Roman" w:hint="default"/>
        </w:rPr>
        <w:t>91110000802090167W</w:t>
      </w:r>
      <w:r>
        <w:rPr/>
        <w:t>。</w:t>
      </w:r>
    </w:p>
    <w:p>
      <w:pPr>
        <w:pStyle w:val="BodyText"/>
        <w:spacing w:line="463" w:lineRule="auto" w:before="43"/>
        <w:ind w:left="1493" w:right="0"/>
        <w:jc w:val="left"/>
      </w:pP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日止，本公司累计发行股本总数</w:t>
      </w:r>
      <w:r>
        <w:rPr>
          <w:rFonts w:ascii="Times New Roman" w:hAnsi="Times New Roman" w:cs="Times New Roman" w:eastAsia="Times New Roman" w:hint="default"/>
        </w:rPr>
        <w:t>1,961,091,984</w:t>
      </w:r>
      <w:r>
        <w:rPr/>
        <w:t>股，注册资本为</w:t>
      </w:r>
      <w:r>
        <w:rPr>
          <w:rFonts w:ascii="Times New Roman" w:hAnsi="Times New Roman" w:cs="Times New Roman" w:eastAsia="Times New Roman" w:hint="default"/>
        </w:rPr>
        <w:t>1,961,091,984.00</w:t>
      </w:r>
      <w:r>
        <w:rPr/>
        <w:t>元。 本公司所处行业：计算机应用服务业。 </w:t>
      </w:r>
      <w:r>
        <w:rPr>
          <w:spacing w:val="-2"/>
        </w:rPr>
        <w:t>公司经营范围：计算机网络综合管理及网络系统集成、通讯设备技术开发、技术服务、技术转让、技术培训；电子信息</w:t>
      </w:r>
    </w:p>
    <w:p>
      <w:pPr>
        <w:pStyle w:val="BodyText"/>
        <w:spacing w:line="477" w:lineRule="auto" w:before="65"/>
        <w:ind w:right="1130"/>
        <w:jc w:val="both"/>
      </w:pPr>
      <w:r>
        <w:rPr>
          <w:spacing w:val="-2"/>
        </w:rPr>
        <w:t>技术咨询（中介除外）；委托生产通讯设备；销售计算机网络软硬件产品、通讯设备、家用电器、电子产品、安全技术防范</w:t>
      </w:r>
      <w:r>
        <w:rPr>
          <w:spacing w:val="-67"/>
        </w:rPr>
        <w:t> </w:t>
      </w:r>
      <w:r>
        <w:rPr>
          <w:spacing w:val="-67"/>
        </w:rPr>
      </w:r>
      <w:r>
        <w:rPr>
          <w:spacing w:val="-2"/>
        </w:rPr>
        <w:t>产品；电子信息技术系统工程设计；通讯设备售后服务；技术进出口、代理进出口、货物进出口；第一类增值电信业务中的</w:t>
      </w:r>
      <w:r>
        <w:rPr>
          <w:spacing w:val="-68"/>
        </w:rPr>
        <w:t> </w:t>
      </w:r>
      <w:r>
        <w:rPr>
          <w:spacing w:val="-68"/>
        </w:rPr>
      </w:r>
      <w:r>
        <w:rPr>
          <w:spacing w:val="-2"/>
        </w:rPr>
        <w:t>互联网接入服务业务、互联网数据中心业务。（企业依法自主选择经营项目，开展经营活动；依法须经批准的项目，经相关</w:t>
      </w:r>
      <w:r>
        <w:rPr>
          <w:spacing w:val="-67"/>
        </w:rPr>
        <w:t> </w:t>
      </w:r>
      <w:r>
        <w:rPr>
          <w:spacing w:val="-67"/>
        </w:rPr>
      </w:r>
      <w:r>
        <w:rPr/>
        <w:t>部门批准后依批准的内容开展经营活动；不得从事本市产业政策禁止和限制类项目的经营活动。）</w:t>
      </w:r>
    </w:p>
    <w:p>
      <w:pPr>
        <w:pStyle w:val="BodyText"/>
        <w:spacing w:line="451" w:lineRule="auto" w:before="54"/>
        <w:ind w:right="1130" w:firstLine="360"/>
        <w:jc w:val="both"/>
      </w:pPr>
      <w:r>
        <w:rPr>
          <w:spacing w:val="-1"/>
        </w:rPr>
        <w:t>公司的主营业务包括四大核心业务板块，包括：（</w:t>
      </w: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ICT</w:t>
      </w:r>
      <w:r>
        <w:rPr>
          <w:spacing w:val="-1"/>
        </w:rPr>
        <w:t>领域运营管理软件研发和服务（</w:t>
      </w:r>
      <w:r>
        <w:rPr>
          <w:rFonts w:ascii="Times New Roman" w:hAnsi="Times New Roman" w:cs="Times New Roman" w:eastAsia="Times New Roman" w:hint="default"/>
          <w:spacing w:val="-1"/>
        </w:rPr>
        <w:t>ICT</w:t>
      </w:r>
      <w:r>
        <w:rPr>
          <w:spacing w:val="-1"/>
        </w:rPr>
        <w:t>解决方案、系统集成、移</w:t>
      </w:r>
      <w:r>
        <w:rPr/>
        <w:t> 动互联网运营、人工智能与大数据）（</w:t>
      </w:r>
      <w:r>
        <w:rPr>
          <w:rFonts w:ascii="Times New Roman" w:hAnsi="Times New Roman" w:cs="Times New Roman" w:eastAsia="Times New Roman" w:hint="default"/>
        </w:rPr>
        <w:t>2</w:t>
      </w:r>
      <w:r>
        <w:rPr/>
        <w:t>）手机游戏（</w:t>
      </w:r>
      <w:r>
        <w:rPr>
          <w:rFonts w:ascii="Times New Roman" w:hAnsi="Times New Roman" w:cs="Times New Roman" w:eastAsia="Times New Roman" w:hint="default"/>
        </w:rPr>
        <w:t>3</w:t>
      </w:r>
      <w:r>
        <w:rPr/>
        <w:t>）物联网及通讯技术应用（</w:t>
      </w:r>
      <w:r>
        <w:rPr>
          <w:rFonts w:ascii="Times New Roman" w:hAnsi="Times New Roman" w:cs="Times New Roman" w:eastAsia="Times New Roman" w:hint="default"/>
        </w:rPr>
        <w:t>4</w:t>
      </w:r>
      <w:r>
        <w:rPr/>
        <w:t>）创新业务，形成信息技术领域内相关</w:t>
      </w:r>
      <w:r>
        <w:rPr>
          <w:spacing w:val="-83"/>
        </w:rPr>
        <w:t> </w:t>
      </w:r>
      <w:r>
        <w:rPr>
          <w:spacing w:val="-83"/>
        </w:rPr>
      </w:r>
      <w:r>
        <w:rPr/>
        <w:t>多元化发展格局。</w:t>
      </w:r>
    </w:p>
    <w:p>
      <w:pPr>
        <w:pStyle w:val="BodyText"/>
        <w:spacing w:line="463" w:lineRule="auto" w:before="74"/>
        <w:ind w:left="1493" w:right="4363"/>
        <w:jc w:val="left"/>
      </w:pPr>
      <w:r>
        <w:rPr/>
        <w:t>公司法定代表人：王宁。 公司注册地址：北京市海淀区万泉庄路</w:t>
      </w:r>
      <w:r>
        <w:rPr>
          <w:rFonts w:ascii="Times New Roman" w:hAnsi="Times New Roman" w:cs="Times New Roman" w:eastAsia="Times New Roman" w:hint="default"/>
        </w:rPr>
        <w:t>28</w:t>
      </w:r>
      <w:r>
        <w:rPr/>
        <w:t>号万柳新贵大厦</w:t>
      </w:r>
      <w:r>
        <w:rPr>
          <w:rFonts w:ascii="Times New Roman" w:hAnsi="Times New Roman" w:cs="Times New Roman" w:eastAsia="Times New Roman" w:hint="default"/>
        </w:rPr>
        <w:t>A</w:t>
      </w:r>
      <w:r>
        <w:rPr/>
        <w:t>座</w:t>
      </w:r>
      <w:r>
        <w:rPr>
          <w:rFonts w:ascii="Times New Roman" w:hAnsi="Times New Roman" w:cs="Times New Roman" w:eastAsia="Times New Roman" w:hint="default"/>
        </w:rPr>
        <w:t>6</w:t>
      </w:r>
      <w:r>
        <w:rPr/>
        <w:t>层</w:t>
      </w:r>
      <w:r>
        <w:rPr>
          <w:rFonts w:ascii="Times New Roman" w:hAnsi="Times New Roman" w:cs="Times New Roman" w:eastAsia="Times New Roman" w:hint="default"/>
        </w:rPr>
        <w:t>601</w:t>
      </w:r>
      <w:r>
        <w:rPr/>
        <w:t>室。 公司主要办公地址：北京市朝阳区北苑路甲</w:t>
      </w:r>
      <w:r>
        <w:rPr>
          <w:rFonts w:ascii="Times New Roman" w:hAnsi="Times New Roman" w:cs="Times New Roman" w:eastAsia="Times New Roman" w:hint="default"/>
        </w:rPr>
        <w:t>13</w:t>
      </w:r>
      <w:r>
        <w:rPr/>
        <w:t>号院</w:t>
      </w:r>
      <w:r>
        <w:rPr>
          <w:rFonts w:ascii="Times New Roman" w:hAnsi="Times New Roman" w:cs="Times New Roman" w:eastAsia="Times New Roman" w:hint="default"/>
        </w:rPr>
        <w:t>1</w:t>
      </w:r>
      <w:r>
        <w:rPr/>
        <w:t>号楼北辰泰岳大厦</w:t>
      </w:r>
      <w:r>
        <w:rPr>
          <w:rFonts w:ascii="Times New Roman" w:hAnsi="Times New Roman" w:cs="Times New Roman" w:eastAsia="Times New Roman" w:hint="default"/>
        </w:rPr>
        <w:t>22</w:t>
      </w:r>
      <w:r>
        <w:rPr/>
        <w:t>层。 本公司的实际控制人为王宁、李力。 本财务报表业经公司全体董事于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26</w:t>
      </w:r>
      <w:r>
        <w:rPr/>
        <w:t>日批准报出。</w:t>
      </w:r>
    </w:p>
    <w:p>
      <w:pPr>
        <w:spacing w:line="477" w:lineRule="auto" w:before="33"/>
        <w:ind w:left="1494" w:right="5172" w:firstLine="1"/>
        <w:jc w:val="left"/>
        <w:rPr>
          <w:rFonts w:ascii="宋体" w:hAnsi="宋体" w:cs="宋体" w:eastAsia="宋体" w:hint="default"/>
          <w:sz w:val="18"/>
          <w:szCs w:val="18"/>
        </w:rPr>
      </w:pPr>
      <w:r>
        <w:rPr/>
        <w:pict>
          <v:shape style="position:absolute;margin-left:56.34pt;margin-top:44.021713pt;width:484.05pt;height:87.5pt;mso-position-horizontal-relative:page;mso-position-vertical-relative:paragraph;z-index:2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247"/>
                    <w:gridCol w:w="4412"/>
                  </w:tblGrid>
                  <w:tr>
                    <w:trPr>
                      <w:trHeight w:val="347" w:hRule="exact"/>
                    </w:trPr>
                    <w:tc>
                      <w:tcPr>
                        <w:tcW w:w="524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44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级次</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北京新媒传信科技有限公司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北京互联时代通讯科技有限公司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重庆新媒农信科技有限公司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重庆新媒亿网科技有限公司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三级</w:t>
                        </w:r>
                      </w:p>
                    </w:tc>
                  </w:tr>
                </w:tbl>
                <w:p>
                  <w:pPr/>
                </w:p>
              </w:txbxContent>
            </v:textbox>
            <w10:wrap type="none"/>
          </v:shape>
        </w:pict>
      </w:r>
      <w:r>
        <w:rPr>
          <w:rFonts w:ascii="宋体" w:hAnsi="宋体" w:cs="宋体" w:eastAsia="宋体" w:hint="default"/>
          <w:b/>
          <w:bCs/>
          <w:sz w:val="18"/>
          <w:szCs w:val="18"/>
        </w:rPr>
        <w:t>（二）合并财务报表范围</w:t>
      </w:r>
      <w:r>
        <w:rPr>
          <w:rFonts w:ascii="宋体" w:hAnsi="宋体" w:cs="宋体" w:eastAsia="宋体" w:hint="default"/>
          <w:b/>
          <w:bCs/>
          <w:w w:val="99"/>
          <w:sz w:val="18"/>
          <w:szCs w:val="18"/>
        </w:rPr>
        <w:t> </w:t>
      </w:r>
      <w:r>
        <w:rPr>
          <w:rFonts w:ascii="宋体" w:hAnsi="宋体" w:cs="宋体" w:eastAsia="宋体" w:hint="default"/>
          <w:sz w:val="18"/>
          <w:szCs w:val="18"/>
        </w:rPr>
        <w:t>截至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日止，本公司合并财务报表范围内子公司如下：</w:t>
      </w:r>
    </w:p>
    <w:p>
      <w:pPr>
        <w:spacing w:after="0" w:line="477"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6" w:type="dxa"/>
        <w:tblLayout w:type="fixed"/>
        <w:tblCellMar>
          <w:top w:w="0" w:type="dxa"/>
          <w:left w:w="0" w:type="dxa"/>
          <w:bottom w:w="0" w:type="dxa"/>
          <w:right w:w="0" w:type="dxa"/>
        </w:tblCellMar>
        <w:tblLook w:val="01E0"/>
      </w:tblPr>
      <w:tblGrid>
        <w:gridCol w:w="5247"/>
        <w:gridCol w:w="4412"/>
      </w:tblGrid>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重庆新迈峰科技有限公司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北京神州泰岳信息安全技术有限公司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北京神州泰岳系统集成有限公司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北京融聚世界网络科技有限公司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宁波普天通信技术有限公司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宁波移畅通信设备有限公司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宁波金信通讯技术有限公司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宁波普金通信设备有限公司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宁波神州泰岳锐智信息科技有限公司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宁波高新区捷远科技有限公司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奇点新源国际技术开发（北京）有限公司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北京神州泰岳智能数据技术有限公司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5"/>
                <w:sz w:val="18"/>
              </w:rPr>
              <w:t> </w:t>
            </w:r>
            <w:r>
              <w:rPr>
                <w:rFonts w:ascii="Times New Roman"/>
                <w:sz w:val="18"/>
              </w:rPr>
              <w:t>Ltd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660"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362" w:lineRule="auto" w:before="61"/>
              <w:ind w:left="2" w:right="735"/>
              <w:jc w:val="left"/>
              <w:rPr>
                <w:rFonts w:ascii="Times New Roman" w:hAnsi="Times New Roman" w:cs="Times New Roman" w:eastAsia="Times New Roman" w:hint="default"/>
                <w:sz w:val="18"/>
                <w:szCs w:val="18"/>
              </w:rPr>
            </w:pPr>
            <w:r>
              <w:rPr>
                <w:rFonts w:ascii="Times New Roman"/>
                <w:sz w:val="18"/>
              </w:rPr>
              <w:t>RED TRUST SOFTWARE AND SERVICE</w:t>
            </w:r>
            <w:r>
              <w:rPr>
                <w:rFonts w:ascii="Times New Roman"/>
                <w:spacing w:val="-7"/>
                <w:sz w:val="18"/>
              </w:rPr>
              <w:t> </w:t>
            </w:r>
            <w:r>
              <w:rPr>
                <w:rFonts w:ascii="Times New Roman"/>
                <w:sz w:val="18"/>
              </w:rPr>
              <w:t>TECHNOLOGY</w:t>
            </w:r>
            <w:r>
              <w:rPr>
                <w:rFonts w:ascii="Times New Roman"/>
                <w:w w:val="99"/>
                <w:sz w:val="18"/>
              </w:rPr>
              <w:t> </w:t>
            </w:r>
            <w:r>
              <w:rPr>
                <w:rFonts w:ascii="Times New Roman"/>
                <w:sz w:val="18"/>
              </w:rPr>
              <w:t>COMPANY</w:t>
            </w:r>
            <w:r>
              <w:rPr>
                <w:rFonts w:ascii="Times New Roman"/>
                <w:spacing w:val="-2"/>
                <w:sz w:val="18"/>
              </w:rPr>
              <w:t> </w:t>
            </w:r>
            <w:r>
              <w:rPr>
                <w:rFonts w:ascii="Times New Roman"/>
                <w:sz w:val="18"/>
              </w:rPr>
              <w:t>LIMITED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4"/>
                <w:sz w:val="18"/>
              </w:rPr>
              <w:t> </w:t>
            </w:r>
            <w:r>
              <w:rPr>
                <w:rFonts w:ascii="Times New Roman"/>
                <w:sz w:val="18"/>
              </w:rPr>
              <w:t>LTD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Uqsoft (Thailand) Co.</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Ltd.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UQSOFT (RUSSIA)</w:t>
            </w:r>
            <w:r>
              <w:rPr>
                <w:rFonts w:ascii="Times New Roman"/>
                <w:spacing w:val="-1"/>
                <w:sz w:val="18"/>
              </w:rPr>
              <w:t> </w:t>
            </w:r>
            <w:r>
              <w:rPr>
                <w:rFonts w:ascii="Times New Roman"/>
                <w:sz w:val="18"/>
              </w:rPr>
              <w:t>CO.</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 soft (Singapore)</w:t>
            </w:r>
            <w:r>
              <w:rPr>
                <w:rFonts w:ascii="Times New Roman"/>
                <w:spacing w:val="-5"/>
                <w:sz w:val="18"/>
              </w:rPr>
              <w:t> </w:t>
            </w:r>
            <w:r>
              <w:rPr>
                <w:rFonts w:ascii="Times New Roman"/>
                <w:sz w:val="18"/>
              </w:rPr>
              <w:t>Pte.Ltd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Uqsoft (Hong Kong)</w:t>
            </w:r>
            <w:r>
              <w:rPr>
                <w:rFonts w:ascii="Times New Roman"/>
                <w:spacing w:val="-3"/>
                <w:sz w:val="18"/>
              </w:rPr>
              <w:t> </w:t>
            </w:r>
            <w:r>
              <w:rPr>
                <w:rFonts w:ascii="Times New Roman"/>
                <w:sz w:val="18"/>
              </w:rPr>
              <w:t>Limited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北京泰岳智桥信息技术有限公司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北京神州泰奇互动科技有限公司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UQSOFT YUHAN</w:t>
            </w:r>
            <w:r>
              <w:rPr>
                <w:rFonts w:ascii="Times New Roman"/>
                <w:spacing w:val="-5"/>
                <w:sz w:val="18"/>
              </w:rPr>
              <w:t> </w:t>
            </w:r>
            <w:r>
              <w:rPr>
                <w:rFonts w:ascii="Times New Roman"/>
                <w:sz w:val="18"/>
              </w:rPr>
              <w:t>HOESA</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天津壳木软件有限责任公司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北京壳木软件有限责任公司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2"/>
                <w:sz w:val="18"/>
              </w:rPr>
              <w:t> </w:t>
            </w:r>
            <w:r>
              <w:rPr>
                <w:rFonts w:ascii="Times New Roman"/>
                <w:sz w:val="18"/>
              </w:rPr>
              <w:t>LIMITED</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北京骆骆软件科技有限责任公司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霍尔果斯小小橙软件开发有限责任公司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2"/>
                <w:sz w:val="18"/>
              </w:rPr>
              <w:t> </w:t>
            </w:r>
            <w:r>
              <w:rPr>
                <w:rFonts w:ascii="Times New Roman"/>
                <w:sz w:val="18"/>
              </w:rPr>
              <w:t>INC.</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天津安纳西科技有限公司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四级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北京安纳西科技有限公司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五级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北京安纳西互娱科技有限公司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六级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霍尔果斯于艺网络科技有限公司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六级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天津泰岳小漫科技有限公司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北京广通神州网络技术有限公司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广州短讯神州网络技术有限公司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6" w:type="dxa"/>
        <w:tblLayout w:type="fixed"/>
        <w:tblCellMar>
          <w:top w:w="0" w:type="dxa"/>
          <w:left w:w="0" w:type="dxa"/>
          <w:bottom w:w="0" w:type="dxa"/>
          <w:right w:w="0" w:type="dxa"/>
        </w:tblCellMar>
        <w:tblLook w:val="01E0"/>
      </w:tblPr>
      <w:tblGrid>
        <w:gridCol w:w="5247"/>
        <w:gridCol w:w="4412"/>
      </w:tblGrid>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苏州短讯神州网络技术有限公司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北京神州祥升软件有限公司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北京浩宇纵横科技有限公司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中科鼎富（北京）科技发展有限公司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上海奔耀信息科技有限公司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广州市奔耀信息科技有限公司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北京华泰德丰技术有限公司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深圳市前海泰岳梧桐投资基金管理有限公司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横琴神州泰奇互动科技有限公司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r>
        <w:trPr>
          <w:trHeight w:val="347"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r>
      <w:tr>
        <w:trPr>
          <w:trHeight w:val="348" w:hRule="exact"/>
        </w:trPr>
        <w:tc>
          <w:tcPr>
            <w:tcW w:w="52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神州泰岳（香港）发展有限公司</w:t>
            </w:r>
          </w:p>
        </w:tc>
        <w:tc>
          <w:tcPr>
            <w:tcW w:w="4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r>
    </w:tbl>
    <w:p>
      <w:pPr>
        <w:pStyle w:val="BodyText"/>
        <w:spacing w:line="240" w:lineRule="auto" w:before="88"/>
        <w:ind w:left="1332" w:right="0"/>
        <w:jc w:val="left"/>
      </w:pPr>
      <w:r>
        <w:rPr/>
        <w:t>本期合并财务报表范围及其变化情况详见本附注</w:t>
      </w:r>
      <w:r>
        <w:rPr>
          <w:rFonts w:ascii="Times New Roman" w:hAnsi="Times New Roman" w:cs="Times New Roman" w:eastAsia="Times New Roman" w:hint="default"/>
        </w:rPr>
        <w:t>“</w:t>
      </w:r>
      <w:r>
        <w:rPr/>
        <w:t>八、合并范围的变更</w:t>
      </w:r>
      <w:r>
        <w:rPr>
          <w:rFonts w:ascii="Times New Roman" w:hAnsi="Times New Roman" w:cs="Times New Roman" w:eastAsia="Times New Roman" w:hint="default"/>
        </w:rPr>
        <w:t>”  </w:t>
      </w:r>
      <w:r>
        <w:rPr/>
        <w:t>和 </w:t>
      </w:r>
      <w:r>
        <w:rPr>
          <w:rFonts w:ascii="Times New Roman" w:hAnsi="Times New Roman" w:cs="Times New Roman" w:eastAsia="Times New Roman" w:hint="default"/>
        </w:rPr>
        <w:t>“</w:t>
      </w:r>
      <w:r>
        <w:rPr/>
        <w:t>九、在其他主体中的权益</w:t>
      </w:r>
      <w:r>
        <w:rPr>
          <w:rFonts w:ascii="Times New Roman" w:hAnsi="Times New Roman" w:cs="Times New Roman" w:eastAsia="Times New Roman" w:hint="default"/>
        </w:rPr>
        <w:t>”</w:t>
      </w:r>
      <w:r>
        <w:rPr/>
        <w:t>。</w:t>
      </w:r>
    </w:p>
    <w:p>
      <w:pPr>
        <w:spacing w:line="240" w:lineRule="auto" w:before="0"/>
        <w:rPr>
          <w:rFonts w:ascii="宋体" w:hAnsi="宋体" w:cs="宋体" w:eastAsia="宋体" w:hint="default"/>
          <w:sz w:val="18"/>
          <w:szCs w:val="18"/>
        </w:rPr>
      </w:pPr>
    </w:p>
    <w:p>
      <w:pPr>
        <w:pStyle w:val="Heading2"/>
        <w:spacing w:line="240" w:lineRule="auto" w:before="158"/>
        <w:ind w:left="1133" w:right="0"/>
        <w:jc w:val="left"/>
        <w:rPr>
          <w:b w:val="0"/>
          <w:bCs w:val="0"/>
        </w:rPr>
      </w:pPr>
      <w:bookmarkStart w:name="四、财务报表的编制基础" w:id="165"/>
      <w:bookmarkEnd w:id="165"/>
      <w:r>
        <w:rPr>
          <w:b w:val="0"/>
          <w:bCs w:val="0"/>
        </w:rPr>
      </w:r>
      <w:r>
        <w:rPr/>
        <w:t>四、财务报表的编制基础</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编制基础" w:id="166"/>
      <w:bookmarkEnd w:id="166"/>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right="1130" w:firstLine="360"/>
        <w:jc w:val="both"/>
      </w:pPr>
      <w:r>
        <w:rPr>
          <w:spacing w:val="-2"/>
        </w:rPr>
        <w:t>公司以持续经营为基础，根据实际发生的交易和事项，按照财政部颁布的《企业会计准则</w:t>
      </w:r>
      <w:r>
        <w:rPr>
          <w:rFonts w:ascii="Times New Roman" w:hAnsi="Times New Roman" w:cs="Times New Roman" w:eastAsia="Times New Roman" w:hint="default"/>
          <w:spacing w:val="-2"/>
        </w:rPr>
        <w:t>——</w:t>
      </w:r>
      <w:r>
        <w:rPr>
          <w:spacing w:val="-2"/>
        </w:rPr>
        <w:t>基本准则》和各项具体会</w:t>
      </w:r>
      <w:r>
        <w:rPr/>
        <w:t> </w:t>
      </w:r>
      <w:r>
        <w:rPr>
          <w:spacing w:val="-2"/>
        </w:rPr>
        <w:t>计准则、企业会计准则应用指南、企业会计准则解释及其他相关规定（以下合称</w:t>
      </w:r>
      <w:r>
        <w:rPr>
          <w:rFonts w:ascii="Times New Roman" w:hAnsi="Times New Roman" w:cs="Times New Roman" w:eastAsia="Times New Roman" w:hint="default"/>
          <w:spacing w:val="-2"/>
        </w:rPr>
        <w:t>“</w:t>
      </w:r>
      <w:r>
        <w:rPr>
          <w:spacing w:val="-2"/>
        </w:rPr>
        <w:t>企业会计准则</w:t>
      </w:r>
      <w:r>
        <w:rPr>
          <w:rFonts w:ascii="Times New Roman" w:hAnsi="Times New Roman" w:cs="Times New Roman" w:eastAsia="Times New Roman" w:hint="default"/>
          <w:spacing w:val="-2"/>
        </w:rPr>
        <w:t>”</w:t>
      </w:r>
      <w:r>
        <w:rPr>
          <w:spacing w:val="-2"/>
        </w:rPr>
        <w:t>），以及中国证券监督管理</w:t>
      </w:r>
      <w:r>
        <w:rPr>
          <w:spacing w:val="-47"/>
        </w:rPr>
        <w:t> </w:t>
      </w:r>
      <w:r>
        <w:rPr>
          <w:spacing w:val="-47"/>
        </w:rPr>
      </w:r>
      <w:r>
        <w:rPr/>
        <w:t>委员会《公开发行证券的公司信息披露编报规则第</w:t>
      </w:r>
      <w:r>
        <w:rPr>
          <w:rFonts w:ascii="Times New Roman" w:hAnsi="Times New Roman" w:cs="Times New Roman" w:eastAsia="Times New Roman" w:hint="default"/>
        </w:rPr>
        <w:t>15  </w:t>
      </w:r>
      <w:r>
        <w:rPr/>
        <w:t>号</w:t>
      </w:r>
      <w:r>
        <w:rPr>
          <w:rFonts w:ascii="Times New Roman" w:hAnsi="Times New Roman" w:cs="Times New Roman" w:eastAsia="Times New Roman" w:hint="default"/>
        </w:rPr>
        <w:t>——</w:t>
      </w:r>
      <w:r>
        <w:rPr/>
        <w:t>财务报告的一般规定》的披露规定编制财务报表。</w:t>
      </w:r>
    </w:p>
    <w:p>
      <w:pPr>
        <w:spacing w:line="240" w:lineRule="auto" w:before="6"/>
        <w:rPr>
          <w:rFonts w:ascii="宋体" w:hAnsi="宋体" w:cs="宋体" w:eastAsia="宋体" w:hint="default"/>
          <w:sz w:val="18"/>
          <w:szCs w:val="18"/>
        </w:rPr>
      </w:pPr>
    </w:p>
    <w:p>
      <w:pPr>
        <w:pStyle w:val="Heading3"/>
        <w:spacing w:line="240" w:lineRule="auto"/>
        <w:ind w:left="1133" w:right="0"/>
        <w:jc w:val="left"/>
        <w:rPr>
          <w:b w:val="0"/>
          <w:bCs w:val="0"/>
        </w:rPr>
      </w:pPr>
      <w:bookmarkStart w:name="2、持续经营" w:id="167"/>
      <w:bookmarkEnd w:id="167"/>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493" w:right="0"/>
        <w:jc w:val="left"/>
      </w:pPr>
      <w:r>
        <w:rPr/>
        <w:t>公司自本报告期末至少</w:t>
      </w:r>
      <w:r>
        <w:rPr>
          <w:rFonts w:ascii="Times New Roman" w:hAnsi="Times New Roman" w:cs="Times New Roman" w:eastAsia="Times New Roman" w:hint="default"/>
        </w:rPr>
        <w:t>12</w:t>
      </w:r>
      <w:r>
        <w:rPr/>
        <w:t>个月内具备持续经营能力，无影响持续经营能力的重大事项。</w:t>
      </w:r>
    </w:p>
    <w:p>
      <w:pPr>
        <w:spacing w:line="240" w:lineRule="auto" w:before="1"/>
        <w:rPr>
          <w:rFonts w:ascii="宋体" w:hAnsi="宋体" w:cs="宋体" w:eastAsia="宋体" w:hint="default"/>
          <w:sz w:val="24"/>
          <w:szCs w:val="24"/>
        </w:rPr>
      </w:pPr>
    </w:p>
    <w:p>
      <w:pPr>
        <w:pStyle w:val="Heading2"/>
        <w:spacing w:line="240" w:lineRule="auto"/>
        <w:ind w:left="1133" w:right="0"/>
        <w:jc w:val="left"/>
        <w:rPr>
          <w:b w:val="0"/>
          <w:bCs w:val="0"/>
        </w:rPr>
      </w:pPr>
      <w:bookmarkStart w:name="五、重要会计政策及会计估计" w:id="168"/>
      <w:bookmarkEnd w:id="168"/>
      <w:r>
        <w:rPr>
          <w:b w:val="0"/>
          <w:bCs w:val="0"/>
        </w:rPr>
      </w:r>
      <w:r>
        <w:rPr/>
        <w:t>五、重要会计政策及会计估计</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5" w:right="7333" w:hanging="2"/>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spacing w:line="477" w:lineRule="auto" w:before="54"/>
        <w:ind w:left="1493" w:right="7873" w:firstLine="1"/>
        <w:jc w:val="left"/>
        <w:rPr>
          <w:rFonts w:ascii="宋体" w:hAnsi="宋体" w:cs="宋体" w:eastAsia="宋体" w:hint="default"/>
          <w:sz w:val="18"/>
          <w:szCs w:val="18"/>
        </w:rPr>
      </w:pPr>
      <w:r>
        <w:rPr>
          <w:rFonts w:ascii="宋体" w:hAnsi="宋体" w:cs="宋体" w:eastAsia="宋体" w:hint="default"/>
          <w:b/>
          <w:bCs/>
          <w:sz w:val="18"/>
          <w:szCs w:val="18"/>
        </w:rPr>
        <w:t>互联网游戏业</w:t>
      </w:r>
      <w:r>
        <w:rPr>
          <w:rFonts w:ascii="宋体" w:hAnsi="宋体" w:cs="宋体" w:eastAsia="宋体" w:hint="default"/>
          <w:b/>
          <w:bCs/>
          <w:w w:val="99"/>
          <w:sz w:val="18"/>
          <w:szCs w:val="18"/>
        </w:rPr>
        <w:t> </w:t>
      </w:r>
      <w:r>
        <w:rPr>
          <w:rFonts w:ascii="宋体" w:hAnsi="宋体" w:cs="宋体" w:eastAsia="宋体" w:hint="default"/>
          <w:sz w:val="18"/>
          <w:szCs w:val="18"/>
        </w:rPr>
        <w:t>具体会计政策和会计估计提示：</w:t>
      </w:r>
    </w:p>
    <w:p>
      <w:pPr>
        <w:pStyle w:val="BodyText"/>
        <w:spacing w:line="240" w:lineRule="auto" w:before="54"/>
        <w:ind w:left="1493" w:right="0"/>
        <w:jc w:val="left"/>
      </w:pPr>
      <w:r>
        <w:rPr/>
        <w:t>以下披露内容已涵盖了本公司根据实际生产经营特点制定的具体会计政策和会计估计。</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1、遵循企业会计准则的声明" w:id="169"/>
      <w:bookmarkEnd w:id="169"/>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134" w:right="1118" w:firstLine="360"/>
        <w:jc w:val="left"/>
      </w:pPr>
      <w:r>
        <w:rPr>
          <w:spacing w:val="-2"/>
        </w:rPr>
        <w:t>公司所编制的财务报表符合企业会计准则的要求，真实、完整地反映了报告期公司的财务状况、经营成果、现金流量等</w:t>
      </w:r>
      <w:r>
        <w:rPr/>
        <w:t> 有关信息。</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2、会计期间" w:id="170"/>
      <w:bookmarkEnd w:id="170"/>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自公历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日止为一个会计年度。</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3、营业周期" w:id="171"/>
      <w:bookmarkEnd w:id="171"/>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本公司营业周期为</w:t>
      </w:r>
      <w:r>
        <w:rPr>
          <w:rFonts w:ascii="Times New Roman" w:hAnsi="Times New Roman" w:cs="Times New Roman" w:eastAsia="Times New Roman" w:hint="default"/>
        </w:rPr>
        <w:t>12</w:t>
      </w:r>
      <w:r>
        <w:rPr/>
        <w:t>个月。</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left"/>
        <w:rPr>
          <w:b w:val="0"/>
          <w:bCs w:val="0"/>
        </w:rPr>
      </w:pPr>
      <w:bookmarkStart w:name="4、记账本位币" w:id="172"/>
      <w:bookmarkEnd w:id="172"/>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6"/>
        <w:rPr>
          <w:rFonts w:ascii="宋体" w:hAnsi="宋体" w:cs="宋体" w:eastAsia="宋体" w:hint="default"/>
          <w:b/>
          <w:bCs/>
          <w:sz w:val="32"/>
          <w:szCs w:val="32"/>
        </w:rPr>
      </w:pPr>
    </w:p>
    <w:p>
      <w:pPr>
        <w:pStyle w:val="BodyText"/>
        <w:tabs>
          <w:tab w:pos="1974" w:val="left" w:leader="none"/>
        </w:tabs>
        <w:spacing w:line="240" w:lineRule="auto"/>
        <w:ind w:left="1494" w:right="0"/>
        <w:jc w:val="left"/>
      </w:pPr>
      <w:r>
        <w:rPr>
          <w:rFonts w:ascii="Times New Roman" w:hAnsi="Times New Roman" w:cs="Times New Roman" w:eastAsia="Times New Roman" w:hint="default"/>
        </w:rPr>
        <w:t>1</w:t>
      </w:r>
      <w:r>
        <w:rPr/>
        <w:t>、</w:t>
        <w:tab/>
        <w:t>母公司采用人民币为记账本位币。</w:t>
      </w:r>
    </w:p>
    <w:p>
      <w:pPr>
        <w:spacing w:line="240" w:lineRule="auto" w:before="9"/>
        <w:rPr>
          <w:rFonts w:ascii="宋体" w:hAnsi="宋体" w:cs="宋体" w:eastAsia="宋体" w:hint="default"/>
          <w:sz w:val="16"/>
          <w:szCs w:val="16"/>
        </w:rPr>
      </w:pPr>
    </w:p>
    <w:p>
      <w:pPr>
        <w:pStyle w:val="BodyText"/>
        <w:tabs>
          <w:tab w:pos="1974" w:val="left" w:leader="none"/>
        </w:tabs>
        <w:spacing w:line="240" w:lineRule="auto"/>
        <w:ind w:left="1493" w:right="0"/>
        <w:jc w:val="left"/>
      </w:pPr>
      <w:r>
        <w:rPr>
          <w:rFonts w:ascii="Times New Roman" w:hAnsi="Times New Roman" w:cs="Times New Roman" w:eastAsia="Times New Roman" w:hint="default"/>
        </w:rPr>
        <w:t>2</w:t>
      </w:r>
      <w:r>
        <w:rPr/>
        <w:t>、</w:t>
        <w:tab/>
        <w:t>以下公司记账本位币如下：</w:t>
      </w:r>
    </w:p>
    <w:p>
      <w:pPr>
        <w:spacing w:line="240" w:lineRule="auto" w:before="12"/>
        <w:rPr>
          <w:rFonts w:ascii="宋体" w:hAnsi="宋体" w:cs="宋体" w:eastAsia="宋体" w:hint="default"/>
          <w:sz w:val="9"/>
          <w:szCs w:val="9"/>
        </w:rPr>
      </w:pPr>
    </w:p>
    <w:tbl>
      <w:tblPr>
        <w:tblW w:w="0" w:type="auto"/>
        <w:jc w:val="left"/>
        <w:tblInd w:w="1126" w:type="dxa"/>
        <w:tblLayout w:type="fixed"/>
        <w:tblCellMar>
          <w:top w:w="0" w:type="dxa"/>
          <w:left w:w="0" w:type="dxa"/>
          <w:bottom w:w="0" w:type="dxa"/>
          <w:right w:w="0" w:type="dxa"/>
        </w:tblCellMar>
        <w:tblLook w:val="01E0"/>
      </w:tblPr>
      <w:tblGrid>
        <w:gridCol w:w="4416"/>
        <w:gridCol w:w="2243"/>
        <w:gridCol w:w="3000"/>
      </w:tblGrid>
      <w:tr>
        <w:trPr>
          <w:trHeight w:val="347" w:hRule="exact"/>
        </w:trPr>
        <w:tc>
          <w:tcPr>
            <w:tcW w:w="441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22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注册地</w:t>
            </w:r>
          </w:p>
        </w:tc>
        <w:tc>
          <w:tcPr>
            <w:tcW w:w="300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记账本位币</w:t>
            </w:r>
          </w:p>
        </w:tc>
      </w:tr>
      <w:tr>
        <w:trPr>
          <w:trHeight w:val="348"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5"/>
                <w:sz w:val="18"/>
              </w:rPr>
              <w:t> </w:t>
            </w:r>
            <w:r>
              <w:rPr>
                <w:rFonts w:ascii="Times New Roman"/>
                <w:sz w:val="18"/>
              </w:rPr>
              <w:t>Ltd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新加坡币</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Times New Roman" w:hAnsi="Times New Roman" w:cs="Times New Roman" w:eastAsia="Times New Roman" w:hint="default"/>
                <w:sz w:val="18"/>
                <w:szCs w:val="18"/>
              </w:rPr>
            </w:pPr>
            <w:r>
              <w:rPr>
                <w:rFonts w:ascii="Times New Roman"/>
                <w:sz w:val="18"/>
              </w:rPr>
              <w:t>ULTRAPOWER 360 PTE.</w:t>
            </w:r>
            <w:r>
              <w:rPr>
                <w:rFonts w:ascii="Times New Roman"/>
                <w:spacing w:val="-5"/>
                <w:sz w:val="18"/>
              </w:rPr>
              <w:t> </w:t>
            </w:r>
            <w:r>
              <w:rPr>
                <w:rFonts w:ascii="Times New Roman"/>
                <w:sz w:val="18"/>
              </w:rPr>
              <w:t>LTD.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新加坡币</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2"/>
                <w:sz w:val="18"/>
              </w:rPr>
              <w:t> </w:t>
            </w:r>
            <w:r>
              <w:rPr>
                <w:rFonts w:ascii="Times New Roman"/>
                <w:sz w:val="18"/>
              </w:rPr>
              <w:t>INC.</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美国</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3"/>
                <w:sz w:val="18"/>
              </w:rPr>
              <w:t> </w:t>
            </w:r>
            <w:r>
              <w:rPr>
                <w:rFonts w:ascii="Times New Roman"/>
                <w:sz w:val="18"/>
              </w:rPr>
              <w:t>Limited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美元</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660"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tabs>
                <w:tab w:pos="701" w:val="left" w:leader="none"/>
                <w:tab w:pos="1611" w:val="left" w:leader="none"/>
                <w:tab w:pos="2920" w:val="left" w:leader="none"/>
                <w:tab w:pos="3648" w:val="left" w:leader="none"/>
              </w:tabs>
              <w:spacing w:line="362" w:lineRule="auto" w:before="61"/>
              <w:ind w:left="2" w:right="0"/>
              <w:jc w:val="left"/>
              <w:rPr>
                <w:rFonts w:ascii="Times New Roman" w:hAnsi="Times New Roman" w:cs="Times New Roman" w:eastAsia="Times New Roman" w:hint="default"/>
                <w:sz w:val="18"/>
                <w:szCs w:val="18"/>
              </w:rPr>
            </w:pPr>
            <w:r>
              <w:rPr>
                <w:rFonts w:ascii="Times New Roman"/>
                <w:w w:val="95"/>
                <w:sz w:val="18"/>
              </w:rPr>
              <w:t>RED</w:t>
              <w:tab/>
              <w:t>TRUST</w:t>
              <w:tab/>
            </w:r>
            <w:r>
              <w:rPr>
                <w:rFonts w:ascii="Times New Roman"/>
                <w:spacing w:val="-1"/>
                <w:sz w:val="18"/>
              </w:rPr>
              <w:t>SOFTWARE</w:t>
              <w:tab/>
              <w:t>AND</w:t>
              <w:tab/>
            </w:r>
            <w:r>
              <w:rPr>
                <w:rFonts w:ascii="Times New Roman"/>
                <w:sz w:val="18"/>
              </w:rPr>
              <w:t>SERVICE</w:t>
            </w:r>
            <w:r>
              <w:rPr>
                <w:rFonts w:ascii="Times New Roman"/>
                <w:sz w:val="18"/>
              </w:rPr>
              <w:t> TECHNOLOGY    COMPANY  </w:t>
            </w:r>
            <w:r>
              <w:rPr>
                <w:rFonts w:ascii="Times New Roman"/>
                <w:spacing w:val="40"/>
                <w:sz w:val="18"/>
              </w:rPr>
              <w:t> </w:t>
            </w:r>
            <w:r>
              <w:rPr>
                <w:rFonts w:ascii="Times New Roman"/>
                <w:sz w:val="18"/>
              </w:rPr>
              <w:t>LIMITED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越南</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越南盾</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Times New Roman" w:hAnsi="Times New Roman" w:cs="Times New Roman" w:eastAsia="Times New Roman" w:hint="default"/>
                <w:sz w:val="18"/>
                <w:szCs w:val="18"/>
              </w:rPr>
            </w:pPr>
            <w:r>
              <w:rPr>
                <w:rFonts w:ascii="Times New Roman"/>
                <w:sz w:val="18"/>
              </w:rPr>
              <w:t>UQSOFT YUHAN</w:t>
            </w:r>
            <w:r>
              <w:rPr>
                <w:rFonts w:ascii="Times New Roman"/>
                <w:spacing w:val="-5"/>
                <w:sz w:val="18"/>
              </w:rPr>
              <w:t> </w:t>
            </w:r>
            <w:r>
              <w:rPr>
                <w:rFonts w:ascii="Times New Roman"/>
                <w:sz w:val="18"/>
              </w:rPr>
              <w:t>HOESA</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韩国</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韩元</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Uqsoft (Thailand) Co.</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Ltd.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泰国</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泰铢</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 soft (Singapore)</w:t>
            </w:r>
            <w:r>
              <w:rPr>
                <w:rFonts w:ascii="Times New Roman"/>
                <w:spacing w:val="-5"/>
                <w:sz w:val="18"/>
              </w:rPr>
              <w:t> </w:t>
            </w:r>
            <w:r>
              <w:rPr>
                <w:rFonts w:ascii="Times New Roman"/>
                <w:sz w:val="18"/>
              </w:rPr>
              <w:t>Pte.Ltd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新加坡</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新加坡币</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Uqsoft (Hong Kong)</w:t>
            </w:r>
            <w:r>
              <w:rPr>
                <w:rFonts w:ascii="Times New Roman"/>
                <w:spacing w:val="-3"/>
                <w:sz w:val="18"/>
              </w:rPr>
              <w:t> </w:t>
            </w:r>
            <w:r>
              <w:rPr>
                <w:rFonts w:ascii="Times New Roman"/>
                <w:sz w:val="18"/>
              </w:rPr>
              <w:t>Limited</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港币</w:t>
            </w:r>
          </w:p>
        </w:tc>
      </w:tr>
      <w:tr>
        <w:trPr>
          <w:trHeight w:val="348"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UQ soft (Singapore) Pte.Ltd - Taiwan</w:t>
            </w:r>
            <w:r>
              <w:rPr>
                <w:rFonts w:ascii="Times New Roman"/>
                <w:spacing w:val="-5"/>
                <w:sz w:val="18"/>
              </w:rPr>
              <w:t> </w:t>
            </w:r>
            <w:r>
              <w:rPr>
                <w:rFonts w:ascii="Times New Roman"/>
                <w:sz w:val="18"/>
              </w:rPr>
              <w:t>Branch</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台湾</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新台币</w:t>
            </w:r>
          </w:p>
        </w:tc>
      </w:tr>
      <w:tr>
        <w:trPr>
          <w:trHeight w:val="347" w:hRule="exact"/>
        </w:trPr>
        <w:tc>
          <w:tcPr>
            <w:tcW w:w="44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2" w:right="0"/>
              <w:jc w:val="left"/>
              <w:rPr>
                <w:rFonts w:ascii="Times New Roman" w:hAnsi="Times New Roman" w:cs="Times New Roman" w:eastAsia="Times New Roman" w:hint="default"/>
                <w:sz w:val="18"/>
                <w:szCs w:val="18"/>
              </w:rPr>
            </w:pPr>
            <w:r>
              <w:rPr>
                <w:rFonts w:ascii="Times New Roman"/>
                <w:sz w:val="18"/>
              </w:rPr>
              <w:t>UQSOFT (RUSSIA)</w:t>
            </w:r>
            <w:r>
              <w:rPr>
                <w:rFonts w:ascii="Times New Roman"/>
                <w:spacing w:val="-1"/>
                <w:sz w:val="18"/>
              </w:rPr>
              <w:t> </w:t>
            </w:r>
            <w:r>
              <w:rPr>
                <w:rFonts w:ascii="Times New Roman"/>
                <w:sz w:val="18"/>
              </w:rPr>
              <w:t>CO.</w:t>
            </w:r>
          </w:p>
        </w:tc>
        <w:tc>
          <w:tcPr>
            <w:tcW w:w="22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俄罗斯</w:t>
            </w:r>
          </w:p>
        </w:tc>
        <w:tc>
          <w:tcPr>
            <w:tcW w:w="30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卢布</w:t>
            </w:r>
          </w:p>
        </w:tc>
      </w:tr>
    </w:tbl>
    <w:p>
      <w:pPr>
        <w:pStyle w:val="BodyText"/>
        <w:tabs>
          <w:tab w:pos="1974" w:val="left" w:leader="none"/>
        </w:tabs>
        <w:spacing w:line="240" w:lineRule="auto" w:before="88"/>
        <w:ind w:left="1494" w:right="0"/>
        <w:jc w:val="left"/>
      </w:pPr>
      <w:r>
        <w:rPr>
          <w:rFonts w:ascii="Times New Roman" w:hAnsi="Times New Roman" w:cs="Times New Roman" w:eastAsia="Times New Roman" w:hint="default"/>
        </w:rPr>
        <w:t>3</w:t>
      </w:r>
      <w:r>
        <w:rPr/>
        <w:t>、</w:t>
        <w:tab/>
        <w:t>除上述公司外，其余公司均采用人民币为记账本位币。</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3" w:right="0"/>
        <w:jc w:val="left"/>
        <w:rPr>
          <w:b w:val="0"/>
          <w:bCs w:val="0"/>
        </w:rPr>
      </w:pPr>
      <w:bookmarkStart w:name="5、同一控制下和非同一控制下企业合并的会计处理方法" w:id="173"/>
      <w:bookmarkEnd w:id="173"/>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同一控制下企业合并：本公司在企业合并中取得的资产和负债，按照合并日被合并方资产、负债（包括最终控制方收购</w:t>
      </w:r>
      <w:r>
        <w:rPr/>
        <w:t> </w:t>
      </w:r>
      <w:r>
        <w:rPr>
          <w:spacing w:val="-2"/>
        </w:rPr>
        <w:t>被合并方而形成的商誉）在最终控制方合并财务报表中的账面价值计量。在合并中取得的净资产账面价值与支付的合并对价</w:t>
      </w:r>
    </w:p>
    <w:p>
      <w:pPr>
        <w:spacing w:after="0" w:line="477"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pStyle w:val="BodyText"/>
        <w:spacing w:line="477" w:lineRule="auto" w:before="44"/>
        <w:ind w:left="1494" w:right="1127" w:hanging="360"/>
        <w:jc w:val="left"/>
      </w:pPr>
      <w:r>
        <w:rPr>
          <w:spacing w:val="-5"/>
        </w:rPr>
        <w:t>账面价值（或发行股份面值总额）的差额，调整资本公积中的股本溢价，资本公积中的股本溢价不足冲减的，调整留存收益。</w:t>
      </w:r>
      <w:r>
        <w:rPr>
          <w:spacing w:val="-79"/>
        </w:rPr>
        <w:t> </w:t>
      </w:r>
      <w:r>
        <w:rPr>
          <w:spacing w:val="-79"/>
        </w:rPr>
      </w:r>
      <w:r>
        <w:rPr>
          <w:spacing w:val="-2"/>
        </w:rPr>
        <w:t>非同一控制下企业合并：本公司在购买日对作为企业合并对价付出的资产、发生或承担的负债按照公允价值计量，公允</w:t>
      </w:r>
    </w:p>
    <w:p>
      <w:pPr>
        <w:pStyle w:val="BodyText"/>
        <w:spacing w:line="477" w:lineRule="auto" w:before="54"/>
        <w:ind w:left="1134" w:right="0"/>
        <w:jc w:val="left"/>
      </w:pPr>
      <w:r>
        <w:rPr>
          <w:spacing w:val="-4"/>
        </w:rPr>
        <w:t>价值与其账面价值的差额，计入当期损益。本公司对合并成本大于合并中取得的被购买方可辨认净资产公允价值份额的差额，</w:t>
      </w:r>
      <w:r>
        <w:rPr>
          <w:spacing w:val="-44"/>
        </w:rPr>
        <w:t> </w:t>
      </w:r>
      <w:r>
        <w:rPr>
          <w:spacing w:val="-44"/>
        </w:rPr>
      </w:r>
      <w:r>
        <w:rPr/>
        <w:t>确认为商誉；合并成本小于合并中取得的被购买方可辨认净资产公允价值份额的差额，经复核后，计入当期损益。</w:t>
      </w:r>
    </w:p>
    <w:p>
      <w:pPr>
        <w:pStyle w:val="BodyText"/>
        <w:spacing w:line="477" w:lineRule="auto" w:before="54"/>
        <w:ind w:right="1131" w:firstLine="360"/>
        <w:jc w:val="both"/>
      </w:pPr>
      <w:r>
        <w:rPr>
          <w:spacing w:val="-2"/>
        </w:rPr>
        <w:t>为企业合并发生的审计、法律服务、评估咨询等中介费用以及其他直接相关费用，于发生时计入当期损益；为企业合并</w:t>
      </w:r>
      <w:r>
        <w:rPr/>
        <w:t> 而发行权益性证券的交易费用，冲减权益。</w:t>
      </w:r>
    </w:p>
    <w:p>
      <w:pPr>
        <w:spacing w:line="240" w:lineRule="auto" w:before="3"/>
        <w:rPr>
          <w:rFonts w:ascii="宋体" w:hAnsi="宋体" w:cs="宋体" w:eastAsia="宋体" w:hint="default"/>
          <w:sz w:val="19"/>
          <w:szCs w:val="19"/>
        </w:rPr>
      </w:pPr>
    </w:p>
    <w:p>
      <w:pPr>
        <w:pStyle w:val="Heading3"/>
        <w:spacing w:line="240" w:lineRule="auto"/>
        <w:ind w:left="1133" w:right="0"/>
        <w:jc w:val="left"/>
        <w:rPr>
          <w:b w:val="0"/>
          <w:bCs w:val="0"/>
        </w:rPr>
      </w:pPr>
      <w:bookmarkStart w:name="6、合并财务报表的编制方法" w:id="174"/>
      <w:bookmarkEnd w:id="174"/>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1494" w:right="1118" w:firstLine="1"/>
        <w:jc w:val="left"/>
      </w:pPr>
      <w:r>
        <w:rPr>
          <w:rFonts w:ascii="Times New Roman" w:hAnsi="Times New Roman" w:cs="Times New Roman" w:eastAsia="Times New Roman" w:hint="default"/>
          <w:b/>
          <w:bCs/>
        </w:rPr>
        <w:t>1</w:t>
      </w:r>
      <w:r>
        <w:rPr>
          <w:rFonts w:ascii="宋体" w:hAnsi="宋体" w:cs="宋体" w:eastAsia="宋体" w:hint="default"/>
          <w:b/>
          <w:bCs/>
        </w:rPr>
        <w:t>、合并范围</w:t>
      </w:r>
      <w:r>
        <w:rPr>
          <w:rFonts w:ascii="宋体" w:hAnsi="宋体" w:cs="宋体" w:eastAsia="宋体" w:hint="default"/>
          <w:b/>
          <w:bCs/>
          <w:w w:val="99"/>
        </w:rPr>
        <w:t> </w:t>
      </w:r>
      <w:r>
        <w:rPr>
          <w:spacing w:val="-2"/>
        </w:rPr>
        <w:t>本公司合并财务报表的合并范围以控制为基础确定，所有子公司（包括本公司所控制的被投资方可分割的部分）均纳入</w:t>
      </w:r>
    </w:p>
    <w:p>
      <w:pPr>
        <w:pStyle w:val="BodyText"/>
        <w:spacing w:line="240" w:lineRule="auto" w:before="74"/>
        <w:ind w:left="1134" w:right="0"/>
        <w:jc w:val="left"/>
      </w:pPr>
      <w:r>
        <w:rPr/>
        <w:t>合并财务报表。</w:t>
      </w:r>
    </w:p>
    <w:p>
      <w:pPr>
        <w:spacing w:line="240" w:lineRule="auto" w:before="10"/>
        <w:rPr>
          <w:rFonts w:ascii="宋体" w:hAnsi="宋体" w:cs="宋体" w:eastAsia="宋体" w:hint="default"/>
          <w:sz w:val="17"/>
          <w:szCs w:val="17"/>
        </w:rPr>
      </w:pPr>
    </w:p>
    <w:p>
      <w:pPr>
        <w:pStyle w:val="BodyText"/>
        <w:spacing w:line="451" w:lineRule="auto"/>
        <w:ind w:left="1494" w:right="1118" w:firstLine="1"/>
        <w:jc w:val="left"/>
      </w:pPr>
      <w:r>
        <w:rPr>
          <w:rFonts w:ascii="Times New Roman" w:hAnsi="Times New Roman" w:cs="Times New Roman" w:eastAsia="Times New Roman" w:hint="default"/>
          <w:b/>
          <w:bCs/>
        </w:rPr>
        <w:t>2</w:t>
      </w:r>
      <w:r>
        <w:rPr>
          <w:rFonts w:ascii="宋体" w:hAnsi="宋体" w:cs="宋体" w:eastAsia="宋体" w:hint="default"/>
          <w:b/>
          <w:bCs/>
        </w:rPr>
        <w:t>、合并程序</w:t>
      </w:r>
      <w:r>
        <w:rPr>
          <w:rFonts w:ascii="宋体" w:hAnsi="宋体" w:cs="宋体" w:eastAsia="宋体" w:hint="default"/>
          <w:b/>
          <w:bCs/>
          <w:w w:val="99"/>
        </w:rPr>
        <w:t> </w:t>
      </w:r>
      <w:r>
        <w:rPr>
          <w:spacing w:val="-2"/>
        </w:rPr>
        <w:t>本公司以自身和各子公司的财务报表为基础，根据其他有关资料，编制合并财务报表。本公司编制合并财务报表，将整</w:t>
      </w:r>
    </w:p>
    <w:p>
      <w:pPr>
        <w:pStyle w:val="BodyText"/>
        <w:spacing w:line="477" w:lineRule="auto" w:before="74"/>
        <w:ind w:left="1134" w:right="0"/>
        <w:jc w:val="left"/>
      </w:pPr>
      <w:r>
        <w:rPr>
          <w:spacing w:val="-2"/>
        </w:rPr>
        <w:t>个企业集团视为一个会计主体，依据相关企业会计准则的确认、计量和列报要求，按照统一的会计政策，反映本企业集团整</w:t>
      </w:r>
      <w:r>
        <w:rPr>
          <w:spacing w:val="-66"/>
        </w:rPr>
        <w:t> </w:t>
      </w:r>
      <w:r>
        <w:rPr>
          <w:spacing w:val="-66"/>
        </w:rPr>
      </w:r>
      <w:r>
        <w:rPr/>
        <w:t>体财务状况、经营成果和现金流量。</w:t>
      </w:r>
    </w:p>
    <w:p>
      <w:pPr>
        <w:pStyle w:val="BodyText"/>
        <w:spacing w:line="477" w:lineRule="auto" w:before="54"/>
        <w:ind w:left="1134" w:right="1033" w:firstLine="360"/>
        <w:jc w:val="left"/>
      </w:pPr>
      <w:r>
        <w:rPr>
          <w:spacing w:val="-2"/>
        </w:rPr>
        <w:t>所有纳入合并财务报表合并范围的子公司所采用的会计政策、会计期间与本公司一致，如子公司采用的会计政策、会计</w:t>
      </w:r>
      <w:r>
        <w:rPr/>
        <w:t> </w:t>
      </w:r>
      <w:r>
        <w:rPr>
          <w:spacing w:val="-2"/>
        </w:rPr>
        <w:t>期间与本公司不一致的，在编制合并财务报表时，按本公司的会计政策、会计期间进行必要的调整。对于非同一控制下企业</w:t>
      </w:r>
      <w:r>
        <w:rPr>
          <w:spacing w:val="-66"/>
        </w:rPr>
        <w:t> </w:t>
      </w:r>
      <w:r>
        <w:rPr>
          <w:spacing w:val="-66"/>
        </w:rPr>
      </w:r>
      <w:r>
        <w:rPr>
          <w:spacing w:val="-4"/>
        </w:rPr>
        <w:t>合并取得的子公司，以购买日可辨认净资产公允价值为基础对其财务报表进行调整。对于同一控制下企业合并取得的子公司，</w:t>
      </w:r>
      <w:r>
        <w:rPr>
          <w:spacing w:val="-44"/>
        </w:rPr>
        <w:t> </w:t>
      </w:r>
      <w:r>
        <w:rPr>
          <w:spacing w:val="-44"/>
        </w:rPr>
      </w:r>
      <w:r>
        <w:rPr>
          <w:spacing w:val="-2"/>
        </w:rPr>
        <w:t>以其资产、负债（包括最终控制方收购该子公司而形成的商誉）在最终控制方财务报表中的账面价值为基础对其财务报表进</w:t>
      </w:r>
      <w:r>
        <w:rPr>
          <w:spacing w:val="-66"/>
        </w:rPr>
        <w:t> </w:t>
      </w:r>
      <w:r>
        <w:rPr>
          <w:spacing w:val="-66"/>
        </w:rPr>
      </w:r>
      <w:r>
        <w:rPr/>
        <w:t>行调整。</w:t>
      </w:r>
    </w:p>
    <w:p>
      <w:pPr>
        <w:pStyle w:val="BodyText"/>
        <w:spacing w:line="477" w:lineRule="auto" w:before="54"/>
        <w:ind w:left="1134" w:right="1131" w:firstLine="360"/>
        <w:jc w:val="both"/>
      </w:pPr>
      <w:r>
        <w:rPr>
          <w:spacing w:val="-2"/>
        </w:rPr>
        <w:t>子公司所有者权益、当期净损益和当期综合收益中属于少数股东的份额分别在合并资产负债表中所有者权益项目下、合</w:t>
      </w:r>
      <w:r>
        <w:rPr/>
        <w:t> </w:t>
      </w:r>
      <w:r>
        <w:rPr>
          <w:spacing w:val="-2"/>
        </w:rPr>
        <w:t>并利润表中净利润项目下和综合收益总额项目下单独列示。子公司少数股东分担的当期亏损超过了少数股东在该子公司期初</w:t>
      </w:r>
      <w:r>
        <w:rPr>
          <w:spacing w:val="-64"/>
        </w:rPr>
        <w:t> </w:t>
      </w:r>
      <w:r>
        <w:rPr>
          <w:spacing w:val="-64"/>
        </w:rPr>
      </w:r>
      <w:r>
        <w:rPr/>
        <w:t>所有者权益中所享有份额而形成的余额，冲减少数股东权益。</w:t>
      </w:r>
    </w:p>
    <w:p>
      <w:pPr>
        <w:pStyle w:val="BodyText"/>
        <w:spacing w:line="451" w:lineRule="auto" w:before="54"/>
        <w:ind w:left="1494" w:right="0"/>
        <w:jc w:val="left"/>
      </w:pPr>
      <w:r>
        <w:rPr/>
        <w:t>（</w:t>
      </w:r>
      <w:r>
        <w:rPr>
          <w:rFonts w:ascii="Times New Roman" w:hAnsi="Times New Roman" w:cs="Times New Roman" w:eastAsia="Times New Roman" w:hint="default"/>
        </w:rPr>
        <w:t>1</w:t>
      </w:r>
      <w:r>
        <w:rPr/>
        <w:t>）增加子公司或业务 </w:t>
      </w:r>
      <w:r>
        <w:rPr>
          <w:spacing w:val="-2"/>
        </w:rPr>
        <w:t>在报告期内，若因同一控制下企业合并增加子公司或业务的，则调整合并资产负债表的期初数；将子公司或业务合并当</w:t>
      </w:r>
    </w:p>
    <w:p>
      <w:pPr>
        <w:pStyle w:val="BodyText"/>
        <w:spacing w:line="477" w:lineRule="auto" w:before="74"/>
        <w:ind w:left="1134" w:right="0"/>
        <w:jc w:val="left"/>
      </w:pPr>
      <w:r>
        <w:rPr>
          <w:spacing w:val="-2"/>
        </w:rPr>
        <w:t>期期初至报告期末的收入、费用、利润纳入合并利润表；将子公司或业务合并当期期初至报告期末的现金流量纳入合并现金</w:t>
      </w:r>
      <w:r>
        <w:rPr>
          <w:spacing w:val="-65"/>
        </w:rPr>
        <w:t> </w:t>
      </w:r>
      <w:r>
        <w:rPr>
          <w:spacing w:val="-65"/>
        </w:rPr>
      </w:r>
      <w:r>
        <w:rPr/>
        <w:t>流量表，同时对比较报表的相关项目进行调整，视同合并后的报告主体自最终控制方开始控制时点起一直存在。</w:t>
      </w:r>
    </w:p>
    <w:p>
      <w:pPr>
        <w:pStyle w:val="BodyText"/>
        <w:spacing w:line="477" w:lineRule="auto" w:before="54"/>
        <w:ind w:right="1131" w:firstLine="360"/>
        <w:jc w:val="both"/>
      </w:pPr>
      <w:r>
        <w:rPr>
          <w:spacing w:val="-2"/>
        </w:rPr>
        <w:t>因追加投资等原因能够对同一控制下的被投资方实施控制的，视同参与合并的各方在最终控制方开始控制时即以目前的</w:t>
      </w:r>
      <w:r>
        <w:rPr/>
        <w:t> </w:t>
      </w:r>
      <w:r>
        <w:rPr>
          <w:spacing w:val="-2"/>
        </w:rPr>
        <w:t>状态存在进行调整。在取得被合并方控制权之前持有的股权投资，在取得原股权之日与合并方和被合并方同处于同一控制之</w:t>
      </w:r>
      <w:r>
        <w:rPr>
          <w:spacing w:val="-64"/>
        </w:rPr>
        <w:t> </w:t>
      </w:r>
      <w:r>
        <w:rPr>
          <w:spacing w:val="-64"/>
        </w:rPr>
      </w:r>
      <w:r>
        <w:rPr>
          <w:spacing w:val="-2"/>
        </w:rPr>
        <w:t>日孰晚日起至合并日之间已确认有关损益、其他综合收益以及其他净资产变动，分别冲减比较报表期间的期初留存收益或当</w:t>
      </w:r>
    </w:p>
    <w:p>
      <w:pPr>
        <w:spacing w:after="0" w:line="477"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t>期损益。</w:t>
      </w:r>
    </w:p>
    <w:p>
      <w:pPr>
        <w:spacing w:line="240" w:lineRule="auto" w:before="10"/>
        <w:rPr>
          <w:rFonts w:ascii="宋体" w:hAnsi="宋体" w:cs="宋体" w:eastAsia="宋体" w:hint="default"/>
          <w:sz w:val="17"/>
          <w:szCs w:val="17"/>
        </w:rPr>
      </w:pPr>
    </w:p>
    <w:p>
      <w:pPr>
        <w:pStyle w:val="BodyText"/>
        <w:spacing w:line="477" w:lineRule="auto"/>
        <w:ind w:left="1134" w:right="1132" w:firstLine="360"/>
        <w:jc w:val="both"/>
      </w:pPr>
      <w:r>
        <w:rPr>
          <w:spacing w:val="-2"/>
        </w:rPr>
        <w:t>在报告期内，若因非同一控制下企业合并增加子公司或业务的，则不调整合并资产负债表期初数；将该子公司或业务自</w:t>
      </w:r>
      <w:r>
        <w:rPr/>
        <w:t> </w:t>
      </w:r>
      <w:r>
        <w:rPr>
          <w:spacing w:val="-2"/>
        </w:rPr>
        <w:t>购买日至报告期末的收入、费用、利润纳入合并利润表；该子公司或业务自购买日至报告期末的现金流量纳入合并现金流量</w:t>
      </w:r>
      <w:r>
        <w:rPr>
          <w:spacing w:val="-66"/>
        </w:rPr>
        <w:t> </w:t>
      </w:r>
      <w:r>
        <w:rPr>
          <w:spacing w:val="-66"/>
        </w:rPr>
      </w:r>
      <w:r>
        <w:rPr/>
        <w:t>表。</w:t>
      </w:r>
    </w:p>
    <w:p>
      <w:pPr>
        <w:pStyle w:val="BodyText"/>
        <w:spacing w:line="477" w:lineRule="auto" w:before="54"/>
        <w:ind w:left="1134" w:right="1131" w:firstLine="360"/>
        <w:jc w:val="both"/>
      </w:pPr>
      <w:r>
        <w:rPr>
          <w:spacing w:val="-2"/>
        </w:rPr>
        <w:t>因追加投资等原因能够对非同一控制下的被投资方实施控制的，对于购买日之前持有的被购买方的股权，本公司按照该</w:t>
      </w:r>
      <w:r>
        <w:rPr/>
        <w:t> </w:t>
      </w:r>
      <w:r>
        <w:rPr>
          <w:spacing w:val="-2"/>
        </w:rPr>
        <w:t>股权在购买日的公允价值进行重新计量，公允价值与其账面价值的差额计入当期投资收益。购买日之前持有的被购买方的股</w:t>
      </w:r>
      <w:r>
        <w:rPr>
          <w:spacing w:val="-64"/>
        </w:rPr>
        <w:t> </w:t>
      </w:r>
      <w:r>
        <w:rPr>
          <w:spacing w:val="-64"/>
        </w:rPr>
      </w:r>
      <w:r>
        <w:rPr>
          <w:spacing w:val="-2"/>
        </w:rPr>
        <w:t>权涉及权益法核算下的其他综合收益以及除净损益、其他综合收益和利润分配之外的其他所有者权益变动的，与其相关的其</w:t>
      </w:r>
      <w:r>
        <w:rPr>
          <w:spacing w:val="-64"/>
        </w:rPr>
        <w:t> </w:t>
      </w:r>
      <w:r>
        <w:rPr>
          <w:spacing w:val="-64"/>
        </w:rPr>
      </w:r>
      <w:r>
        <w:rPr>
          <w:spacing w:val="-2"/>
        </w:rPr>
        <w:t>他综合收益、其他所有者权益变动转为购买日所属当期投资收益，由于被投资方重新计量设定受益计划净负债或净资产变动</w:t>
      </w:r>
      <w:r>
        <w:rPr>
          <w:spacing w:val="-64"/>
        </w:rPr>
        <w:t> </w:t>
      </w:r>
      <w:r>
        <w:rPr>
          <w:spacing w:val="-64"/>
        </w:rPr>
      </w:r>
      <w:r>
        <w:rPr/>
        <w:t>而产生的其他综合收益除外。</w:t>
      </w:r>
    </w:p>
    <w:p>
      <w:pPr>
        <w:pStyle w:val="BodyText"/>
        <w:spacing w:line="240" w:lineRule="auto" w:before="54"/>
        <w:ind w:left="1494" w:right="0"/>
        <w:jc w:val="left"/>
      </w:pPr>
      <w:r>
        <w:rPr/>
        <w:t>（</w:t>
      </w:r>
      <w:r>
        <w:rPr>
          <w:rFonts w:ascii="Times New Roman" w:hAnsi="Times New Roman" w:cs="Times New Roman" w:eastAsia="Times New Roman" w:hint="default"/>
        </w:rPr>
        <w:t>2</w:t>
      </w:r>
      <w:r>
        <w:rPr/>
        <w:t>）处置子公司或业务</w:t>
      </w:r>
    </w:p>
    <w:p>
      <w:pPr>
        <w:spacing w:line="240" w:lineRule="auto" w:before="9"/>
        <w:rPr>
          <w:rFonts w:ascii="宋体" w:hAnsi="宋体" w:cs="宋体" w:eastAsia="宋体" w:hint="default"/>
          <w:sz w:val="16"/>
          <w:szCs w:val="16"/>
        </w:rPr>
      </w:pPr>
    </w:p>
    <w:p>
      <w:pPr>
        <w:pStyle w:val="BodyText"/>
        <w:spacing w:line="477" w:lineRule="auto"/>
        <w:ind w:left="1493" w:right="0"/>
        <w:jc w:val="left"/>
      </w:pPr>
      <w:r>
        <w:rPr/>
        <w:t>①一般处理方法 </w:t>
      </w:r>
      <w:r>
        <w:rPr>
          <w:spacing w:val="-2"/>
        </w:rPr>
        <w:t>在报告期内，本公司处置子公司或业务，则该子公司或业务期初至处置日的收入、费用、利润纳入合并利润表；该子公</w:t>
      </w:r>
    </w:p>
    <w:p>
      <w:pPr>
        <w:pStyle w:val="BodyText"/>
        <w:spacing w:line="477" w:lineRule="auto" w:before="54"/>
        <w:ind w:left="1494" w:right="0" w:hanging="360"/>
        <w:jc w:val="left"/>
      </w:pPr>
      <w:r>
        <w:rPr/>
        <w:t>司或业务期初至处置日的现金流量纳入合并现金流量表。 </w:t>
      </w:r>
      <w:r>
        <w:rPr>
          <w:spacing w:val="-2"/>
        </w:rPr>
        <w:t>因处置部分股权投资或其他原因丧失了对被投资方控制权时，对于处置后的剩余股权投资，本公司按照其在丧失控制权</w:t>
      </w:r>
    </w:p>
    <w:p>
      <w:pPr>
        <w:pStyle w:val="BodyText"/>
        <w:spacing w:line="477" w:lineRule="auto" w:before="54"/>
        <w:ind w:left="1134" w:right="1032"/>
        <w:jc w:val="left"/>
      </w:pPr>
      <w:r>
        <w:rPr>
          <w:spacing w:val="-2"/>
        </w:rPr>
        <w:t>日的公允价值进行重新计量。处置股权取得的对价与剩余股权公允价值之和，减去按原持股比例计算应享有原有子公司自购</w:t>
      </w:r>
      <w:r>
        <w:rPr>
          <w:spacing w:val="-63"/>
        </w:rPr>
        <w:t> </w:t>
      </w:r>
      <w:r>
        <w:rPr>
          <w:spacing w:val="-63"/>
        </w:rPr>
      </w:r>
      <w:r>
        <w:rPr>
          <w:spacing w:val="-2"/>
        </w:rPr>
        <w:t>买日或合并日开始持续计算的净资产的份额与商誉之和的差额，计入丧失控制权当期的投资收益。与原有子公司股权投资相</w:t>
      </w:r>
      <w:r>
        <w:rPr>
          <w:spacing w:val="-64"/>
        </w:rPr>
        <w:t> </w:t>
      </w:r>
      <w:r>
        <w:rPr>
          <w:spacing w:val="-64"/>
        </w:rPr>
      </w:r>
      <w:r>
        <w:rPr/>
        <w:t>关的其他综合收益或除净损益、其他综合收益及利润分配之外的其他所有者权益变动，在丧失控制权时转为当期投资收益，</w:t>
      </w:r>
      <w:r>
        <w:rPr>
          <w:spacing w:val="-85"/>
        </w:rPr>
        <w:t> </w:t>
      </w:r>
      <w:r>
        <w:rPr>
          <w:spacing w:val="-85"/>
        </w:rPr>
      </w:r>
      <w:r>
        <w:rPr/>
        <w:t>由于被投资方重新计量设定受益计划净负债或净资产变动而产生的其他综合收益除外。</w:t>
      </w:r>
    </w:p>
    <w:p>
      <w:pPr>
        <w:pStyle w:val="BodyText"/>
        <w:spacing w:line="240" w:lineRule="auto" w:before="54"/>
        <w:ind w:left="1493" w:right="0"/>
        <w:jc w:val="left"/>
      </w:pPr>
      <w:r>
        <w:rPr/>
        <w:t>因其他投资方对子公司增资而导致本公司持股比例下降从而丧失控制权的，按照上述原则进行会计处理。</w:t>
      </w:r>
    </w:p>
    <w:p>
      <w:pPr>
        <w:spacing w:line="240" w:lineRule="auto" w:before="10"/>
        <w:rPr>
          <w:rFonts w:ascii="宋体" w:hAnsi="宋体" w:cs="宋体" w:eastAsia="宋体" w:hint="default"/>
          <w:sz w:val="17"/>
          <w:szCs w:val="17"/>
        </w:rPr>
      </w:pPr>
    </w:p>
    <w:p>
      <w:pPr>
        <w:pStyle w:val="BodyText"/>
        <w:spacing w:line="477" w:lineRule="auto"/>
        <w:ind w:left="1494" w:right="0"/>
        <w:jc w:val="left"/>
      </w:pPr>
      <w:r>
        <w:rPr/>
        <w:t>②分步处置子公司 </w:t>
      </w:r>
      <w:r>
        <w:rPr>
          <w:spacing w:val="-2"/>
        </w:rPr>
        <w:t>通过多次交易分步处置对子公司股权投资直至丧失控制权的，处置对子公司股权投资的各项交易的条款、条件以及经济</w:t>
      </w:r>
    </w:p>
    <w:p>
      <w:pPr>
        <w:pStyle w:val="BodyText"/>
        <w:spacing w:line="477" w:lineRule="auto" w:before="54"/>
        <w:ind w:left="1493" w:right="3553" w:hanging="360"/>
        <w:jc w:val="left"/>
      </w:pPr>
      <w:r>
        <w:rPr/>
        <w:t>影响符合以下一种或多种情况，通常表明应将多次交易事项作为一揽子交易进行会计处理： 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w:t>
      </w:r>
    </w:p>
    <w:p>
      <w:pPr>
        <w:pStyle w:val="BodyText"/>
        <w:spacing w:line="477" w:lineRule="auto" w:before="54"/>
        <w:ind w:right="1131" w:firstLine="360"/>
        <w:jc w:val="both"/>
      </w:pPr>
      <w:r>
        <w:rPr>
          <w:spacing w:val="-2"/>
        </w:rPr>
        <w:t>处置对子公司股权投资直至丧失控制权的各项交易属于一揽子交易的，本公司将各项交易作为一项处置子公司并丧失控</w:t>
      </w:r>
      <w:r>
        <w:rPr/>
        <w:t> </w:t>
      </w:r>
      <w:r>
        <w:rPr>
          <w:spacing w:val="-2"/>
        </w:rPr>
        <w:t>制权的交易进行会计处理；但是，在丧失控制权之前每一次处置价款与处置投资对应的享有该子公司净资产份额的差额，在</w:t>
      </w:r>
      <w:r>
        <w:rPr>
          <w:spacing w:val="-66"/>
        </w:rPr>
        <w:t> </w:t>
      </w:r>
      <w:r>
        <w:rPr>
          <w:spacing w:val="-66"/>
        </w:rPr>
      </w:r>
      <w:r>
        <w:rPr/>
        <w:t>合并财务报表中确认为其他综合收益，在丧失控制权时一并转入丧失控制权当期的损益。</w:t>
      </w:r>
    </w:p>
    <w:p>
      <w:pPr>
        <w:pStyle w:val="BodyText"/>
        <w:spacing w:line="240" w:lineRule="auto" w:before="54"/>
        <w:ind w:left="1493" w:right="0"/>
        <w:jc w:val="left"/>
      </w:pPr>
      <w:r>
        <w:rPr/>
        <w:t>处置对子公司股权投资直至丧失控制权的各项交易不属于一揽子交易的，在丧失控制权之前，按不丧失控制权的情况下</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t>部分处置对子公司的股权投资的相关政策进行会计处理；在丧失控制权时，按处置子公司一般处理方法进行会计处理。</w:t>
      </w:r>
    </w:p>
    <w:p>
      <w:pPr>
        <w:spacing w:line="240" w:lineRule="auto" w:before="10"/>
        <w:rPr>
          <w:rFonts w:ascii="宋体" w:hAnsi="宋体" w:cs="宋体" w:eastAsia="宋体" w:hint="default"/>
          <w:sz w:val="17"/>
          <w:szCs w:val="17"/>
        </w:rPr>
      </w:pPr>
    </w:p>
    <w:p>
      <w:pPr>
        <w:pStyle w:val="BodyText"/>
        <w:spacing w:line="451" w:lineRule="auto"/>
        <w:ind w:left="1494" w:right="0"/>
        <w:jc w:val="left"/>
      </w:pPr>
      <w:r>
        <w:rPr/>
        <w:t>（</w:t>
      </w:r>
      <w:r>
        <w:rPr>
          <w:rFonts w:ascii="Times New Roman" w:hAnsi="Times New Roman" w:cs="Times New Roman" w:eastAsia="Times New Roman" w:hint="default"/>
        </w:rPr>
        <w:t>3</w:t>
      </w:r>
      <w:r>
        <w:rPr/>
        <w:t>）购买子公司少数股权 </w:t>
      </w:r>
      <w:r>
        <w:rPr>
          <w:spacing w:val="-2"/>
        </w:rPr>
        <w:t>本公司因购买少数股权新取得的长期股权投资与按照新增持股比例计算应享有子公司自购买日（或合并日）开始持续计</w:t>
      </w:r>
    </w:p>
    <w:p>
      <w:pPr>
        <w:pStyle w:val="BodyText"/>
        <w:spacing w:line="477" w:lineRule="auto" w:before="74"/>
        <w:ind w:left="1134" w:right="1118"/>
        <w:jc w:val="left"/>
      </w:pPr>
      <w:r>
        <w:rPr>
          <w:spacing w:val="-2"/>
        </w:rPr>
        <w:t>算的净资产份额之间的差额，调整合并资产负债表中的资本公积中的股本溢价，资本公积中的股本溢价不足冲减的，调整留</w:t>
      </w:r>
      <w:r>
        <w:rPr>
          <w:spacing w:val="-66"/>
        </w:rPr>
        <w:t> </w:t>
      </w:r>
      <w:r>
        <w:rPr>
          <w:spacing w:val="-66"/>
        </w:rPr>
      </w:r>
      <w:r>
        <w:rPr/>
        <w:t>存收益。</w:t>
      </w:r>
    </w:p>
    <w:p>
      <w:pPr>
        <w:pStyle w:val="BodyText"/>
        <w:spacing w:line="451" w:lineRule="auto" w:before="54"/>
        <w:ind w:left="1494" w:right="0"/>
        <w:jc w:val="left"/>
      </w:pPr>
      <w:r>
        <w:rPr/>
        <w:t>（</w:t>
      </w:r>
      <w:r>
        <w:rPr>
          <w:rFonts w:ascii="Times New Roman" w:hAnsi="Times New Roman" w:cs="Times New Roman" w:eastAsia="Times New Roman" w:hint="default"/>
        </w:rPr>
        <w:t>4</w:t>
      </w:r>
      <w:r>
        <w:rPr/>
        <w:t>）不丧失控制权的情况下部分处置对子公司的股权投资 在不丧失控制权的情况下因部分处置对子公司的长期股权投资而取得的处置价款与处置长期股权投资相对应享有子公</w:t>
      </w:r>
    </w:p>
    <w:p>
      <w:pPr>
        <w:pStyle w:val="BodyText"/>
        <w:spacing w:line="477" w:lineRule="auto" w:before="74"/>
        <w:ind w:left="1134" w:right="0"/>
        <w:jc w:val="left"/>
      </w:pPr>
      <w:r>
        <w:rPr>
          <w:spacing w:val="-2"/>
        </w:rPr>
        <w:t>司自购买日或合并日开始持续计算的净资产份额之间的差额，调整合并资产负债表中的资本公积中的股本溢价，资本公积中</w:t>
      </w:r>
      <w:r>
        <w:rPr>
          <w:spacing w:val="-64"/>
        </w:rPr>
        <w:t> </w:t>
      </w:r>
      <w:r>
        <w:rPr>
          <w:spacing w:val="-64"/>
        </w:rPr>
      </w:r>
      <w:r>
        <w:rPr/>
        <w:t>的股本溢价不足冲减的，调整留存收益。</w:t>
      </w:r>
    </w:p>
    <w:p>
      <w:pPr>
        <w:spacing w:line="240" w:lineRule="auto" w:before="3"/>
        <w:rPr>
          <w:rFonts w:ascii="宋体" w:hAnsi="宋体" w:cs="宋体" w:eastAsia="宋体" w:hint="default"/>
          <w:sz w:val="19"/>
          <w:szCs w:val="19"/>
        </w:rPr>
      </w:pPr>
    </w:p>
    <w:p>
      <w:pPr>
        <w:pStyle w:val="Heading3"/>
        <w:spacing w:line="240" w:lineRule="auto"/>
        <w:ind w:left="1133" w:right="0"/>
        <w:jc w:val="left"/>
        <w:rPr>
          <w:b w:val="0"/>
          <w:bCs w:val="0"/>
        </w:rPr>
      </w:pPr>
      <w:bookmarkStart w:name="7、合营安排分类及共同经营会计处理方法" w:id="175"/>
      <w:bookmarkEnd w:id="175"/>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3" w:right="2473"/>
        <w:jc w:val="left"/>
      </w:pPr>
      <w:r>
        <w:rPr/>
        <w:t>合营安排分为共同经营和合营企业。 当本公司是合营安排的合营方，享有该安排相关资产且承担该安排相关负债时，为共同经营。 本公司确认与共同经营中利益份额相关的下列项目，并按照相关企业会计准则的规定进行会计处理：</w:t>
      </w:r>
    </w:p>
    <w:p>
      <w:pPr>
        <w:pStyle w:val="BodyText"/>
        <w:spacing w:line="240" w:lineRule="auto" w:before="54"/>
        <w:ind w:left="1493" w:right="0"/>
        <w:jc w:val="left"/>
      </w:pPr>
      <w:r>
        <w:rPr/>
        <w:t>（</w:t>
      </w:r>
      <w:r>
        <w:rPr>
          <w:rFonts w:ascii="Times New Roman" w:hAnsi="Times New Roman" w:cs="Times New Roman" w:eastAsia="Times New Roman" w:hint="default"/>
        </w:rPr>
        <w:t>1</w:t>
      </w:r>
      <w:r>
        <w:rPr/>
        <w:t>）确认本公司单独所持有的资产，以及按本公司份额确认共同持有的资产；</w:t>
      </w:r>
    </w:p>
    <w:p>
      <w:pPr>
        <w:spacing w:line="240" w:lineRule="auto" w:before="10"/>
        <w:rPr>
          <w:rFonts w:ascii="宋体" w:hAnsi="宋体" w:cs="宋体" w:eastAsia="宋体" w:hint="default"/>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2</w:t>
      </w:r>
      <w:r>
        <w:rPr/>
        <w:t>）确认本公司单独所承担的负债，以及按本公司份额确认共同承担的负债；</w:t>
      </w:r>
    </w:p>
    <w:p>
      <w:pPr>
        <w:spacing w:line="240" w:lineRule="auto" w:before="9"/>
        <w:rPr>
          <w:rFonts w:ascii="宋体" w:hAnsi="宋体" w:cs="宋体" w:eastAsia="宋体" w:hint="default"/>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3</w:t>
      </w:r>
      <w:r>
        <w:rPr/>
        <w:t>）确认出售本公司享有的共同经营产出份额所产生的收入；</w:t>
      </w:r>
    </w:p>
    <w:p>
      <w:pPr>
        <w:spacing w:line="240" w:lineRule="auto" w:before="9"/>
        <w:rPr>
          <w:rFonts w:ascii="宋体" w:hAnsi="宋体" w:cs="宋体" w:eastAsia="宋体" w:hint="default"/>
          <w:sz w:val="16"/>
          <w:szCs w:val="16"/>
        </w:rPr>
      </w:pPr>
    </w:p>
    <w:p>
      <w:pPr>
        <w:pStyle w:val="BodyText"/>
        <w:spacing w:line="451" w:lineRule="auto"/>
        <w:ind w:left="1494" w:right="4472"/>
        <w:jc w:val="left"/>
      </w:pPr>
      <w:r>
        <w:rPr/>
        <w:t>（</w:t>
      </w:r>
      <w:r>
        <w:rPr>
          <w:rFonts w:ascii="Times New Roman" w:hAnsi="Times New Roman" w:cs="Times New Roman" w:eastAsia="Times New Roman" w:hint="default"/>
        </w:rPr>
        <w:t>4</w:t>
      </w:r>
      <w:r>
        <w:rPr/>
        <w:t>）按本公司份额确认共同经营因出售产出所产生的收入； 本公司对合营企业投资的会计政策见本附注</w:t>
      </w:r>
      <w:r>
        <w:rPr>
          <w:rFonts w:ascii="Times New Roman" w:hAnsi="Times New Roman" w:cs="Times New Roman" w:eastAsia="Times New Roman" w:hint="default"/>
        </w:rPr>
        <w:t>“</w:t>
      </w:r>
      <w:r>
        <w:rPr/>
        <w:t>五、（十四）长期股权投资</w:t>
      </w:r>
      <w:r>
        <w:rPr>
          <w:rFonts w:ascii="Times New Roman" w:hAnsi="Times New Roman" w:cs="Times New Roman" w:eastAsia="Times New Roman" w:hint="default"/>
        </w:rPr>
        <w:t>”</w:t>
      </w:r>
      <w:r>
        <w:rPr/>
        <w:t>。</w:t>
      </w:r>
    </w:p>
    <w:p>
      <w:pPr>
        <w:spacing w:line="240" w:lineRule="auto" w:before="6"/>
        <w:rPr>
          <w:rFonts w:ascii="宋体" w:hAnsi="宋体" w:cs="宋体" w:eastAsia="宋体" w:hint="default"/>
          <w:sz w:val="18"/>
          <w:szCs w:val="18"/>
        </w:rPr>
      </w:pPr>
    </w:p>
    <w:p>
      <w:pPr>
        <w:pStyle w:val="Heading3"/>
        <w:spacing w:line="240" w:lineRule="auto"/>
        <w:ind w:left="1133" w:right="0"/>
        <w:jc w:val="left"/>
        <w:rPr>
          <w:b w:val="0"/>
          <w:bCs w:val="0"/>
        </w:rPr>
      </w:pPr>
      <w:bookmarkStart w:name="8、现金及现金等价物的确定标准" w:id="176"/>
      <w:bookmarkEnd w:id="176"/>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在编制现金流量表时，将本公司库存现金以及可以随时用于支付的存款确认为现金。将同时具备期限短（从购买日起三</w:t>
      </w:r>
      <w:r>
        <w:rPr/>
        <w:t> 个月内到期）、流动性强、易于转换为已知现金、价值变动风险很小四个条件的投资，确定为现金等价物。</w:t>
      </w:r>
    </w:p>
    <w:p>
      <w:pPr>
        <w:spacing w:line="240" w:lineRule="auto" w:before="3"/>
        <w:rPr>
          <w:rFonts w:ascii="宋体" w:hAnsi="宋体" w:cs="宋体" w:eastAsia="宋体" w:hint="default"/>
          <w:sz w:val="19"/>
          <w:szCs w:val="19"/>
        </w:rPr>
      </w:pPr>
    </w:p>
    <w:p>
      <w:pPr>
        <w:pStyle w:val="Heading3"/>
        <w:spacing w:line="240" w:lineRule="auto"/>
        <w:ind w:left="1133" w:right="0"/>
        <w:jc w:val="left"/>
        <w:rPr>
          <w:b w:val="0"/>
          <w:bCs w:val="0"/>
        </w:rPr>
      </w:pPr>
      <w:bookmarkStart w:name="9、外币业务和外币报表折算" w:id="177"/>
      <w:bookmarkEnd w:id="177"/>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1494" w:right="3912" w:firstLine="1"/>
        <w:jc w:val="left"/>
      </w:pPr>
      <w:r>
        <w:rPr>
          <w:rFonts w:ascii="Times New Roman" w:hAnsi="Times New Roman" w:cs="Times New Roman" w:eastAsia="Times New Roman" w:hint="default"/>
          <w:b/>
          <w:bCs/>
        </w:rPr>
        <w:t>1</w:t>
      </w:r>
      <w:r>
        <w:rPr>
          <w:rFonts w:ascii="宋体" w:hAnsi="宋体" w:cs="宋体" w:eastAsia="宋体" w:hint="default"/>
          <w:b/>
          <w:bCs/>
        </w:rPr>
        <w:t>、外币业务</w:t>
      </w:r>
      <w:r>
        <w:rPr>
          <w:rFonts w:ascii="宋体" w:hAnsi="宋体" w:cs="宋体" w:eastAsia="宋体" w:hint="default"/>
          <w:b/>
          <w:bCs/>
          <w:w w:val="99"/>
        </w:rPr>
        <w:t> </w:t>
      </w:r>
      <w:r>
        <w:rPr/>
        <w:t>外币业务采用交易发生日的即期汇率作为折算汇率将外币金额折合成人民币记账。</w:t>
      </w:r>
    </w:p>
    <w:p>
      <w:pPr>
        <w:pStyle w:val="BodyText"/>
        <w:spacing w:line="477" w:lineRule="auto" w:before="74"/>
        <w:ind w:right="0" w:firstLine="360"/>
        <w:jc w:val="left"/>
      </w:pPr>
      <w:r>
        <w:rPr>
          <w:spacing w:val="-2"/>
        </w:rPr>
        <w:t>资产负债表日外币货币性项目余额按资产负债表日即期汇率折算，由此产生的汇兑差额，除属于与购建符合资本化条件</w:t>
      </w:r>
      <w:r>
        <w:rPr/>
        <w:t> 的资产相关的外币专门借款产生的汇兑差额按照借款费用资本化的原则处理外，均计入当期损益。</w:t>
      </w:r>
    </w:p>
    <w:p>
      <w:pPr>
        <w:pStyle w:val="Heading4"/>
        <w:spacing w:line="240" w:lineRule="auto" w:before="54"/>
        <w:ind w:right="0"/>
        <w:jc w:val="left"/>
        <w:rPr>
          <w:b w:val="0"/>
          <w:bCs w:val="0"/>
        </w:rPr>
      </w:pPr>
      <w:r>
        <w:rPr>
          <w:rFonts w:ascii="Times New Roman" w:hAnsi="Times New Roman" w:cs="Times New Roman" w:eastAsia="Times New Roman" w:hint="default"/>
        </w:rPr>
        <w:t>2</w:t>
      </w:r>
      <w:r>
        <w:rPr/>
        <w:t>、外币财务报表的折算</w:t>
      </w:r>
      <w:r>
        <w:rPr>
          <w:b w:val="0"/>
          <w:bCs w:val="0"/>
        </w:rPr>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b/>
          <w:bCs/>
          <w:sz w:val="11"/>
          <w:szCs w:val="11"/>
        </w:rPr>
      </w:pPr>
    </w:p>
    <w:p>
      <w:pPr>
        <w:pStyle w:val="BodyText"/>
        <w:spacing w:line="451" w:lineRule="auto" w:before="44"/>
        <w:ind w:right="0" w:firstLine="360"/>
        <w:jc w:val="left"/>
      </w:pPr>
      <w:r>
        <w:rPr>
          <w:spacing w:val="-2"/>
        </w:rPr>
        <w:t>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项目外，其他项</w:t>
      </w:r>
      <w:r>
        <w:rPr/>
        <w:t> 目采用发生时的即期汇率折算。利润表中的收入和费用项目，采用交易发生日的即期汇率折算。</w:t>
      </w:r>
    </w:p>
    <w:p>
      <w:pPr>
        <w:pStyle w:val="BodyText"/>
        <w:spacing w:line="240" w:lineRule="auto" w:before="74"/>
        <w:ind w:left="1493" w:right="0"/>
        <w:jc w:val="left"/>
      </w:pPr>
      <w:r>
        <w:rPr/>
        <w:t>处置境外经营时，将与该境外经营相关的外币财务报表折算差额，自所有者权益项目转入处置当期损益。</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left="1133" w:right="0"/>
        <w:jc w:val="left"/>
        <w:rPr>
          <w:b w:val="0"/>
          <w:bCs w:val="0"/>
        </w:rPr>
      </w:pPr>
      <w:bookmarkStart w:name="10、金融工具" w:id="178"/>
      <w:bookmarkEnd w:id="178"/>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金融工具包括金融资产、金融负债和权益工具。</w:t>
      </w:r>
    </w:p>
    <w:p>
      <w:pPr>
        <w:spacing w:line="240" w:lineRule="auto" w:before="10"/>
        <w:rPr>
          <w:rFonts w:ascii="宋体" w:hAnsi="宋体" w:cs="宋体" w:eastAsia="宋体" w:hint="default"/>
          <w:sz w:val="17"/>
          <w:szCs w:val="17"/>
        </w:rPr>
      </w:pPr>
    </w:p>
    <w:p>
      <w:pPr>
        <w:pStyle w:val="BodyText"/>
        <w:spacing w:line="451" w:lineRule="auto"/>
        <w:ind w:left="1494" w:right="0" w:firstLine="1"/>
        <w:jc w:val="left"/>
      </w:pPr>
      <w:r>
        <w:rPr>
          <w:rFonts w:ascii="Times New Roman" w:hAnsi="Times New Roman" w:cs="Times New Roman" w:eastAsia="Times New Roman" w:hint="default"/>
          <w:b/>
          <w:bCs/>
        </w:rPr>
        <w:t>1</w:t>
      </w:r>
      <w:r>
        <w:rPr>
          <w:rFonts w:ascii="宋体" w:hAnsi="宋体" w:cs="宋体" w:eastAsia="宋体" w:hint="default"/>
          <w:b/>
          <w:bCs/>
        </w:rPr>
        <w:t>、金融工具的分类</w:t>
      </w:r>
      <w:r>
        <w:rPr>
          <w:rFonts w:ascii="宋体" w:hAnsi="宋体" w:cs="宋体" w:eastAsia="宋体" w:hint="default"/>
          <w:b/>
          <w:bCs/>
          <w:w w:val="99"/>
        </w:rPr>
        <w:t> </w:t>
      </w:r>
      <w:r>
        <w:rPr>
          <w:spacing w:val="-2"/>
        </w:rPr>
        <w:t>金融资产和金融负债于初始确认时分类为：以公允价值计量且其变动计入当期损益的金融资产或金融负债，包括交易性</w:t>
      </w:r>
    </w:p>
    <w:p>
      <w:pPr>
        <w:pStyle w:val="BodyText"/>
        <w:spacing w:line="477" w:lineRule="auto" w:before="74"/>
        <w:ind w:left="1134" w:right="0"/>
        <w:jc w:val="left"/>
      </w:pPr>
      <w:r>
        <w:rPr>
          <w:spacing w:val="-2"/>
        </w:rPr>
        <w:t>金融资产或金融负债和直接指定为以公允价值计量且其变动计入当期损益的金融资产或金融负债；持有至到期投资；应收款</w:t>
      </w:r>
      <w:r>
        <w:rPr>
          <w:spacing w:val="-64"/>
        </w:rPr>
        <w:t> </w:t>
      </w:r>
      <w:r>
        <w:rPr>
          <w:spacing w:val="-64"/>
        </w:rPr>
      </w:r>
      <w:r>
        <w:rPr/>
        <w:t>项；可供出售金融资产；其他金融负债等。</w:t>
      </w:r>
    </w:p>
    <w:p>
      <w:pPr>
        <w:pStyle w:val="Heading4"/>
        <w:spacing w:line="240" w:lineRule="auto" w:before="54"/>
        <w:ind w:right="0"/>
        <w:jc w:val="left"/>
        <w:rPr>
          <w:b w:val="0"/>
          <w:bCs w:val="0"/>
        </w:rPr>
      </w:pPr>
      <w:r>
        <w:rPr>
          <w:rFonts w:ascii="Times New Roman" w:hAnsi="Times New Roman" w:cs="Times New Roman" w:eastAsia="Times New Roman" w:hint="default"/>
        </w:rPr>
        <w:t>2</w:t>
      </w:r>
      <w:r>
        <w:rPr/>
        <w:t>、金融工具的确认依据和计量方法</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left="1493" w:right="0"/>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2"/>
        </w:rPr>
        <w:t>取得时以公允价值（扣除已宣告但尚未发放的现金股利或已到付息期但尚未领取的债券利息）作为初始确认金额，相关</w:t>
      </w:r>
    </w:p>
    <w:p>
      <w:pPr>
        <w:pStyle w:val="BodyText"/>
        <w:spacing w:line="477" w:lineRule="auto" w:before="74"/>
        <w:ind w:left="1493" w:right="2833" w:hanging="360"/>
        <w:jc w:val="left"/>
      </w:pPr>
      <w:r>
        <w:rPr/>
        <w:t>的交易费用计入当期损益。 持有期间将取得的利息或现金股利确认为投资收益，期末将公允价值变动计入当期损益。 处置时，其公允价值与初始入账金额之间的差额确认为投资收益，同时调整公允价值变动损益。</w:t>
      </w:r>
    </w:p>
    <w:p>
      <w:pPr>
        <w:pStyle w:val="BodyText"/>
        <w:spacing w:line="463" w:lineRule="auto" w:before="54"/>
        <w:ind w:left="1493" w:right="1118"/>
        <w:jc w:val="left"/>
      </w:pPr>
      <w:r>
        <w:rPr/>
        <w:t>（</w:t>
      </w:r>
      <w:r>
        <w:rPr>
          <w:rFonts w:ascii="Times New Roman" w:hAnsi="Times New Roman" w:cs="Times New Roman" w:eastAsia="Times New Roman" w:hint="default"/>
        </w:rPr>
        <w:t>2</w:t>
      </w:r>
      <w:r>
        <w:rPr/>
        <w:t>）持有至到期投资 取得时按公允价值（扣除已到付息期但尚未领取的债券利息）和相关交易费用之和作为初始确认金额。 </w:t>
      </w:r>
      <w:r>
        <w:rPr>
          <w:spacing w:val="-2"/>
        </w:rPr>
        <w:t>持有期间按照摊余成本和实际利率计算确认利息收入，计入投资收益。实际利率在取得时确定，在该预期存续期间或适</w:t>
      </w:r>
    </w:p>
    <w:p>
      <w:pPr>
        <w:pStyle w:val="BodyText"/>
        <w:spacing w:line="477" w:lineRule="auto" w:before="65"/>
        <w:ind w:left="1493" w:right="4993" w:hanging="360"/>
        <w:jc w:val="left"/>
      </w:pPr>
      <w:r>
        <w:rPr/>
        <w:t>用的更短期间内保持不变。 处置时，将所取得价款与该投资账面价值之间的差额计入投资收益。</w:t>
      </w:r>
    </w:p>
    <w:p>
      <w:pPr>
        <w:pStyle w:val="BodyText"/>
        <w:spacing w:line="451" w:lineRule="auto" w:before="54"/>
        <w:ind w:left="1493" w:right="1118"/>
        <w:jc w:val="left"/>
      </w:pPr>
      <w:r>
        <w:rPr/>
        <w:t>（</w:t>
      </w:r>
      <w:r>
        <w:rPr>
          <w:rFonts w:ascii="Times New Roman" w:hAnsi="Times New Roman" w:cs="Times New Roman" w:eastAsia="Times New Roman" w:hint="default"/>
        </w:rPr>
        <w:t>3</w:t>
      </w:r>
      <w:r>
        <w:rPr/>
        <w:t>）应收款项 </w:t>
      </w:r>
      <w:r>
        <w:rPr>
          <w:spacing w:val="-2"/>
        </w:rPr>
        <w:t>公司对外销售商品或提供劳务形成的应收债权，以及公司持有的其他企业的不包括在活跃市场上有报价的债务工具的债</w:t>
      </w:r>
    </w:p>
    <w:p>
      <w:pPr>
        <w:pStyle w:val="BodyText"/>
        <w:spacing w:line="477" w:lineRule="auto" w:before="74"/>
        <w:ind w:right="1118"/>
        <w:jc w:val="left"/>
      </w:pPr>
      <w:r>
        <w:rPr>
          <w:spacing w:val="-2"/>
        </w:rPr>
        <w:t>权，包括应收账款、其他应收款等，以向购货方应收的合同或协议价款作为初始确认金额；具有融资性质的，按其现值进行</w:t>
      </w:r>
      <w:r>
        <w:rPr>
          <w:spacing w:val="-66"/>
        </w:rPr>
        <w:t> </w:t>
      </w:r>
      <w:r>
        <w:rPr>
          <w:spacing w:val="-66"/>
        </w:rPr>
      </w:r>
      <w:r>
        <w:rPr/>
        <w:t>初始确认。</w:t>
      </w:r>
    </w:p>
    <w:p>
      <w:pPr>
        <w:pStyle w:val="BodyText"/>
        <w:spacing w:line="240" w:lineRule="auto" w:before="54"/>
        <w:ind w:left="1494" w:right="0"/>
        <w:jc w:val="left"/>
      </w:pPr>
      <w:r>
        <w:rPr/>
        <w:t>收回或处置时，将取得的价款与该应收款项账面价值之间的差额计入当期损益。</w:t>
      </w:r>
    </w:p>
    <w:p>
      <w:pPr>
        <w:spacing w:line="240" w:lineRule="auto" w:before="10"/>
        <w:rPr>
          <w:rFonts w:ascii="宋体" w:hAnsi="宋体" w:cs="宋体" w:eastAsia="宋体" w:hint="default"/>
          <w:sz w:val="17"/>
          <w:szCs w:val="17"/>
        </w:rPr>
      </w:pPr>
    </w:p>
    <w:p>
      <w:pPr>
        <w:pStyle w:val="BodyText"/>
        <w:spacing w:line="451" w:lineRule="auto"/>
        <w:ind w:left="1494" w:right="0"/>
        <w:jc w:val="left"/>
      </w:pPr>
      <w:r>
        <w:rPr/>
        <w:t>（</w:t>
      </w:r>
      <w:r>
        <w:rPr>
          <w:rFonts w:ascii="Times New Roman" w:hAnsi="Times New Roman" w:cs="Times New Roman" w:eastAsia="Times New Roman" w:hint="default"/>
        </w:rPr>
        <w:t>4</w:t>
      </w:r>
      <w:r>
        <w:rPr/>
        <w:t>）可供出售金融资产 </w:t>
      </w:r>
      <w:r>
        <w:rPr>
          <w:spacing w:val="-2"/>
        </w:rPr>
        <w:t>取得时按公允价值（扣除已宣告但尚未发放的现金股利或已到付息期但尚未领取的债券利息）和相关交易费用之和作为</w:t>
      </w:r>
    </w:p>
    <w:p>
      <w:pPr>
        <w:pStyle w:val="BodyText"/>
        <w:spacing w:line="477" w:lineRule="auto" w:before="74"/>
        <w:ind w:left="1493" w:right="1033" w:hanging="360"/>
        <w:jc w:val="left"/>
      </w:pPr>
      <w:r>
        <w:rPr/>
        <w:t>初始确认金额。 持有期间将取得的利息或现金股利确认为投资收益。期末以公允价值计量且将公允价值变动计入其他综合收益。但是，</w:t>
      </w:r>
    </w:p>
    <w:p>
      <w:pPr>
        <w:spacing w:after="0" w:line="477"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0"/>
        <w:jc w:val="left"/>
      </w:pPr>
      <w:r>
        <w:rPr>
          <w:spacing w:val="-2"/>
        </w:rPr>
        <w:t>在活跃市场中没有报价且其公允价值不能可靠计量的权益工具投资，以及与该权益工具挂钩并须通过交付该权益工具结算的</w:t>
      </w:r>
      <w:r>
        <w:rPr>
          <w:spacing w:val="-64"/>
        </w:rPr>
        <w:t> </w:t>
      </w:r>
      <w:r>
        <w:rPr>
          <w:spacing w:val="-64"/>
        </w:rPr>
      </w:r>
      <w:r>
        <w:rPr/>
        <w:t>衍生金融资产，按照成本计量。</w:t>
      </w:r>
    </w:p>
    <w:p>
      <w:pPr>
        <w:pStyle w:val="BodyText"/>
        <w:spacing w:line="477" w:lineRule="auto" w:before="54"/>
        <w:ind w:left="1134" w:right="0" w:firstLine="360"/>
        <w:jc w:val="left"/>
      </w:pPr>
      <w:r>
        <w:rPr>
          <w:spacing w:val="-2"/>
        </w:rPr>
        <w:t>处置时，将取得的价款与该金融资产账面价值之间的差额，计入投资损益；同时，将原直接计入其他综合收益的公允价</w:t>
      </w:r>
      <w:r>
        <w:rPr/>
        <w:t> 值变动累计额对应处置部分的金额转出，计入当期损益。</w:t>
      </w:r>
    </w:p>
    <w:p>
      <w:pPr>
        <w:spacing w:line="463" w:lineRule="auto" w:before="54"/>
        <w:ind w:left="1494" w:right="3732"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）其他金融负债 按其公允价值和相关交易费用之和作为初始确认金额。采用摊余成本进行后续计量。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、金融资产转移的确认依据和计量方法</w:t>
      </w:r>
      <w:r>
        <w:rPr>
          <w:rFonts w:ascii="宋体" w:hAnsi="宋体" w:cs="宋体" w:eastAsia="宋体" w:hint="default"/>
          <w:sz w:val="18"/>
          <w:szCs w:val="18"/>
        </w:rPr>
      </w:r>
    </w:p>
    <w:p>
      <w:pPr>
        <w:pStyle w:val="BodyText"/>
        <w:spacing w:line="477" w:lineRule="auto" w:before="33"/>
        <w:ind w:right="0" w:firstLine="360"/>
        <w:jc w:val="left"/>
      </w:pPr>
      <w:r>
        <w:rPr>
          <w:spacing w:val="-2"/>
        </w:rPr>
        <w:t>公司发生金融资产转移时，如已将金融资产所有权上几乎所有的风险和报酬转移给转入方，则终止确认该金融资产；如</w:t>
      </w:r>
      <w:r>
        <w:rPr/>
        <w:t> 保留了金融资产所有权上几乎所有的风险和报酬的，则不终止确认该金融资产。</w:t>
      </w:r>
    </w:p>
    <w:p>
      <w:pPr>
        <w:pStyle w:val="BodyText"/>
        <w:spacing w:line="477" w:lineRule="auto" w:before="54"/>
        <w:ind w:right="0" w:firstLine="360"/>
        <w:jc w:val="left"/>
      </w:pPr>
      <w:r>
        <w:rPr>
          <w:spacing w:val="-2"/>
        </w:rPr>
        <w:t>在判断金融资产转移是否满足上述金融资产终止确认条件时，采用实质重于形式的原则。公司将金融资产转移区分为金</w:t>
      </w:r>
      <w:r>
        <w:rPr/>
        <w:t> 融资产整体转移和部分转移。金融资产整体转移满足终止确认条件的，将下列两项金额的差额计入当期损益：</w:t>
      </w:r>
    </w:p>
    <w:p>
      <w:pPr>
        <w:pStyle w:val="BodyText"/>
        <w:spacing w:line="240" w:lineRule="auto" w:before="54"/>
        <w:ind w:left="1493" w:right="0"/>
        <w:jc w:val="left"/>
      </w:pPr>
      <w:r>
        <w:rPr/>
        <w:t>（</w:t>
      </w:r>
      <w:r>
        <w:rPr>
          <w:rFonts w:ascii="Times New Roman" w:hAnsi="Times New Roman" w:cs="Times New Roman" w:eastAsia="Times New Roman" w:hint="default"/>
        </w:rPr>
        <w:t>1</w:t>
      </w:r>
      <w:r>
        <w:rPr/>
        <w:t>）所转移金融资产的账面价值；</w:t>
      </w:r>
    </w:p>
    <w:p>
      <w:pPr>
        <w:spacing w:line="240" w:lineRule="auto" w:before="9"/>
        <w:rPr>
          <w:rFonts w:ascii="宋体" w:hAnsi="宋体" w:cs="宋体" w:eastAsia="宋体" w:hint="default"/>
          <w:sz w:val="16"/>
          <w:szCs w:val="16"/>
        </w:rPr>
      </w:pPr>
    </w:p>
    <w:p>
      <w:pPr>
        <w:pStyle w:val="BodyText"/>
        <w:spacing w:line="451" w:lineRule="auto"/>
        <w:ind w:left="1134" w:right="1122" w:firstLine="360"/>
        <w:jc w:val="left"/>
      </w:pPr>
      <w:r>
        <w:rPr/>
        <w:t>（</w:t>
      </w:r>
      <w:r>
        <w:rPr>
          <w:rFonts w:ascii="Times New Roman" w:hAnsi="Times New Roman" w:cs="Times New Roman" w:eastAsia="Times New Roman" w:hint="default"/>
        </w:rPr>
        <w:t>2</w:t>
      </w:r>
      <w:r>
        <w:rPr/>
        <w:t>）因转移而收到的对价，与原直接计入所有者权益的公允价值变动累计额（涉及转移的金融资产为可供出售金融资 产的情形）之和。</w:t>
      </w:r>
    </w:p>
    <w:p>
      <w:pPr>
        <w:pStyle w:val="BodyText"/>
        <w:spacing w:line="477" w:lineRule="auto" w:before="74"/>
        <w:ind w:right="1033" w:firstLine="360"/>
        <w:jc w:val="left"/>
      </w:pPr>
      <w:r>
        <w:rPr/>
        <w:t>金融资产部分转移满足终止确认条件的，将所转移金融资产整体的账面价值，在终止确认部分和未终止确认部分之间， 按照各自的相对公允价值进行分摊，并将下列两项金额的差额计入当期损益：</w:t>
      </w:r>
    </w:p>
    <w:p>
      <w:pPr>
        <w:pStyle w:val="BodyText"/>
        <w:spacing w:line="240" w:lineRule="auto" w:before="54"/>
        <w:ind w:left="1493" w:right="0"/>
        <w:jc w:val="left"/>
      </w:pPr>
      <w:r>
        <w:rPr/>
        <w:t>（</w:t>
      </w:r>
      <w:r>
        <w:rPr>
          <w:rFonts w:ascii="Times New Roman" w:hAnsi="Times New Roman" w:cs="Times New Roman" w:eastAsia="Times New Roman" w:hint="default"/>
        </w:rPr>
        <w:t>1</w:t>
      </w:r>
      <w:r>
        <w:rPr/>
        <w:t>）终止确认部分的账面价值；</w:t>
      </w:r>
    </w:p>
    <w:p>
      <w:pPr>
        <w:spacing w:line="240" w:lineRule="auto" w:before="9"/>
        <w:rPr>
          <w:rFonts w:ascii="宋体" w:hAnsi="宋体" w:cs="宋体" w:eastAsia="宋体" w:hint="default"/>
          <w:sz w:val="16"/>
          <w:szCs w:val="16"/>
        </w:rPr>
      </w:pPr>
    </w:p>
    <w:p>
      <w:pPr>
        <w:pStyle w:val="BodyText"/>
        <w:spacing w:line="451" w:lineRule="auto"/>
        <w:ind w:left="1134" w:right="1122" w:firstLine="360"/>
        <w:jc w:val="left"/>
      </w:pPr>
      <w:r>
        <w:rPr/>
        <w:t>（</w:t>
      </w:r>
      <w:r>
        <w:rPr>
          <w:rFonts w:ascii="Times New Roman" w:hAnsi="Times New Roman" w:cs="Times New Roman" w:eastAsia="Times New Roman" w:hint="default"/>
        </w:rPr>
        <w:t>2</w:t>
      </w:r>
      <w:r>
        <w:rPr/>
        <w:t>）终止确认部分的对价，与原直接计入所有者权益的公允价值变动累计额中对应终止确认部分的金额（涉及转移的 金融资产为可供出售金融资产的情形）之和。</w:t>
      </w:r>
    </w:p>
    <w:p>
      <w:pPr>
        <w:pStyle w:val="BodyText"/>
        <w:spacing w:line="463" w:lineRule="auto" w:before="74"/>
        <w:ind w:left="1493" w:right="1118"/>
        <w:jc w:val="left"/>
      </w:pPr>
      <w:r>
        <w:rPr/>
        <w:t>金融资产转移不满足终止确认条件的，继续确认该金融资产，所收到的对价确认为一项金融负债。 </w:t>
      </w:r>
      <w:r>
        <w:rPr>
          <w:rFonts w:ascii="Times New Roman" w:hAnsi="Times New Roman" w:cs="Times New Roman" w:eastAsia="Times New Roman" w:hint="default"/>
          <w:b/>
          <w:bCs/>
        </w:rPr>
        <w:t>4</w:t>
      </w:r>
      <w:r>
        <w:rPr>
          <w:rFonts w:ascii="宋体" w:hAnsi="宋体" w:cs="宋体" w:eastAsia="宋体" w:hint="default"/>
          <w:b/>
          <w:bCs/>
        </w:rPr>
        <w:t>、金融负债终止确认条件</w:t>
      </w:r>
      <w:r>
        <w:rPr>
          <w:rFonts w:ascii="宋体" w:hAnsi="宋体" w:cs="宋体" w:eastAsia="宋体" w:hint="default"/>
          <w:b/>
          <w:bCs/>
          <w:w w:val="99"/>
        </w:rPr>
        <w:t> </w:t>
      </w:r>
      <w:r>
        <w:rPr>
          <w:spacing w:val="-2"/>
        </w:rPr>
        <w:t>金融负债的现时义务全部或部分已经解除的，则终止确认该金融负债或其一部分；本公司若与债权人签定协议，以承担</w:t>
      </w:r>
    </w:p>
    <w:p>
      <w:pPr>
        <w:pStyle w:val="BodyText"/>
        <w:spacing w:line="477" w:lineRule="auto" w:before="65"/>
        <w:ind w:right="0"/>
        <w:jc w:val="left"/>
      </w:pPr>
      <w:r>
        <w:rPr>
          <w:spacing w:val="-2"/>
        </w:rPr>
        <w:t>新金融负债方式替换现存金融负债，且新金融负债与现存金融负债的合同条款实质上不同的，则终止确认现存金融负债，并</w:t>
      </w:r>
      <w:r>
        <w:rPr>
          <w:spacing w:val="-66"/>
        </w:rPr>
        <w:t> </w:t>
      </w:r>
      <w:r>
        <w:rPr>
          <w:spacing w:val="-66"/>
        </w:rPr>
      </w:r>
      <w:r>
        <w:rPr/>
        <w:t>同时确认新金融负债。</w:t>
      </w:r>
    </w:p>
    <w:p>
      <w:pPr>
        <w:pStyle w:val="BodyText"/>
        <w:spacing w:line="477" w:lineRule="auto" w:before="54"/>
        <w:ind w:right="0" w:firstLine="360"/>
        <w:jc w:val="left"/>
      </w:pPr>
      <w:r>
        <w:rPr>
          <w:spacing w:val="-2"/>
        </w:rPr>
        <w:t>对现存金融负债全部或部分合同条款作出实质性修改的，则终止确认现存金融负债或其一部分，同时将修改条款后的金</w:t>
      </w:r>
      <w:r>
        <w:rPr/>
        <w:t> 融负债确认为一项新金融负债。</w:t>
      </w:r>
    </w:p>
    <w:p>
      <w:pPr>
        <w:pStyle w:val="BodyText"/>
        <w:spacing w:line="477" w:lineRule="auto" w:before="54"/>
        <w:ind w:right="0" w:firstLine="360"/>
        <w:jc w:val="left"/>
      </w:pPr>
      <w:r>
        <w:rPr>
          <w:spacing w:val="-2"/>
        </w:rPr>
        <w:t>金融负债全部或部分终止确认时，终止确认的金融负债账面价值与支付对价（包括转出的非现金资产或承担的新金融负</w:t>
      </w:r>
      <w:r>
        <w:rPr/>
        <w:t> 债）之间的差额，计入当期损益。</w:t>
      </w:r>
    </w:p>
    <w:p>
      <w:pPr>
        <w:pStyle w:val="BodyText"/>
        <w:spacing w:line="477" w:lineRule="auto" w:before="54"/>
        <w:ind w:right="1033" w:firstLine="360"/>
        <w:jc w:val="left"/>
      </w:pPr>
      <w:r>
        <w:rPr>
          <w:spacing w:val="-2"/>
        </w:rPr>
        <w:t>本公司若回购部分金融负债的，在回购日按照继续确认部分与终止确认部分的相对公允价值，将该金融负债整体的账面</w:t>
      </w:r>
      <w:r>
        <w:rPr/>
        <w:t> 价值进行分配。分配给终止确认部分的账面价值与支付的对价（包括转出的非现金资产或承担的新金融负债）之间的差额，</w:t>
      </w:r>
    </w:p>
    <w:p>
      <w:pPr>
        <w:spacing w:after="0" w:line="477"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t>计入当期损益。</w:t>
      </w:r>
    </w:p>
    <w:p>
      <w:pPr>
        <w:spacing w:line="240" w:lineRule="auto" w:before="10"/>
        <w:rPr>
          <w:rFonts w:ascii="宋体" w:hAnsi="宋体" w:cs="宋体" w:eastAsia="宋体" w:hint="default"/>
          <w:sz w:val="17"/>
          <w:szCs w:val="17"/>
        </w:rPr>
      </w:pPr>
    </w:p>
    <w:p>
      <w:pPr>
        <w:spacing w:line="451" w:lineRule="auto" w:before="0"/>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、金融资产和金融负债的公允价值的确定方法</w:t>
      </w:r>
      <w:r>
        <w:rPr>
          <w:rFonts w:ascii="宋体" w:hAnsi="宋体" w:cs="宋体" w:eastAsia="宋体" w:hint="default"/>
          <w:b/>
          <w:bCs/>
          <w:w w:val="99"/>
          <w:sz w:val="18"/>
          <w:szCs w:val="18"/>
        </w:rPr>
        <w:t> </w:t>
      </w:r>
      <w:r>
        <w:rPr>
          <w:rFonts w:ascii="宋体" w:hAnsi="宋体" w:cs="宋体" w:eastAsia="宋体" w:hint="default"/>
          <w:spacing w:val="-2"/>
          <w:sz w:val="18"/>
          <w:szCs w:val="18"/>
        </w:rPr>
        <w:t>存在活跃市场的金融工具，以活跃市场中的报价确定其公允价值。不存在活跃市场的金融工具，采用估值技术确定其公</w:t>
      </w:r>
    </w:p>
    <w:p>
      <w:pPr>
        <w:pStyle w:val="BodyText"/>
        <w:spacing w:line="477" w:lineRule="auto" w:before="74"/>
        <w:ind w:right="1131"/>
        <w:jc w:val="both"/>
      </w:pPr>
      <w:r>
        <w:rPr>
          <w:spacing w:val="-2"/>
        </w:rPr>
        <w:t>允价值。在估值时，本公司采用在当前情况下适用并且有足够可利用数据和其他信息支持的估值技术，选择与市场参与者在</w:t>
      </w:r>
      <w:r>
        <w:rPr>
          <w:spacing w:val="-66"/>
        </w:rPr>
        <w:t> </w:t>
      </w:r>
      <w:r>
        <w:rPr>
          <w:spacing w:val="-66"/>
        </w:rPr>
      </w:r>
      <w:r>
        <w:rPr>
          <w:spacing w:val="-2"/>
        </w:rPr>
        <w:t>相关资产或负债的交易中所考虑的资产或负债特征相一致的输入值，并优先使用相关可观察输入值。只有在相关可观察输入</w:t>
      </w:r>
      <w:r>
        <w:rPr>
          <w:spacing w:val="-64"/>
        </w:rPr>
        <w:t> </w:t>
      </w:r>
      <w:r>
        <w:rPr>
          <w:spacing w:val="-64"/>
        </w:rPr>
      </w:r>
      <w:r>
        <w:rPr/>
        <w:t>值无法取得或取得不切实可行的情况下，才使用不可观察输入值。</w:t>
      </w:r>
    </w:p>
    <w:p>
      <w:pPr>
        <w:spacing w:line="451" w:lineRule="auto" w:before="54"/>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6</w:t>
      </w:r>
      <w:r>
        <w:rPr>
          <w:rFonts w:ascii="宋体" w:hAnsi="宋体" w:cs="宋体" w:eastAsia="宋体" w:hint="default"/>
          <w:b/>
          <w:bCs/>
          <w:sz w:val="18"/>
          <w:szCs w:val="18"/>
        </w:rPr>
        <w:t>、金融资产（不含应收款项）减值的测试方法及会计处理方法</w:t>
      </w:r>
      <w:r>
        <w:rPr>
          <w:rFonts w:ascii="宋体" w:hAnsi="宋体" w:cs="宋体" w:eastAsia="宋体" w:hint="default"/>
          <w:b/>
          <w:bCs/>
          <w:w w:val="99"/>
          <w:sz w:val="18"/>
          <w:szCs w:val="18"/>
        </w:rPr>
        <w:t> </w:t>
      </w:r>
      <w:r>
        <w:rPr>
          <w:rFonts w:ascii="宋体" w:hAnsi="宋体" w:cs="宋体" w:eastAsia="宋体" w:hint="default"/>
          <w:spacing w:val="-2"/>
          <w:sz w:val="18"/>
          <w:szCs w:val="18"/>
        </w:rPr>
        <w:t>除以公允价值计量且其变动计入当期损益的金融资产外，本公司于资产负债表日对金融资产的账面价值进行检查，如果</w:t>
      </w:r>
    </w:p>
    <w:p>
      <w:pPr>
        <w:pStyle w:val="BodyText"/>
        <w:spacing w:line="240" w:lineRule="auto" w:before="74"/>
        <w:ind w:right="0"/>
        <w:jc w:val="left"/>
      </w:pPr>
      <w:r>
        <w:rPr/>
        <w:t>有客观证据表明某项金融资产发生减值的，计提减值准备。</w:t>
      </w:r>
    </w:p>
    <w:p>
      <w:pPr>
        <w:spacing w:line="240" w:lineRule="auto" w:before="10"/>
        <w:rPr>
          <w:rFonts w:ascii="宋体" w:hAnsi="宋体" w:cs="宋体" w:eastAsia="宋体" w:hint="default"/>
          <w:sz w:val="17"/>
          <w:szCs w:val="17"/>
        </w:rPr>
      </w:pPr>
    </w:p>
    <w:p>
      <w:pPr>
        <w:pStyle w:val="BodyText"/>
        <w:spacing w:line="451" w:lineRule="auto"/>
        <w:ind w:left="1493" w:right="0"/>
        <w:jc w:val="left"/>
      </w:pPr>
      <w:r>
        <w:rPr/>
        <w:t>（</w:t>
      </w:r>
      <w:r>
        <w:rPr>
          <w:rFonts w:ascii="Times New Roman" w:hAnsi="Times New Roman" w:cs="Times New Roman" w:eastAsia="Times New Roman" w:hint="default"/>
        </w:rPr>
        <w:t>1</w:t>
      </w:r>
      <w:r>
        <w:rPr/>
        <w:t>）可供出售金融资产的减值准备： </w:t>
      </w:r>
      <w:r>
        <w:rPr>
          <w:spacing w:val="-2"/>
        </w:rPr>
        <w:t>期末如果可供出售金融资产的公允价值发生严重下降，或在综合考虑各种相关因素后，预期这种下降趋势属于非暂时性</w:t>
      </w:r>
    </w:p>
    <w:p>
      <w:pPr>
        <w:pStyle w:val="BodyText"/>
        <w:spacing w:line="477" w:lineRule="auto" w:before="74"/>
        <w:ind w:left="1493" w:right="0" w:hanging="360"/>
        <w:jc w:val="left"/>
      </w:pPr>
      <w:r>
        <w:rPr/>
        <w:t>的，就认定其已发生减值，将原直接计入所有者权益的公允价值下降形成的累计损失一并转出，确认减值损失。 </w:t>
      </w:r>
      <w:r>
        <w:rPr>
          <w:spacing w:val="-2"/>
        </w:rPr>
        <w:t>对于已确认减值损失的可供出售债务工具，在随后的会计期间公允价值已上升且客观上与确认原减值损失确认后发生的</w:t>
      </w:r>
    </w:p>
    <w:p>
      <w:pPr>
        <w:pStyle w:val="BodyText"/>
        <w:spacing w:line="477" w:lineRule="auto" w:before="54"/>
        <w:ind w:left="1494" w:right="5712" w:hanging="360"/>
        <w:jc w:val="left"/>
      </w:pPr>
      <w:r>
        <w:rPr/>
        <w:t>事项有关的，原确认的减值损失予以转回，计入当期损益。 可供出售权益工具投资发生的减值损失，不通过损益转回。</w:t>
      </w:r>
    </w:p>
    <w:p>
      <w:pPr>
        <w:pStyle w:val="BodyText"/>
        <w:spacing w:line="451" w:lineRule="auto" w:before="54"/>
        <w:ind w:left="1493" w:right="4813"/>
        <w:jc w:val="left"/>
      </w:pPr>
      <w:r>
        <w:rPr/>
        <w:t>（</w:t>
      </w:r>
      <w:r>
        <w:rPr>
          <w:rFonts w:ascii="Times New Roman" w:hAnsi="Times New Roman" w:cs="Times New Roman" w:eastAsia="Times New Roman" w:hint="default"/>
        </w:rPr>
        <w:t>2</w:t>
      </w:r>
      <w:r>
        <w:rPr/>
        <w:t>）持有至到期投资的减值准备： 持有至到期投资减值损失的计量比照应收款项减值损失计量方法处理。</w:t>
      </w:r>
    </w:p>
    <w:p>
      <w:pPr>
        <w:spacing w:line="240" w:lineRule="auto" w:before="10"/>
        <w:rPr>
          <w:rFonts w:ascii="宋体" w:hAnsi="宋体" w:cs="宋体" w:eastAsia="宋体" w:hint="default"/>
          <w:sz w:val="20"/>
          <w:szCs w:val="20"/>
        </w:rPr>
      </w:pPr>
    </w:p>
    <w:p>
      <w:pPr>
        <w:pStyle w:val="Heading3"/>
        <w:spacing w:line="240" w:lineRule="auto"/>
        <w:ind w:left="1133" w:right="0"/>
        <w:jc w:val="left"/>
        <w:rPr>
          <w:b w:val="0"/>
          <w:bCs w:val="0"/>
        </w:rPr>
      </w:pPr>
      <w:bookmarkStart w:name="11、应收款项" w:id="179"/>
      <w:bookmarkEnd w:id="179"/>
      <w:r>
        <w:rPr>
          <w:b w:val="0"/>
          <w:bCs w:val="0"/>
        </w:rPr>
      </w:r>
      <w:r>
        <w:rPr>
          <w:rFonts w:ascii="Times New Roman" w:hAnsi="Times New Roman" w:cs="Times New Roman" w:eastAsia="Times New Roman" w:hint="default"/>
        </w:rPr>
        <w:t>11</w:t>
      </w:r>
      <w:r>
        <w:rPr/>
        <w:t>、应收款项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单项金额重大并单独计提坏账准备的应收款项" w:id="180"/>
      <w:bookmarkEnd w:id="180"/>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pStyle w:val="BodyText"/>
        <w:spacing w:line="240" w:lineRule="auto"/>
        <w:ind w:left="630" w:right="1140"/>
        <w:jc w:val="right"/>
      </w:pPr>
      <w:r>
        <w:rPr/>
        <w:pict>
          <v:shape style="position:absolute;margin-left:56.459999pt;margin-top:-71.928276pt;width:479.2pt;height:105.15pt;mso-position-horizontal-relative:page;mso-position-vertical-relative:paragraph;z-index:22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54"/>
                    <w:gridCol w:w="5315"/>
                  </w:tblGrid>
                  <w:tr>
                    <w:trPr>
                      <w:trHeight w:val="1066"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8"/>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47"/>
                          <w:jc w:val="left"/>
                          <w:rPr>
                            <w:rFonts w:ascii="宋体" w:hAnsi="宋体" w:cs="宋体" w:eastAsia="宋体" w:hint="default"/>
                            <w:sz w:val="18"/>
                            <w:szCs w:val="18"/>
                          </w:rPr>
                        </w:pPr>
                        <w:r>
                          <w:rPr>
                            <w:rFonts w:ascii="宋体" w:hAnsi="宋体" w:cs="宋体" w:eastAsia="宋体" w:hint="default"/>
                            <w:sz w:val="18"/>
                            <w:szCs w:val="18"/>
                          </w:rPr>
                          <w:t>单项金额重大的应收账款是指：余额前五名或占余额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以上的明 细之和。</w:t>
                        </w:r>
                      </w:p>
                      <w:p>
                        <w:pPr>
                          <w:pStyle w:val="TableParagraph"/>
                          <w:spacing w:line="240" w:lineRule="auto" w:before="69"/>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单项金额重大的其他应收款是指：余额大于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万元的款项。</w:t>
                        </w:r>
                      </w:p>
                    </w:tc>
                  </w:tr>
                  <w:tr>
                    <w:trPr>
                      <w:trHeight w:val="1027" w:hRule="exact"/>
                    </w:trPr>
                    <w:tc>
                      <w:tcPr>
                        <w:tcW w:w="42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531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0"/>
                          <w:jc w:val="both"/>
                          <w:rPr>
                            <w:rFonts w:ascii="宋体" w:hAnsi="宋体" w:cs="宋体" w:eastAsia="宋体" w:hint="default"/>
                            <w:sz w:val="18"/>
                            <w:szCs w:val="18"/>
                          </w:rPr>
                        </w:pPr>
                        <w:r>
                          <w:rPr>
                            <w:rFonts w:ascii="宋体" w:hAnsi="宋体" w:cs="宋体" w:eastAsia="宋体" w:hint="default"/>
                            <w:sz w:val="18"/>
                            <w:szCs w:val="18"/>
                          </w:rPr>
                          <w:t>单独进行减值测试，如有客观证据表明其已发生减值，按预计未来 </w:t>
                        </w:r>
                        <w:r>
                          <w:rPr>
                            <w:rFonts w:ascii="宋体" w:hAnsi="宋体" w:cs="宋体" w:eastAsia="宋体" w:hint="default"/>
                            <w:spacing w:val="-2"/>
                            <w:sz w:val="18"/>
                            <w:szCs w:val="18"/>
                          </w:rPr>
                          <w:t>现金流量现值低于其账面价值的差额计提坏账准备，计入当期损益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2"/>
                            <w:sz w:val="18"/>
                            <w:szCs w:val="18"/>
                          </w:rPr>
                          <w:t>单独测试未发生减值的应收款项，将其归入相应组合计提坏账准备</w:t>
                        </w:r>
                      </w:p>
                    </w:tc>
                  </w:tr>
                </w:tbl>
                <w:p>
                  <w:pPr/>
                </w:p>
              </w:txbxContent>
            </v:textbox>
            <w10:wrap type="none"/>
          </v:shape>
        </w:pict>
      </w:r>
      <w:r>
        <w:rPr/>
        <w:t>。</w:t>
      </w:r>
    </w:p>
    <w:p>
      <w:pPr>
        <w:pStyle w:val="BodyText"/>
        <w:spacing w:line="240" w:lineRule="auto" w:before="77"/>
        <w:ind w:left="630" w:right="1140"/>
        <w:jc w:val="right"/>
      </w:pPr>
      <w:r>
        <w:rPr/>
        <w:t>。</w:t>
      </w:r>
    </w:p>
    <w:p>
      <w:pPr>
        <w:spacing w:line="240" w:lineRule="auto" w:before="13"/>
        <w:rPr>
          <w:rFonts w:ascii="宋体" w:hAnsi="宋体" w:cs="宋体" w:eastAsia="宋体" w:hint="default"/>
          <w:sz w:val="27"/>
          <w:szCs w:val="27"/>
        </w:rPr>
      </w:pPr>
    </w:p>
    <w:p>
      <w:pPr>
        <w:pStyle w:val="Heading3"/>
        <w:spacing w:line="240" w:lineRule="auto" w:before="35"/>
        <w:ind w:right="0"/>
        <w:jc w:val="left"/>
        <w:rPr>
          <w:b w:val="0"/>
          <w:bCs w:val="0"/>
        </w:rPr>
      </w:pPr>
      <w:bookmarkStart w:name="（2）按信用风险特征组合计提坏账准备的应收款项" w:id="181"/>
      <w:bookmarkEnd w:id="181"/>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（一般应收账款及其他应收款）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（移动端游戏业务应收账款）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pStyle w:val="BodyText"/>
        <w:spacing w:line="240" w:lineRule="auto" w:before="116"/>
        <w:ind w:left="1134" w:right="0"/>
        <w:jc w:val="left"/>
      </w:pPr>
      <w:r>
        <w:rPr/>
        <w:t>组合中，采用账龄分析法计提坏账准备的：</w:t>
      </w:r>
    </w:p>
    <w:p>
      <w:pPr>
        <w:spacing w:before="116"/>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（一般应收账款及其他应收款）</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（移动端游戏业务应收账款）</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left="1134" w:right="0"/>
        <w:jc w:val="left"/>
      </w:pPr>
      <w:r>
        <w:rPr/>
        <w:t>组合中，采用余额百分比法计提坏账准备的：</w:t>
      </w:r>
    </w:p>
    <w:p>
      <w:pPr>
        <w:spacing w:line="338" w:lineRule="auto" w:before="117"/>
        <w:ind w:left="1134" w:right="751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4"/>
          <w:sz w:val="18"/>
          <w:szCs w:val="18"/>
        </w:rPr>
        <w:t> </w:t>
      </w:r>
      <w:r>
        <w:rPr>
          <w:rFonts w:ascii="宋体" w:hAnsi="宋体" w:cs="宋体" w:eastAsia="宋体" w:hint="default"/>
          <w:b/>
          <w:bCs/>
          <w:sz w:val="18"/>
          <w:szCs w:val="18"/>
        </w:rPr>
        <w:t>不适用</w:t>
      </w:r>
      <w:r>
        <w:rPr>
          <w:rFonts w:ascii="宋体" w:hAnsi="宋体" w:cs="宋体" w:eastAsia="宋体" w:hint="default"/>
          <w:b/>
          <w:bCs/>
          <w:w w:val="99"/>
          <w:sz w:val="18"/>
          <w:szCs w:val="18"/>
        </w:rPr>
        <w:t> </w:t>
      </w:r>
      <w:r>
        <w:rPr>
          <w:rFonts w:ascii="宋体" w:hAnsi="宋体" w:cs="宋体" w:eastAsia="宋体" w:hint="default"/>
          <w:sz w:val="18"/>
          <w:szCs w:val="18"/>
        </w:rPr>
        <w:t>组合中，采用其他方法计提坏账准备的：</w:t>
      </w:r>
    </w:p>
    <w:p>
      <w:pPr>
        <w:spacing w:before="42"/>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3）单项金额不重大但单独计提坏账准备的应收款项" w:id="182"/>
      <w:bookmarkEnd w:id="182"/>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2674"/>
        <w:gridCol w:w="6895"/>
      </w:tblGrid>
      <w:tr>
        <w:trPr>
          <w:trHeight w:val="1026" w:hRule="exact"/>
        </w:trPr>
        <w:tc>
          <w:tcPr>
            <w:tcW w:w="2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68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4" w:right="21"/>
              <w:jc w:val="both"/>
              <w:rPr>
                <w:rFonts w:ascii="宋体" w:hAnsi="宋体" w:cs="宋体" w:eastAsia="宋体" w:hint="default"/>
                <w:sz w:val="18"/>
                <w:szCs w:val="18"/>
              </w:rPr>
            </w:pPr>
            <w:r>
              <w:rPr>
                <w:rFonts w:ascii="宋体" w:hAnsi="宋体" w:cs="宋体" w:eastAsia="宋体" w:hint="default"/>
                <w:sz w:val="18"/>
                <w:szCs w:val="18"/>
              </w:rPr>
              <w:t>除单项金额重大已单独计提坏账准备的应收款项外，公司根据以往经验结合实际情况判 断，以上述组合方式计提的坏账准备不足以完全覆盖其预计损失额的应收款项，将单独 计提坏账准备。</w:t>
            </w:r>
          </w:p>
        </w:tc>
      </w:tr>
      <w:tr>
        <w:trPr>
          <w:trHeight w:val="403" w:hRule="exact"/>
        </w:trPr>
        <w:tc>
          <w:tcPr>
            <w:tcW w:w="2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6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根据预计的损失情况足额计提。</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12、存货" w:id="183"/>
      <w:bookmarkEnd w:id="183"/>
      <w:r>
        <w:rPr>
          <w:b w:val="0"/>
          <w:bCs w:val="0"/>
        </w:rPr>
      </w:r>
      <w:r>
        <w:rPr>
          <w:rFonts w:ascii="Times New Roman" w:hAnsi="Times New Roman" w:cs="Times New Roman" w:eastAsia="Times New Roman" w:hint="default"/>
        </w:rPr>
        <w:t>12</w:t>
      </w:r>
      <w:r>
        <w:rPr/>
        <w:t>、存货</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5" w:right="7333" w:hanging="2"/>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pStyle w:val="Heading4"/>
        <w:spacing w:line="240" w:lineRule="auto" w:before="54"/>
        <w:ind w:right="0"/>
        <w:jc w:val="left"/>
        <w:rPr>
          <w:b w:val="0"/>
          <w:bCs w:val="0"/>
        </w:rPr>
      </w:pPr>
      <w:r>
        <w:rPr/>
        <w:t>互联网游戏业</w:t>
      </w:r>
      <w:r>
        <w:rPr>
          <w:b w:val="0"/>
          <w:bCs w:val="0"/>
        </w:rPr>
      </w:r>
    </w:p>
    <w:p>
      <w:pPr>
        <w:spacing w:line="240" w:lineRule="auto" w:before="10"/>
        <w:rPr>
          <w:rFonts w:ascii="宋体" w:hAnsi="宋体" w:cs="宋体" w:eastAsia="宋体" w:hint="default"/>
          <w:b/>
          <w:bCs/>
          <w:sz w:val="17"/>
          <w:szCs w:val="17"/>
        </w:rPr>
      </w:pPr>
    </w:p>
    <w:p>
      <w:pPr>
        <w:pStyle w:val="BodyText"/>
        <w:spacing w:line="451" w:lineRule="auto"/>
        <w:ind w:left="1494" w:right="3552" w:firstLine="1"/>
        <w:jc w:val="left"/>
      </w:pPr>
      <w:r>
        <w:rPr>
          <w:rFonts w:ascii="Times New Roman" w:hAnsi="Times New Roman" w:cs="Times New Roman" w:eastAsia="Times New Roman" w:hint="default"/>
          <w:b/>
          <w:bCs/>
        </w:rPr>
        <w:t>1</w:t>
      </w:r>
      <w:r>
        <w:rPr>
          <w:rFonts w:ascii="宋体" w:hAnsi="宋体" w:cs="宋体" w:eastAsia="宋体" w:hint="default"/>
          <w:b/>
          <w:bCs/>
        </w:rPr>
        <w:t>、存货的分类</w:t>
      </w:r>
      <w:r>
        <w:rPr>
          <w:rFonts w:ascii="宋体" w:hAnsi="宋体" w:cs="宋体" w:eastAsia="宋体" w:hint="default"/>
          <w:b/>
          <w:bCs/>
          <w:w w:val="99"/>
        </w:rPr>
        <w:t> </w:t>
      </w:r>
      <w:r>
        <w:rPr/>
        <w:t>存货分类为：原材料、库存商品、外购软硬件及服务、委托加工物资、低值易耗品等。</w:t>
      </w:r>
    </w:p>
    <w:p>
      <w:pPr>
        <w:spacing w:after="0" w:line="451"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spacing w:line="463" w:lineRule="auto" w:before="44"/>
        <w:ind w:left="1493" w:right="7333"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、发出存货的计价方法</w:t>
      </w:r>
      <w:r>
        <w:rPr>
          <w:rFonts w:ascii="宋体" w:hAnsi="宋体" w:cs="宋体" w:eastAsia="宋体" w:hint="default"/>
          <w:b/>
          <w:bCs/>
          <w:w w:val="99"/>
          <w:sz w:val="18"/>
          <w:szCs w:val="18"/>
        </w:rPr>
        <w:t> </w:t>
      </w:r>
      <w:r>
        <w:rPr>
          <w:rFonts w:ascii="宋体" w:hAnsi="宋体" w:cs="宋体" w:eastAsia="宋体" w:hint="default"/>
          <w:sz w:val="18"/>
          <w:szCs w:val="18"/>
        </w:rPr>
        <w:t>日常核算存货取得时按实际成本计价。 发出时按以下方式确认：</w:t>
      </w:r>
    </w:p>
    <w:p>
      <w:pPr>
        <w:pStyle w:val="BodyText"/>
        <w:spacing w:line="240" w:lineRule="auto" w:before="65"/>
        <w:ind w:left="1493" w:right="0"/>
        <w:jc w:val="left"/>
      </w:pPr>
      <w:r>
        <w:rPr/>
        <w:t>（</w:t>
      </w:r>
      <w:r>
        <w:rPr>
          <w:rFonts w:ascii="Times New Roman" w:hAnsi="Times New Roman" w:cs="Times New Roman" w:eastAsia="Times New Roman" w:hint="default"/>
        </w:rPr>
        <w:t>1</w:t>
      </w:r>
      <w:r>
        <w:rPr/>
        <w:t>）采购存货专门用于单项业务时，按个别计价法确认；</w:t>
      </w:r>
    </w:p>
    <w:p>
      <w:pPr>
        <w:spacing w:line="240" w:lineRule="auto" w:before="9"/>
        <w:rPr>
          <w:rFonts w:ascii="宋体" w:hAnsi="宋体" w:cs="宋体" w:eastAsia="宋体" w:hint="default"/>
          <w:sz w:val="16"/>
          <w:szCs w:val="16"/>
        </w:rPr>
      </w:pPr>
    </w:p>
    <w:p>
      <w:pPr>
        <w:pStyle w:val="BodyText"/>
        <w:spacing w:line="240" w:lineRule="auto"/>
        <w:ind w:left="1494" w:right="0"/>
        <w:jc w:val="left"/>
      </w:pPr>
      <w:r>
        <w:rPr/>
        <w:t>（</w:t>
      </w:r>
      <w:r>
        <w:rPr>
          <w:rFonts w:ascii="Times New Roman" w:hAnsi="Times New Roman" w:cs="Times New Roman" w:eastAsia="Times New Roman" w:hint="default"/>
        </w:rPr>
        <w:t>2</w:t>
      </w:r>
      <w:r>
        <w:rPr/>
        <w:t>）非为单项业务单独采购的存货，按加权平均价格计价确认。</w:t>
      </w:r>
    </w:p>
    <w:p>
      <w:pPr>
        <w:spacing w:line="240" w:lineRule="auto" w:before="9"/>
        <w:rPr>
          <w:rFonts w:ascii="宋体" w:hAnsi="宋体" w:cs="宋体" w:eastAsia="宋体" w:hint="default"/>
          <w:sz w:val="16"/>
          <w:szCs w:val="16"/>
        </w:rPr>
      </w:pPr>
    </w:p>
    <w:p>
      <w:pPr>
        <w:spacing w:line="451" w:lineRule="auto" w:before="0"/>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、不同类别存货可变现净值的确定依据</w:t>
      </w:r>
      <w:r>
        <w:rPr>
          <w:rFonts w:ascii="宋体" w:hAnsi="宋体" w:cs="宋体" w:eastAsia="宋体" w:hint="default"/>
          <w:b/>
          <w:bCs/>
          <w:w w:val="99"/>
          <w:sz w:val="18"/>
          <w:szCs w:val="18"/>
        </w:rPr>
        <w:t> </w:t>
      </w:r>
      <w:r>
        <w:rPr>
          <w:rFonts w:ascii="宋体" w:hAnsi="宋体" w:cs="宋体" w:eastAsia="宋体" w:hint="default"/>
          <w:spacing w:val="-2"/>
          <w:sz w:val="18"/>
          <w:szCs w:val="18"/>
        </w:rPr>
        <w:t>产成品、库存商品和用于出售的材料等直接用于出售的商品存货，在正常生产经营过程中，以该存货的估计售价减去估</w:t>
      </w:r>
    </w:p>
    <w:p>
      <w:pPr>
        <w:pStyle w:val="BodyText"/>
        <w:spacing w:line="477" w:lineRule="auto" w:before="74"/>
        <w:ind w:right="1131"/>
        <w:jc w:val="both"/>
      </w:pPr>
      <w:r>
        <w:rPr>
          <w:spacing w:val="-2"/>
        </w:rPr>
        <w:t>计的销售费用和相关税费后的金额，确定其可变现净值；需要经过加工的材料存货，在正常生产经营过程中，以所生产的产</w:t>
      </w:r>
      <w:r>
        <w:rPr>
          <w:spacing w:val="-66"/>
        </w:rPr>
        <w:t> </w:t>
      </w:r>
      <w:r>
        <w:rPr>
          <w:spacing w:val="-66"/>
        </w:rPr>
      </w:r>
      <w:r>
        <w:rPr>
          <w:spacing w:val="-2"/>
        </w:rPr>
        <w:t>成品的估计售价减去至完工时估计将要发生的成本、估计的销售费用和相关税费后的金额，确定其可变现净值；为执行销售</w:t>
      </w:r>
      <w:r>
        <w:rPr>
          <w:spacing w:val="-66"/>
        </w:rPr>
        <w:t> </w:t>
      </w:r>
      <w:r>
        <w:rPr>
          <w:spacing w:val="-66"/>
        </w:rPr>
      </w:r>
      <w:r>
        <w:rPr>
          <w:spacing w:val="-2"/>
        </w:rPr>
        <w:t>合同或者劳务合同而持有的存货，其可变现净值以合同价格为基础计算，若持有存货的数量多于销售合同订购数量的，超出</w:t>
      </w:r>
      <w:r>
        <w:rPr>
          <w:spacing w:val="-65"/>
        </w:rPr>
        <w:t> </w:t>
      </w:r>
      <w:r>
        <w:rPr>
          <w:spacing w:val="-65"/>
        </w:rPr>
      </w:r>
      <w:r>
        <w:rPr/>
        <w:t>部分的存货的可变现净值以一般销售价格为基础计算。</w:t>
      </w:r>
    </w:p>
    <w:p>
      <w:pPr>
        <w:pStyle w:val="BodyText"/>
        <w:spacing w:line="477" w:lineRule="auto" w:before="54"/>
        <w:ind w:left="1134" w:right="1131" w:firstLine="360"/>
        <w:jc w:val="both"/>
      </w:pPr>
      <w:r>
        <w:rPr>
          <w:spacing w:val="-2"/>
        </w:rPr>
        <w:t>期末按照单个存货项目计提存货跌价准备；但对于数量繁多、单价较低的存货，按照存货类别计提存货跌价准备；与在</w:t>
      </w:r>
      <w:r>
        <w:rPr/>
        <w:t> </w:t>
      </w:r>
      <w:r>
        <w:rPr>
          <w:spacing w:val="-2"/>
        </w:rPr>
        <w:t>同一地区生产和销售的产品系列相关、具有相同或类似最终用途或目的，且难以与其他项目分开计量的存货，则合并计提存</w:t>
      </w:r>
      <w:r>
        <w:rPr>
          <w:spacing w:val="-66"/>
        </w:rPr>
        <w:t> </w:t>
      </w:r>
      <w:r>
        <w:rPr>
          <w:spacing w:val="-66"/>
        </w:rPr>
      </w:r>
      <w:r>
        <w:rPr/>
        <w:t>货跌价准备。</w:t>
      </w:r>
    </w:p>
    <w:p>
      <w:pPr>
        <w:pStyle w:val="BodyText"/>
        <w:spacing w:line="477" w:lineRule="auto" w:before="54"/>
        <w:ind w:left="1493" w:right="1573"/>
        <w:jc w:val="left"/>
      </w:pPr>
      <w:r>
        <w:rPr/>
        <w:t>除有明确证据表明资产负债表日市场价格异常外，存货项目的可变现净值以资产负债表日市场价格为基础确定。 本期期末存货项目的可变现净值以资产负债表日市场价格为基础确定。</w:t>
      </w:r>
    </w:p>
    <w:p>
      <w:pPr>
        <w:spacing w:line="463" w:lineRule="auto" w:before="54"/>
        <w:ind w:left="1494" w:right="7591"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、存货的盘存制度</w:t>
      </w:r>
      <w:r>
        <w:rPr>
          <w:rFonts w:ascii="宋体" w:hAnsi="宋体" w:cs="宋体" w:eastAsia="宋体" w:hint="default"/>
          <w:b/>
          <w:bCs/>
          <w:w w:val="99"/>
          <w:sz w:val="18"/>
          <w:szCs w:val="18"/>
        </w:rPr>
        <w:t> </w:t>
      </w:r>
      <w:r>
        <w:rPr>
          <w:rFonts w:ascii="宋体" w:hAnsi="宋体" w:cs="宋体" w:eastAsia="宋体" w:hint="default"/>
          <w:sz w:val="18"/>
          <w:szCs w:val="18"/>
        </w:rPr>
        <w:t>采用永续盘存制。 </w:t>
      </w: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、低值易耗品和包装物的摊销方法</w:t>
      </w:r>
      <w:r>
        <w:rPr>
          <w:rFonts w:ascii="宋体" w:hAnsi="宋体" w:cs="宋体" w:eastAsia="宋体" w:hint="default"/>
          <w:sz w:val="18"/>
          <w:szCs w:val="18"/>
        </w:rPr>
      </w:r>
    </w:p>
    <w:p>
      <w:pPr>
        <w:pStyle w:val="BodyText"/>
        <w:spacing w:line="240" w:lineRule="auto" w:before="33"/>
        <w:ind w:left="1493" w:right="0"/>
        <w:jc w:val="left"/>
      </w:pPr>
      <w:r>
        <w:rPr/>
        <w:t>（</w:t>
      </w:r>
      <w:r>
        <w:rPr>
          <w:rFonts w:ascii="Times New Roman" w:hAnsi="Times New Roman" w:cs="Times New Roman" w:eastAsia="Times New Roman" w:hint="default"/>
        </w:rPr>
        <w:t>1</w:t>
      </w:r>
      <w:r>
        <w:rPr/>
        <w:t>）低值易耗品采用一次转销法；</w:t>
      </w:r>
    </w:p>
    <w:p>
      <w:pPr>
        <w:spacing w:line="240" w:lineRule="auto" w:before="9"/>
        <w:rPr>
          <w:rFonts w:ascii="宋体" w:hAnsi="宋体" w:cs="宋体" w:eastAsia="宋体" w:hint="default"/>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2</w:t>
      </w:r>
      <w:r>
        <w:rPr/>
        <w:t>）包装物采用一次转销法。</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3" w:right="0"/>
        <w:jc w:val="both"/>
        <w:rPr>
          <w:b w:val="0"/>
          <w:bCs w:val="0"/>
        </w:rPr>
      </w:pPr>
      <w:bookmarkStart w:name="13、持有待售资产" w:id="184"/>
      <w:bookmarkEnd w:id="184"/>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both"/>
        <w:rPr>
          <w:b w:val="0"/>
          <w:bCs w:val="0"/>
        </w:rPr>
      </w:pPr>
      <w:bookmarkStart w:name="14、长期股权投资" w:id="185"/>
      <w:bookmarkEnd w:id="185"/>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6"/>
        <w:rPr>
          <w:rFonts w:ascii="宋体" w:hAnsi="宋体" w:cs="宋体" w:eastAsia="宋体" w:hint="default"/>
          <w:b/>
          <w:bCs/>
          <w:sz w:val="32"/>
          <w:szCs w:val="32"/>
        </w:rPr>
      </w:pPr>
    </w:p>
    <w:p>
      <w:pPr>
        <w:spacing w:line="451" w:lineRule="auto" w:before="0"/>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、共同控制、重大影响的判断标准</w:t>
      </w:r>
      <w:r>
        <w:rPr>
          <w:rFonts w:ascii="宋体" w:hAnsi="宋体" w:cs="宋体" w:eastAsia="宋体" w:hint="default"/>
          <w:b/>
          <w:bCs/>
          <w:w w:val="99"/>
          <w:sz w:val="18"/>
          <w:szCs w:val="18"/>
        </w:rPr>
        <w:t> </w:t>
      </w:r>
      <w:r>
        <w:rPr>
          <w:rFonts w:ascii="宋体" w:hAnsi="宋体" w:cs="宋体" w:eastAsia="宋体" w:hint="default"/>
          <w:spacing w:val="-2"/>
          <w:sz w:val="18"/>
          <w:szCs w:val="18"/>
        </w:rPr>
        <w:t>共同控制，是指按照相关约定对某项安排所共有的控制，并且该安排的相关活动必须经过分享控制权的参与方一致同意</w:t>
      </w:r>
    </w:p>
    <w:p>
      <w:pPr>
        <w:pStyle w:val="BodyText"/>
        <w:spacing w:line="477" w:lineRule="auto" w:before="74"/>
        <w:ind w:right="1132"/>
        <w:jc w:val="both"/>
      </w:pPr>
      <w:r>
        <w:rPr>
          <w:spacing w:val="-2"/>
        </w:rPr>
        <w:t>后才能决策。本公司与其他合营方一同对被投资单位实施共同控制且对被投资单位净资产享有权利的，被投资单位为本公司</w:t>
      </w:r>
      <w:r>
        <w:rPr>
          <w:spacing w:val="-64"/>
        </w:rPr>
        <w:t> </w:t>
      </w:r>
      <w:r>
        <w:rPr>
          <w:spacing w:val="-64"/>
        </w:rPr>
      </w:r>
      <w:r>
        <w:rPr/>
        <w:t>的合营企业。</w:t>
      </w:r>
    </w:p>
    <w:p>
      <w:pPr>
        <w:spacing w:after="0" w:line="477"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0" w:firstLine="360"/>
        <w:jc w:val="left"/>
      </w:pPr>
      <w:r>
        <w:rPr>
          <w:spacing w:val="-2"/>
        </w:rPr>
        <w:t>重大影响，是指对一个企业的财务和经营决策有参与决策的权力，但并不能够控制或者与其他方一起共同控制这些政策</w:t>
      </w:r>
      <w:r>
        <w:rPr/>
        <w:t> 的制定。本公司能够对被投资单位施加重大影响的，被投资单位为本公司联营企业。</w:t>
      </w:r>
    </w:p>
    <w:p>
      <w:pPr>
        <w:pStyle w:val="Heading4"/>
        <w:spacing w:line="240" w:lineRule="auto" w:before="54"/>
        <w:ind w:right="0"/>
        <w:jc w:val="left"/>
        <w:rPr>
          <w:b w:val="0"/>
          <w:bCs w:val="0"/>
        </w:rPr>
      </w:pPr>
      <w:r>
        <w:rPr>
          <w:rFonts w:ascii="Times New Roman" w:hAnsi="Times New Roman" w:cs="Times New Roman" w:eastAsia="Times New Roman" w:hint="default"/>
        </w:rPr>
        <w:t>2</w:t>
      </w:r>
      <w:r>
        <w:rPr/>
        <w:t>、初始投资成本的确定</w:t>
      </w:r>
      <w:r>
        <w:rPr>
          <w:b w:val="0"/>
          <w:bCs w:val="0"/>
        </w:rPr>
      </w:r>
    </w:p>
    <w:p>
      <w:pPr>
        <w:spacing w:line="240" w:lineRule="auto" w:before="10"/>
        <w:rPr>
          <w:rFonts w:ascii="宋体" w:hAnsi="宋体" w:cs="宋体" w:eastAsia="宋体" w:hint="default"/>
          <w:b/>
          <w:bCs/>
          <w:sz w:val="16"/>
          <w:szCs w:val="16"/>
        </w:rPr>
      </w:pPr>
    </w:p>
    <w:p>
      <w:pPr>
        <w:pStyle w:val="BodyText"/>
        <w:spacing w:line="451" w:lineRule="auto"/>
        <w:ind w:left="1493" w:right="0"/>
        <w:jc w:val="left"/>
      </w:pPr>
      <w:r>
        <w:rPr/>
        <w:t>（</w:t>
      </w:r>
      <w:r>
        <w:rPr>
          <w:rFonts w:ascii="Times New Roman" w:hAnsi="Times New Roman" w:cs="Times New Roman" w:eastAsia="Times New Roman" w:hint="default"/>
        </w:rPr>
        <w:t>1</w:t>
      </w:r>
      <w:r>
        <w:rPr/>
        <w:t>）企业合并形成的长期股权投资 </w:t>
      </w:r>
      <w:r>
        <w:rPr>
          <w:spacing w:val="-2"/>
        </w:rPr>
        <w:t>同一控制下的企业合并：公司以支付现金、转让非现金资产或承担债务方式以及以发行权益性证券作为合并对价的，在</w:t>
      </w:r>
    </w:p>
    <w:p>
      <w:pPr>
        <w:pStyle w:val="BodyText"/>
        <w:spacing w:line="477" w:lineRule="auto" w:before="74"/>
        <w:ind w:right="0"/>
        <w:jc w:val="left"/>
      </w:pPr>
      <w:r>
        <w:rPr>
          <w:spacing w:val="-2"/>
        </w:rPr>
        <w:t>合并日按照取得被合并方所有者权益在最终控制方合并财务报表中的账面价值的份额作为长期股权投资的初始投资成本。因</w:t>
      </w:r>
      <w:r>
        <w:rPr>
          <w:spacing w:val="-64"/>
        </w:rPr>
        <w:t> </w:t>
      </w:r>
      <w:r>
        <w:rPr>
          <w:spacing w:val="-64"/>
        </w:rPr>
      </w:r>
      <w:r>
        <w:rPr>
          <w:spacing w:val="-2"/>
        </w:rPr>
        <w:t>追加投资等原因能够对同一控制下的被投资单位实施控制的，在合并日根据合并后应享有被合并方净资产在最终控制方合并</w:t>
      </w:r>
      <w:r>
        <w:rPr>
          <w:spacing w:val="-64"/>
        </w:rPr>
        <w:t> </w:t>
      </w:r>
      <w:r>
        <w:rPr>
          <w:spacing w:val="-64"/>
        </w:rPr>
      </w:r>
      <w:r>
        <w:rPr>
          <w:spacing w:val="-2"/>
        </w:rPr>
        <w:t>财务报表中的账面价值的份额，确定长期股权投资的初始投资成本。合并日长期股权投资的初始投资成本，与达到合并前的</w:t>
      </w:r>
      <w:r>
        <w:rPr>
          <w:spacing w:val="-66"/>
        </w:rPr>
        <w:t> </w:t>
      </w:r>
      <w:r>
        <w:rPr>
          <w:spacing w:val="-66"/>
        </w:rPr>
      </w:r>
      <w:r>
        <w:rPr>
          <w:spacing w:val="-4"/>
        </w:rPr>
        <w:t>长期股权投资账面价值加上合并日进一步取得股份新支付对价的账面价值之和的差额，调整股本溢价，股本溢价不足冲减的，</w:t>
      </w:r>
      <w:r>
        <w:rPr>
          <w:spacing w:val="-44"/>
        </w:rPr>
        <w:t> </w:t>
      </w:r>
      <w:r>
        <w:rPr>
          <w:spacing w:val="-44"/>
        </w:rPr>
      </w:r>
      <w:r>
        <w:rPr/>
        <w:t>冲减留存收益。</w:t>
      </w:r>
    </w:p>
    <w:p>
      <w:pPr>
        <w:pStyle w:val="BodyText"/>
        <w:spacing w:line="477" w:lineRule="auto" w:before="54"/>
        <w:ind w:right="1132" w:firstLine="360"/>
        <w:jc w:val="both"/>
      </w:pPr>
      <w:r>
        <w:rPr>
          <w:spacing w:val="-2"/>
        </w:rPr>
        <w:t>非同一控制下的企业合并：公司按照购买日确定的合并成本作为长期股权投资的初始投资成本。因追加投资等原因能够</w:t>
      </w:r>
      <w:r>
        <w:rPr/>
        <w:t> </w:t>
      </w:r>
      <w:r>
        <w:rPr>
          <w:spacing w:val="-2"/>
        </w:rPr>
        <w:t>对非同一控制下的被投资单位实施控制的，按照原持有的股权投资账面价值加上新增投资成本之和，作为改按成本法核算的</w:t>
      </w:r>
      <w:r>
        <w:rPr>
          <w:spacing w:val="-64"/>
        </w:rPr>
        <w:t> </w:t>
      </w:r>
      <w:r>
        <w:rPr>
          <w:spacing w:val="-64"/>
        </w:rPr>
      </w:r>
      <w:r>
        <w:rPr/>
        <w:t>初始投资成本。</w:t>
      </w:r>
    </w:p>
    <w:p>
      <w:pPr>
        <w:pStyle w:val="BodyText"/>
        <w:spacing w:line="468" w:lineRule="auto" w:before="54"/>
        <w:ind w:left="1493" w:right="1118"/>
        <w:jc w:val="left"/>
      </w:pPr>
      <w:r>
        <w:rPr/>
        <w:t>（</w:t>
      </w:r>
      <w:r>
        <w:rPr>
          <w:rFonts w:ascii="Times New Roman" w:hAnsi="Times New Roman" w:cs="Times New Roman" w:eastAsia="Times New Roman" w:hint="default"/>
        </w:rPr>
        <w:t>2</w:t>
      </w:r>
      <w:r>
        <w:rPr/>
        <w:t>）其他方式取得的长期股权投资 以支付现金方式取得的长期股权投资，按照实际支付的购买价款作为初始投资成本。 以发行权益性证券取得的长期股权投资，按照发行权益性证券的公允价值作为初始投资成本。 </w:t>
      </w:r>
      <w:r>
        <w:rPr>
          <w:spacing w:val="-2"/>
        </w:rPr>
        <w:t>在非货币性资产交换具备商业实质和换入资产或换出资产的公允价值能够可靠计量的前提下，非货币性资产交换换入的</w:t>
      </w:r>
    </w:p>
    <w:p>
      <w:pPr>
        <w:pStyle w:val="BodyText"/>
        <w:spacing w:line="477" w:lineRule="auto" w:before="61"/>
        <w:ind w:right="1131"/>
        <w:jc w:val="both"/>
      </w:pPr>
      <w:r>
        <w:rPr>
          <w:spacing w:val="-2"/>
        </w:rPr>
        <w:t>长期股权投资以换出资产的公允价值和应支付的相关税费确定其初始投资成本，除非有确凿证据表明换入资产的公允价值更</w:t>
      </w:r>
      <w:r>
        <w:rPr>
          <w:spacing w:val="-64"/>
        </w:rPr>
        <w:t> </w:t>
      </w:r>
      <w:r>
        <w:rPr>
          <w:spacing w:val="-64"/>
        </w:rPr>
      </w:r>
      <w:r>
        <w:rPr>
          <w:spacing w:val="-2"/>
        </w:rPr>
        <w:t>加可靠；不满足上述前提的非货币性资产交换，以换出资产的账面价值和应支付的相关税费作为换入长期股权投资的初始投</w:t>
      </w:r>
      <w:r>
        <w:rPr>
          <w:spacing w:val="-64"/>
        </w:rPr>
        <w:t> </w:t>
      </w:r>
      <w:r>
        <w:rPr>
          <w:spacing w:val="-64"/>
        </w:rPr>
      </w:r>
      <w:r>
        <w:rPr/>
        <w:t>资成本。</w:t>
      </w:r>
    </w:p>
    <w:p>
      <w:pPr>
        <w:pStyle w:val="BodyText"/>
        <w:spacing w:line="240" w:lineRule="auto" w:before="54"/>
        <w:ind w:left="1494" w:right="0"/>
        <w:jc w:val="left"/>
      </w:pPr>
      <w:r>
        <w:rPr/>
        <w:t>通过债务重组取得的长期股权投资，其初始投资成本按照公允价值为基础确定。</w:t>
      </w:r>
    </w:p>
    <w:p>
      <w:pPr>
        <w:spacing w:line="240" w:lineRule="auto" w:before="10"/>
        <w:rPr>
          <w:rFonts w:ascii="宋体" w:hAnsi="宋体" w:cs="宋体" w:eastAsia="宋体" w:hint="default"/>
          <w:sz w:val="17"/>
          <w:szCs w:val="17"/>
        </w:rPr>
      </w:pPr>
    </w:p>
    <w:p>
      <w:pPr>
        <w:pStyle w:val="Heading4"/>
        <w:spacing w:line="240" w:lineRule="auto"/>
        <w:ind w:right="0"/>
        <w:jc w:val="left"/>
        <w:rPr>
          <w:b w:val="0"/>
          <w:bCs w:val="0"/>
        </w:rPr>
      </w:pPr>
      <w:r>
        <w:rPr>
          <w:rFonts w:ascii="Times New Roman" w:hAnsi="Times New Roman" w:cs="Times New Roman" w:eastAsia="Times New Roman" w:hint="default"/>
        </w:rPr>
        <w:t>3</w:t>
      </w:r>
      <w:r>
        <w:rPr/>
        <w:t>、后续计量及损益确认方法</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left="1493" w:right="0"/>
        <w:jc w:val="left"/>
      </w:pPr>
      <w:r>
        <w:rPr/>
        <w:t>（</w:t>
      </w:r>
      <w:r>
        <w:rPr>
          <w:rFonts w:ascii="Times New Roman" w:hAnsi="Times New Roman" w:cs="Times New Roman" w:eastAsia="Times New Roman" w:hint="default"/>
        </w:rPr>
        <w:t>1</w:t>
      </w:r>
      <w:r>
        <w:rPr/>
        <w:t>）成本法核算的长期股权投资 </w:t>
      </w:r>
      <w:r>
        <w:rPr>
          <w:spacing w:val="-2"/>
        </w:rPr>
        <w:t>公司对子公司的长期股权投资，采用成本法核算。除取得投资时实际支付的价款或对价中包含的已宣告但尚未发放的现</w:t>
      </w:r>
    </w:p>
    <w:p>
      <w:pPr>
        <w:pStyle w:val="BodyText"/>
        <w:spacing w:line="240" w:lineRule="auto" w:before="74"/>
        <w:ind w:right="0"/>
        <w:jc w:val="left"/>
      </w:pPr>
      <w:r>
        <w:rPr/>
        <w:t>金股利或利润外，公司按照享有被投资单位宣告发放的现金股利或利润确认当期投资收益。</w:t>
      </w:r>
    </w:p>
    <w:p>
      <w:pPr>
        <w:spacing w:line="240" w:lineRule="auto" w:before="10"/>
        <w:rPr>
          <w:rFonts w:ascii="宋体" w:hAnsi="宋体" w:cs="宋体" w:eastAsia="宋体" w:hint="default"/>
          <w:sz w:val="17"/>
          <w:szCs w:val="17"/>
        </w:rPr>
      </w:pPr>
    </w:p>
    <w:p>
      <w:pPr>
        <w:pStyle w:val="BodyText"/>
        <w:spacing w:line="451" w:lineRule="auto"/>
        <w:ind w:left="1493" w:right="0"/>
        <w:jc w:val="left"/>
      </w:pPr>
      <w:r>
        <w:rPr/>
        <w:t>（</w:t>
      </w:r>
      <w:r>
        <w:rPr>
          <w:rFonts w:ascii="Times New Roman" w:hAnsi="Times New Roman" w:cs="Times New Roman" w:eastAsia="Times New Roman" w:hint="default"/>
        </w:rPr>
        <w:t>2</w:t>
      </w:r>
      <w:r>
        <w:rPr/>
        <w:t>）权益法核算的长期股权投资 </w:t>
      </w:r>
      <w:r>
        <w:rPr>
          <w:spacing w:val="-2"/>
        </w:rPr>
        <w:t>对联营企业和合营企业的长期股权投资，采用权益法核算。初始投资成本大于投资时应享有被投资单位可辨认净资产公</w:t>
      </w:r>
    </w:p>
    <w:p>
      <w:pPr>
        <w:pStyle w:val="BodyText"/>
        <w:spacing w:line="477" w:lineRule="auto" w:before="74"/>
        <w:ind w:right="0"/>
        <w:jc w:val="left"/>
      </w:pPr>
      <w:r>
        <w:rPr>
          <w:spacing w:val="-2"/>
        </w:rPr>
        <w:t>允价值份额的差额，不调整长期股权投资的初始投资成本；初始投资成本小于投资时应享有被投资单位可辨认净资产公允价</w:t>
      </w:r>
      <w:r>
        <w:rPr>
          <w:spacing w:val="-64"/>
        </w:rPr>
        <w:t> </w:t>
      </w:r>
      <w:r>
        <w:rPr>
          <w:spacing w:val="-64"/>
        </w:rPr>
      </w:r>
      <w:r>
        <w:rPr/>
        <w:t>值份额的差额，计入当期损益。</w:t>
      </w:r>
    </w:p>
    <w:p>
      <w:pPr>
        <w:pStyle w:val="BodyText"/>
        <w:spacing w:line="240" w:lineRule="auto" w:before="54"/>
        <w:ind w:left="1493" w:right="0"/>
        <w:jc w:val="left"/>
      </w:pPr>
      <w:r>
        <w:rPr/>
        <w:t>公司按照应享有或应分担的被投资单位实现的净损益和其他综合收益的份额，分别确认投资收益和其他综合收益，同时</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1132"/>
        <w:jc w:val="both"/>
      </w:pPr>
      <w:r>
        <w:rPr>
          <w:spacing w:val="-2"/>
        </w:rPr>
        <w:t>调整长期股权投资的账面价值；按照被投资单位宣告分派的利润或现金股利计算应享有的部分，相应减少长期股权投资的账</w:t>
      </w:r>
      <w:r>
        <w:rPr>
          <w:spacing w:val="-64"/>
        </w:rPr>
        <w:t> </w:t>
      </w:r>
      <w:r>
        <w:rPr>
          <w:spacing w:val="-64"/>
        </w:rPr>
      </w:r>
      <w:r>
        <w:rPr>
          <w:spacing w:val="-2"/>
        </w:rPr>
        <w:t>面价值；对于被投资单位除净损益、其他综合收益和利润分配以外所有者权益的其他变动，调整长期股权投资的账面价值并</w:t>
      </w:r>
      <w:r>
        <w:rPr>
          <w:spacing w:val="-66"/>
        </w:rPr>
        <w:t> </w:t>
      </w:r>
      <w:r>
        <w:rPr>
          <w:spacing w:val="-66"/>
        </w:rPr>
      </w:r>
      <w:r>
        <w:rPr/>
        <w:t>计入所有者权益。</w:t>
      </w:r>
    </w:p>
    <w:p>
      <w:pPr>
        <w:pStyle w:val="BodyText"/>
        <w:spacing w:line="477" w:lineRule="auto" w:before="54"/>
        <w:ind w:right="1130" w:firstLine="360"/>
        <w:jc w:val="both"/>
      </w:pPr>
      <w:r>
        <w:rPr>
          <w:spacing w:val="-2"/>
        </w:rPr>
        <w:t>在确认应享有被投资单位净损益的份额时，以取得投资时被投资单位可辨认净资产的公允价值为基础，并按照公司的会</w:t>
      </w:r>
      <w:r>
        <w:rPr/>
        <w:t> </w:t>
      </w:r>
      <w:r>
        <w:rPr>
          <w:spacing w:val="-2"/>
        </w:rPr>
        <w:t>计政策及会计期间，对被投资单位的净利润进行调整后确认。在持有投资期间，被投资单位编制合并财务报表的，以合并财</w:t>
      </w:r>
      <w:r>
        <w:rPr>
          <w:spacing w:val="-65"/>
        </w:rPr>
        <w:t> </w:t>
      </w:r>
      <w:r>
        <w:rPr>
          <w:spacing w:val="-65"/>
        </w:rPr>
      </w:r>
      <w:r>
        <w:rPr/>
        <w:t>务报表中的净利润、其他综合收益和其他所有者权益变动中归属于被投资单位的金额为基础进行核算。</w:t>
      </w:r>
    </w:p>
    <w:p>
      <w:pPr>
        <w:pStyle w:val="BodyText"/>
        <w:spacing w:line="468" w:lineRule="auto" w:before="54"/>
        <w:ind w:right="1132" w:firstLine="360"/>
        <w:jc w:val="both"/>
      </w:pPr>
      <w:r>
        <w:rPr>
          <w:spacing w:val="-2"/>
        </w:rPr>
        <w:t>公司与联营企业、合营企业之间发生的未实现内部交易损益按照应享有的比例计算归属于公司的部分，予以抵销，在此</w:t>
      </w:r>
      <w:r>
        <w:rPr/>
        <w:t> </w:t>
      </w:r>
      <w:r>
        <w:rPr>
          <w:spacing w:val="-2"/>
        </w:rPr>
        <w:t>基础上确认投资收益。与被投资单位发生的未实现内部交易损失，属于资产减值损失的，全额确认。公司与联营企业、合营</w:t>
      </w:r>
      <w:r>
        <w:rPr>
          <w:spacing w:val="-66"/>
        </w:rPr>
        <w:t> </w:t>
      </w:r>
      <w:r>
        <w:rPr>
          <w:spacing w:val="-66"/>
        </w:rPr>
      </w:r>
      <w:r>
        <w:rPr/>
        <w:t>企业之间发生投出或出售资产的交易，该资产构成业务的，按照本附注</w:t>
      </w:r>
      <w:r>
        <w:rPr>
          <w:rFonts w:ascii="Times New Roman" w:hAnsi="Times New Roman" w:cs="Times New Roman" w:eastAsia="Times New Roman" w:hint="default"/>
        </w:rPr>
        <w:t>“</w:t>
      </w:r>
      <w:r>
        <w:rPr/>
        <w:t>五、（五）同一控制下和非同一控制下企业合并的</w:t>
      </w:r>
      <w:r>
        <w:rPr>
          <w:spacing w:val="-75"/>
        </w:rPr>
        <w:t> </w:t>
      </w:r>
      <w:r>
        <w:rPr>
          <w:spacing w:val="-75"/>
        </w:rPr>
      </w:r>
      <w:r>
        <w:rPr/>
        <w:t>会计处理方法</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五、（六）合并财务报表的编制方法</w:t>
      </w:r>
      <w:r>
        <w:rPr>
          <w:rFonts w:ascii="Times New Roman" w:hAnsi="Times New Roman" w:cs="Times New Roman" w:eastAsia="Times New Roman" w:hint="default"/>
        </w:rPr>
        <w:t>”</w:t>
      </w:r>
      <w:r>
        <w:rPr/>
        <w:t>中披露的相关政策进行会计处理。</w:t>
      </w:r>
    </w:p>
    <w:p>
      <w:pPr>
        <w:pStyle w:val="BodyText"/>
        <w:spacing w:line="477" w:lineRule="auto" w:before="29"/>
        <w:ind w:right="1033" w:firstLine="360"/>
        <w:jc w:val="left"/>
      </w:pPr>
      <w:r>
        <w:rPr>
          <w:spacing w:val="-2"/>
        </w:rPr>
        <w:t>在公司确认应分担被投资单位发生的亏损时，按照以下顺序进行处理：首先，冲减长期股权投资的账面价值。其次，长</w:t>
      </w:r>
      <w:r>
        <w:rPr/>
        <w:t> 期股权投资的账面价值不足以冲减的，以其他实质上构成对被投资单位净投资的长期权益账面价值为限继续确认投资损失，</w:t>
      </w:r>
      <w:r>
        <w:rPr>
          <w:spacing w:val="-85"/>
        </w:rPr>
        <w:t> </w:t>
      </w:r>
      <w:r>
        <w:rPr>
          <w:spacing w:val="-85"/>
        </w:rPr>
      </w:r>
      <w:r>
        <w:rPr>
          <w:spacing w:val="-2"/>
        </w:rPr>
        <w:t>冲减长期应收项目等的账面价值。最后，经过上述处理，按照投资合同或协议约定企业仍承担额外义务的，按预计承担的义</w:t>
      </w:r>
      <w:r>
        <w:rPr>
          <w:spacing w:val="-66"/>
        </w:rPr>
        <w:t> </w:t>
      </w:r>
      <w:r>
        <w:rPr>
          <w:spacing w:val="-66"/>
        </w:rPr>
      </w:r>
      <w:r>
        <w:rPr/>
        <w:t>务确认预计负债，计入当期投资损失。</w:t>
      </w:r>
    </w:p>
    <w:p>
      <w:pPr>
        <w:pStyle w:val="BodyText"/>
        <w:spacing w:line="451" w:lineRule="auto" w:before="54"/>
        <w:ind w:left="1494" w:right="4632"/>
        <w:jc w:val="left"/>
      </w:pPr>
      <w:r>
        <w:rPr/>
        <w:t>（</w:t>
      </w:r>
      <w:r>
        <w:rPr>
          <w:rFonts w:ascii="Times New Roman" w:hAnsi="Times New Roman" w:cs="Times New Roman" w:eastAsia="Times New Roman" w:hint="default"/>
        </w:rPr>
        <w:t>3</w:t>
      </w:r>
      <w:r>
        <w:rPr/>
        <w:t>）长期股权投资的处置 处置长期股权投资，其账面价值与实际取得价款的差额，计入当期损益。</w:t>
      </w:r>
    </w:p>
    <w:p>
      <w:pPr>
        <w:pStyle w:val="BodyText"/>
        <w:spacing w:line="477" w:lineRule="auto" w:before="74"/>
        <w:ind w:right="1132" w:firstLine="360"/>
        <w:jc w:val="both"/>
      </w:pPr>
      <w:r>
        <w:rPr>
          <w:spacing w:val="-2"/>
        </w:rPr>
        <w:t>采用权益法核算的长期股权投资，在处置该项投资时，采用与被投资单位直接处置相关资产或负债相同的基础，按相应</w:t>
      </w:r>
      <w:r>
        <w:rPr/>
        <w:t> </w:t>
      </w:r>
      <w:r>
        <w:rPr>
          <w:spacing w:val="-2"/>
        </w:rPr>
        <w:t>比例对原计入其他综合收益的部分进行会计处理。因被投资单位除净损益、其他综合收益和利润分配以外的其他所有者权益</w:t>
      </w:r>
      <w:r>
        <w:rPr>
          <w:spacing w:val="-64"/>
        </w:rPr>
        <w:t> </w:t>
      </w:r>
      <w:r>
        <w:rPr>
          <w:spacing w:val="-64"/>
        </w:rPr>
      </w:r>
      <w:r>
        <w:rPr>
          <w:spacing w:val="-2"/>
        </w:rPr>
        <w:t>变动而确认的所有者权益，按比例结转入当期损益，由于被投资方重新计量设定受益计划净负债或净资产变动而产生的其他</w:t>
      </w:r>
      <w:r>
        <w:rPr>
          <w:spacing w:val="-64"/>
        </w:rPr>
        <w:t> </w:t>
      </w:r>
      <w:r>
        <w:rPr>
          <w:spacing w:val="-64"/>
        </w:rPr>
      </w:r>
      <w:r>
        <w:rPr/>
        <w:t>综合收益除外。</w:t>
      </w:r>
    </w:p>
    <w:p>
      <w:pPr>
        <w:pStyle w:val="BodyText"/>
        <w:spacing w:line="477" w:lineRule="auto" w:before="54"/>
        <w:ind w:right="1033" w:firstLine="360"/>
        <w:jc w:val="left"/>
      </w:pPr>
      <w:r>
        <w:rPr>
          <w:spacing w:val="-2"/>
        </w:rPr>
        <w:t>因处置部分股权投资等原因丧失了对被投资单位的共同控制或重大影响的，处置后的剩余股权改按金融工具确认和计量</w:t>
      </w:r>
      <w:r>
        <w:rPr/>
        <w:t> </w:t>
      </w:r>
      <w:r>
        <w:rPr>
          <w:spacing w:val="-2"/>
        </w:rPr>
        <w:t>准则核算，其在丧失共同控制或重大影响之日的公允价值与账面价值之间的差额计入当期损益。原股权投资因采用权益法核</w:t>
      </w:r>
      <w:r>
        <w:rPr>
          <w:spacing w:val="-64"/>
        </w:rPr>
        <w:t> </w:t>
      </w:r>
      <w:r>
        <w:rPr>
          <w:spacing w:val="-64"/>
        </w:rPr>
      </w:r>
      <w:r>
        <w:rPr/>
        <w:t>算而确认的其他综合收益，在终止采用权益法核算时采用与被投资单位直接处置相关资产或负债相同的基础进行会计处理。</w:t>
      </w:r>
      <w:r>
        <w:rPr>
          <w:spacing w:val="-85"/>
        </w:rPr>
        <w:t> </w:t>
      </w:r>
      <w:r>
        <w:rPr>
          <w:spacing w:val="-85"/>
        </w:rPr>
      </w:r>
      <w:r>
        <w:rPr>
          <w:spacing w:val="-2"/>
        </w:rPr>
        <w:t>因被投资方除净损益、其他综合收益和利润分配以外的其他所有者权益变动而确认的所有者权益，在终止采用权益法核算时</w:t>
      </w:r>
      <w:r>
        <w:rPr>
          <w:spacing w:val="-64"/>
        </w:rPr>
        <w:t> </w:t>
      </w:r>
      <w:r>
        <w:rPr>
          <w:spacing w:val="-64"/>
        </w:rPr>
      </w:r>
      <w:r>
        <w:rPr/>
        <w:t>全部转入当期损益。</w:t>
      </w:r>
    </w:p>
    <w:p>
      <w:pPr>
        <w:pStyle w:val="BodyText"/>
        <w:spacing w:line="477" w:lineRule="auto" w:before="54"/>
        <w:ind w:right="1130" w:firstLine="360"/>
        <w:jc w:val="both"/>
      </w:pPr>
      <w:r>
        <w:rPr>
          <w:spacing w:val="-2"/>
        </w:rPr>
        <w:t>因处置部分股权投资、因其他投资方对子公司增资而导致本公司持股比例下降等原因丧失了对被投资单位控制权的，在</w:t>
      </w:r>
      <w:r>
        <w:rPr/>
        <w:t> </w:t>
      </w:r>
      <w:r>
        <w:rPr>
          <w:spacing w:val="-2"/>
        </w:rPr>
        <w:t>编制个别财务报表时，剩余股权能够对被投资单位实施共同控制或重大影响的，改按权益法核算，并对该剩余股权视同自取</w:t>
      </w:r>
      <w:r>
        <w:rPr>
          <w:spacing w:val="-66"/>
        </w:rPr>
        <w:t> </w:t>
      </w:r>
      <w:r>
        <w:rPr>
          <w:spacing w:val="-66"/>
        </w:rPr>
      </w:r>
      <w:r>
        <w:rPr>
          <w:spacing w:val="-2"/>
        </w:rPr>
        <w:t>得时即采用权益法核算进行调整；剩余股权不能对被投资单位实施共同控制或施加重大影响的，改按金融工具确认和计量准</w:t>
      </w:r>
      <w:r>
        <w:rPr>
          <w:spacing w:val="-63"/>
        </w:rPr>
        <w:t> </w:t>
      </w:r>
      <w:r>
        <w:rPr>
          <w:spacing w:val="-63"/>
        </w:rPr>
      </w:r>
      <w:r>
        <w:rPr/>
        <w:t>则的有关规定进行会计处理，其在丧失控制之日的公允价值与账面价值间的差额计入当期损益。</w:t>
      </w:r>
    </w:p>
    <w:p>
      <w:pPr>
        <w:pStyle w:val="BodyText"/>
        <w:spacing w:line="240" w:lineRule="auto" w:before="54"/>
        <w:ind w:left="1493" w:right="0"/>
        <w:jc w:val="left"/>
      </w:pPr>
      <w:r>
        <w:rPr/>
        <w:t>处置的股权是因追加投资等原因通过企业合并取得的，在编制个别财务报表时，处置后的剩余股权采用成本法或权益法</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0"/>
        <w:jc w:val="left"/>
      </w:pPr>
      <w:r>
        <w:rPr>
          <w:spacing w:val="-2"/>
        </w:rPr>
        <w:t>核算的，购买日之前持有的股权投资因采用权益法核算而确认的其他综合收益和其他所有者权益按比例结转；处置后的剩余</w:t>
      </w:r>
      <w:r>
        <w:rPr>
          <w:spacing w:val="-64"/>
        </w:rPr>
        <w:t> </w:t>
      </w:r>
      <w:r>
        <w:rPr>
          <w:spacing w:val="-64"/>
        </w:rPr>
      </w:r>
      <w:r>
        <w:rPr/>
        <w:t>股权改按金融工具确认和计量准则进行会计处理的，其他综合收益和其他所有者权益全部结转。</w:t>
      </w:r>
    </w:p>
    <w:p>
      <w:pPr>
        <w:spacing w:line="240" w:lineRule="auto" w:before="4"/>
        <w:rPr>
          <w:rFonts w:ascii="宋体" w:hAnsi="宋体" w:cs="宋体" w:eastAsia="宋体" w:hint="default"/>
          <w:sz w:val="19"/>
          <w:szCs w:val="19"/>
        </w:rPr>
      </w:pPr>
    </w:p>
    <w:p>
      <w:pPr>
        <w:pStyle w:val="Heading3"/>
        <w:spacing w:line="240" w:lineRule="auto"/>
        <w:ind w:left="1133" w:right="0"/>
        <w:jc w:val="left"/>
        <w:rPr>
          <w:b w:val="0"/>
          <w:bCs w:val="0"/>
        </w:rPr>
      </w:pPr>
      <w:bookmarkStart w:name="15、投资性房地产" w:id="186"/>
      <w:bookmarkEnd w:id="186"/>
      <w:r>
        <w:rPr>
          <w:b w:val="0"/>
          <w:bCs w:val="0"/>
        </w:rPr>
      </w:r>
      <w:r>
        <w:rPr>
          <w:rFonts w:ascii="Times New Roman" w:hAnsi="Times New Roman" w:cs="Times New Roman" w:eastAsia="Times New Roman" w:hint="default"/>
        </w:rPr>
        <w:t>15</w:t>
      </w:r>
      <w:r>
        <w:rPr/>
        <w:t>、投资性房地产</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4" w:right="8592"/>
        <w:jc w:val="left"/>
      </w:pPr>
      <w:r>
        <w:rPr/>
        <w:t>投资性房地产计量模式 成本法计量 折旧或摊销方法</w:t>
      </w:r>
    </w:p>
    <w:p>
      <w:pPr>
        <w:pStyle w:val="BodyText"/>
        <w:spacing w:line="477" w:lineRule="auto" w:before="54"/>
        <w:ind w:left="1134" w:right="1132" w:firstLine="360"/>
        <w:jc w:val="both"/>
      </w:pPr>
      <w:r>
        <w:rPr>
          <w:spacing w:val="-2"/>
        </w:rPr>
        <w:t>投资性房地产是指为赚取租金或资本增值，或两者兼有而持有的房地产，包括已出租的土地使用权、持有并准备增值后</w:t>
      </w:r>
      <w:r>
        <w:rPr/>
        <w:t> </w:t>
      </w:r>
      <w:r>
        <w:rPr>
          <w:spacing w:val="-2"/>
        </w:rPr>
        <w:t>转让的土地使用权、已出租的建筑物（含自行建造或开发活动完成后用于出租的建筑物以及正在建造或开发过程中将来用于</w:t>
      </w:r>
      <w:r>
        <w:rPr>
          <w:spacing w:val="-64"/>
        </w:rPr>
        <w:t> </w:t>
      </w:r>
      <w:r>
        <w:rPr>
          <w:spacing w:val="-64"/>
        </w:rPr>
      </w:r>
      <w:r>
        <w:rPr/>
        <w:t>出租的建筑物）。</w:t>
      </w:r>
    </w:p>
    <w:p>
      <w:pPr>
        <w:pStyle w:val="BodyText"/>
        <w:spacing w:line="477" w:lineRule="auto" w:before="54"/>
        <w:ind w:left="1134" w:right="1131" w:firstLine="360"/>
        <w:jc w:val="both"/>
      </w:pPr>
      <w:r>
        <w:rPr>
          <w:spacing w:val="-2"/>
        </w:rPr>
        <w:t>公司对现有投资性房地产采用成本模式计量。对按照成本模式计量的投资性房地产－出租用建筑物采用与本公司固定资</w:t>
      </w:r>
      <w:r>
        <w:rPr/>
        <w:t> 产相同的折旧政策，出租用土地使用权按与无形资产相同的摊销政策执行。</w:t>
      </w:r>
    </w:p>
    <w:p>
      <w:pPr>
        <w:spacing w:line="240" w:lineRule="auto" w:before="3"/>
        <w:rPr>
          <w:rFonts w:ascii="宋体" w:hAnsi="宋体" w:cs="宋体" w:eastAsia="宋体" w:hint="default"/>
          <w:sz w:val="19"/>
          <w:szCs w:val="19"/>
        </w:rPr>
      </w:pPr>
    </w:p>
    <w:p>
      <w:pPr>
        <w:pStyle w:val="Heading3"/>
        <w:spacing w:line="240" w:lineRule="auto"/>
        <w:ind w:left="1133" w:right="0"/>
        <w:jc w:val="left"/>
        <w:rPr>
          <w:b w:val="0"/>
          <w:bCs w:val="0"/>
        </w:rPr>
      </w:pPr>
      <w:bookmarkStart w:name="16、固定资产" w:id="187"/>
      <w:bookmarkEnd w:id="187"/>
      <w:r>
        <w:rPr>
          <w:b w:val="0"/>
          <w:bCs w:val="0"/>
        </w:rPr>
      </w:r>
      <w:r>
        <w:rPr>
          <w:rFonts w:ascii="Times New Roman" w:hAnsi="Times New Roman" w:cs="Times New Roman" w:eastAsia="Times New Roman" w:hint="default"/>
        </w:rPr>
        <w:t>16</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确认条件" w:id="188"/>
      <w:bookmarkEnd w:id="188"/>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134" w:right="1130" w:firstLine="360"/>
        <w:jc w:val="both"/>
      </w:pPr>
      <w:r>
        <w:rPr>
          <w:spacing w:val="-2"/>
        </w:rPr>
        <w:t>固定资产指为生产商品、提供劳务、出租或经营管理而持有，并且使用寿命超过一个会计年度的有形资产。固定资产在</w:t>
      </w:r>
      <w:r>
        <w:rPr/>
        <w:t> </w:t>
      </w:r>
      <w:r>
        <w:rPr>
          <w:spacing w:val="-8"/>
        </w:rPr>
        <w:t>同时满足下列条件时予以确认：（</w:t>
      </w:r>
      <w:r>
        <w:rPr>
          <w:rFonts w:ascii="Times New Roman" w:hAnsi="Times New Roman" w:cs="Times New Roman" w:eastAsia="Times New Roman" w:hint="default"/>
          <w:spacing w:val="-8"/>
        </w:rPr>
        <w:t>1</w:t>
      </w:r>
      <w:r>
        <w:rPr>
          <w:spacing w:val="-8"/>
        </w:rPr>
        <w:t>）与该固定资产有关的经济利益很可能流入企业；（</w:t>
      </w:r>
      <w:r>
        <w:rPr>
          <w:rFonts w:ascii="Times New Roman" w:hAnsi="Times New Roman" w:cs="Times New Roman" w:eastAsia="Times New Roman" w:hint="default"/>
          <w:spacing w:val="-8"/>
        </w:rPr>
        <w:t>2</w:t>
      </w:r>
      <w:r>
        <w:rPr>
          <w:spacing w:val="-8"/>
        </w:rPr>
        <w:t>）该固定资产的成本能够可靠地计量。</w:t>
      </w:r>
    </w:p>
    <w:p>
      <w:pPr>
        <w:spacing w:line="240" w:lineRule="auto" w:before="10"/>
        <w:rPr>
          <w:rFonts w:ascii="宋体" w:hAnsi="宋体" w:cs="宋体" w:eastAsia="宋体" w:hint="default"/>
          <w:sz w:val="16"/>
          <w:szCs w:val="16"/>
        </w:rPr>
      </w:pPr>
    </w:p>
    <w:p>
      <w:pPr>
        <w:pStyle w:val="Heading3"/>
        <w:spacing w:line="240" w:lineRule="auto"/>
        <w:ind w:left="1133" w:right="0"/>
        <w:jc w:val="left"/>
        <w:rPr>
          <w:b w:val="0"/>
          <w:bCs w:val="0"/>
        </w:rPr>
      </w:pPr>
      <w:bookmarkStart w:name="（2）折旧方法" w:id="189"/>
      <w:bookmarkEnd w:id="189"/>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19-31.67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20</w:t>
            </w:r>
          </w:p>
        </w:tc>
      </w:tr>
      <w:tr>
        <w:trPr>
          <w:trHeight w:val="403"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19</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3）融资租入固定资产的认定依据、计价和折旧方法" w:id="190"/>
      <w:bookmarkEnd w:id="190"/>
      <w:r>
        <w:rPr>
          <w:b w:val="0"/>
          <w:bCs w:val="0"/>
        </w:rPr>
      </w:r>
      <w:r>
        <w:rPr/>
        <w:t>（</w:t>
      </w:r>
      <w:r>
        <w:rPr>
          <w:rFonts w:ascii="Times New Roman" w:hAnsi="Times New Roman" w:cs="Times New Roman" w:eastAsia="Times New Roman" w:hint="default"/>
        </w:rPr>
        <w:t>3</w:t>
      </w:r>
      <w:r>
        <w:rPr/>
        <w:t>）融资租入固定资产的认定依据、计价和折旧方法</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right="1130" w:firstLine="360"/>
        <w:jc w:val="both"/>
      </w:pPr>
      <w:r>
        <w:rPr/>
        <w:t>公司与租赁方所签订的租赁协议条款中规定了下列条件之一的</w:t>
      </w:r>
      <w:r>
        <w:rPr>
          <w:spacing w:val="-28"/>
        </w:rPr>
        <w:t>，</w:t>
      </w:r>
      <w:r>
        <w:rPr/>
        <w:t>确认为融资租入资产</w:t>
      </w:r>
      <w:r>
        <w:rPr>
          <w:spacing w:val="-118"/>
        </w:rPr>
        <w:t>：</w:t>
      </w:r>
      <w:r>
        <w:rPr>
          <w:spacing w:val="1"/>
        </w:rPr>
        <w:t>（</w:t>
      </w:r>
      <w:r>
        <w:rPr>
          <w:rFonts w:ascii="Times New Roman" w:hAnsi="Times New Roman" w:cs="Times New Roman" w:eastAsia="Times New Roman" w:hint="default"/>
        </w:rPr>
        <w:t>1</w:t>
      </w:r>
      <w:r>
        <w:rPr>
          <w:spacing w:val="-28"/>
        </w:rPr>
        <w:t>）</w:t>
      </w:r>
      <w:r>
        <w:rPr/>
        <w:t>租赁期满后租赁资产的所有</w:t>
      </w:r>
      <w:r>
        <w:rPr/>
        <w:t> 权归属于本公司</w:t>
      </w:r>
      <w:r>
        <w:rPr>
          <w:spacing w:val="-107"/>
        </w:rPr>
        <w:t>；</w:t>
      </w:r>
      <w:r>
        <w:rPr/>
        <w:t>（</w:t>
      </w:r>
      <w:r>
        <w:rPr>
          <w:rFonts w:ascii="Times New Roman" w:hAnsi="Times New Roman" w:cs="Times New Roman" w:eastAsia="Times New Roman" w:hint="default"/>
        </w:rPr>
        <w:t>2</w:t>
      </w:r>
      <w:r>
        <w:rPr>
          <w:spacing w:val="-17"/>
        </w:rPr>
        <w:t>）</w:t>
      </w:r>
      <w:r>
        <w:rPr/>
        <w:t>公司</w:t>
      </w:r>
      <w:r>
        <w:rPr>
          <w:spacing w:val="1"/>
        </w:rPr>
        <w:t>具</w:t>
      </w:r>
      <w:r>
        <w:rPr/>
        <w:t>有购买资产的选择权</w:t>
      </w:r>
      <w:r>
        <w:rPr>
          <w:spacing w:val="-17"/>
        </w:rPr>
        <w:t>，</w:t>
      </w:r>
      <w:r>
        <w:rPr/>
        <w:t>购买价款远低于行使选择权时该资产的公允价值</w:t>
      </w:r>
      <w:r>
        <w:rPr>
          <w:spacing w:val="-107"/>
        </w:rPr>
        <w:t>；</w:t>
      </w:r>
      <w:r>
        <w:rPr/>
        <w:t>（</w:t>
      </w:r>
      <w:r>
        <w:rPr>
          <w:rFonts w:ascii="Times New Roman" w:hAnsi="Times New Roman" w:cs="Times New Roman" w:eastAsia="Times New Roman" w:hint="default"/>
        </w:rPr>
        <w:t>3</w:t>
      </w:r>
      <w:r>
        <w:rPr>
          <w:spacing w:val="-17"/>
        </w:rPr>
        <w:t>）</w:t>
      </w:r>
      <w:r>
        <w:rPr/>
        <w:t>租赁</w:t>
      </w:r>
      <w:r>
        <w:rPr>
          <w:spacing w:val="1"/>
        </w:rPr>
        <w:t>期</w:t>
      </w:r>
      <w:r>
        <w:rPr/>
        <w:t>占所租赁</w:t>
      </w:r>
      <w:r>
        <w:rPr/>
        <w:t> 资产使用寿命的大部分</w:t>
      </w:r>
      <w:r>
        <w:rPr>
          <w:spacing w:val="-111"/>
        </w:rPr>
        <w:t>；</w:t>
      </w:r>
      <w:r>
        <w:rPr/>
        <w:t>（</w:t>
      </w:r>
      <w:r>
        <w:rPr>
          <w:rFonts w:ascii="Times New Roman" w:hAnsi="Times New Roman" w:cs="Times New Roman" w:eastAsia="Times New Roman" w:hint="default"/>
        </w:rPr>
        <w:t>4</w:t>
      </w:r>
      <w:r>
        <w:rPr>
          <w:spacing w:val="-21"/>
        </w:rPr>
        <w:t>）</w:t>
      </w:r>
      <w:r>
        <w:rPr/>
        <w:t>租赁开始日的最低租赁付款额现值</w:t>
      </w:r>
      <w:r>
        <w:rPr>
          <w:spacing w:val="-21"/>
        </w:rPr>
        <w:t>，</w:t>
      </w:r>
      <w:r>
        <w:rPr/>
        <w:t>与该资产的公允价值不存在较大的差异</w:t>
      </w:r>
      <w:r>
        <w:rPr>
          <w:spacing w:val="-21"/>
        </w:rPr>
        <w:t>。</w:t>
      </w:r>
      <w:r>
        <w:rPr/>
        <w:t>公司在承租开始</w:t>
      </w:r>
    </w:p>
    <w:p>
      <w:pPr>
        <w:spacing w:after="0" w:line="451"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0"/>
        <w:jc w:val="left"/>
      </w:pPr>
      <w:r>
        <w:rPr>
          <w:spacing w:val="-2"/>
        </w:rPr>
        <w:t>日，将租赁资产公允价值与最低租赁付款额现值两者中较低者作为租入资产的入账价值，将最低租赁付款额作为长期应付款</w:t>
      </w:r>
      <w:r>
        <w:rPr>
          <w:spacing w:val="-64"/>
        </w:rPr>
        <w:t> </w:t>
      </w:r>
      <w:r>
        <w:rPr>
          <w:spacing w:val="-64"/>
        </w:rPr>
      </w:r>
      <w:r>
        <w:rPr/>
        <w:t>的入账价值，其差额作为未确认的融资费。公司本报告期无融资租入固定资产。</w:t>
      </w:r>
    </w:p>
    <w:p>
      <w:pPr>
        <w:spacing w:line="240" w:lineRule="auto" w:before="4"/>
        <w:rPr>
          <w:rFonts w:ascii="宋体" w:hAnsi="宋体" w:cs="宋体" w:eastAsia="宋体" w:hint="default"/>
          <w:sz w:val="19"/>
          <w:szCs w:val="19"/>
        </w:rPr>
      </w:pPr>
    </w:p>
    <w:p>
      <w:pPr>
        <w:pStyle w:val="Heading3"/>
        <w:spacing w:line="240" w:lineRule="auto"/>
        <w:ind w:left="1133" w:right="0"/>
        <w:jc w:val="left"/>
        <w:rPr>
          <w:b w:val="0"/>
          <w:bCs w:val="0"/>
        </w:rPr>
      </w:pPr>
      <w:bookmarkStart w:name="17、在建工程" w:id="191"/>
      <w:bookmarkEnd w:id="191"/>
      <w:r>
        <w:rPr>
          <w:b w:val="0"/>
          <w:bCs w:val="0"/>
        </w:rPr>
      </w:r>
      <w:r>
        <w:rPr>
          <w:rFonts w:ascii="Times New Roman" w:hAnsi="Times New Roman" w:cs="Times New Roman" w:eastAsia="Times New Roman" w:hint="default"/>
        </w:rPr>
        <w:t>17</w:t>
      </w:r>
      <w:r>
        <w:rPr/>
        <w:t>、在建工程</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5" w:right="7333" w:hanging="2"/>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pStyle w:val="BodyText"/>
        <w:spacing w:line="477" w:lineRule="auto" w:before="54"/>
        <w:ind w:left="1494" w:right="1118" w:firstLine="1"/>
        <w:jc w:val="left"/>
      </w:pPr>
      <w:r>
        <w:rPr>
          <w:rFonts w:ascii="宋体" w:hAnsi="宋体" w:cs="宋体" w:eastAsia="宋体" w:hint="default"/>
          <w:b/>
          <w:bCs/>
        </w:rPr>
        <w:t>互联网游戏业</w:t>
      </w:r>
      <w:r>
        <w:rPr>
          <w:rFonts w:ascii="宋体" w:hAnsi="宋体" w:cs="宋体" w:eastAsia="宋体" w:hint="default"/>
          <w:b/>
          <w:bCs/>
          <w:w w:val="99"/>
        </w:rPr>
        <w:t> </w:t>
      </w:r>
      <w:r>
        <w:rPr>
          <w:spacing w:val="-2"/>
        </w:rPr>
        <w:t>在建工程项目按建造该项资产达到预定可使用状态前所发生的必要支出，作为固定资产的入账价值。所建造的固定资产</w:t>
      </w:r>
    </w:p>
    <w:p>
      <w:pPr>
        <w:pStyle w:val="BodyText"/>
        <w:spacing w:line="477" w:lineRule="auto" w:before="54"/>
        <w:ind w:left="1134" w:right="1131"/>
        <w:jc w:val="both"/>
      </w:pPr>
      <w:r>
        <w:rPr>
          <w:spacing w:val="-2"/>
        </w:rPr>
        <w:t>在工程已达到预定可使用状态，但尚未办理竣工决算的，自达到预定可使用状态之日起，根据工程预算、造价或者工程实际</w:t>
      </w:r>
      <w:r>
        <w:rPr>
          <w:spacing w:val="-66"/>
        </w:rPr>
        <w:t> </w:t>
      </w:r>
      <w:r>
        <w:rPr>
          <w:spacing w:val="-66"/>
        </w:rPr>
      </w:r>
      <w:r>
        <w:rPr>
          <w:spacing w:val="-2"/>
        </w:rPr>
        <w:t>成本等，按估计的价值转入固定资产，并按本公司固定资产折旧政策计提固定资产的折旧，待办理竣工决算后，再按实际成</w:t>
      </w:r>
      <w:r>
        <w:rPr>
          <w:spacing w:val="-66"/>
        </w:rPr>
        <w:t> </w:t>
      </w:r>
      <w:r>
        <w:rPr>
          <w:spacing w:val="-66"/>
        </w:rPr>
      </w:r>
      <w:r>
        <w:rPr/>
        <w:t>本调整原来的暂估价值，但不调整原已计提的折旧额。</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18、借款费用" w:id="192"/>
      <w:bookmarkEnd w:id="192"/>
      <w:r>
        <w:rPr>
          <w:b w:val="0"/>
          <w:bCs w:val="0"/>
        </w:rPr>
      </w:r>
      <w:r>
        <w:rPr>
          <w:rFonts w:ascii="Times New Roman" w:hAnsi="Times New Roman" w:cs="Times New Roman" w:eastAsia="Times New Roman" w:hint="default"/>
        </w:rPr>
        <w:t>18</w:t>
      </w:r>
      <w:r>
        <w:rPr/>
        <w:t>、借款费用</w:t>
      </w:r>
      <w:r>
        <w:rPr>
          <w:b w:val="0"/>
          <w:bCs w:val="0"/>
        </w:rPr>
      </w:r>
    </w:p>
    <w:p>
      <w:pPr>
        <w:spacing w:line="240" w:lineRule="auto" w:before="6"/>
        <w:rPr>
          <w:rFonts w:ascii="宋体" w:hAnsi="宋体" w:cs="宋体" w:eastAsia="宋体" w:hint="default"/>
          <w:b/>
          <w:bCs/>
          <w:sz w:val="32"/>
          <w:szCs w:val="32"/>
        </w:rPr>
      </w:pPr>
    </w:p>
    <w:p>
      <w:pPr>
        <w:pStyle w:val="BodyText"/>
        <w:spacing w:line="463" w:lineRule="auto"/>
        <w:ind w:left="1493" w:right="1118" w:firstLine="1"/>
        <w:jc w:val="left"/>
      </w:pPr>
      <w:r>
        <w:rPr>
          <w:rFonts w:ascii="Times New Roman" w:hAnsi="Times New Roman" w:cs="Times New Roman" w:eastAsia="Times New Roman" w:hint="default"/>
          <w:b/>
          <w:bCs/>
        </w:rPr>
        <w:t>1</w:t>
      </w:r>
      <w:r>
        <w:rPr>
          <w:rFonts w:ascii="宋体" w:hAnsi="宋体" w:cs="宋体" w:eastAsia="宋体" w:hint="default"/>
          <w:b/>
          <w:bCs/>
        </w:rPr>
        <w:t>、借款费用资本化的确认原则</w:t>
      </w:r>
      <w:r>
        <w:rPr>
          <w:rFonts w:ascii="宋体" w:hAnsi="宋体" w:cs="宋体" w:eastAsia="宋体" w:hint="default"/>
          <w:b/>
          <w:bCs/>
          <w:w w:val="99"/>
        </w:rPr>
        <w:t> </w:t>
      </w:r>
      <w:r>
        <w:rPr/>
        <w:t>借款费用，包括借款利息、折价或者溢价的摊销、辅助费用以及因外币借款而发生的汇兑差额等。 </w:t>
      </w:r>
      <w:r>
        <w:rPr>
          <w:spacing w:val="-2"/>
        </w:rPr>
        <w:t>公司发生的借款费用，可直接归属于符合资本化条件的资产的购建或者生产的，予以资本化，计入相关资产成本；其他</w:t>
      </w:r>
    </w:p>
    <w:p>
      <w:pPr>
        <w:pStyle w:val="BodyText"/>
        <w:spacing w:line="477" w:lineRule="auto" w:before="65"/>
        <w:ind w:left="1494" w:right="0" w:hanging="360"/>
        <w:jc w:val="left"/>
      </w:pPr>
      <w:r>
        <w:rPr/>
        <w:t>借款费用，在发生时根据其发生额确认为费用，计入当期损益。 </w:t>
      </w:r>
      <w:r>
        <w:rPr>
          <w:spacing w:val="-2"/>
        </w:rPr>
        <w:t>符合资本化条件的资产，是指需要经过相当长时间的购建或者生产活动才能达到预定可使用或者可销售状态的固定资产、</w:t>
      </w:r>
    </w:p>
    <w:p>
      <w:pPr>
        <w:pStyle w:val="BodyText"/>
        <w:spacing w:line="477" w:lineRule="auto" w:before="54"/>
        <w:ind w:left="1494" w:right="6972" w:hanging="360"/>
        <w:jc w:val="left"/>
      </w:pPr>
      <w:r>
        <w:rPr/>
        <w:t>投资性房地产和存货等资产。 借款费用同时满足下列条件时开始资本化：</w:t>
      </w:r>
    </w:p>
    <w:p>
      <w:pPr>
        <w:pStyle w:val="BodyText"/>
        <w:spacing w:line="451" w:lineRule="auto" w:before="54"/>
        <w:ind w:left="1134" w:right="1122" w:firstLine="360"/>
        <w:jc w:val="left"/>
      </w:pPr>
      <w:r>
        <w:rPr/>
        <w:t>（</w:t>
      </w:r>
      <w:r>
        <w:rPr>
          <w:rFonts w:ascii="Times New Roman" w:hAnsi="Times New Roman" w:cs="Times New Roman" w:eastAsia="Times New Roman" w:hint="default"/>
        </w:rPr>
        <w:t>1</w:t>
      </w:r>
      <w:r>
        <w:rPr/>
        <w:t>）资产支出已经发生，资产支出包括为购建或者生产符合资本化条件的资产而以支付现金、转移非现金资产或者承 担带息债务形式发生的支出；</w:t>
      </w:r>
    </w:p>
    <w:p>
      <w:pPr>
        <w:pStyle w:val="BodyText"/>
        <w:spacing w:line="240" w:lineRule="auto" w:before="74"/>
        <w:ind w:left="1494" w:right="0"/>
        <w:jc w:val="left"/>
      </w:pPr>
      <w:r>
        <w:rPr/>
        <w:t>（</w:t>
      </w:r>
      <w:r>
        <w:rPr>
          <w:rFonts w:ascii="Times New Roman" w:hAnsi="Times New Roman" w:cs="Times New Roman" w:eastAsia="Times New Roman" w:hint="default"/>
        </w:rPr>
        <w:t>2</w:t>
      </w:r>
      <w:r>
        <w:rPr/>
        <w:t>）借款费用已经发生；</w:t>
      </w:r>
    </w:p>
    <w:p>
      <w:pPr>
        <w:spacing w:line="240" w:lineRule="auto" w:before="9"/>
        <w:rPr>
          <w:rFonts w:ascii="宋体" w:hAnsi="宋体" w:cs="宋体" w:eastAsia="宋体" w:hint="default"/>
          <w:sz w:val="16"/>
          <w:szCs w:val="16"/>
        </w:rPr>
      </w:pPr>
    </w:p>
    <w:p>
      <w:pPr>
        <w:pStyle w:val="BodyText"/>
        <w:spacing w:line="240" w:lineRule="auto"/>
        <w:ind w:left="1494" w:right="0"/>
        <w:jc w:val="left"/>
      </w:pPr>
      <w:r>
        <w:rPr/>
        <w:t>（</w:t>
      </w:r>
      <w:r>
        <w:rPr>
          <w:rFonts w:ascii="Times New Roman" w:hAnsi="Times New Roman" w:cs="Times New Roman" w:eastAsia="Times New Roman" w:hint="default"/>
        </w:rPr>
        <w:t>3</w:t>
      </w:r>
      <w:r>
        <w:rPr/>
        <w:t>）为使资产达到预定可使用或者可销售状态所必要的购建或者生产活动已经开始。</w:t>
      </w:r>
    </w:p>
    <w:p>
      <w:pPr>
        <w:spacing w:line="240" w:lineRule="auto" w:before="9"/>
        <w:rPr>
          <w:rFonts w:ascii="宋体" w:hAnsi="宋体" w:cs="宋体" w:eastAsia="宋体" w:hint="default"/>
          <w:sz w:val="16"/>
          <w:szCs w:val="16"/>
        </w:rPr>
      </w:pPr>
    </w:p>
    <w:p>
      <w:pPr>
        <w:pStyle w:val="BodyText"/>
        <w:spacing w:line="470" w:lineRule="auto"/>
        <w:ind w:left="1493" w:right="0" w:firstLine="1"/>
        <w:jc w:val="left"/>
      </w:pPr>
      <w:r>
        <w:rPr>
          <w:rFonts w:ascii="Times New Roman" w:hAnsi="Times New Roman" w:cs="Times New Roman" w:eastAsia="Times New Roman" w:hint="default"/>
          <w:b/>
          <w:bCs/>
        </w:rPr>
        <w:t>2</w:t>
      </w:r>
      <w:r>
        <w:rPr>
          <w:rFonts w:ascii="宋体" w:hAnsi="宋体" w:cs="宋体" w:eastAsia="宋体" w:hint="default"/>
          <w:b/>
          <w:bCs/>
        </w:rPr>
        <w:t>、借款费用资本化期间</w:t>
      </w:r>
      <w:r>
        <w:rPr>
          <w:rFonts w:ascii="宋体" w:hAnsi="宋体" w:cs="宋体" w:eastAsia="宋体" w:hint="default"/>
          <w:b/>
          <w:bCs/>
          <w:w w:val="99"/>
        </w:rPr>
        <w:t> </w:t>
      </w:r>
      <w:r>
        <w:rPr/>
        <w:t>资本化期间，指从借款费用开始资本化时点到停止资本化时点的期间，借款费用暂停资本化的期间不包括在内。 当购建或者生产符合资本化条件的资产达到预定可使用或者可销售状态时，借款费用停止资本化。 当购建或者生产符合资本化条件的资产中部分项目分别完工且可单独使用时，该部分资产借款费用停止资本化。 </w:t>
      </w:r>
      <w:r>
        <w:rPr>
          <w:spacing w:val="-2"/>
        </w:rPr>
        <w:t>购建或者生产的资产的各部分分别完工，但必须等到整体完工后才可使用或可对外销售的，在该资产整体完工时停止借</w:t>
      </w:r>
    </w:p>
    <w:p>
      <w:pPr>
        <w:pStyle w:val="BodyText"/>
        <w:spacing w:line="240" w:lineRule="auto" w:before="59"/>
        <w:ind w:right="0"/>
        <w:jc w:val="left"/>
      </w:pPr>
      <w:r>
        <w:rPr/>
        <w:t>款费用资本化。</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left="1494" w:right="0" w:firstLine="1"/>
        <w:jc w:val="left"/>
      </w:pPr>
      <w:r>
        <w:rPr>
          <w:rFonts w:ascii="Times New Roman" w:hAnsi="Times New Roman" w:cs="Times New Roman" w:eastAsia="Times New Roman" w:hint="default"/>
          <w:b/>
          <w:bCs/>
        </w:rPr>
        <w:t>3</w:t>
      </w:r>
      <w:r>
        <w:rPr>
          <w:rFonts w:ascii="宋体" w:hAnsi="宋体" w:cs="宋体" w:eastAsia="宋体" w:hint="default"/>
          <w:b/>
          <w:bCs/>
        </w:rPr>
        <w:t>、暂停资本化期间</w:t>
      </w:r>
      <w:r>
        <w:rPr>
          <w:rFonts w:ascii="宋体" w:hAnsi="宋体" w:cs="宋体" w:eastAsia="宋体" w:hint="default"/>
          <w:b/>
          <w:bCs/>
          <w:w w:val="99"/>
        </w:rPr>
        <w:t> </w:t>
      </w:r>
      <w:r>
        <w:rPr>
          <w:spacing w:val="-4"/>
        </w:rPr>
        <w:t>符合资本化条件的资产在购建或生产过程中发生的非正常中断、且中断时间连续超过</w:t>
      </w:r>
      <w:r>
        <w:rPr>
          <w:rFonts w:ascii="Times New Roman" w:hAnsi="Times New Roman" w:cs="Times New Roman" w:eastAsia="Times New Roman" w:hint="default"/>
          <w:spacing w:val="-4"/>
        </w:rPr>
        <w:t>3</w:t>
      </w:r>
      <w:r>
        <w:rPr>
          <w:spacing w:val="-4"/>
        </w:rPr>
        <w:t>个月的，则借款费用暂停资本化；</w:t>
      </w:r>
    </w:p>
    <w:p>
      <w:pPr>
        <w:pStyle w:val="BodyText"/>
        <w:spacing w:line="477" w:lineRule="auto" w:before="43"/>
        <w:ind w:left="1134" w:right="0"/>
        <w:jc w:val="left"/>
      </w:pPr>
      <w:r>
        <w:rPr>
          <w:spacing w:val="-2"/>
        </w:rPr>
        <w:t>该项中断如是所购建或生产的符合资本化条件的资产达到预定可使用状态或者可销售状态必要的程序，则借款费用继续资本</w:t>
      </w:r>
      <w:r>
        <w:rPr>
          <w:spacing w:val="-64"/>
        </w:rPr>
        <w:t> </w:t>
      </w:r>
      <w:r>
        <w:rPr>
          <w:spacing w:val="-64"/>
        </w:rPr>
      </w:r>
      <w:r>
        <w:rPr/>
        <w:t>化。在中断期间发生的借款费用确认为当期损益，直至资产的购建或者生产活动重新开始后借款费用继续资本化。</w:t>
      </w:r>
    </w:p>
    <w:p>
      <w:pPr>
        <w:spacing w:line="451" w:lineRule="auto" w:before="54"/>
        <w:ind w:left="1493"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、借款费用资本化率、资本化金额的计算方法</w:t>
      </w:r>
      <w:r>
        <w:rPr>
          <w:rFonts w:ascii="宋体" w:hAnsi="宋体" w:cs="宋体" w:eastAsia="宋体" w:hint="default"/>
          <w:b/>
          <w:bCs/>
          <w:w w:val="99"/>
          <w:sz w:val="18"/>
          <w:szCs w:val="18"/>
        </w:rPr>
        <w:t> </w:t>
      </w:r>
      <w:r>
        <w:rPr>
          <w:rFonts w:ascii="宋体" w:hAnsi="宋体" w:cs="宋体" w:eastAsia="宋体" w:hint="default"/>
          <w:spacing w:val="-2"/>
          <w:sz w:val="18"/>
          <w:szCs w:val="18"/>
        </w:rPr>
        <w:t>对于为购建或者生产符合资本化条件的资产而借入的专门借款，以专门借款当期实际发生的借款费用，减去尚未动用的</w:t>
      </w:r>
    </w:p>
    <w:p>
      <w:pPr>
        <w:pStyle w:val="BodyText"/>
        <w:spacing w:line="477" w:lineRule="auto" w:before="74"/>
        <w:ind w:left="1493" w:right="0" w:hanging="360"/>
        <w:jc w:val="left"/>
      </w:pPr>
      <w:r>
        <w:rPr/>
        <w:t>借款资金存入银行取得的利息收入或进行暂时性投资取得的投资收益后的金额，来确定借款费用的资本化金额。 </w:t>
      </w:r>
      <w:r>
        <w:rPr>
          <w:spacing w:val="-2"/>
        </w:rPr>
        <w:t>对于为购建或者生产符合资本化条件的资产而占用的一般借款，根据累计资产支出超过专门借款部分的资产支出加权平</w:t>
      </w:r>
    </w:p>
    <w:p>
      <w:pPr>
        <w:pStyle w:val="BodyText"/>
        <w:spacing w:line="477" w:lineRule="auto" w:before="54"/>
        <w:ind w:right="1118"/>
        <w:jc w:val="left"/>
      </w:pPr>
      <w:r>
        <w:rPr>
          <w:spacing w:val="-2"/>
        </w:rPr>
        <w:t>均数乘以所占用一般借款的资本化率，计算确定一般借款应予资本化的借款费用金额。资本化率根据一般借款加权平均利率</w:t>
      </w:r>
      <w:r>
        <w:rPr>
          <w:spacing w:val="-64"/>
        </w:rPr>
        <w:t> </w:t>
      </w:r>
      <w:r>
        <w:rPr>
          <w:spacing w:val="-64"/>
        </w:rPr>
      </w:r>
      <w:r>
        <w:rPr/>
        <w:t>计算确定。</w:t>
      </w:r>
    </w:p>
    <w:p>
      <w:pPr>
        <w:spacing w:line="240" w:lineRule="auto" w:before="3"/>
        <w:rPr>
          <w:rFonts w:ascii="宋体" w:hAnsi="宋体" w:cs="宋体" w:eastAsia="宋体" w:hint="default"/>
          <w:sz w:val="19"/>
          <w:szCs w:val="19"/>
        </w:rPr>
      </w:pPr>
    </w:p>
    <w:p>
      <w:pPr>
        <w:pStyle w:val="Heading3"/>
        <w:spacing w:line="240" w:lineRule="auto"/>
        <w:ind w:left="1133" w:right="0"/>
        <w:jc w:val="left"/>
        <w:rPr>
          <w:b w:val="0"/>
          <w:bCs w:val="0"/>
        </w:rPr>
      </w:pPr>
      <w:bookmarkStart w:name="19、生物资产" w:id="193"/>
      <w:bookmarkEnd w:id="193"/>
      <w:r>
        <w:rPr>
          <w:b w:val="0"/>
          <w:bCs w:val="0"/>
        </w:rPr>
      </w:r>
      <w:r>
        <w:rPr>
          <w:rFonts w:ascii="Times New Roman" w:hAnsi="Times New Roman" w:cs="Times New Roman" w:eastAsia="Times New Roman" w:hint="default"/>
        </w:rPr>
        <w:t>19</w:t>
      </w:r>
      <w:r>
        <w:rPr/>
        <w:t>、生物资产</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20、油气资产" w:id="194"/>
      <w:bookmarkEnd w:id="194"/>
      <w:r>
        <w:rPr>
          <w:b w:val="0"/>
          <w:bCs w:val="0"/>
        </w:rPr>
      </w:r>
      <w:r>
        <w:rPr>
          <w:rFonts w:ascii="Times New Roman" w:hAnsi="Times New Roman" w:cs="Times New Roman" w:eastAsia="Times New Roman" w:hint="default"/>
        </w:rPr>
        <w:t>20</w:t>
      </w:r>
      <w:r>
        <w:rPr/>
        <w:t>、油气资产</w:t>
      </w:r>
      <w:r>
        <w:rPr>
          <w:b w:val="0"/>
          <w:bCs w:val="0"/>
        </w:rPr>
      </w:r>
    </w:p>
    <w:p>
      <w:pPr>
        <w:spacing w:line="240" w:lineRule="auto" w:before="9"/>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21、无形资产" w:id="195"/>
      <w:bookmarkEnd w:id="195"/>
      <w:r>
        <w:rPr>
          <w:b w:val="0"/>
          <w:bCs w:val="0"/>
        </w:rPr>
      </w:r>
      <w:r>
        <w:rPr>
          <w:rFonts w:ascii="Times New Roman" w:hAnsi="Times New Roman" w:cs="Times New Roman" w:eastAsia="Times New Roman" w:hint="default"/>
        </w:rPr>
        <w:t>21</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计价方法、使用寿命、减值测试" w:id="196"/>
      <w:bookmarkEnd w:id="196"/>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7"/>
        <w:rPr>
          <w:rFonts w:ascii="宋体" w:hAnsi="宋体" w:cs="宋体" w:eastAsia="宋体" w:hint="default"/>
          <w:b/>
          <w:bCs/>
          <w:sz w:val="32"/>
          <w:szCs w:val="32"/>
        </w:rPr>
      </w:pPr>
    </w:p>
    <w:p>
      <w:pPr>
        <w:pStyle w:val="BodyText"/>
        <w:spacing w:line="518" w:lineRule="auto"/>
        <w:ind w:left="1495" w:right="7333" w:hanging="2"/>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pStyle w:val="Heading4"/>
        <w:spacing w:line="240" w:lineRule="auto" w:before="63"/>
        <w:ind w:right="0"/>
        <w:jc w:val="left"/>
        <w:rPr>
          <w:b w:val="0"/>
          <w:bCs w:val="0"/>
        </w:rPr>
      </w:pPr>
      <w:r>
        <w:rPr/>
        <w:t>互联网游戏业</w:t>
      </w:r>
      <w:r>
        <w:rPr>
          <w:b w:val="0"/>
          <w:bCs w:val="0"/>
        </w:rPr>
      </w:r>
    </w:p>
    <w:p>
      <w:pPr>
        <w:spacing w:line="240" w:lineRule="auto" w:before="10"/>
        <w:rPr>
          <w:rFonts w:ascii="宋体" w:hAnsi="宋体" w:cs="宋体" w:eastAsia="宋体" w:hint="default"/>
          <w:b/>
          <w:bCs/>
          <w:sz w:val="20"/>
          <w:szCs w:val="20"/>
        </w:rPr>
      </w:pPr>
    </w:p>
    <w:p>
      <w:pPr>
        <w:pStyle w:val="Heading4"/>
        <w:spacing w:line="240" w:lineRule="auto"/>
        <w:ind w:right="0"/>
        <w:jc w:val="left"/>
        <w:rPr>
          <w:b w:val="0"/>
          <w:bCs w:val="0"/>
        </w:rPr>
      </w:pPr>
      <w:r>
        <w:rPr>
          <w:rFonts w:ascii="Times New Roman" w:hAnsi="Times New Roman" w:cs="Times New Roman" w:eastAsia="Times New Roman" w:hint="default"/>
        </w:rPr>
        <w:t>1</w:t>
      </w:r>
      <w:r>
        <w:rPr/>
        <w:t>、无形资产的计价方法</w:t>
      </w:r>
      <w:r>
        <w:rPr>
          <w:b w:val="0"/>
          <w:bCs w:val="0"/>
        </w:rPr>
      </w:r>
    </w:p>
    <w:p>
      <w:pPr>
        <w:spacing w:line="240" w:lineRule="auto" w:before="11"/>
        <w:rPr>
          <w:rFonts w:ascii="宋体" w:hAnsi="宋体" w:cs="宋体" w:eastAsia="宋体" w:hint="default"/>
          <w:b/>
          <w:bCs/>
          <w:sz w:val="19"/>
          <w:szCs w:val="19"/>
        </w:rPr>
      </w:pPr>
    </w:p>
    <w:p>
      <w:pPr>
        <w:pStyle w:val="BodyText"/>
        <w:spacing w:line="487" w:lineRule="auto"/>
        <w:ind w:left="1494" w:right="0"/>
        <w:jc w:val="left"/>
      </w:pPr>
      <w:r>
        <w:rPr/>
        <w:t>（</w:t>
      </w:r>
      <w:r>
        <w:rPr>
          <w:rFonts w:ascii="Times New Roman" w:hAnsi="Times New Roman" w:cs="Times New Roman" w:eastAsia="Times New Roman" w:hint="default"/>
        </w:rPr>
        <w:t>1</w:t>
      </w:r>
      <w:r>
        <w:rPr/>
        <w:t>）公司取得无形资产时按成本进行初始计量； </w:t>
      </w:r>
      <w:r>
        <w:rPr>
          <w:spacing w:val="-2"/>
        </w:rPr>
        <w:t>外购无形资产的成本，包括购买价款、相关税费以及直接归属于使该项资产达到预定用途所发生的其他支出。购买无形</w:t>
      </w:r>
    </w:p>
    <w:p>
      <w:pPr>
        <w:pStyle w:val="BodyText"/>
        <w:spacing w:line="516" w:lineRule="auto" w:before="48"/>
        <w:ind w:left="1493" w:right="0" w:hanging="360"/>
        <w:jc w:val="left"/>
      </w:pPr>
      <w:r>
        <w:rPr/>
        <w:t>资产的价款超过正常信用条件延期支付，实质上具有融资性质的，无形资产的成本以购买价款的现值为基础确定。 </w:t>
      </w:r>
      <w:r>
        <w:rPr>
          <w:spacing w:val="-2"/>
        </w:rPr>
        <w:t>债务重组取得债务人用以抵债的无形资产，以该无形资产的公允价值为基础确定其入账价值，并将重组债务的账面价值</w:t>
      </w:r>
    </w:p>
    <w:p>
      <w:pPr>
        <w:pStyle w:val="BodyText"/>
        <w:spacing w:line="516" w:lineRule="auto" w:before="26"/>
        <w:ind w:left="1494" w:right="0" w:hanging="360"/>
        <w:jc w:val="left"/>
      </w:pPr>
      <w:r>
        <w:rPr/>
        <w:t>与该用以抵债的无形资产公允价值之间的差额，计入当期损益。 </w:t>
      </w:r>
      <w:r>
        <w:rPr>
          <w:spacing w:val="-2"/>
        </w:rPr>
        <w:t>在非货币性资产交换具备商业实质且换入资产或换出资产的公允价值能够可靠计量的前提下，非货币性资产交换换入的</w:t>
      </w:r>
    </w:p>
    <w:p>
      <w:pPr>
        <w:spacing w:after="0" w:line="516"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0"/>
        <w:jc w:val="left"/>
      </w:pPr>
      <w:r>
        <w:rPr>
          <w:spacing w:val="-2"/>
        </w:rPr>
        <w:t>无形资产以换出资产的公允价值为基础确定其入账价值，除非有确凿证据表明换入资产的公允价值更加可靠；不满足上述前</w:t>
      </w:r>
      <w:r>
        <w:rPr>
          <w:spacing w:val="-64"/>
        </w:rPr>
        <w:t> </w:t>
      </w:r>
      <w:r>
        <w:rPr>
          <w:spacing w:val="-64"/>
        </w:rPr>
      </w:r>
      <w:r>
        <w:rPr/>
        <w:t>提的非货币性资产交换，以换出资产的账面价值和应支付的相关税费作为换入无形资产的成本，不确认损益。</w:t>
      </w:r>
    </w:p>
    <w:p>
      <w:pPr>
        <w:pStyle w:val="BodyText"/>
        <w:spacing w:line="489" w:lineRule="auto" w:before="94"/>
        <w:ind w:left="1493" w:right="7153"/>
        <w:jc w:val="left"/>
      </w:pPr>
      <w:r>
        <w:rPr/>
        <w:t>（</w:t>
      </w:r>
      <w:r>
        <w:rPr>
          <w:rFonts w:ascii="Times New Roman" w:hAnsi="Times New Roman" w:cs="Times New Roman" w:eastAsia="Times New Roman" w:hint="default"/>
        </w:rPr>
        <w:t>2</w:t>
      </w:r>
      <w:r>
        <w:rPr/>
        <w:t>）后续计量 在取得无形资产时分析判断其使用寿命。</w:t>
      </w:r>
    </w:p>
    <w:p>
      <w:pPr>
        <w:pStyle w:val="BodyText"/>
        <w:spacing w:line="477" w:lineRule="auto" w:before="83"/>
        <w:ind w:right="0" w:firstLine="360"/>
        <w:jc w:val="left"/>
      </w:pPr>
      <w:r>
        <w:rPr>
          <w:spacing w:val="-2"/>
        </w:rPr>
        <w:t>对于使用寿命有限的无形资产，在为企业带来经济利益的期限内按直线法摊销；无法预见无形资产为企业带来经济利益</w:t>
      </w:r>
      <w:r>
        <w:rPr/>
        <w:t> 期限的，视为使用寿命不确定的无形资产，不予摊销。</w:t>
      </w:r>
    </w:p>
    <w:p>
      <w:pPr>
        <w:pStyle w:val="Heading4"/>
        <w:spacing w:line="240" w:lineRule="auto" w:before="94"/>
        <w:ind w:right="0"/>
        <w:jc w:val="left"/>
        <w:rPr>
          <w:b w:val="0"/>
          <w:bCs w:val="0"/>
        </w:rPr>
      </w:pPr>
      <w:r>
        <w:rPr>
          <w:rFonts w:ascii="Times New Roman" w:hAnsi="Times New Roman" w:cs="Times New Roman" w:eastAsia="Times New Roman" w:hint="default"/>
        </w:rPr>
        <w:t>2</w:t>
      </w:r>
      <w:r>
        <w:rPr/>
        <w:t>、使用寿命有限的无形资产的使用寿命估计情况：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126" w:type="dxa"/>
        <w:tblLayout w:type="fixed"/>
        <w:tblCellMar>
          <w:top w:w="0" w:type="dxa"/>
          <w:left w:w="0" w:type="dxa"/>
          <w:bottom w:w="0" w:type="dxa"/>
          <w:right w:w="0" w:type="dxa"/>
        </w:tblCellMar>
        <w:tblLook w:val="01E0"/>
      </w:tblPr>
      <w:tblGrid>
        <w:gridCol w:w="5524"/>
        <w:gridCol w:w="4134"/>
      </w:tblGrid>
      <w:tr>
        <w:trPr>
          <w:trHeight w:val="393" w:hRule="exact"/>
        </w:trPr>
        <w:tc>
          <w:tcPr>
            <w:tcW w:w="552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3"/>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3"/>
              <w:ind w:left="1" w:right="0"/>
              <w:jc w:val="center"/>
              <w:rPr>
                <w:rFonts w:ascii="宋体" w:hAnsi="宋体" w:cs="宋体" w:eastAsia="宋体" w:hint="default"/>
                <w:sz w:val="18"/>
                <w:szCs w:val="18"/>
              </w:rPr>
            </w:pPr>
            <w:r>
              <w:rPr>
                <w:rFonts w:ascii="宋体" w:hAnsi="宋体" w:cs="宋体" w:eastAsia="宋体" w:hint="default"/>
                <w:sz w:val="18"/>
                <w:szCs w:val="18"/>
              </w:rPr>
              <w:t>预计使用寿命</w:t>
            </w:r>
          </w:p>
        </w:tc>
      </w:tr>
      <w:tr>
        <w:trPr>
          <w:trHeight w:val="394" w:hRule="exact"/>
        </w:trPr>
        <w:tc>
          <w:tcPr>
            <w:tcW w:w="5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外购软件及许可权</w:t>
            </w:r>
          </w:p>
        </w:tc>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left="1" w:right="0"/>
              <w:jc w:val="center"/>
              <w:rPr>
                <w:rFonts w:ascii="Times New Roman" w:hAnsi="Times New Roman" w:cs="Times New Roman" w:eastAsia="Times New Roman" w:hint="default"/>
                <w:sz w:val="18"/>
                <w:szCs w:val="18"/>
              </w:rPr>
            </w:pPr>
            <w:r>
              <w:rPr>
                <w:rFonts w:ascii="Times New Roman"/>
                <w:sz w:val="18"/>
              </w:rPr>
              <w:t>2-5</w:t>
            </w:r>
          </w:p>
        </w:tc>
      </w:tr>
      <w:tr>
        <w:trPr>
          <w:trHeight w:val="394" w:hRule="exact"/>
        </w:trPr>
        <w:tc>
          <w:tcPr>
            <w:tcW w:w="5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自主研发软件（不含移动端游戏自主研发软件）</w:t>
            </w:r>
          </w:p>
        </w:tc>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3-10</w:t>
            </w:r>
          </w:p>
        </w:tc>
      </w:tr>
      <w:tr>
        <w:trPr>
          <w:trHeight w:val="394" w:hRule="exact"/>
        </w:trPr>
        <w:tc>
          <w:tcPr>
            <w:tcW w:w="5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自主研发软件（移动端游戏自主研发软件）</w:t>
            </w:r>
          </w:p>
        </w:tc>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0"/>
              <w:jc w:val="center"/>
              <w:rPr>
                <w:rFonts w:ascii="Times New Roman" w:hAnsi="Times New Roman" w:cs="Times New Roman" w:eastAsia="Times New Roman" w:hint="default"/>
                <w:sz w:val="18"/>
                <w:szCs w:val="18"/>
              </w:rPr>
            </w:pPr>
            <w:r>
              <w:rPr>
                <w:rFonts w:ascii="Times New Roman"/>
                <w:sz w:val="18"/>
              </w:rPr>
              <w:t>5</w:t>
            </w:r>
          </w:p>
        </w:tc>
      </w:tr>
      <w:tr>
        <w:trPr>
          <w:trHeight w:val="395" w:hRule="exact"/>
        </w:trPr>
        <w:tc>
          <w:tcPr>
            <w:tcW w:w="55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4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left="1" w:right="0"/>
              <w:jc w:val="center"/>
              <w:rPr>
                <w:rFonts w:ascii="Times New Roman" w:hAnsi="Times New Roman" w:cs="Times New Roman" w:eastAsia="Times New Roman" w:hint="default"/>
                <w:sz w:val="18"/>
                <w:szCs w:val="18"/>
              </w:rPr>
            </w:pPr>
            <w:r>
              <w:rPr>
                <w:rFonts w:ascii="Times New Roman"/>
                <w:sz w:val="18"/>
              </w:rPr>
              <w:t>20-50</w:t>
            </w:r>
          </w:p>
        </w:tc>
      </w:tr>
    </w:tbl>
    <w:p>
      <w:pPr>
        <w:spacing w:line="240" w:lineRule="auto" w:before="6"/>
        <w:rPr>
          <w:rFonts w:ascii="宋体" w:hAnsi="宋体" w:cs="宋体" w:eastAsia="宋体" w:hint="default"/>
          <w:b/>
          <w:bCs/>
          <w:sz w:val="6"/>
          <w:szCs w:val="6"/>
        </w:rPr>
      </w:pPr>
    </w:p>
    <w:p>
      <w:pPr>
        <w:spacing w:line="508" w:lineRule="auto" w:before="44"/>
        <w:ind w:left="1493" w:right="4340" w:firstLine="0"/>
        <w:jc w:val="left"/>
        <w:rPr>
          <w:rFonts w:ascii="宋体" w:hAnsi="宋体" w:cs="宋体" w:eastAsia="宋体" w:hint="default"/>
          <w:sz w:val="18"/>
          <w:szCs w:val="18"/>
        </w:rPr>
      </w:pPr>
      <w:r>
        <w:rPr>
          <w:rFonts w:ascii="宋体" w:hAnsi="宋体" w:cs="宋体" w:eastAsia="宋体" w:hint="default"/>
          <w:sz w:val="18"/>
          <w:szCs w:val="18"/>
        </w:rPr>
        <w:t>每年度终了，对使用寿命有限的无形资产的使用寿命及摊销方法进行复核。 经复核，本年期末无形资产的使用寿命及摊销方法与以前估计未有不同。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、使用寿命不确定的无形资产的判断依据以及对其使用寿命进行复核的程序</w:t>
      </w:r>
      <w:r>
        <w:rPr>
          <w:rFonts w:ascii="宋体" w:hAnsi="宋体" w:cs="宋体" w:eastAsia="宋体" w:hint="default"/>
          <w:b/>
          <w:bCs/>
          <w:w w:val="99"/>
          <w:sz w:val="18"/>
          <w:szCs w:val="18"/>
        </w:rPr>
        <w:t> </w:t>
      </w:r>
      <w:r>
        <w:rPr>
          <w:rFonts w:ascii="宋体" w:hAnsi="宋体" w:cs="宋体" w:eastAsia="宋体" w:hint="default"/>
          <w:sz w:val="18"/>
          <w:szCs w:val="18"/>
        </w:rPr>
        <w:t>每期末，对使用寿命不确定的无形资产的使用寿命进行复核。 经复核，报告期公司无使用寿命不确定的无形资产。 </w: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、划分研究阶段和开发阶段的具体标准</w:t>
      </w:r>
      <w:r>
        <w:rPr>
          <w:rFonts w:ascii="宋体" w:hAnsi="宋体" w:cs="宋体" w:eastAsia="宋体" w:hint="default"/>
          <w:b/>
          <w:bCs/>
          <w:w w:val="99"/>
          <w:sz w:val="18"/>
          <w:szCs w:val="18"/>
        </w:rPr>
        <w:t> </w:t>
      </w:r>
      <w:r>
        <w:rPr>
          <w:rFonts w:ascii="宋体" w:hAnsi="宋体" w:cs="宋体" w:eastAsia="宋体" w:hint="default"/>
          <w:sz w:val="18"/>
          <w:szCs w:val="18"/>
        </w:rPr>
        <w:t>公司内部研究开发项目的支出分为研究阶段支出和开发阶段支出。</w:t>
      </w:r>
    </w:p>
    <w:p>
      <w:pPr>
        <w:pStyle w:val="BodyText"/>
        <w:spacing w:line="516" w:lineRule="auto" w:before="71"/>
        <w:ind w:left="1493" w:right="0"/>
        <w:jc w:val="left"/>
      </w:pPr>
      <w:r>
        <w:rPr/>
        <w:t>研究阶段：为获取并理解新的科学或技术知识等而进行的独创性的有计划调查、研究活动的阶段。 </w:t>
      </w:r>
      <w:r>
        <w:rPr>
          <w:spacing w:val="-2"/>
        </w:rPr>
        <w:t>开发阶段：在进行商业性生产或使用前，将研究成果或其他知识应用于某项计划或设计，以生产出新的或具有实质性改</w:t>
      </w:r>
    </w:p>
    <w:p>
      <w:pPr>
        <w:pStyle w:val="BodyText"/>
        <w:spacing w:line="240" w:lineRule="auto" w:before="26"/>
        <w:ind w:right="0"/>
        <w:jc w:val="left"/>
      </w:pPr>
      <w:r>
        <w:rPr/>
        <w:t>进的材料、装置、产品等活动的阶段。</w:t>
      </w:r>
    </w:p>
    <w:p>
      <w:pPr>
        <w:spacing w:line="240" w:lineRule="auto" w:before="10"/>
        <w:rPr>
          <w:rFonts w:ascii="宋体" w:hAnsi="宋体" w:cs="宋体" w:eastAsia="宋体" w:hint="default"/>
          <w:sz w:val="20"/>
          <w:szCs w:val="20"/>
        </w:rPr>
      </w:pPr>
    </w:p>
    <w:p>
      <w:pPr>
        <w:spacing w:line="489" w:lineRule="auto" w:before="0"/>
        <w:ind w:left="1493" w:right="4453"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、开发阶段支出资本化的具体条件</w:t>
      </w:r>
      <w:r>
        <w:rPr>
          <w:rFonts w:ascii="宋体" w:hAnsi="宋体" w:cs="宋体" w:eastAsia="宋体" w:hint="default"/>
          <w:b/>
          <w:bCs/>
          <w:w w:val="99"/>
          <w:sz w:val="18"/>
          <w:szCs w:val="18"/>
        </w:rPr>
        <w:t> </w:t>
      </w:r>
      <w:r>
        <w:rPr>
          <w:rFonts w:ascii="宋体" w:hAnsi="宋体" w:cs="宋体" w:eastAsia="宋体" w:hint="default"/>
          <w:sz w:val="18"/>
          <w:szCs w:val="18"/>
        </w:rPr>
        <w:t>内部研究开发项目开发阶段的支出，同时满足下列条件时确认为无形资产：</w:t>
      </w:r>
    </w:p>
    <w:p>
      <w:pPr>
        <w:pStyle w:val="BodyText"/>
        <w:spacing w:line="240" w:lineRule="auto" w:before="85"/>
        <w:ind w:left="1493" w:right="0"/>
        <w:jc w:val="left"/>
      </w:pPr>
      <w:r>
        <w:rPr/>
        <w:t>（</w:t>
      </w:r>
      <w:r>
        <w:rPr>
          <w:rFonts w:ascii="Times New Roman" w:hAnsi="Times New Roman" w:cs="Times New Roman" w:eastAsia="Times New Roman" w:hint="default"/>
        </w:rPr>
        <w:t>1</w:t>
      </w:r>
      <w:r>
        <w:rPr/>
        <w:t>）完成该无形资产以使其能够使用或出售在技术上具有可行性；</w:t>
      </w:r>
    </w:p>
    <w:p>
      <w:pPr>
        <w:spacing w:line="240" w:lineRule="auto" w:before="10"/>
        <w:rPr>
          <w:rFonts w:ascii="宋体" w:hAnsi="宋体" w:cs="宋体" w:eastAsia="宋体" w:hint="default"/>
          <w:sz w:val="19"/>
          <w:szCs w:val="19"/>
        </w:rPr>
      </w:pPr>
    </w:p>
    <w:p>
      <w:pPr>
        <w:pStyle w:val="BodyText"/>
        <w:spacing w:line="240" w:lineRule="auto"/>
        <w:ind w:left="1493" w:right="0"/>
        <w:jc w:val="left"/>
      </w:pPr>
      <w:r>
        <w:rPr/>
        <w:t>（</w:t>
      </w:r>
      <w:r>
        <w:rPr>
          <w:rFonts w:ascii="Times New Roman" w:hAnsi="Times New Roman" w:cs="Times New Roman" w:eastAsia="Times New Roman" w:hint="default"/>
        </w:rPr>
        <w:t>2</w:t>
      </w:r>
      <w:r>
        <w:rPr/>
        <w:t>）具有完成该无形资产并使用或出售的意图；</w:t>
      </w:r>
    </w:p>
    <w:p>
      <w:pPr>
        <w:spacing w:line="240" w:lineRule="auto" w:before="10"/>
        <w:rPr>
          <w:rFonts w:ascii="宋体" w:hAnsi="宋体" w:cs="宋体" w:eastAsia="宋体" w:hint="default"/>
          <w:sz w:val="19"/>
          <w:szCs w:val="19"/>
        </w:rPr>
      </w:pPr>
    </w:p>
    <w:p>
      <w:pPr>
        <w:pStyle w:val="BodyText"/>
        <w:spacing w:line="451" w:lineRule="auto"/>
        <w:ind w:left="1134" w:right="1122" w:firstLine="360"/>
        <w:jc w:val="left"/>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）无形资产产生经济利益的方式，包括能够证明运用该无形资产生产的产品存在市场或无形资产自身存在市场，无 形资产将在内部使用的，能够证明其有用性；</w:t>
      </w:r>
    </w:p>
    <w:p>
      <w:pPr>
        <w:pStyle w:val="BodyText"/>
        <w:spacing w:line="240" w:lineRule="auto" w:before="113"/>
        <w:ind w:left="1494" w:right="0"/>
        <w:jc w:val="left"/>
      </w:pPr>
      <w:r>
        <w:rPr/>
        <w:t>（</w:t>
      </w:r>
      <w:r>
        <w:rPr>
          <w:rFonts w:ascii="Times New Roman" w:hAnsi="Times New Roman" w:cs="Times New Roman" w:eastAsia="Times New Roman" w:hint="default"/>
        </w:rPr>
        <w:t>4</w:t>
      </w:r>
      <w:r>
        <w:rPr/>
        <w:t>）有足够的技术、财务资源和其他资源支持，以完成该无形资产的开发，并有能力使用或出售该无形资产；</w:t>
      </w:r>
    </w:p>
    <w:p>
      <w:pPr>
        <w:spacing w:after="0" w:line="240" w:lineRule="auto"/>
        <w:jc w:val="left"/>
        <w:sectPr>
          <w:pgSz w:w="11910" w:h="16840"/>
          <w:pgMar w:header="851" w:footer="979" w:top="1320" w:bottom="1160" w:left="0" w:right="0"/>
        </w:sectPr>
      </w:pPr>
    </w:p>
    <w:p>
      <w:pPr>
        <w:spacing w:line="240" w:lineRule="auto" w:before="5"/>
        <w:rPr>
          <w:rFonts w:ascii="宋体" w:hAnsi="宋体" w:cs="宋体" w:eastAsia="宋体" w:hint="default"/>
          <w:sz w:val="11"/>
          <w:szCs w:val="11"/>
        </w:rPr>
      </w:pPr>
    </w:p>
    <w:p>
      <w:pPr>
        <w:pStyle w:val="BodyText"/>
        <w:spacing w:line="489" w:lineRule="auto" w:before="44"/>
        <w:ind w:left="1494" w:right="1752"/>
        <w:jc w:val="left"/>
      </w:pPr>
      <w:r>
        <w:rPr/>
        <w:t>（</w:t>
      </w:r>
      <w:r>
        <w:rPr>
          <w:rFonts w:ascii="Times New Roman" w:hAnsi="Times New Roman" w:cs="Times New Roman" w:eastAsia="Times New Roman" w:hint="default"/>
        </w:rPr>
        <w:t>5</w:t>
      </w:r>
      <w:r>
        <w:rPr/>
        <w:t>）归属于该无形资产开发阶段的支出能够可靠地计量。 开发阶段的支出，若不满足上列条件的，于发生时计入当期损益。研究阶段的支出，在发生时计入当期损益。</w:t>
      </w:r>
    </w:p>
    <w:p>
      <w:pPr>
        <w:spacing w:line="240" w:lineRule="auto" w:before="7"/>
        <w:rPr>
          <w:rFonts w:ascii="宋体" w:hAnsi="宋体" w:cs="宋体" w:eastAsia="宋体" w:hint="default"/>
          <w:sz w:val="18"/>
          <w:szCs w:val="18"/>
        </w:rPr>
      </w:pPr>
    </w:p>
    <w:p>
      <w:pPr>
        <w:pStyle w:val="Heading3"/>
        <w:spacing w:line="240" w:lineRule="auto"/>
        <w:ind w:left="1133" w:right="0"/>
        <w:jc w:val="left"/>
        <w:rPr>
          <w:b w:val="0"/>
          <w:bCs w:val="0"/>
        </w:rPr>
      </w:pPr>
      <w:bookmarkStart w:name="（2）内部研究开发支出会计政策" w:id="197"/>
      <w:bookmarkEnd w:id="197"/>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left="1133" w:right="0"/>
        <w:jc w:val="left"/>
        <w:rPr>
          <w:b w:val="0"/>
          <w:bCs w:val="0"/>
        </w:rPr>
      </w:pPr>
      <w:bookmarkStart w:name="22、长期资产减值" w:id="198"/>
      <w:bookmarkEnd w:id="198"/>
      <w:r>
        <w:rPr>
          <w:b w:val="0"/>
          <w:bCs w:val="0"/>
        </w:rPr>
      </w:r>
      <w:r>
        <w:rPr>
          <w:rFonts w:ascii="Times New Roman" w:hAnsi="Times New Roman" w:cs="Times New Roman" w:eastAsia="Times New Roman" w:hint="default"/>
        </w:rPr>
        <w:t>22</w:t>
      </w:r>
      <w:r>
        <w:rPr/>
        <w:t>、长期资产减值</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134" w:right="0" w:firstLine="360"/>
        <w:jc w:val="left"/>
      </w:pPr>
      <w:r>
        <w:rPr/>
        <w:t>长期股权投资、采用成本模式计量的投资性房地产、固定资产、在建工程、使用寿命有限的无形资产等长期资产，于资 产负债表日存在减值迹象的，进行减值测试。减值测试结果表明资产的可收回金额低于其账面价值的，按其差额计提减值准 </w:t>
      </w:r>
      <w:r>
        <w:rPr>
          <w:spacing w:val="-2"/>
        </w:rPr>
        <w:t>备并计入减值损失。可收回金额为资产的公允价值减去处置费用后的净额与资产预计未来现金流量的现值两者之间的较高者。</w:t>
      </w:r>
      <w:r>
        <w:rPr>
          <w:spacing w:val="-62"/>
        </w:rPr>
        <w:t> </w:t>
      </w:r>
      <w:r>
        <w:rPr>
          <w:spacing w:val="-62"/>
        </w:rPr>
      </w:r>
      <w:r>
        <w:rPr/>
        <w:t>资产减值准备按单项资产为基础计算并确认，如果难以对单项资产的可收回金额进行估计的，以该资产所属的资产组确定资</w:t>
      </w:r>
      <w:r>
        <w:rPr/>
        <w:t> 产组的可收回金额。资产组是能够独立产生现金流入的最小资产组合。</w:t>
      </w:r>
    </w:p>
    <w:p>
      <w:pPr>
        <w:pStyle w:val="BodyText"/>
        <w:spacing w:line="516" w:lineRule="auto" w:before="95"/>
        <w:ind w:left="1493" w:right="1033"/>
        <w:jc w:val="left"/>
      </w:pPr>
      <w:r>
        <w:rPr/>
        <w:t>商誉至少在每年年度终了进行减值测试。 本公司进行商誉减值测试，对于因企业合并形成的商誉的账面价值，自购买日起按照合理的方法分摊至相关的资产组；</w:t>
      </w:r>
    </w:p>
    <w:p>
      <w:pPr>
        <w:pStyle w:val="BodyText"/>
        <w:spacing w:line="477" w:lineRule="auto" w:before="25"/>
        <w:ind w:right="1033"/>
        <w:jc w:val="left"/>
      </w:pPr>
      <w:r>
        <w:rPr/>
        <w:t>难以分摊至相关的资产组的，将其分摊至相关的资产组组合。在将商誉的账面价值分摊至相关的资产组或者资产组组合时，</w:t>
      </w:r>
      <w:r>
        <w:rPr>
          <w:spacing w:val="-85"/>
        </w:rPr>
        <w:t> </w:t>
      </w:r>
      <w:r>
        <w:rPr>
          <w:spacing w:val="-85"/>
        </w:rPr>
      </w:r>
      <w:r>
        <w:rPr>
          <w:spacing w:val="-2"/>
        </w:rPr>
        <w:t>按照各资产组或者资产组组合的公允价值占相关资产组或者资产组组合公允价值总额的比例进行分摊。公允价值难以可靠计</w:t>
      </w:r>
      <w:r>
        <w:rPr>
          <w:spacing w:val="-64"/>
        </w:rPr>
        <w:t> </w:t>
      </w:r>
      <w:r>
        <w:rPr>
          <w:spacing w:val="-64"/>
        </w:rPr>
      </w:r>
      <w:r>
        <w:rPr/>
        <w:t>量的，按照各资产组或者资产组组合的账面价值占相关资产组或者资产组组合账面价值总额的比例进行分摊。</w:t>
      </w:r>
    </w:p>
    <w:p>
      <w:pPr>
        <w:pStyle w:val="BodyText"/>
        <w:spacing w:line="477" w:lineRule="auto" w:before="92"/>
        <w:ind w:right="1033" w:firstLine="360"/>
        <w:jc w:val="left"/>
      </w:pPr>
      <w:r>
        <w:rPr/>
        <w:t>在对包含商誉的相关资产组或者资产组组合进行减值测试时，如与商誉相关的资产组或者资产组组合存在减值迹象的， </w:t>
      </w:r>
      <w:r>
        <w:rPr>
          <w:spacing w:val="-5"/>
        </w:rPr>
        <w:t>先对不包含商誉的资产组或者资产组组合进行减值测试，计算可收回金额，并与相关账面价值相比较，确认相应的减值损失。</w:t>
      </w:r>
      <w:r>
        <w:rPr>
          <w:spacing w:val="-79"/>
        </w:rPr>
        <w:t> </w:t>
      </w:r>
      <w:r>
        <w:rPr>
          <w:spacing w:val="-79"/>
        </w:rPr>
      </w:r>
      <w:r>
        <w:rPr>
          <w:spacing w:val="-2"/>
        </w:rPr>
        <w:t>再对包含商誉的资产组或者资产组组合进行减值测试，比较这些相关资产组或者资产组组合的账面价值（包括所分摊的商誉</w:t>
      </w:r>
      <w:r>
        <w:rPr>
          <w:spacing w:val="-64"/>
        </w:rPr>
        <w:t> </w:t>
      </w:r>
      <w:r>
        <w:rPr>
          <w:spacing w:val="-64"/>
        </w:rPr>
      </w:r>
      <w:r>
        <w:rPr/>
        <w:t>的账面价值部分）与其可收回金额，如相关资产组或者资产组组合的可收回金额低于其账面价值的，确认商誉的减值损失。</w:t>
      </w:r>
      <w:r>
        <w:rPr>
          <w:spacing w:val="-83"/>
        </w:rPr>
        <w:t> </w:t>
      </w:r>
      <w:r>
        <w:rPr>
          <w:spacing w:val="-83"/>
        </w:rPr>
      </w:r>
      <w:r>
        <w:rPr/>
        <w:t>上述资产减值损失一经确认，在以后会计期间不予转回。</w:t>
      </w:r>
    </w:p>
    <w:p>
      <w:pPr>
        <w:spacing w:line="240" w:lineRule="auto" w:before="2"/>
        <w:rPr>
          <w:rFonts w:ascii="宋体" w:hAnsi="宋体" w:cs="宋体" w:eastAsia="宋体" w:hint="default"/>
          <w:sz w:val="19"/>
          <w:szCs w:val="19"/>
        </w:rPr>
      </w:pPr>
    </w:p>
    <w:p>
      <w:pPr>
        <w:pStyle w:val="Heading3"/>
        <w:spacing w:line="240" w:lineRule="auto"/>
        <w:ind w:right="0"/>
        <w:jc w:val="left"/>
        <w:rPr>
          <w:b w:val="0"/>
          <w:bCs w:val="0"/>
        </w:rPr>
      </w:pPr>
      <w:bookmarkStart w:name="23、长期待摊费用" w:id="199"/>
      <w:bookmarkEnd w:id="199"/>
      <w:r>
        <w:rPr>
          <w:b w:val="0"/>
          <w:bCs w:val="0"/>
        </w:rPr>
      </w:r>
      <w:r>
        <w:rPr>
          <w:rFonts w:ascii="Times New Roman" w:hAnsi="Times New Roman" w:cs="Times New Roman" w:eastAsia="Times New Roman" w:hint="default"/>
        </w:rPr>
        <w:t>23</w:t>
      </w:r>
      <w:r>
        <w:rPr/>
        <w:t>、长期待摊费用</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134" w:right="0" w:firstLine="360"/>
        <w:jc w:val="left"/>
      </w:pPr>
      <w:r>
        <w:rPr>
          <w:spacing w:val="-2"/>
        </w:rPr>
        <w:t>长期待摊费用为已经发生但应由本期和以后各期负担的分摊期限在一年以上的各项费用。本公司长期待摊费用包括租入</w:t>
      </w:r>
      <w:r>
        <w:rPr/>
        <w:t> 固定资产装修和游戏版权金。</w:t>
      </w:r>
    </w:p>
    <w:p>
      <w:pPr>
        <w:spacing w:line="504" w:lineRule="auto" w:before="95"/>
        <w:ind w:left="1494" w:right="751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、摊销方法</w:t>
      </w:r>
      <w:r>
        <w:rPr>
          <w:rFonts w:ascii="宋体" w:hAnsi="宋体" w:cs="宋体" w:eastAsia="宋体" w:hint="default"/>
          <w:b/>
          <w:bCs/>
          <w:w w:val="99"/>
          <w:sz w:val="18"/>
          <w:szCs w:val="18"/>
        </w:rPr>
        <w:t> </w:t>
      </w:r>
      <w:r>
        <w:rPr>
          <w:rFonts w:ascii="宋体" w:hAnsi="宋体" w:cs="宋体" w:eastAsia="宋体" w:hint="default"/>
          <w:sz w:val="18"/>
          <w:szCs w:val="18"/>
        </w:rPr>
        <w:t>长期待摊费用在受益期内平均摊销。 </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、摊销年限</w:t>
      </w:r>
      <w:r>
        <w:rPr>
          <w:rFonts w:ascii="宋体" w:hAnsi="宋体" w:cs="宋体" w:eastAsia="宋体" w:hint="default"/>
          <w:sz w:val="18"/>
          <w:szCs w:val="18"/>
        </w:rPr>
      </w:r>
    </w:p>
    <w:p>
      <w:pPr>
        <w:spacing w:after="0" w:line="504"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5"/>
        <w:rPr>
          <w:rFonts w:ascii="宋体" w:hAnsi="宋体" w:cs="宋体" w:eastAsia="宋体" w:hint="default"/>
          <w:b/>
          <w:bCs/>
          <w:sz w:val="11"/>
          <w:szCs w:val="11"/>
        </w:rPr>
      </w:pPr>
    </w:p>
    <w:p>
      <w:pPr>
        <w:pStyle w:val="BodyText"/>
        <w:spacing w:line="516" w:lineRule="auto" w:before="44"/>
        <w:ind w:left="1493" w:right="3913"/>
        <w:jc w:val="left"/>
      </w:pPr>
      <w:r>
        <w:rPr/>
        <w:t>经营租赁方式租入的固定资产改良支出，按最佳预期经济利益实现方式合理摊销。 购入游戏版权金，在授权期内合理摊销。</w:t>
      </w:r>
    </w:p>
    <w:p>
      <w:pPr>
        <w:spacing w:line="240" w:lineRule="auto" w:before="13"/>
        <w:rPr>
          <w:rFonts w:ascii="宋体" w:hAnsi="宋体" w:cs="宋体" w:eastAsia="宋体" w:hint="default"/>
          <w:sz w:val="16"/>
          <w:szCs w:val="16"/>
        </w:rPr>
      </w:pPr>
    </w:p>
    <w:p>
      <w:pPr>
        <w:pStyle w:val="Heading3"/>
        <w:spacing w:line="240" w:lineRule="auto"/>
        <w:ind w:left="1133" w:right="0"/>
        <w:jc w:val="left"/>
        <w:rPr>
          <w:b w:val="0"/>
          <w:bCs w:val="0"/>
        </w:rPr>
      </w:pPr>
      <w:bookmarkStart w:name="24、职工薪酬" w:id="200"/>
      <w:bookmarkEnd w:id="200"/>
      <w:r>
        <w:rPr>
          <w:b w:val="0"/>
          <w:bCs w:val="0"/>
        </w:rPr>
      </w:r>
      <w:r>
        <w:rPr>
          <w:rFonts w:ascii="Times New Roman" w:hAnsi="Times New Roman" w:cs="Times New Roman" w:eastAsia="Times New Roman" w:hint="default"/>
        </w:rPr>
        <w:t>24</w:t>
      </w:r>
      <w:r>
        <w:rPr/>
        <w:t>、职工薪酬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短期薪酬的会计处理方法" w:id="201"/>
      <w:bookmarkEnd w:id="201"/>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7"/>
        <w:rPr>
          <w:rFonts w:ascii="宋体" w:hAnsi="宋体" w:cs="宋体" w:eastAsia="宋体" w:hint="default"/>
          <w:b/>
          <w:bCs/>
          <w:sz w:val="32"/>
          <w:szCs w:val="32"/>
        </w:rPr>
      </w:pPr>
    </w:p>
    <w:p>
      <w:pPr>
        <w:pStyle w:val="BodyText"/>
        <w:spacing w:line="516" w:lineRule="auto"/>
        <w:ind w:left="1493" w:right="0"/>
        <w:jc w:val="left"/>
      </w:pPr>
      <w:r>
        <w:rPr/>
        <w:t>本公司在职工为本公司提供服务的会计期间，将实际发生的短期薪酬确认为负债，并计入当期损益或相关资产成本。 </w:t>
      </w:r>
      <w:r>
        <w:rPr>
          <w:spacing w:val="-2"/>
        </w:rPr>
        <w:t>本公司为职工缴纳的社会保险费和住房公积金，以及按规定提取的工会经费和职工教育经费，在职工为本公司提供服务</w:t>
      </w:r>
    </w:p>
    <w:p>
      <w:pPr>
        <w:pStyle w:val="BodyText"/>
        <w:spacing w:line="516" w:lineRule="auto" w:before="26"/>
        <w:ind w:left="1493" w:right="4633" w:hanging="360"/>
        <w:jc w:val="left"/>
      </w:pPr>
      <w:r>
        <w:rPr/>
        <w:t>的会计期间，根据规定的计提基础和计提比例计算确定相应的职工薪酬金额。 职工福利费为非货币性福利的，如能够可靠计量的，按照公允价值计量。</w:t>
      </w:r>
    </w:p>
    <w:p>
      <w:pPr>
        <w:spacing w:line="240" w:lineRule="auto" w:before="11"/>
        <w:rPr>
          <w:rFonts w:ascii="宋体" w:hAnsi="宋体" w:cs="宋体" w:eastAsia="宋体" w:hint="default"/>
          <w:sz w:val="16"/>
          <w:szCs w:val="16"/>
        </w:rPr>
      </w:pPr>
    </w:p>
    <w:p>
      <w:pPr>
        <w:pStyle w:val="Heading3"/>
        <w:spacing w:line="240" w:lineRule="auto"/>
        <w:ind w:left="1133" w:right="0"/>
        <w:jc w:val="left"/>
        <w:rPr>
          <w:b w:val="0"/>
          <w:bCs w:val="0"/>
        </w:rPr>
      </w:pPr>
      <w:bookmarkStart w:name="（2）离职后福利的会计处理方法" w:id="202"/>
      <w:bookmarkEnd w:id="202"/>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8"/>
        <w:rPr>
          <w:rFonts w:ascii="宋体" w:hAnsi="宋体" w:cs="宋体" w:eastAsia="宋体" w:hint="default"/>
          <w:b/>
          <w:bCs/>
          <w:sz w:val="32"/>
          <w:szCs w:val="32"/>
        </w:rPr>
      </w:pPr>
    </w:p>
    <w:p>
      <w:pPr>
        <w:pStyle w:val="BodyText"/>
        <w:spacing w:line="489" w:lineRule="auto"/>
        <w:ind w:left="1494" w:right="0"/>
        <w:jc w:val="left"/>
      </w:pPr>
      <w:r>
        <w:rPr/>
        <w:t>（</w:t>
      </w:r>
      <w:r>
        <w:rPr>
          <w:rFonts w:ascii="Times New Roman" w:hAnsi="Times New Roman" w:cs="Times New Roman" w:eastAsia="Times New Roman" w:hint="default"/>
        </w:rPr>
        <w:t>1</w:t>
      </w:r>
      <w:r>
        <w:rPr/>
        <w:t>）设定提存计划 </w:t>
      </w:r>
      <w:r>
        <w:rPr>
          <w:spacing w:val="-2"/>
        </w:rPr>
        <w:t>本公司按当地政府的相关规定为职工缴纳基本养老保险和失业保险，在职工为本公司提供服务的会计期间，按以当地规</w:t>
      </w:r>
    </w:p>
    <w:p>
      <w:pPr>
        <w:pStyle w:val="BodyText"/>
        <w:spacing w:line="516" w:lineRule="auto" w:before="46"/>
        <w:ind w:left="1493" w:right="0" w:hanging="360"/>
        <w:jc w:val="left"/>
      </w:pPr>
      <w:r>
        <w:rPr/>
        <w:t>定的缴纳基数和比例计算应缴纳金额，确认为负债，并计入当期损益或相关资产成本。 除基本养老保险外，本公司还依据国家企业年金制度的相关政策建立了企业年金缴费制度（补充养老保险）</w:t>
      </w:r>
      <w:r>
        <w:rPr>
          <w:rFonts w:ascii="Times New Roman" w:hAnsi="Times New Roman" w:cs="Times New Roman" w:eastAsia="Times New Roman" w:hint="default"/>
        </w:rPr>
        <w:t>/</w:t>
      </w:r>
      <w:r>
        <w:rPr/>
        <w:t>企业年金</w:t>
      </w:r>
    </w:p>
    <w:p>
      <w:pPr>
        <w:pStyle w:val="BodyText"/>
        <w:spacing w:line="240" w:lineRule="exact"/>
        <w:ind w:right="0"/>
        <w:jc w:val="left"/>
      </w:pPr>
      <w:r>
        <w:rPr>
          <w:spacing w:val="-3"/>
        </w:rPr>
        <w:t>计划。本公司按职工工资总额的一定比例向当地社会保险机构缴费</w:t>
      </w:r>
      <w:r>
        <w:rPr>
          <w:rFonts w:ascii="Times New Roman" w:hAnsi="Times New Roman" w:cs="Times New Roman" w:eastAsia="Times New Roman" w:hint="default"/>
          <w:spacing w:val="-3"/>
        </w:rPr>
        <w:t>/</w:t>
      </w:r>
      <w:r>
        <w:rPr>
          <w:spacing w:val="-3"/>
        </w:rPr>
        <w:t>年金计划缴费，相应支出计入当期损益或相关资产成本。</w:t>
      </w:r>
    </w:p>
    <w:p>
      <w:pPr>
        <w:spacing w:line="240" w:lineRule="auto" w:before="10"/>
        <w:rPr>
          <w:rFonts w:ascii="宋体" w:hAnsi="宋体" w:cs="宋体" w:eastAsia="宋体" w:hint="default"/>
          <w:sz w:val="19"/>
          <w:szCs w:val="19"/>
        </w:rPr>
      </w:pPr>
    </w:p>
    <w:p>
      <w:pPr>
        <w:pStyle w:val="BodyText"/>
        <w:spacing w:line="489" w:lineRule="auto"/>
        <w:ind w:left="1494" w:right="0"/>
        <w:jc w:val="left"/>
      </w:pPr>
      <w:r>
        <w:rPr/>
        <w:t>（</w:t>
      </w:r>
      <w:r>
        <w:rPr>
          <w:rFonts w:ascii="Times New Roman" w:hAnsi="Times New Roman" w:cs="Times New Roman" w:eastAsia="Times New Roman" w:hint="default"/>
        </w:rPr>
        <w:t>2</w:t>
      </w:r>
      <w:r>
        <w:rPr/>
        <w:t>）设定受益计划 </w:t>
      </w:r>
      <w:r>
        <w:rPr>
          <w:spacing w:val="-2"/>
        </w:rPr>
        <w:t>本公司根据预期累计福利单位法确定的公式将设定受益计划产生的福利义务归属于职工提供服务的期间，并计入当期损</w:t>
      </w:r>
    </w:p>
    <w:p>
      <w:pPr>
        <w:pStyle w:val="BodyText"/>
        <w:spacing w:line="516" w:lineRule="auto" w:before="45"/>
        <w:ind w:left="1493" w:right="1033" w:hanging="360"/>
        <w:jc w:val="left"/>
      </w:pPr>
      <w:r>
        <w:rPr/>
        <w:t>益或相关资产成本。 设定受益计划义务现值减去设定受益计划资产公允价值所形成的赤字或盈余确认为一项设定受益计划净负债或净资产。</w:t>
      </w:r>
    </w:p>
    <w:p>
      <w:pPr>
        <w:pStyle w:val="BodyText"/>
        <w:spacing w:line="516" w:lineRule="auto" w:before="26"/>
        <w:ind w:left="1493" w:right="0" w:hanging="360"/>
        <w:jc w:val="left"/>
      </w:pPr>
      <w:r>
        <w:rPr/>
        <w:t>设定受益计划存在盈余的，本公司以设定受益计划的盈余和资产上限两项的孰低者计量设定受益计划净资产。 </w:t>
      </w:r>
      <w:r>
        <w:rPr>
          <w:spacing w:val="-2"/>
        </w:rPr>
        <w:t>所有设定受益计划义务，包括预期在职工提供服务的年度报告期间结束后的十二个月内支付的义务，根据资产负债表日</w:t>
      </w:r>
    </w:p>
    <w:p>
      <w:pPr>
        <w:pStyle w:val="BodyText"/>
        <w:spacing w:line="516" w:lineRule="auto" w:before="26"/>
        <w:ind w:left="1493" w:right="0" w:hanging="360"/>
        <w:jc w:val="left"/>
      </w:pPr>
      <w:r>
        <w:rPr/>
        <w:t>与设定受益计划义务期限和币种相匹配的国债或活跃市场上的高质量公司债券的市场收益率予以折现。 </w:t>
      </w:r>
      <w:r>
        <w:rPr>
          <w:spacing w:val="-2"/>
        </w:rPr>
        <w:t>设定受益计划产生的服务成本和设定受益计划净负债或净资产的利息净额计入当期损益或相关资产成本；重新计量设定</w:t>
      </w:r>
    </w:p>
    <w:p>
      <w:pPr>
        <w:pStyle w:val="BodyText"/>
        <w:spacing w:line="477" w:lineRule="auto" w:before="25"/>
        <w:ind w:right="0"/>
        <w:jc w:val="left"/>
      </w:pPr>
      <w:r>
        <w:rPr>
          <w:spacing w:val="-2"/>
        </w:rPr>
        <w:t>受益计划净负债或净资产所产生的变动计入其他综合收益，并且在后续会计期间不转回至损益，在原设定受益计划终止时在</w:t>
      </w:r>
      <w:r>
        <w:rPr>
          <w:spacing w:val="-64"/>
        </w:rPr>
        <w:t> </w:t>
      </w:r>
      <w:r>
        <w:rPr>
          <w:spacing w:val="-64"/>
        </w:rPr>
      </w:r>
      <w:r>
        <w:rPr/>
        <w:t>权益范围内将原计入其他综合收益的部分全部结转至未分配利润。</w:t>
      </w:r>
    </w:p>
    <w:p>
      <w:pPr>
        <w:pStyle w:val="BodyText"/>
        <w:spacing w:line="240" w:lineRule="auto" w:before="95"/>
        <w:ind w:left="1494" w:right="0"/>
        <w:jc w:val="left"/>
      </w:pPr>
      <w:r>
        <w:rPr/>
        <w:t>在设定受益计划结算时，按在结算日确定的设定受益计划义务现值和结算价格两者的差额，确认结算利得或损失。</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3）辞退福利的会计处理方法" w:id="203"/>
      <w:bookmarkEnd w:id="203"/>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left="1134" w:right="0" w:firstLine="360"/>
        <w:jc w:val="left"/>
      </w:pPr>
      <w:r>
        <w:rPr>
          <w:spacing w:val="-2"/>
        </w:rPr>
        <w:t>本公司在不能单方面撤回因解除劳动关系计划或裁减建议所提供的辞退福利时，或确认与涉及支付辞退福利的重组相关</w:t>
      </w:r>
      <w:r>
        <w:rPr/>
        <w:t> 的成本或费用时（两者孰早），确认辞退福利产生的职工薪酬负债，并计入当期损益。</w:t>
      </w:r>
    </w:p>
    <w:p>
      <w:pPr>
        <w:spacing w:line="240" w:lineRule="auto" w:before="1"/>
        <w:rPr>
          <w:rFonts w:ascii="宋体" w:hAnsi="宋体" w:cs="宋体" w:eastAsia="宋体" w:hint="default"/>
          <w:sz w:val="19"/>
          <w:szCs w:val="19"/>
        </w:rPr>
      </w:pPr>
    </w:p>
    <w:p>
      <w:pPr>
        <w:pStyle w:val="Heading3"/>
        <w:spacing w:line="240" w:lineRule="auto"/>
        <w:ind w:left="1133" w:right="0"/>
        <w:jc w:val="left"/>
        <w:rPr>
          <w:b w:val="0"/>
          <w:bCs w:val="0"/>
        </w:rPr>
      </w:pPr>
      <w:bookmarkStart w:name="（4）其他长期职工福利的会计处理方法" w:id="204"/>
      <w:bookmarkEnd w:id="204"/>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left="1133" w:right="0"/>
        <w:jc w:val="left"/>
        <w:rPr>
          <w:b w:val="0"/>
          <w:bCs w:val="0"/>
        </w:rPr>
      </w:pPr>
      <w:bookmarkStart w:name="25、预计负债" w:id="205"/>
      <w:bookmarkEnd w:id="205"/>
      <w:r>
        <w:rPr>
          <w:b w:val="0"/>
          <w:bCs w:val="0"/>
        </w:rPr>
      </w:r>
      <w:r>
        <w:rPr>
          <w:rFonts w:ascii="Times New Roman" w:hAnsi="Times New Roman" w:cs="Times New Roman" w:eastAsia="Times New Roman" w:hint="default"/>
        </w:rPr>
        <w:t>25</w:t>
      </w:r>
      <w:r>
        <w:rPr/>
        <w:t>、预计负债</w:t>
      </w:r>
      <w:r>
        <w:rPr>
          <w:b w:val="0"/>
          <w:bCs w:val="0"/>
        </w:rPr>
      </w:r>
    </w:p>
    <w:p>
      <w:pPr>
        <w:spacing w:line="240" w:lineRule="auto" w:before="8"/>
        <w:rPr>
          <w:rFonts w:ascii="宋体" w:hAnsi="宋体" w:cs="宋体" w:eastAsia="宋体" w:hint="default"/>
          <w:b/>
          <w:bCs/>
          <w:sz w:val="32"/>
          <w:szCs w:val="32"/>
        </w:rPr>
      </w:pPr>
    </w:p>
    <w:p>
      <w:pPr>
        <w:pStyle w:val="BodyText"/>
        <w:spacing w:line="489" w:lineRule="auto"/>
        <w:ind w:left="1493" w:right="1573" w:firstLine="1"/>
        <w:jc w:val="left"/>
      </w:pPr>
      <w:r>
        <w:rPr>
          <w:rFonts w:ascii="Times New Roman" w:hAnsi="Times New Roman" w:cs="Times New Roman" w:eastAsia="Times New Roman" w:hint="default"/>
          <w:b/>
          <w:bCs/>
        </w:rPr>
        <w:t>1</w:t>
      </w:r>
      <w:r>
        <w:rPr>
          <w:rFonts w:ascii="宋体" w:hAnsi="宋体" w:cs="宋体" w:eastAsia="宋体" w:hint="default"/>
          <w:b/>
          <w:bCs/>
        </w:rPr>
        <w:t>、预计负债的确认标准</w:t>
      </w:r>
      <w:r>
        <w:rPr>
          <w:rFonts w:ascii="宋体" w:hAnsi="宋体" w:cs="宋体" w:eastAsia="宋体" w:hint="default"/>
          <w:b/>
          <w:bCs/>
          <w:w w:val="99"/>
        </w:rPr>
        <w:t> </w:t>
      </w:r>
      <w:r>
        <w:rPr/>
        <w:t>与诉讼、债务担保、亏损合同、重组事项等或有事项相关的义务同时满足下列条件时，本公司确认为预计负债：</w:t>
      </w:r>
    </w:p>
    <w:p>
      <w:pPr>
        <w:pStyle w:val="BodyText"/>
        <w:spacing w:line="240" w:lineRule="auto" w:before="85"/>
        <w:ind w:left="1493" w:right="0"/>
        <w:jc w:val="left"/>
      </w:pPr>
      <w:r>
        <w:rPr/>
        <w:t>（</w:t>
      </w:r>
      <w:r>
        <w:rPr>
          <w:rFonts w:ascii="Times New Roman" w:hAnsi="Times New Roman" w:cs="Times New Roman" w:eastAsia="Times New Roman" w:hint="default"/>
        </w:rPr>
        <w:t>1</w:t>
      </w:r>
      <w:r>
        <w:rPr/>
        <w:t>）该义务是本公司承担的现时义务；</w:t>
      </w:r>
    </w:p>
    <w:p>
      <w:pPr>
        <w:spacing w:line="240" w:lineRule="auto" w:before="10"/>
        <w:rPr>
          <w:rFonts w:ascii="宋体" w:hAnsi="宋体" w:cs="宋体" w:eastAsia="宋体" w:hint="default"/>
          <w:sz w:val="19"/>
          <w:szCs w:val="19"/>
        </w:rPr>
      </w:pPr>
    </w:p>
    <w:p>
      <w:pPr>
        <w:pStyle w:val="BodyText"/>
        <w:spacing w:line="240" w:lineRule="auto"/>
        <w:ind w:left="1493" w:right="0"/>
        <w:jc w:val="left"/>
      </w:pPr>
      <w:r>
        <w:rPr/>
        <w:t>（</w:t>
      </w:r>
      <w:r>
        <w:rPr>
          <w:rFonts w:ascii="Times New Roman" w:hAnsi="Times New Roman" w:cs="Times New Roman" w:eastAsia="Times New Roman" w:hint="default"/>
        </w:rPr>
        <w:t>2</w:t>
      </w:r>
      <w:r>
        <w:rPr/>
        <w:t>）履行该义务很可能导致经济利益流出本公司；</w:t>
      </w:r>
    </w:p>
    <w:p>
      <w:pPr>
        <w:spacing w:line="240" w:lineRule="auto" w:before="11"/>
        <w:rPr>
          <w:rFonts w:ascii="宋体" w:hAnsi="宋体" w:cs="宋体" w:eastAsia="宋体" w:hint="default"/>
          <w:sz w:val="19"/>
          <w:szCs w:val="19"/>
        </w:rPr>
      </w:pPr>
    </w:p>
    <w:p>
      <w:pPr>
        <w:pStyle w:val="BodyText"/>
        <w:spacing w:line="240" w:lineRule="auto"/>
        <w:ind w:left="1494" w:right="0"/>
        <w:jc w:val="left"/>
      </w:pPr>
      <w:r>
        <w:rPr/>
        <w:t>（</w:t>
      </w:r>
      <w:r>
        <w:rPr>
          <w:rFonts w:ascii="Times New Roman" w:hAnsi="Times New Roman" w:cs="Times New Roman" w:eastAsia="Times New Roman" w:hint="default"/>
        </w:rPr>
        <w:t>3</w:t>
      </w:r>
      <w:r>
        <w:rPr/>
        <w:t>）该义务的金额能够可靠地计量。</w:t>
      </w:r>
    </w:p>
    <w:p>
      <w:pPr>
        <w:spacing w:line="240" w:lineRule="auto" w:before="10"/>
        <w:rPr>
          <w:rFonts w:ascii="宋体" w:hAnsi="宋体" w:cs="宋体" w:eastAsia="宋体" w:hint="default"/>
          <w:sz w:val="19"/>
          <w:szCs w:val="19"/>
        </w:rPr>
      </w:pPr>
    </w:p>
    <w:p>
      <w:pPr>
        <w:spacing w:line="489" w:lineRule="auto" w:before="0"/>
        <w:ind w:left="1493" w:right="4273"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、各类预计负债的计量方法</w:t>
      </w:r>
      <w:r>
        <w:rPr>
          <w:rFonts w:ascii="宋体" w:hAnsi="宋体" w:cs="宋体" w:eastAsia="宋体" w:hint="default"/>
          <w:b/>
          <w:bCs/>
          <w:w w:val="99"/>
          <w:sz w:val="18"/>
          <w:szCs w:val="18"/>
        </w:rPr>
        <w:t> </w:t>
      </w:r>
      <w:r>
        <w:rPr>
          <w:rFonts w:ascii="宋体" w:hAnsi="宋体" w:cs="宋体" w:eastAsia="宋体" w:hint="default"/>
          <w:sz w:val="18"/>
          <w:szCs w:val="18"/>
        </w:rPr>
        <w:t>本公司预计负债按履行相关现时义务所需的支出的最佳估计数进行初始计量。</w:t>
      </w:r>
    </w:p>
    <w:p>
      <w:pPr>
        <w:pStyle w:val="BodyText"/>
        <w:spacing w:line="477" w:lineRule="auto" w:before="85"/>
        <w:ind w:right="0" w:firstLine="360"/>
        <w:jc w:val="left"/>
      </w:pPr>
      <w:r>
        <w:rPr>
          <w:spacing w:val="-2"/>
        </w:rPr>
        <w:t>本公司在确定最佳估计数时，综合考虑与或有事项有关的风险、不确定性和货币时间价值等因素。对于货币时间价值影</w:t>
      </w:r>
      <w:r>
        <w:rPr/>
        <w:t> 响重大的，通过对相关未来现金流出进行折现后确定最佳估计数。</w:t>
      </w:r>
    </w:p>
    <w:p>
      <w:pPr>
        <w:pStyle w:val="BodyText"/>
        <w:spacing w:line="516" w:lineRule="auto" w:before="94"/>
        <w:ind w:left="1494" w:right="0"/>
        <w:jc w:val="left"/>
      </w:pPr>
      <w:r>
        <w:rPr/>
        <w:t>最佳估计数分别以下情况处理： </w:t>
      </w:r>
      <w:r>
        <w:rPr>
          <w:spacing w:val="-2"/>
        </w:rPr>
        <w:t>所需支出存在一个连续范围（或区间），且该范围内各种结果发生的可能性相同的，则最佳估计数按照该范围的中间值</w:t>
      </w:r>
    </w:p>
    <w:p>
      <w:pPr>
        <w:pStyle w:val="BodyText"/>
        <w:spacing w:line="516" w:lineRule="auto" w:before="26"/>
        <w:ind w:left="1494" w:right="0" w:hanging="360"/>
        <w:jc w:val="left"/>
      </w:pPr>
      <w:r>
        <w:rPr/>
        <w:t>即上下限金额的平均数确定。 </w:t>
      </w:r>
      <w:r>
        <w:rPr>
          <w:spacing w:val="-2"/>
        </w:rPr>
        <w:t>所需支出不存在一个连续范围（或区间），或虽然存在一个连续范围但该范围内各种结果发生的可能性不相同的，如或</w:t>
      </w:r>
    </w:p>
    <w:p>
      <w:pPr>
        <w:pStyle w:val="BodyText"/>
        <w:spacing w:line="477" w:lineRule="auto" w:before="25"/>
        <w:ind w:left="1134" w:right="0"/>
        <w:jc w:val="left"/>
      </w:pPr>
      <w:r>
        <w:rPr>
          <w:spacing w:val="-2"/>
        </w:rPr>
        <w:t>有事项涉及单个项目的，则最佳估计数按照最可能发生金额确定；如或有事项涉及多个项目的，则最佳估计数按各种可能结</w:t>
      </w:r>
      <w:r>
        <w:rPr>
          <w:spacing w:val="-66"/>
        </w:rPr>
        <w:t> </w:t>
      </w:r>
      <w:r>
        <w:rPr>
          <w:spacing w:val="-66"/>
        </w:rPr>
      </w:r>
      <w:r>
        <w:rPr/>
        <w:t>果及相关概率计算确定。</w:t>
      </w:r>
    </w:p>
    <w:p>
      <w:pPr>
        <w:pStyle w:val="BodyText"/>
        <w:spacing w:line="477" w:lineRule="auto" w:before="94"/>
        <w:ind w:left="1134" w:right="1032" w:firstLine="360"/>
        <w:jc w:val="left"/>
      </w:pPr>
      <w:r>
        <w:rPr/>
        <w:t>本公司清偿预计负债所需支出全部或部分预期由第三方补偿的，补偿金额在基本确定能够收到时，作为资产单独确认， 确认的补偿金额不超过预计负债的账面价值。</w:t>
      </w:r>
    </w:p>
    <w:p>
      <w:pPr>
        <w:pStyle w:val="BodyText"/>
        <w:spacing w:line="240" w:lineRule="auto" w:before="94"/>
        <w:ind w:left="1494" w:right="0"/>
        <w:jc w:val="left"/>
      </w:pPr>
      <w:r>
        <w:rPr/>
        <w:t>详见本附注</w:t>
      </w:r>
      <w:r>
        <w:rPr>
          <w:rFonts w:ascii="Times New Roman" w:hAnsi="Times New Roman" w:cs="Times New Roman" w:eastAsia="Times New Roman" w:hint="default"/>
        </w:rPr>
        <w:t>“</w:t>
      </w:r>
      <w:r>
        <w:rPr/>
        <w:t>七、</w:t>
      </w:r>
      <w:r>
        <w:rPr>
          <w:rFonts w:ascii="Times New Roman" w:hAnsi="Times New Roman" w:cs="Times New Roman" w:eastAsia="Times New Roman" w:hint="default"/>
        </w:rPr>
        <w:t>(</w:t>
      </w:r>
      <w:r>
        <w:rPr/>
        <w:t>五十</w:t>
      </w:r>
      <w:r>
        <w:rPr>
          <w:rFonts w:ascii="Times New Roman" w:hAnsi="Times New Roman" w:cs="Times New Roman" w:eastAsia="Times New Roman" w:hint="default"/>
        </w:rPr>
        <w:t>)  </w:t>
      </w:r>
      <w:r>
        <w:rPr/>
        <w:t>预计负债</w:t>
      </w:r>
      <w:r>
        <w:rPr>
          <w:rFonts w:ascii="Times New Roman" w:hAnsi="Times New Roman" w:cs="Times New Roman" w:eastAsia="Times New Roman" w:hint="default"/>
        </w:rPr>
        <w:t>”</w:t>
      </w:r>
      <w:r>
        <w:rPr/>
        <w:t>。</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both"/>
        <w:rPr>
          <w:b w:val="0"/>
          <w:bCs w:val="0"/>
        </w:rPr>
      </w:pPr>
      <w:bookmarkStart w:name="26、股份支付" w:id="206"/>
      <w:bookmarkEnd w:id="206"/>
      <w:r>
        <w:rPr>
          <w:b w:val="0"/>
          <w:bCs w:val="0"/>
        </w:rPr>
      </w:r>
      <w:r>
        <w:rPr>
          <w:rFonts w:ascii="Times New Roman" w:hAnsi="Times New Roman" w:cs="Times New Roman" w:eastAsia="Times New Roman" w:hint="default"/>
        </w:rPr>
        <w:t>26</w:t>
      </w:r>
      <w:r>
        <w:rPr/>
        <w:t>、股份支付</w:t>
      </w:r>
      <w:r>
        <w:rPr>
          <w:b w:val="0"/>
          <w:bCs w:val="0"/>
        </w:rPr>
      </w:r>
    </w:p>
    <w:p>
      <w:pPr>
        <w:spacing w:line="240" w:lineRule="auto" w:before="7"/>
        <w:rPr>
          <w:rFonts w:ascii="宋体" w:hAnsi="宋体" w:cs="宋体" w:eastAsia="宋体" w:hint="default"/>
          <w:b/>
          <w:bCs/>
          <w:sz w:val="32"/>
          <w:szCs w:val="32"/>
        </w:rPr>
      </w:pPr>
    </w:p>
    <w:p>
      <w:pPr>
        <w:pStyle w:val="BodyText"/>
        <w:spacing w:line="477" w:lineRule="auto"/>
        <w:ind w:left="1134" w:right="0" w:firstLine="360"/>
        <w:jc w:val="left"/>
      </w:pPr>
      <w:r>
        <w:rPr>
          <w:spacing w:val="-2"/>
        </w:rPr>
        <w:t>本公司的股份支付是为了获取职工提供服务而授予权益工具或者承担以权益工具为基础确定的负债的交易。本公司的股</w:t>
      </w:r>
      <w:r>
        <w:rPr/>
        <w:t> 份支付分为以权益结算的股份支付。</w:t>
      </w:r>
    </w:p>
    <w:p>
      <w:pPr>
        <w:spacing w:line="477" w:lineRule="auto" w:before="54"/>
        <w:ind w:left="1494" w:right="0" w:firstLine="1"/>
        <w:jc w:val="left"/>
        <w:rPr>
          <w:rFonts w:ascii="宋体" w:hAnsi="宋体" w:cs="宋体" w:eastAsia="宋体" w:hint="default"/>
          <w:sz w:val="18"/>
          <w:szCs w:val="18"/>
        </w:rPr>
      </w:pPr>
      <w:r>
        <w:rPr>
          <w:rFonts w:ascii="宋体" w:hAnsi="宋体" w:cs="宋体" w:eastAsia="宋体" w:hint="default"/>
          <w:b/>
          <w:bCs/>
          <w:sz w:val="18"/>
          <w:szCs w:val="18"/>
        </w:rPr>
        <w:t>以权益结算的股份支付及权益工具</w:t>
      </w:r>
      <w:r>
        <w:rPr>
          <w:rFonts w:ascii="宋体" w:hAnsi="宋体" w:cs="宋体" w:eastAsia="宋体" w:hint="default"/>
          <w:b/>
          <w:bCs/>
          <w:w w:val="99"/>
          <w:sz w:val="18"/>
          <w:szCs w:val="18"/>
        </w:rPr>
        <w:t> </w:t>
      </w:r>
      <w:r>
        <w:rPr>
          <w:rFonts w:ascii="宋体" w:hAnsi="宋体" w:cs="宋体" w:eastAsia="宋体" w:hint="default"/>
          <w:spacing w:val="-2"/>
          <w:sz w:val="18"/>
          <w:szCs w:val="18"/>
        </w:rPr>
        <w:t>以权益结算的股份支付换取职工提供服务的，以授予职工权益工具的公允价值计量。本公司以限制性股票进行股份支付</w:t>
      </w:r>
    </w:p>
    <w:p>
      <w:pPr>
        <w:pStyle w:val="BodyText"/>
        <w:spacing w:line="477" w:lineRule="auto" w:before="54"/>
        <w:ind w:left="1134" w:right="1131"/>
        <w:jc w:val="both"/>
      </w:pPr>
      <w:r>
        <w:rPr>
          <w:spacing w:val="-2"/>
        </w:rPr>
        <w:t>的，职工出资认购股票，股票在达到解锁条件并解锁前不得上市流通或转让；如果最终股权激励计划规定的解锁条件未能达</w:t>
      </w:r>
      <w:r>
        <w:rPr>
          <w:spacing w:val="-66"/>
        </w:rPr>
        <w:t> </w:t>
      </w:r>
      <w:r>
        <w:rPr>
          <w:spacing w:val="-66"/>
        </w:rPr>
      </w:r>
      <w:r>
        <w:rPr>
          <w:spacing w:val="-2"/>
        </w:rPr>
        <w:t>到，则本公司按照事先约定的价格回购股票。本公司取得职工认购限制性股票支付的款项时，按照取得的认股款确认股本和</w:t>
      </w:r>
      <w:r>
        <w:rPr>
          <w:spacing w:val="-65"/>
        </w:rPr>
        <w:t> </w:t>
      </w:r>
      <w:r>
        <w:rPr>
          <w:spacing w:val="-65"/>
        </w:rPr>
      </w:r>
      <w:r>
        <w:rPr>
          <w:spacing w:val="-2"/>
        </w:rPr>
        <w:t>资本公积（股本溢价），同时就回购义务全额确认一项负债并确认库存股。在等待期内每个资产负债表日，本公司根据最新</w:t>
      </w:r>
      <w:r>
        <w:rPr>
          <w:spacing w:val="-66"/>
        </w:rPr>
        <w:t> </w:t>
      </w:r>
      <w:r>
        <w:rPr>
          <w:spacing w:val="-66"/>
        </w:rPr>
      </w:r>
      <w:r>
        <w:rPr/>
        <w:t>取得的可行权职工人数变动</w:t>
      </w:r>
      <w:r>
        <w:rPr>
          <w:spacing w:val="7"/>
        </w:rPr>
        <w:t> </w:t>
      </w:r>
      <w:r>
        <w:rPr/>
        <w:t>、是否达到规定业绩条件等后续信息对可行权权益工具数量作出最佳估计，以此为基础，按照</w:t>
      </w:r>
      <w:r>
        <w:rPr/>
        <w:t> </w:t>
      </w:r>
      <w:r>
        <w:rPr>
          <w:spacing w:val="-2"/>
        </w:rPr>
        <w:t>授予日的公允价值，将当期取得的服务计入相关成本或费用，相应增加资本公积。在可行权日之后不再对已确认的相关成本</w:t>
      </w:r>
      <w:r>
        <w:rPr>
          <w:spacing w:val="-66"/>
        </w:rPr>
        <w:t> </w:t>
      </w:r>
      <w:r>
        <w:rPr>
          <w:spacing w:val="-66"/>
        </w:rPr>
      </w:r>
      <w:r>
        <w:rPr>
          <w:spacing w:val="-2"/>
        </w:rPr>
        <w:t>或费用和所有者权益总额进行调整。但授予后立即可行权的，在授予日按照公允价值计入相关成本或费用，相应增加资本公</w:t>
      </w:r>
      <w:r>
        <w:rPr>
          <w:spacing w:val="-66"/>
        </w:rPr>
        <w:t> </w:t>
      </w:r>
      <w:r>
        <w:rPr>
          <w:spacing w:val="-66"/>
        </w:rPr>
      </w:r>
      <w:r>
        <w:rPr/>
        <w:t>积。</w:t>
      </w:r>
    </w:p>
    <w:p>
      <w:pPr>
        <w:pStyle w:val="BodyText"/>
        <w:spacing w:line="477" w:lineRule="auto" w:before="54"/>
        <w:ind w:left="1134" w:right="0" w:firstLine="360"/>
        <w:jc w:val="left"/>
      </w:pPr>
      <w:r>
        <w:rPr>
          <w:spacing w:val="-2"/>
        </w:rPr>
        <w:t>对于最终未能行权的股份支付，不确认成本或费用，除非行权条件是市场条件或非可行权条件，此时无论是否满足市场</w:t>
      </w:r>
      <w:r>
        <w:rPr/>
        <w:t> 条件或非可行权条件，只要满足所有可行权条件中的非市场条件，即视为可行权。</w:t>
      </w:r>
    </w:p>
    <w:p>
      <w:pPr>
        <w:pStyle w:val="BodyText"/>
        <w:spacing w:line="477" w:lineRule="auto" w:before="54"/>
        <w:ind w:right="0" w:firstLine="360"/>
        <w:jc w:val="left"/>
      </w:pPr>
      <w:r>
        <w:rPr>
          <w:spacing w:val="-2"/>
        </w:rPr>
        <w:t>如果修改了以权益结算的股份支付的条款，至少按照未修改条款的情况确认取得的服务。此外，任何增加所授予权益工</w:t>
      </w:r>
      <w:r>
        <w:rPr/>
        <w:t> 具公允价值的修改，或在修改日对职工有利的变更，均确认取得服务的增加。</w:t>
      </w:r>
    </w:p>
    <w:p>
      <w:pPr>
        <w:pStyle w:val="BodyText"/>
        <w:spacing w:line="477" w:lineRule="auto" w:before="54"/>
        <w:ind w:right="0" w:firstLine="360"/>
        <w:jc w:val="left"/>
      </w:pPr>
      <w:r>
        <w:rPr/>
        <w:t>如果取消了以权益结算的股份支付，则于取消日作为加速行权处理，立即确认尚未确认的金额。职工或其他方能够选择 满足非可行权条件但在等待期内未满足的，作为取消以权益结算的股份支付处理。但是，如果授予新的权益工具，并在新权 </w:t>
      </w:r>
      <w:r>
        <w:rPr>
          <w:spacing w:val="-2"/>
        </w:rPr>
        <w:t>益工具授予日认定所授予的新权益工具是用于替代被取消的权益工具的，则以与处理原权益工具条款和条件修改相同的方式，</w:t>
      </w:r>
      <w:r>
        <w:rPr>
          <w:spacing w:val="-62"/>
        </w:rPr>
        <w:t> </w:t>
      </w:r>
      <w:r>
        <w:rPr>
          <w:spacing w:val="-62"/>
        </w:rPr>
      </w:r>
      <w:r>
        <w:rPr/>
        <w:t>对所授予的替代权益工具进行处理。</w:t>
      </w:r>
    </w:p>
    <w:p>
      <w:pPr>
        <w:spacing w:line="240" w:lineRule="auto" w:before="3"/>
        <w:rPr>
          <w:rFonts w:ascii="宋体" w:hAnsi="宋体" w:cs="宋体" w:eastAsia="宋体" w:hint="default"/>
          <w:sz w:val="19"/>
          <w:szCs w:val="19"/>
        </w:rPr>
      </w:pPr>
    </w:p>
    <w:p>
      <w:pPr>
        <w:pStyle w:val="Heading3"/>
        <w:spacing w:line="240" w:lineRule="auto"/>
        <w:ind w:left="1133" w:right="0"/>
        <w:jc w:val="both"/>
        <w:rPr>
          <w:b w:val="0"/>
          <w:bCs w:val="0"/>
        </w:rPr>
      </w:pPr>
      <w:bookmarkStart w:name="27、优先股、永续债等其他金融工具" w:id="207"/>
      <w:bookmarkEnd w:id="207"/>
      <w:r>
        <w:rPr>
          <w:b w:val="0"/>
          <w:bCs w:val="0"/>
        </w:rPr>
      </w:r>
      <w:r>
        <w:rPr>
          <w:rFonts w:ascii="Times New Roman" w:hAnsi="Times New Roman" w:cs="Times New Roman" w:eastAsia="Times New Roman" w:hint="default"/>
        </w:rPr>
        <w:t>27</w:t>
      </w:r>
      <w:r>
        <w:rPr/>
        <w:t>、优先股、永续债等其他金融工具</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both"/>
        <w:rPr>
          <w:b w:val="0"/>
          <w:bCs w:val="0"/>
        </w:rPr>
      </w:pPr>
      <w:bookmarkStart w:name="28、收入" w:id="208"/>
      <w:bookmarkEnd w:id="208"/>
      <w:r>
        <w:rPr>
          <w:b w:val="0"/>
          <w:bCs w:val="0"/>
        </w:rPr>
      </w:r>
      <w:r>
        <w:rPr>
          <w:rFonts w:ascii="Times New Roman" w:hAnsi="Times New Roman" w:cs="Times New Roman" w:eastAsia="Times New Roman" w:hint="default"/>
        </w:rPr>
        <w:t>28</w:t>
      </w:r>
      <w:r>
        <w:rPr/>
        <w:t>、收入</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5" w:right="7333" w:hanging="2"/>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pStyle w:val="Heading4"/>
        <w:spacing w:line="240" w:lineRule="auto" w:before="54"/>
        <w:ind w:right="0"/>
        <w:jc w:val="left"/>
        <w:rPr>
          <w:b w:val="0"/>
          <w:bCs w:val="0"/>
        </w:rPr>
      </w:pPr>
      <w:r>
        <w:rPr/>
        <w:t>互联网游戏业</w:t>
      </w:r>
      <w:r>
        <w:rPr>
          <w:b w:val="0"/>
          <w:bCs w:val="0"/>
        </w:rPr>
      </w:r>
    </w:p>
    <w:p>
      <w:pPr>
        <w:spacing w:line="240" w:lineRule="auto" w:before="10"/>
        <w:rPr>
          <w:rFonts w:ascii="宋体" w:hAnsi="宋体" w:cs="宋体" w:eastAsia="宋体" w:hint="default"/>
          <w:b/>
          <w:bCs/>
          <w:sz w:val="17"/>
          <w:szCs w:val="17"/>
        </w:rPr>
      </w:pPr>
    </w:p>
    <w:p>
      <w:pPr>
        <w:pStyle w:val="BodyText"/>
        <w:spacing w:line="240" w:lineRule="auto"/>
        <w:ind w:left="1494" w:right="0"/>
        <w:jc w:val="left"/>
      </w:pPr>
      <w:r>
        <w:rPr/>
        <w:t>公司需遵守《深圳证券交易所创业板行业信息披露指引第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pStyle w:val="Heading4"/>
        <w:spacing w:line="240" w:lineRule="auto" w:before="44"/>
        <w:ind w:right="0"/>
        <w:jc w:val="left"/>
        <w:rPr>
          <w:b w:val="0"/>
          <w:bCs w:val="0"/>
        </w:rPr>
      </w:pPr>
      <w:r>
        <w:rPr>
          <w:rFonts w:ascii="Times New Roman" w:hAnsi="Times New Roman" w:cs="Times New Roman" w:eastAsia="Times New Roman" w:hint="default"/>
        </w:rPr>
        <w:t>1</w:t>
      </w:r>
      <w:r>
        <w:rPr/>
        <w:t>、公司收入在交易结果能够可靠估计时，按以下原则确认：</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left="1494" w:right="0"/>
        <w:jc w:val="left"/>
      </w:pPr>
      <w:r>
        <w:rPr/>
        <w:t>（</w:t>
      </w:r>
      <w:r>
        <w:rPr>
          <w:rFonts w:ascii="Times New Roman" w:hAnsi="Times New Roman" w:cs="Times New Roman" w:eastAsia="Times New Roman" w:hint="default"/>
        </w:rPr>
        <w:t>1</w:t>
      </w:r>
      <w:r>
        <w:rPr/>
        <w:t>）软件产品开发与销售： </w:t>
      </w:r>
      <w:r>
        <w:rPr>
          <w:spacing w:val="-2"/>
        </w:rPr>
        <w:t>软件产品包括自主开发软件产品和定制开发软件产品。自主开发软件产品指公司自行开发研制的软件产品；定制开发软</w:t>
      </w:r>
    </w:p>
    <w:p>
      <w:pPr>
        <w:pStyle w:val="BodyText"/>
        <w:spacing w:line="477" w:lineRule="auto" w:before="74"/>
        <w:ind w:left="1494" w:right="0" w:hanging="360"/>
        <w:jc w:val="left"/>
      </w:pPr>
      <w:r>
        <w:rPr/>
        <w:t>件产品指公司根据买方的实际需求进行定制、开发的软件产品。 </w:t>
      </w:r>
      <w:r>
        <w:rPr>
          <w:spacing w:val="-2"/>
        </w:rPr>
        <w:t>对于自主开发软件产品的销售，公司在软件产品的主要风险和报酬已转移给买方，不再保留与之相联系的管理权和控制</w:t>
      </w:r>
    </w:p>
    <w:p>
      <w:pPr>
        <w:pStyle w:val="BodyText"/>
        <w:spacing w:line="468" w:lineRule="auto" w:before="54"/>
        <w:ind w:left="1493" w:right="4453" w:hanging="360"/>
        <w:jc w:val="left"/>
      </w:pPr>
      <w:r>
        <w:rPr/>
        <w:t>权，取得明确的收款证据，相关成本能够可靠地计量时，确认收入。 对于定制开发软件产品，经客户验收确认，按完工百分比确认收入。 完工百分比确认方法：完工百分比</w:t>
      </w:r>
      <w:r>
        <w:rPr>
          <w:rFonts w:ascii="Times New Roman" w:hAnsi="Times New Roman" w:cs="Times New Roman" w:eastAsia="Times New Roman" w:hint="default"/>
        </w:rPr>
        <w:t>=</w:t>
      </w:r>
      <w:r>
        <w:rPr/>
        <w:t>（已发生工时</w:t>
      </w:r>
      <w:r>
        <w:rPr>
          <w:rFonts w:ascii="Times New Roman" w:hAnsi="Times New Roman" w:cs="Times New Roman" w:eastAsia="Times New Roman" w:hint="default"/>
        </w:rPr>
        <w:t>/</w:t>
      </w:r>
      <w:r>
        <w:rPr/>
        <w:t>项目总工时）</w:t>
      </w:r>
      <w:r>
        <w:rPr>
          <w:rFonts w:ascii="Times New Roman" w:hAnsi="Times New Roman" w:cs="Times New Roman" w:eastAsia="Times New Roman" w:hint="default"/>
        </w:rPr>
        <w:t>*100%</w:t>
      </w:r>
      <w:r>
        <w:rPr/>
        <w:t>。 对于包含在系统集成中的软件产品，按系统集成的收入确认原则确认收入。</w:t>
      </w:r>
    </w:p>
    <w:p>
      <w:pPr>
        <w:pStyle w:val="BodyText"/>
        <w:spacing w:line="451" w:lineRule="auto" w:before="61"/>
        <w:ind w:left="1494" w:right="0"/>
        <w:jc w:val="left"/>
      </w:pPr>
      <w:r>
        <w:rPr/>
        <w:t>（</w:t>
      </w:r>
      <w:r>
        <w:rPr>
          <w:rFonts w:ascii="Times New Roman" w:hAnsi="Times New Roman" w:cs="Times New Roman" w:eastAsia="Times New Roman" w:hint="default"/>
        </w:rPr>
        <w:t>2</w:t>
      </w:r>
      <w:r>
        <w:rPr/>
        <w:t>）技术服务收入： </w:t>
      </w:r>
      <w:r>
        <w:rPr>
          <w:spacing w:val="-5"/>
        </w:rPr>
        <w:t>技术服务包括公司向客户提供的与</w:t>
      </w:r>
      <w:r>
        <w:rPr>
          <w:rFonts w:ascii="Times New Roman" w:hAnsi="Times New Roman" w:cs="Times New Roman" w:eastAsia="Times New Roman" w:hint="default"/>
          <w:spacing w:val="-5"/>
        </w:rPr>
        <w:t>IT</w:t>
      </w:r>
      <w:r>
        <w:rPr>
          <w:spacing w:val="-5"/>
        </w:rPr>
        <w:t>运维管理相关的技术支持、技术咨询、技术开发、系统维护、运营管理等服务内容。</w:t>
      </w:r>
      <w:r>
        <w:rPr>
          <w:spacing w:val="-77"/>
        </w:rPr>
        <w:t> </w:t>
      </w:r>
      <w:r>
        <w:rPr>
          <w:spacing w:val="-77"/>
        </w:rPr>
      </w:r>
      <w:r>
        <w:rPr>
          <w:spacing w:val="-2"/>
        </w:rPr>
        <w:t>公司在已根据合同约定提供了相应服务，取得明确的收款证据，相关成本能够可靠地计量时，确认收入。合同明确约定</w:t>
      </w:r>
    </w:p>
    <w:p>
      <w:pPr>
        <w:pStyle w:val="BodyText"/>
        <w:spacing w:line="477" w:lineRule="auto" w:before="74"/>
        <w:ind w:left="1134" w:right="1118"/>
        <w:jc w:val="left"/>
      </w:pPr>
      <w:r>
        <w:rPr>
          <w:spacing w:val="-2"/>
        </w:rPr>
        <w:t>服务期限的，在合同约定的服务期限内，按进度确认收入；合同明确约定服务成果需经客户验收确认的，根据客户验收情况</w:t>
      </w:r>
      <w:r>
        <w:rPr>
          <w:spacing w:val="-66"/>
        </w:rPr>
        <w:t> </w:t>
      </w:r>
      <w:r>
        <w:rPr>
          <w:spacing w:val="-66"/>
        </w:rPr>
      </w:r>
      <w:r>
        <w:rPr/>
        <w:t>确认收入。</w:t>
      </w:r>
    </w:p>
    <w:p>
      <w:pPr>
        <w:pStyle w:val="BodyText"/>
        <w:spacing w:line="451" w:lineRule="auto" w:before="54"/>
        <w:ind w:left="1494" w:right="5532"/>
        <w:jc w:val="left"/>
      </w:pPr>
      <w:r>
        <w:rPr/>
        <w:t>（</w:t>
      </w:r>
      <w:r>
        <w:rPr>
          <w:rFonts w:ascii="Times New Roman" w:hAnsi="Times New Roman" w:cs="Times New Roman" w:eastAsia="Times New Roman" w:hint="default"/>
        </w:rPr>
        <w:t>3</w:t>
      </w:r>
      <w:r>
        <w:rPr/>
        <w:t>）系统集成收入： 系统集成包括外购软硬件产品和公司软件产品的销售及安装。</w:t>
      </w:r>
    </w:p>
    <w:p>
      <w:pPr>
        <w:pStyle w:val="BodyText"/>
        <w:spacing w:line="477" w:lineRule="auto" w:before="74"/>
        <w:ind w:left="1134" w:right="0" w:firstLine="360"/>
        <w:jc w:val="left"/>
      </w:pPr>
      <w:r>
        <w:rPr>
          <w:spacing w:val="-4"/>
        </w:rPr>
        <w:t>对于系统集成，公司根据合同的约定，在系统集成中的外购软硬件产品和公司软件产品的主要风险和报酬已转移给买方，</w:t>
      </w:r>
      <w:r>
        <w:rPr/>
        <w:t> </w:t>
      </w:r>
      <w:r>
        <w:rPr>
          <w:spacing w:val="-2"/>
        </w:rPr>
        <w:t>不再保留与之相联系的继续管理权和控制权，系统已按合同约定的条件安装调试、取得了买方的验收确认，相关成本能够可</w:t>
      </w:r>
      <w:r>
        <w:rPr>
          <w:spacing w:val="-66"/>
        </w:rPr>
        <w:t> </w:t>
      </w:r>
      <w:r>
        <w:rPr>
          <w:spacing w:val="-66"/>
        </w:rPr>
      </w:r>
      <w:r>
        <w:rPr/>
        <w:t>靠地计量时，按完工百分比确认收入。</w:t>
      </w:r>
    </w:p>
    <w:p>
      <w:pPr>
        <w:pStyle w:val="BodyText"/>
        <w:spacing w:line="451" w:lineRule="auto" w:before="54"/>
        <w:ind w:left="1493" w:right="0"/>
        <w:jc w:val="left"/>
      </w:pPr>
      <w:r>
        <w:rPr/>
        <w:t>完工百分比确认方法：完工百分比</w:t>
      </w:r>
      <w:r>
        <w:rPr>
          <w:rFonts w:ascii="Times New Roman" w:hAnsi="Times New Roman" w:cs="Times New Roman" w:eastAsia="Times New Roman" w:hint="default"/>
        </w:rPr>
        <w:t>=</w:t>
      </w:r>
      <w:r>
        <w:rPr/>
        <w:t>（已发生工时</w:t>
      </w:r>
      <w:r>
        <w:rPr>
          <w:rFonts w:ascii="Times New Roman" w:hAnsi="Times New Roman" w:cs="Times New Roman" w:eastAsia="Times New Roman" w:hint="default"/>
        </w:rPr>
        <w:t>/</w:t>
      </w:r>
      <w:r>
        <w:rPr/>
        <w:t>项目总工时）</w:t>
      </w:r>
      <w:r>
        <w:rPr>
          <w:rFonts w:ascii="Times New Roman" w:hAnsi="Times New Roman" w:cs="Times New Roman" w:eastAsia="Times New Roman" w:hint="default"/>
        </w:rPr>
        <w:t>*100%</w:t>
      </w:r>
      <w:r>
        <w:rPr/>
        <w:t>。 </w:t>
      </w:r>
      <w:r>
        <w:rPr>
          <w:spacing w:val="-2"/>
        </w:rPr>
        <w:t>对于无需提供安装调试的集成购销业务，公司根据合同的约定，在主要风险和报酬已转移给买方，不再保留与之相联系</w:t>
      </w:r>
    </w:p>
    <w:p>
      <w:pPr>
        <w:pStyle w:val="BodyText"/>
        <w:spacing w:line="240" w:lineRule="auto" w:before="74"/>
        <w:ind w:right="0"/>
        <w:jc w:val="left"/>
      </w:pPr>
      <w:r>
        <w:rPr/>
        <w:t>的继续管理权和控制权，取得了买方的收货确认单据，相关成本能够可靠地计量时，一次性确认收入。</w:t>
      </w:r>
    </w:p>
    <w:p>
      <w:pPr>
        <w:spacing w:line="240" w:lineRule="auto" w:before="10"/>
        <w:rPr>
          <w:rFonts w:ascii="宋体" w:hAnsi="宋体" w:cs="宋体" w:eastAsia="宋体" w:hint="default"/>
          <w:sz w:val="17"/>
          <w:szCs w:val="17"/>
        </w:rPr>
      </w:pPr>
    </w:p>
    <w:p>
      <w:pPr>
        <w:pStyle w:val="BodyText"/>
        <w:spacing w:line="451" w:lineRule="auto"/>
        <w:ind w:left="1494" w:right="4812"/>
        <w:jc w:val="left"/>
      </w:pPr>
      <w:r>
        <w:rPr/>
        <w:t>（</w:t>
      </w:r>
      <w:r>
        <w:rPr>
          <w:rFonts w:ascii="Times New Roman" w:hAnsi="Times New Roman" w:cs="Times New Roman" w:eastAsia="Times New Roman" w:hint="default"/>
        </w:rPr>
        <w:t>4</w:t>
      </w:r>
      <w:r>
        <w:rPr/>
        <w:t>）移动端游戏收入： 公司目前的移动游戏分为联机游戏和单机游戏，其中以联机游戏为主。</w:t>
      </w:r>
    </w:p>
    <w:p>
      <w:pPr>
        <w:pStyle w:val="BodyText"/>
        <w:spacing w:line="451" w:lineRule="auto" w:before="74"/>
        <w:ind w:left="1493" w:right="0"/>
        <w:jc w:val="left"/>
      </w:pPr>
      <w:r>
        <w:rPr/>
        <w:t>①联机游戏目前采用</w:t>
      </w:r>
      <w:r>
        <w:rPr>
          <w:rFonts w:ascii="Times New Roman" w:hAnsi="Times New Roman" w:cs="Times New Roman" w:eastAsia="Times New Roman" w:hint="default"/>
        </w:rPr>
        <w:t>“</w:t>
      </w:r>
      <w:r>
        <w:rPr/>
        <w:t>游戏基础功能免费、部分道具收费</w:t>
      </w:r>
      <w:r>
        <w:rPr>
          <w:rFonts w:ascii="Times New Roman" w:hAnsi="Times New Roman" w:cs="Times New Roman" w:eastAsia="Times New Roman" w:hint="default"/>
        </w:rPr>
        <w:t>”</w:t>
      </w:r>
      <w:r>
        <w:rPr/>
        <w:t>的运营模式。 </w:t>
      </w:r>
      <w:r>
        <w:rPr>
          <w:spacing w:val="-2"/>
        </w:rPr>
        <w:t>月末与合作方对账确认后，以协议约定的分成比例为基础，在玩家实际使用付费获得的游戏内货币购买道具及其他合理</w:t>
      </w:r>
    </w:p>
    <w:p>
      <w:pPr>
        <w:pStyle w:val="BodyText"/>
        <w:spacing w:line="240" w:lineRule="auto" w:before="74"/>
        <w:ind w:right="0"/>
        <w:jc w:val="left"/>
      </w:pPr>
      <w:r>
        <w:rPr/>
        <w:t>方式确认收入。</w:t>
      </w:r>
    </w:p>
    <w:p>
      <w:pPr>
        <w:spacing w:line="240" w:lineRule="auto" w:before="10"/>
        <w:rPr>
          <w:rFonts w:ascii="宋体" w:hAnsi="宋体" w:cs="宋体" w:eastAsia="宋体" w:hint="default"/>
          <w:sz w:val="17"/>
          <w:szCs w:val="17"/>
        </w:rPr>
      </w:pPr>
    </w:p>
    <w:p>
      <w:pPr>
        <w:pStyle w:val="BodyText"/>
        <w:spacing w:line="240" w:lineRule="auto"/>
        <w:ind w:left="1493" w:right="0"/>
        <w:jc w:val="left"/>
      </w:pPr>
      <w:r>
        <w:rPr/>
        <w:t>②单机游戏目前采用</w:t>
      </w:r>
      <w:r>
        <w:rPr>
          <w:rFonts w:ascii="Times New Roman" w:hAnsi="Times New Roman" w:cs="Times New Roman" w:eastAsia="Times New Roman" w:hint="default"/>
        </w:rPr>
        <w:t>“</w:t>
      </w:r>
      <w:r>
        <w:rPr/>
        <w:t>下载一次性收费</w:t>
      </w:r>
      <w:r>
        <w:rPr>
          <w:rFonts w:ascii="Times New Roman" w:hAnsi="Times New Roman" w:cs="Times New Roman" w:eastAsia="Times New Roman" w:hint="default"/>
        </w:rPr>
        <w:t>”</w:t>
      </w:r>
      <w:r>
        <w:rPr/>
        <w:t>模式，在玩家下载游戏并确认付费时确认收入。</w:t>
      </w:r>
    </w:p>
    <w:p>
      <w:pPr>
        <w:spacing w:line="240" w:lineRule="auto" w:before="9"/>
        <w:rPr>
          <w:rFonts w:ascii="宋体" w:hAnsi="宋体" w:cs="宋体" w:eastAsia="宋体" w:hint="default"/>
          <w:sz w:val="16"/>
          <w:szCs w:val="16"/>
        </w:rPr>
      </w:pPr>
    </w:p>
    <w:p>
      <w:pPr>
        <w:pStyle w:val="Heading4"/>
        <w:spacing w:line="240" w:lineRule="auto"/>
        <w:ind w:right="0"/>
        <w:jc w:val="left"/>
        <w:rPr>
          <w:b w:val="0"/>
          <w:bCs w:val="0"/>
        </w:rPr>
      </w:pPr>
      <w:r>
        <w:rPr>
          <w:rFonts w:ascii="Times New Roman" w:hAnsi="Times New Roman" w:cs="Times New Roman" w:eastAsia="Times New Roman" w:hint="default"/>
        </w:rPr>
        <w:t>2</w:t>
      </w:r>
      <w:r>
        <w:rPr/>
        <w:t>、上述交易如交易结果不能够可靠估计的，分别下列情况处理：</w:t>
      </w:r>
      <w:r>
        <w:rPr>
          <w:b w:val="0"/>
          <w:bCs w:val="0"/>
        </w:rPr>
      </w:r>
    </w:p>
    <w:p>
      <w:pPr>
        <w:spacing w:line="240" w:lineRule="auto" w:before="9"/>
        <w:rPr>
          <w:rFonts w:ascii="宋体" w:hAnsi="宋体" w:cs="宋体" w:eastAsia="宋体" w:hint="default"/>
          <w:b/>
          <w:bCs/>
          <w:sz w:val="16"/>
          <w:szCs w:val="16"/>
        </w:rPr>
      </w:pPr>
    </w:p>
    <w:p>
      <w:pPr>
        <w:pStyle w:val="BodyText"/>
        <w:spacing w:line="240" w:lineRule="auto"/>
        <w:ind w:left="1493" w:right="0"/>
        <w:jc w:val="left"/>
      </w:pPr>
      <w:r>
        <w:rPr/>
        <w:t>（</w:t>
      </w:r>
      <w:r>
        <w:rPr>
          <w:rFonts w:ascii="Times New Roman" w:hAnsi="Times New Roman" w:cs="Times New Roman" w:eastAsia="Times New Roman" w:hint="default"/>
        </w:rPr>
        <w:t>1</w:t>
      </w:r>
      <w:r>
        <w:rPr/>
        <w:t>）已经发生的成本预计能够得到补偿的，按照已经发生的成本金额确认收入，并按相同金额结转成本。</w:t>
      </w:r>
    </w:p>
    <w:p>
      <w:pPr>
        <w:spacing w:after="0" w:line="240"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494" w:right="0"/>
        <w:jc w:val="left"/>
      </w:pPr>
      <w:r>
        <w:rPr/>
        <w:t>（</w:t>
      </w:r>
      <w:r>
        <w:rPr>
          <w:rFonts w:ascii="Times New Roman" w:hAnsi="Times New Roman" w:cs="Times New Roman" w:eastAsia="Times New Roman" w:hint="default"/>
        </w:rPr>
        <w:t>2</w:t>
      </w:r>
      <w:r>
        <w:rPr/>
        <w:t>）已经发生的成本预计不能够得到补偿的，将已经发生的成本计入当期损益，不确认收入。</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3" w:right="0"/>
        <w:jc w:val="both"/>
        <w:rPr>
          <w:b w:val="0"/>
          <w:bCs w:val="0"/>
        </w:rPr>
      </w:pPr>
      <w:bookmarkStart w:name="29、政府补助" w:id="209"/>
      <w:bookmarkEnd w:id="209"/>
      <w:r>
        <w:rPr>
          <w:b w:val="0"/>
          <w:bCs w:val="0"/>
        </w:rPr>
      </w:r>
      <w:r>
        <w:rPr>
          <w:rFonts w:ascii="Times New Roman" w:hAnsi="Times New Roman" w:cs="Times New Roman" w:eastAsia="Times New Roman" w:hint="default"/>
        </w:rPr>
        <w:t>29</w:t>
      </w:r>
      <w:r>
        <w:rPr/>
        <w:t>、政府补助</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bookmarkStart w:name="（1）与资产相关的政府补助判断依据及会计处理方法" w:id="210"/>
      <w:bookmarkEnd w:id="210"/>
      <w:r>
        <w:rPr>
          <w:b w:val="0"/>
          <w:bCs w:val="0"/>
        </w:rPr>
      </w:r>
      <w:r>
        <w:rPr/>
        <w:t>（</w:t>
      </w:r>
      <w:r>
        <w:rPr>
          <w:rFonts w:ascii="Times New Roman" w:hAnsi="Times New Roman" w:cs="Times New Roman" w:eastAsia="Times New Roman" w:hint="default"/>
        </w:rPr>
        <w:t>1</w:t>
      </w:r>
      <w:r>
        <w:rPr/>
        <w:t>）与资产相关的政府补助判断依据及会计处理方法</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134" w:right="1131" w:firstLine="360"/>
        <w:jc w:val="both"/>
      </w:pPr>
      <w:r>
        <w:rPr>
          <w:spacing w:val="-5"/>
        </w:rPr>
        <w:t>与资产相关的政府补助，是指本公司取得的、用于购建或以其他方式形成长期资产的政府补助。与资产相关的政府补助，</w:t>
      </w:r>
      <w:r>
        <w:rPr/>
        <w:t> </w:t>
      </w:r>
      <w:r>
        <w:rPr>
          <w:spacing w:val="-2"/>
        </w:rPr>
        <w:t>在实际收到或者获得了收取政府补助的权利并基本确定能收到时冲减相关资产账面价值或确认为递延收益。确认为递延收益</w:t>
      </w:r>
      <w:r>
        <w:rPr>
          <w:spacing w:val="-64"/>
        </w:rPr>
        <w:t> </w:t>
      </w:r>
      <w:r>
        <w:rPr>
          <w:spacing w:val="-64"/>
        </w:rPr>
      </w:r>
      <w:r>
        <w:rPr>
          <w:spacing w:val="-2"/>
        </w:rPr>
        <w:t>的，按照所建造或购买的资产使用年限分期计入当期损益（与本公司日常活动相关的，计入其他收益；与本公司日常活动无</w:t>
      </w:r>
      <w:r>
        <w:rPr>
          <w:spacing w:val="-66"/>
        </w:rPr>
        <w:t> </w:t>
      </w:r>
      <w:r>
        <w:rPr>
          <w:spacing w:val="-66"/>
        </w:rPr>
      </w:r>
      <w:r>
        <w:rPr/>
        <w:t>关的，计入营业外收入）。</w:t>
      </w:r>
    </w:p>
    <w:p>
      <w:pPr>
        <w:pStyle w:val="BodyText"/>
        <w:spacing w:line="477" w:lineRule="auto" w:before="54"/>
        <w:ind w:left="1134" w:right="1130" w:firstLine="360"/>
        <w:jc w:val="both"/>
      </w:pPr>
      <w:r>
        <w:rPr>
          <w:spacing w:val="-2"/>
        </w:rPr>
        <w:t>与资产相关的政府补助，冲减相关资产账面价值或确认为递延收益。确认为递延收益的，在相关资产使用寿命内按照合</w:t>
      </w:r>
      <w:r>
        <w:rPr/>
        <w:t> </w:t>
      </w:r>
      <w:r>
        <w:rPr>
          <w:spacing w:val="-8"/>
        </w:rPr>
        <w:t>理、系统的方法分期计入当期损益（与本公司日常活动相关的，计入其他收益；与本公司日常活动无关的，计入营业外收入）。</w:t>
      </w:r>
    </w:p>
    <w:p>
      <w:pPr>
        <w:spacing w:line="240" w:lineRule="auto" w:before="3"/>
        <w:rPr>
          <w:rFonts w:ascii="宋体" w:hAnsi="宋体" w:cs="宋体" w:eastAsia="宋体" w:hint="default"/>
          <w:sz w:val="19"/>
          <w:szCs w:val="19"/>
        </w:rPr>
      </w:pPr>
    </w:p>
    <w:p>
      <w:pPr>
        <w:pStyle w:val="Heading3"/>
        <w:spacing w:line="240" w:lineRule="auto"/>
        <w:ind w:right="0"/>
        <w:jc w:val="both"/>
        <w:rPr>
          <w:b w:val="0"/>
          <w:bCs w:val="0"/>
        </w:rPr>
      </w:pPr>
      <w:bookmarkStart w:name="（2）与收益相关的政府补助判断依据及会计处理方法" w:id="211"/>
      <w:bookmarkEnd w:id="211"/>
      <w:r>
        <w:rPr>
          <w:b w:val="0"/>
          <w:bCs w:val="0"/>
        </w:rPr>
      </w:r>
      <w:r>
        <w:rPr/>
        <w:t>（</w:t>
      </w:r>
      <w:r>
        <w:rPr>
          <w:rFonts w:ascii="Times New Roman" w:hAnsi="Times New Roman" w:cs="Times New Roman" w:eastAsia="Times New Roman" w:hint="default"/>
        </w:rPr>
        <w:t>2</w:t>
      </w:r>
      <w:r>
        <w:rPr/>
        <w:t>）与收益相关的政府补助判断依据及会计处理方法</w:t>
      </w:r>
      <w:r>
        <w:rPr>
          <w:b w:val="0"/>
          <w:bCs w:val="0"/>
        </w:rPr>
      </w:r>
    </w:p>
    <w:p>
      <w:pPr>
        <w:spacing w:line="240" w:lineRule="auto" w:before="6"/>
        <w:rPr>
          <w:rFonts w:ascii="宋体" w:hAnsi="宋体" w:cs="宋体" w:eastAsia="宋体" w:hint="default"/>
          <w:b/>
          <w:bCs/>
          <w:sz w:val="32"/>
          <w:szCs w:val="32"/>
        </w:rPr>
      </w:pPr>
    </w:p>
    <w:p>
      <w:pPr>
        <w:pStyle w:val="BodyText"/>
        <w:spacing w:line="468" w:lineRule="auto"/>
        <w:ind w:left="1134" w:right="1130" w:firstLine="360"/>
        <w:jc w:val="both"/>
      </w:pPr>
      <w:r>
        <w:rPr>
          <w:spacing w:val="-2"/>
        </w:rPr>
        <w:t>与收益相关的政府补助，是指除与资产相关的政府补助之外的政府补助。与收益相关的政府补助，在实际收到或者获得</w:t>
      </w:r>
      <w:r>
        <w:rPr/>
        <w:t> 了收取政府补助的权利并基本确定能收到时予以确认。其中：（</w:t>
      </w:r>
      <w:r>
        <w:rPr>
          <w:rFonts w:ascii="Times New Roman" w:hAnsi="Times New Roman" w:cs="Times New Roman" w:eastAsia="Times New Roman" w:hint="default"/>
        </w:rPr>
        <w:t>1</w:t>
      </w:r>
      <w:r>
        <w:rPr/>
        <w:t>）用于补偿企业以后期间的相关费用或损失的，取得时确</w:t>
      </w:r>
      <w:r>
        <w:rPr>
          <w:spacing w:val="-82"/>
        </w:rPr>
        <w:t> </w:t>
      </w:r>
      <w:r>
        <w:rPr>
          <w:spacing w:val="-82"/>
        </w:rPr>
      </w:r>
      <w:r>
        <w:rPr>
          <w:spacing w:val="-5"/>
        </w:rPr>
        <w:t>认为递延收益，在确认相关费用的期间计入当期损益（与本公司日常活动相关的，计入其他收益；与本公司日常活动无关的，</w:t>
      </w:r>
      <w:r>
        <w:rPr>
          <w:spacing w:val="-82"/>
        </w:rPr>
        <w:t> </w:t>
      </w:r>
      <w:r>
        <w:rPr>
          <w:spacing w:val="-82"/>
        </w:rPr>
      </w:r>
      <w:r>
        <w:rPr/>
        <w:t>计入营业外收入）或冲减相关成本费用或损失；（</w:t>
      </w:r>
      <w:r>
        <w:rPr>
          <w:rFonts w:ascii="Times New Roman" w:hAnsi="Times New Roman" w:cs="Times New Roman" w:eastAsia="Times New Roman" w:hint="default"/>
        </w:rPr>
        <w:t>2</w:t>
      </w:r>
      <w:r>
        <w:rPr/>
        <w:t>）用于补偿企业已发生的相关费用或损失的，取得时直接计入当期损益</w:t>
      </w:r>
    </w:p>
    <w:p>
      <w:pPr>
        <w:pStyle w:val="BodyText"/>
        <w:spacing w:line="477" w:lineRule="auto" w:before="29"/>
        <w:ind w:left="1493" w:right="0" w:hanging="360"/>
        <w:jc w:val="left"/>
      </w:pPr>
      <w:r>
        <w:rPr/>
        <w:t>（与本公司日常活动相关的，计入其他收益；与本公司日常活动无关的，计入营业外收入）或冲减相关成本费用或损失。 </w:t>
      </w:r>
      <w:r>
        <w:rPr>
          <w:spacing w:val="-2"/>
        </w:rPr>
        <w:t>与收益相关的政府补助，用于补偿本公司以后期间的相关成本费用或损失的，确认为递延收益，并在确认相关成本费用</w:t>
      </w:r>
    </w:p>
    <w:p>
      <w:pPr>
        <w:pStyle w:val="BodyText"/>
        <w:spacing w:line="477" w:lineRule="auto" w:before="54"/>
        <w:ind w:right="1130"/>
        <w:jc w:val="both"/>
      </w:pPr>
      <w:r>
        <w:rPr>
          <w:spacing w:val="-2"/>
        </w:rPr>
        <w:t>或损失的期间，计入当期损益（与本公司日常活动相关的，计入其他收益；与本公司日常活动无关的，计入营业外收入）或</w:t>
      </w:r>
      <w:r>
        <w:rPr>
          <w:spacing w:val="-67"/>
        </w:rPr>
        <w:t> </w:t>
      </w:r>
      <w:r>
        <w:rPr>
          <w:spacing w:val="-67"/>
        </w:rPr>
      </w:r>
      <w:r>
        <w:rPr>
          <w:spacing w:val="-5"/>
        </w:rPr>
        <w:t>冲减相关成本费用或损失；用于补偿本公司已发生的相关成本费用或损失的，直接计入当期损益（与本公司日常活动相关的，</w:t>
      </w:r>
      <w:r>
        <w:rPr>
          <w:spacing w:val="-79"/>
        </w:rPr>
        <w:t> </w:t>
      </w:r>
      <w:r>
        <w:rPr>
          <w:spacing w:val="-79"/>
        </w:rPr>
      </w:r>
      <w:r>
        <w:rPr/>
        <w:t>计入其他收益；与本公司日常活动无关的，计入营业外收入）或冲减相关成本费用或损失。</w:t>
      </w:r>
    </w:p>
    <w:p>
      <w:pPr>
        <w:spacing w:line="240" w:lineRule="auto" w:before="3"/>
        <w:rPr>
          <w:rFonts w:ascii="宋体" w:hAnsi="宋体" w:cs="宋体" w:eastAsia="宋体" w:hint="default"/>
          <w:sz w:val="19"/>
          <w:szCs w:val="19"/>
        </w:rPr>
      </w:pPr>
    </w:p>
    <w:p>
      <w:pPr>
        <w:pStyle w:val="Heading3"/>
        <w:spacing w:line="240" w:lineRule="auto"/>
        <w:ind w:left="1133" w:right="0"/>
        <w:jc w:val="both"/>
        <w:rPr>
          <w:b w:val="0"/>
          <w:bCs w:val="0"/>
        </w:rPr>
      </w:pPr>
      <w:bookmarkStart w:name="30、递延所得税资产/递延所得税负债" w:id="212"/>
      <w:bookmarkEnd w:id="212"/>
      <w:r>
        <w:rPr>
          <w:b w:val="0"/>
          <w:bCs w:val="0"/>
        </w:rPr>
      </w:r>
      <w:r>
        <w:rPr>
          <w:rFonts w:ascii="Times New Roman" w:hAnsi="Times New Roman" w:cs="Times New Roman" w:eastAsia="Times New Roman" w:hint="default"/>
        </w:rPr>
        <w:t>30</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0" w:firstLine="360"/>
        <w:jc w:val="left"/>
      </w:pPr>
      <w:r>
        <w:rPr>
          <w:spacing w:val="-2"/>
        </w:rPr>
        <w:t>对于可抵扣暂时性差异确认递延所得税资产，以未来期间很可能取得的用来抵扣可抵扣暂时性差异的应纳税所得额为限。</w:t>
      </w:r>
      <w:r>
        <w:rPr/>
        <w:t> 对于能够结转以后年度的可抵扣亏损和税款抵减，以很可能获得用来抵扣可抵扣亏损和税款抵减的未来应纳税所得额为限，</w:t>
      </w:r>
      <w:r>
        <w:rPr>
          <w:spacing w:val="-85"/>
        </w:rPr>
        <w:t> </w:t>
      </w:r>
      <w:r>
        <w:rPr>
          <w:spacing w:val="-85"/>
        </w:rPr>
      </w:r>
      <w:r>
        <w:rPr/>
        <w:t>确认相应的递延所得税资产。</w:t>
      </w:r>
    </w:p>
    <w:p>
      <w:pPr>
        <w:pStyle w:val="BodyText"/>
        <w:spacing w:line="477" w:lineRule="auto" w:before="54"/>
        <w:ind w:left="1493" w:right="0"/>
        <w:jc w:val="left"/>
      </w:pPr>
      <w:r>
        <w:rPr/>
        <w:t>对于应纳税暂时性差异，除特殊情况外，确认递延所得税负债。 </w:t>
      </w:r>
      <w:r>
        <w:rPr>
          <w:spacing w:val="-2"/>
        </w:rPr>
        <w:t>不确认递延所得税资产或递延所得税负债的特殊情况包括：商誉的初始确认；除企业合并以外的发生时既不影响会计利</w:t>
      </w:r>
    </w:p>
    <w:p>
      <w:pPr>
        <w:pStyle w:val="BodyText"/>
        <w:spacing w:line="240" w:lineRule="auto" w:before="54"/>
        <w:ind w:right="0"/>
        <w:jc w:val="both"/>
      </w:pPr>
      <w:r>
        <w:rPr/>
        <w:t>润也不影响应纳税所得额（或可抵扣亏损）的其他交易或事项。</w:t>
      </w:r>
    </w:p>
    <w:p>
      <w:pPr>
        <w:spacing w:after="0" w:line="240"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134" w:right="1133" w:firstLine="360"/>
        <w:jc w:val="both"/>
      </w:pPr>
      <w:r>
        <w:rPr>
          <w:spacing w:val="-2"/>
        </w:rPr>
        <w:t>当拥有以净额结算的法定权利，且意图以净额结算或取得资产、清偿负债同时进行时，当期所得税资产及当期所得税负</w:t>
      </w:r>
      <w:r>
        <w:rPr/>
        <w:t> 债以抵销后的净额列报。</w:t>
      </w:r>
    </w:p>
    <w:p>
      <w:pPr>
        <w:pStyle w:val="BodyText"/>
        <w:spacing w:line="477" w:lineRule="auto" w:before="54"/>
        <w:ind w:left="1134" w:right="1131" w:firstLine="360"/>
        <w:jc w:val="both"/>
      </w:pPr>
      <w:r>
        <w:rPr>
          <w:spacing w:val="-2"/>
        </w:rPr>
        <w:t>当拥有以净额结算当期所得税资产及当期所得税负债的法定权利，且递延所得税资产及递延所得税负债是与同一税收征</w:t>
      </w:r>
      <w:r>
        <w:rPr/>
        <w:t> </w:t>
      </w:r>
      <w:r>
        <w:rPr>
          <w:spacing w:val="-2"/>
        </w:rPr>
        <w:t>管部门对同一纳税主体征收的所得税相关或者是对不同的纳税主体相关，但在未来每一具有重要性的递延所得税资产及负债</w:t>
      </w:r>
      <w:r>
        <w:rPr>
          <w:spacing w:val="-64"/>
        </w:rPr>
        <w:t> </w:t>
      </w:r>
      <w:r>
        <w:rPr>
          <w:spacing w:val="-64"/>
        </w:rPr>
      </w:r>
      <w:r>
        <w:rPr>
          <w:spacing w:val="-2"/>
        </w:rPr>
        <w:t>转回的期间内，涉及的纳税主体意图以净额结算当期所得税资产和负债或是同时取得资产、清偿负债时，递延所得税资产及</w:t>
      </w:r>
      <w:r>
        <w:rPr>
          <w:spacing w:val="-66"/>
        </w:rPr>
        <w:t> </w:t>
      </w:r>
      <w:r>
        <w:rPr>
          <w:spacing w:val="-66"/>
        </w:rPr>
      </w:r>
      <w:r>
        <w:rPr/>
        <w:t>递延所得税负债以抵销后的净额列报。</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31、租赁" w:id="213"/>
      <w:bookmarkEnd w:id="213"/>
      <w:r>
        <w:rPr>
          <w:b w:val="0"/>
          <w:bCs w:val="0"/>
        </w:rPr>
      </w:r>
      <w:r>
        <w:rPr>
          <w:rFonts w:ascii="Times New Roman" w:hAnsi="Times New Roman" w:cs="Times New Roman" w:eastAsia="Times New Roman" w:hint="default"/>
        </w:rPr>
        <w:t>31</w:t>
      </w:r>
      <w:r>
        <w:rPr/>
        <w:t>、租赁</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经营租赁的会计处理方法" w:id="214"/>
      <w:bookmarkEnd w:id="214"/>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1134" w:right="1131" w:firstLine="360"/>
        <w:jc w:val="both"/>
      </w:pPr>
      <w:r>
        <w:rPr/>
        <w:t>（</w:t>
      </w:r>
      <w:r>
        <w:rPr>
          <w:rFonts w:ascii="Times New Roman" w:hAnsi="Times New Roman" w:cs="Times New Roman" w:eastAsia="Times New Roman" w:hint="default"/>
        </w:rPr>
        <w:t>1</w:t>
      </w:r>
      <w:r>
        <w:rPr/>
        <w:t>）公司租入资产所支付的租赁费，在不扣除免租期的整个租赁期内，按直线法进行分摊，计入当期费用。公司支付 的与租赁交易相关的初始直接费用，计入当期费用。</w:t>
      </w:r>
    </w:p>
    <w:p>
      <w:pPr>
        <w:pStyle w:val="BodyText"/>
        <w:spacing w:line="477" w:lineRule="auto" w:before="74"/>
        <w:ind w:left="1134" w:right="1132" w:firstLine="360"/>
        <w:jc w:val="both"/>
      </w:pPr>
      <w:r>
        <w:rPr>
          <w:spacing w:val="-2"/>
        </w:rPr>
        <w:t>资产出租方承担了应由公司承担的与租赁相关的费用时，公司将该部分费用从租金总额中扣除，按扣除后的租金费用在</w:t>
      </w:r>
      <w:r>
        <w:rPr/>
        <w:t> 租赁期内分摊，计入当期费用。</w:t>
      </w:r>
    </w:p>
    <w:p>
      <w:pPr>
        <w:pStyle w:val="BodyText"/>
        <w:spacing w:line="463" w:lineRule="auto" w:before="54"/>
        <w:ind w:left="1134" w:right="1130" w:firstLine="360"/>
        <w:jc w:val="both"/>
      </w:pPr>
      <w:r>
        <w:rPr/>
        <w:t>（</w:t>
      </w:r>
      <w:r>
        <w:rPr>
          <w:rFonts w:ascii="Times New Roman" w:hAnsi="Times New Roman" w:cs="Times New Roman" w:eastAsia="Times New Roman" w:hint="default"/>
        </w:rPr>
        <w:t>2</w:t>
      </w:r>
      <w:r>
        <w:rPr/>
        <w:t>）公司出租资产所收取的租赁费，在不扣除免租期的整个租赁期内，按直线法进行分摊，确认为租赁相关收入。公 </w:t>
      </w:r>
      <w:r>
        <w:rPr>
          <w:spacing w:val="-2"/>
        </w:rPr>
        <w:t>司支付的与租赁交易相关的初始直接费用，计入当期费用；如金额较大的，则予以资本化，在整个租赁期间内按照与租赁相</w:t>
      </w:r>
      <w:r>
        <w:rPr>
          <w:spacing w:val="-66"/>
        </w:rPr>
        <w:t> </w:t>
      </w:r>
      <w:r>
        <w:rPr>
          <w:spacing w:val="-66"/>
        </w:rPr>
      </w:r>
      <w:r>
        <w:rPr/>
        <w:t>关收入确认相同的基础分期计入当期收益。</w:t>
      </w:r>
    </w:p>
    <w:p>
      <w:pPr>
        <w:pStyle w:val="BodyText"/>
        <w:spacing w:line="477" w:lineRule="auto" w:before="65"/>
        <w:ind w:left="1134" w:right="1132" w:firstLine="360"/>
        <w:jc w:val="both"/>
      </w:pPr>
      <w:r>
        <w:rPr>
          <w:spacing w:val="-2"/>
        </w:rPr>
        <w:t>公司承担了应由承租方承担的与租赁相关的费用时，公司将该部分费用从租金收入总额中扣除，按扣除后的租金费用在</w:t>
      </w:r>
      <w:r>
        <w:rPr/>
        <w:t> 租赁期内分配。</w:t>
      </w:r>
    </w:p>
    <w:p>
      <w:pPr>
        <w:spacing w:line="240" w:lineRule="auto" w:before="3"/>
        <w:rPr>
          <w:rFonts w:ascii="宋体" w:hAnsi="宋体" w:cs="宋体" w:eastAsia="宋体" w:hint="default"/>
          <w:sz w:val="19"/>
          <w:szCs w:val="19"/>
        </w:rPr>
      </w:pPr>
    </w:p>
    <w:p>
      <w:pPr>
        <w:pStyle w:val="Heading3"/>
        <w:spacing w:line="240" w:lineRule="auto"/>
        <w:ind w:right="0"/>
        <w:jc w:val="left"/>
        <w:rPr>
          <w:b w:val="0"/>
          <w:bCs w:val="0"/>
        </w:rPr>
      </w:pPr>
      <w:bookmarkStart w:name="（2）融资租赁的会计处理方法" w:id="215"/>
      <w:bookmarkEnd w:id="215"/>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6"/>
        <w:rPr>
          <w:rFonts w:ascii="宋体" w:hAnsi="宋体" w:cs="宋体" w:eastAsia="宋体" w:hint="default"/>
          <w:b/>
          <w:bCs/>
          <w:sz w:val="32"/>
          <w:szCs w:val="32"/>
        </w:rPr>
      </w:pPr>
    </w:p>
    <w:p>
      <w:pPr>
        <w:pStyle w:val="BodyText"/>
        <w:spacing w:line="463" w:lineRule="auto"/>
        <w:ind w:left="1134" w:right="1131" w:firstLine="360"/>
        <w:jc w:val="both"/>
      </w:pPr>
      <w:r>
        <w:rPr/>
        <w:t>（</w:t>
      </w:r>
      <w:r>
        <w:rPr>
          <w:rFonts w:ascii="Times New Roman" w:hAnsi="Times New Roman" w:cs="Times New Roman" w:eastAsia="Times New Roman" w:hint="default"/>
        </w:rPr>
        <w:t>1</w:t>
      </w:r>
      <w:r>
        <w:rPr/>
        <w:t>）融资租入资产：公司在承租开始日，将租赁资产公允价值与最低租赁付款额现值两者中较低者作为租入资产的入 </w:t>
      </w:r>
      <w:r>
        <w:rPr>
          <w:spacing w:val="-2"/>
        </w:rPr>
        <w:t>账价值，将最低租赁付款额作为长期应付款的入账价值，其差额作为未确认的融资费用。公司采用实际利率法对未确认的融</w:t>
      </w:r>
      <w:r>
        <w:rPr>
          <w:spacing w:val="-66"/>
        </w:rPr>
        <w:t> </w:t>
      </w:r>
      <w:r>
        <w:rPr>
          <w:spacing w:val="-66"/>
        </w:rPr>
      </w:r>
      <w:r>
        <w:rPr/>
        <w:t>资费用，在资产租赁期间内摊销，计入财务费用。公司发生的初始直接费用，计入租入资产价值。</w:t>
      </w:r>
    </w:p>
    <w:p>
      <w:pPr>
        <w:pStyle w:val="BodyText"/>
        <w:spacing w:line="463" w:lineRule="auto" w:before="65"/>
        <w:ind w:left="1134" w:right="1132" w:firstLine="360"/>
        <w:jc w:val="both"/>
      </w:pPr>
      <w:r>
        <w:rPr>
          <w:spacing w:val="-4"/>
        </w:rPr>
        <w:t>（</w:t>
      </w:r>
      <w:r>
        <w:rPr>
          <w:rFonts w:ascii="Times New Roman" w:hAnsi="Times New Roman" w:cs="Times New Roman" w:eastAsia="Times New Roman" w:hint="default"/>
          <w:spacing w:val="-4"/>
        </w:rPr>
        <w:t>2</w:t>
      </w:r>
      <w:r>
        <w:rPr>
          <w:spacing w:val="-4"/>
        </w:rPr>
        <w:t>）融资租出资产：公司在租赁开始日，将应收融资租赁款，未担保余值之和与其现值的差额确认为未实现融资收益，</w:t>
      </w:r>
      <w:r>
        <w:rPr/>
        <w:t> </w:t>
      </w:r>
      <w:r>
        <w:rPr>
          <w:spacing w:val="-2"/>
        </w:rPr>
        <w:t>在将来收到租金的各期间内确认为租赁收入。公司发生的与出租交易相关的初始直接费用，计入应收融资租赁款的初始计量</w:t>
      </w:r>
      <w:r>
        <w:rPr>
          <w:spacing w:val="-64"/>
        </w:rPr>
        <w:t> </w:t>
      </w:r>
      <w:r>
        <w:rPr>
          <w:spacing w:val="-64"/>
        </w:rPr>
      </w:r>
      <w:r>
        <w:rPr/>
        <w:t>中，并减少租赁期内确认的收益金额。</w:t>
      </w:r>
    </w:p>
    <w:p>
      <w:pPr>
        <w:spacing w:line="240" w:lineRule="auto" w:before="1"/>
        <w:rPr>
          <w:rFonts w:ascii="宋体" w:hAnsi="宋体" w:cs="宋体" w:eastAsia="宋体" w:hint="default"/>
          <w:sz w:val="20"/>
          <w:szCs w:val="20"/>
        </w:rPr>
      </w:pPr>
    </w:p>
    <w:p>
      <w:pPr>
        <w:pStyle w:val="Heading3"/>
        <w:spacing w:line="240" w:lineRule="auto"/>
        <w:ind w:right="0"/>
        <w:jc w:val="left"/>
        <w:rPr>
          <w:b w:val="0"/>
          <w:bCs w:val="0"/>
        </w:rPr>
      </w:pPr>
      <w:bookmarkStart w:name="32、其他重要的会计政策和会计估计" w:id="216"/>
      <w:bookmarkEnd w:id="216"/>
      <w:r>
        <w:rPr>
          <w:b w:val="0"/>
          <w:bCs w:val="0"/>
        </w:rPr>
      </w:r>
      <w:r>
        <w:rPr>
          <w:rFonts w:ascii="Times New Roman" w:hAnsi="Times New Roman" w:cs="Times New Roman" w:eastAsia="Times New Roman" w:hint="default"/>
        </w:rPr>
        <w:t>32</w:t>
      </w:r>
      <w:r>
        <w:rPr/>
        <w:t>、其他重要的会计政策和会计估计</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33、重要会计政策和会计估计变更" w:id="217"/>
      <w:bookmarkEnd w:id="217"/>
      <w:r>
        <w:rPr>
          <w:b w:val="0"/>
          <w:bCs w:val="0"/>
        </w:rPr>
      </w:r>
      <w:r>
        <w:rPr>
          <w:rFonts w:ascii="Times New Roman" w:hAnsi="Times New Roman" w:cs="Times New Roman" w:eastAsia="Times New Roman" w:hint="default"/>
        </w:rPr>
        <w:t>33</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重要会计政策变更" w:id="218"/>
      <w:bookmarkEnd w:id="218"/>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13"/>
        <w:rPr>
          <w:rFonts w:ascii="宋体" w:hAnsi="宋体" w:cs="宋体" w:eastAsia="宋体" w:hint="default"/>
          <w:sz w:val="6"/>
          <w:szCs w:val="6"/>
        </w:rPr>
      </w:pPr>
    </w:p>
    <w:tbl>
      <w:tblPr>
        <w:tblW w:w="0" w:type="auto"/>
        <w:jc w:val="left"/>
        <w:tblInd w:w="1101" w:type="dxa"/>
        <w:tblLayout w:type="fixed"/>
        <w:tblCellMar>
          <w:top w:w="0" w:type="dxa"/>
          <w:left w:w="0" w:type="dxa"/>
          <w:bottom w:w="0" w:type="dxa"/>
          <w:right w:w="0" w:type="dxa"/>
        </w:tblCellMar>
        <w:tblLook w:val="01E0"/>
      </w:tblPr>
      <w:tblGrid>
        <w:gridCol w:w="4201"/>
        <w:gridCol w:w="5494"/>
      </w:tblGrid>
      <w:tr>
        <w:trPr>
          <w:trHeight w:val="401" w:hRule="exact"/>
        </w:trPr>
        <w:tc>
          <w:tcPr>
            <w:tcW w:w="42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14"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5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r>
      <w:tr>
        <w:trPr>
          <w:trHeight w:val="1338" w:hRule="exact"/>
        </w:trPr>
        <w:tc>
          <w:tcPr>
            <w:tcW w:w="4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00" w:lineRule="auto" w:before="129"/>
              <w:ind w:left="22" w:right="22"/>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）与本公司日常活动相关的政府补助，计入其他收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益，不再计入营业外收入。比较数据不调整。</w:t>
            </w:r>
          </w:p>
        </w:tc>
        <w:tc>
          <w:tcPr>
            <w:tcW w:w="5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财政部于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年度修订</w:t>
            </w:r>
            <w:r>
              <w:rPr>
                <w:rFonts w:ascii="宋体" w:hAnsi="宋体" w:cs="宋体" w:eastAsia="宋体" w:hint="default"/>
                <w:spacing w:val="-27"/>
                <w:sz w:val="18"/>
                <w:szCs w:val="18"/>
              </w:rPr>
              <w:t>了</w:t>
            </w:r>
            <w:r>
              <w:rPr>
                <w:rFonts w:ascii="宋体" w:hAnsi="宋体" w:cs="宋体" w:eastAsia="宋体" w:hint="default"/>
                <w:sz w:val="18"/>
                <w:szCs w:val="18"/>
              </w:rPr>
              <w:t>《企业会计准则第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w:t>
            </w:r>
            <w:r>
              <w:rPr>
                <w:rFonts w:ascii="宋体" w:hAnsi="宋体" w:cs="宋体" w:eastAsia="宋体" w:hint="default"/>
                <w:spacing w:val="1"/>
                <w:sz w:val="18"/>
                <w:szCs w:val="18"/>
              </w:rPr>
              <w:t>政</w:t>
            </w:r>
            <w:r>
              <w:rPr>
                <w:rFonts w:ascii="宋体" w:hAnsi="宋体" w:cs="宋体" w:eastAsia="宋体" w:hint="default"/>
                <w:sz w:val="18"/>
                <w:szCs w:val="18"/>
              </w:rPr>
              <w:t>府补助</w:t>
            </w:r>
            <w:r>
              <w:rPr>
                <w:rFonts w:ascii="宋体" w:hAnsi="宋体" w:cs="宋体" w:eastAsia="宋体" w:hint="default"/>
                <w:spacing w:val="-90"/>
                <w:sz w:val="18"/>
                <w:szCs w:val="18"/>
              </w:rPr>
              <w:t>》</w:t>
            </w:r>
            <w:r>
              <w:rPr>
                <w:rFonts w:ascii="宋体" w:hAnsi="宋体" w:cs="宋体" w:eastAsia="宋体" w:hint="default"/>
                <w:spacing w:val="-27"/>
                <w:sz w:val="18"/>
                <w:szCs w:val="18"/>
              </w:rPr>
              <w:t>，</w:t>
            </w:r>
            <w:r>
              <w:rPr>
                <w:rFonts w:ascii="宋体" w:hAnsi="宋体" w:cs="宋体" w:eastAsia="宋体" w:hint="default"/>
                <w:sz w:val="18"/>
                <w:szCs w:val="18"/>
              </w:rPr>
              <w:t>修</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订后的准则自</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pacing w:val="-8"/>
                <w:sz w:val="18"/>
                <w:szCs w:val="18"/>
              </w:rPr>
              <w:t>日起施行，对于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日存在的</w:t>
            </w:r>
          </w:p>
          <w:p>
            <w:pPr>
              <w:pStyle w:val="TableParagraph"/>
              <w:spacing w:line="302" w:lineRule="auto" w:before="63"/>
              <w:ind w:left="22" w:right="22"/>
              <w:jc w:val="left"/>
              <w:rPr>
                <w:rFonts w:ascii="宋体" w:hAnsi="宋体" w:cs="宋体" w:eastAsia="宋体" w:hint="default"/>
                <w:sz w:val="18"/>
                <w:szCs w:val="18"/>
              </w:rPr>
            </w:pPr>
            <w:r>
              <w:rPr>
                <w:rFonts w:ascii="宋体" w:hAnsi="宋体" w:cs="宋体" w:eastAsia="宋体" w:hint="default"/>
                <w:spacing w:val="-3"/>
                <w:sz w:val="18"/>
                <w:szCs w:val="18"/>
              </w:rPr>
              <w:t>政府补助，要求采用未来适用法处理；对于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日至施行日 新增的政府补助，也要求按照修订后的准则进行调整。</w:t>
            </w:r>
          </w:p>
        </w:tc>
      </w:tr>
      <w:tr>
        <w:trPr>
          <w:trHeight w:val="1027" w:hRule="exact"/>
        </w:trPr>
        <w:tc>
          <w:tcPr>
            <w:tcW w:w="420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）在利润表中新增</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资产处置收益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项目，将部分原</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营业外收入</w:t>
            </w:r>
            <w:r>
              <w:rPr>
                <w:rFonts w:ascii="Times New Roman" w:hAnsi="Times New Roman" w:cs="Times New Roman" w:eastAsia="Times New Roman" w:hint="default"/>
                <w:sz w:val="18"/>
                <w:szCs w:val="18"/>
              </w:rPr>
              <w:t>”</w:t>
            </w:r>
            <w:r>
              <w:rPr>
                <w:rFonts w:ascii="宋体" w:hAnsi="宋体" w:cs="宋体" w:eastAsia="宋体" w:hint="default"/>
                <w:sz w:val="18"/>
                <w:szCs w:val="18"/>
              </w:rPr>
              <w:t>的资产处置损益重分类至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资产 处置收益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项目。比较数据相应调整。</w:t>
            </w:r>
          </w:p>
        </w:tc>
        <w:tc>
          <w:tcPr>
            <w:tcW w:w="54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财政部于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年度发布了《财政部关于修订印发一般企业财务报表格</w:t>
            </w:r>
          </w:p>
          <w:p>
            <w:pPr>
              <w:pStyle w:val="TableParagraph"/>
              <w:spacing w:line="302" w:lineRule="auto" w:before="61"/>
              <w:ind w:left="22" w:right="60"/>
              <w:jc w:val="left"/>
              <w:rPr>
                <w:rFonts w:ascii="宋体" w:hAnsi="宋体" w:cs="宋体" w:eastAsia="宋体" w:hint="default"/>
                <w:sz w:val="18"/>
                <w:szCs w:val="18"/>
              </w:rPr>
            </w:pPr>
            <w:r>
              <w:rPr>
                <w:rFonts w:ascii="宋体" w:hAnsi="宋体" w:cs="宋体" w:eastAsia="宋体" w:hint="default"/>
                <w:spacing w:val="-4"/>
                <w:sz w:val="18"/>
                <w:szCs w:val="18"/>
              </w:rPr>
              <w:t>式的通知》，对一般企业财务报表格式进行了修订，适用于</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年度 及以后期间的财务报表。</w:t>
            </w:r>
          </w:p>
        </w:tc>
      </w:tr>
    </w:tbl>
    <w:p>
      <w:pPr>
        <w:pStyle w:val="BodyText"/>
        <w:spacing w:line="240" w:lineRule="auto" w:before="88"/>
        <w:ind w:left="1494" w:right="0"/>
        <w:jc w:val="left"/>
      </w:pPr>
      <w:r>
        <w:rPr/>
        <w:t>本公司执行上述规定的主要影响如下：</w:t>
      </w:r>
    </w:p>
    <w:p>
      <w:pPr>
        <w:spacing w:line="240" w:lineRule="auto" w:before="13"/>
        <w:rPr>
          <w:rFonts w:ascii="宋体" w:hAnsi="宋体" w:cs="宋体" w:eastAsia="宋体" w:hint="default"/>
          <w:sz w:val="10"/>
          <w:szCs w:val="10"/>
        </w:rPr>
      </w:pPr>
    </w:p>
    <w:tbl>
      <w:tblPr>
        <w:tblW w:w="0" w:type="auto"/>
        <w:jc w:val="left"/>
        <w:tblInd w:w="1126" w:type="dxa"/>
        <w:tblLayout w:type="fixed"/>
        <w:tblCellMar>
          <w:top w:w="0" w:type="dxa"/>
          <w:left w:w="0" w:type="dxa"/>
          <w:bottom w:w="0" w:type="dxa"/>
          <w:right w:w="0" w:type="dxa"/>
        </w:tblCellMar>
        <w:tblLook w:val="01E0"/>
      </w:tblPr>
      <w:tblGrid>
        <w:gridCol w:w="5750"/>
        <w:gridCol w:w="3909"/>
      </w:tblGrid>
      <w:tr>
        <w:trPr>
          <w:trHeight w:val="347" w:hRule="exact"/>
        </w:trPr>
        <w:tc>
          <w:tcPr>
            <w:tcW w:w="575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1787"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9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776" w:right="0"/>
              <w:jc w:val="left"/>
              <w:rPr>
                <w:rFonts w:ascii="宋体" w:hAnsi="宋体" w:cs="宋体" w:eastAsia="宋体" w:hint="default"/>
                <w:sz w:val="18"/>
                <w:szCs w:val="18"/>
              </w:rPr>
            </w:pPr>
            <w:r>
              <w:rPr>
                <w:rFonts w:ascii="宋体" w:hAnsi="宋体" w:cs="宋体" w:eastAsia="宋体" w:hint="default"/>
                <w:sz w:val="18"/>
                <w:szCs w:val="18"/>
              </w:rPr>
              <w:t>受影响的报表项目名称和金额</w:t>
            </w:r>
          </w:p>
        </w:tc>
      </w:tr>
      <w:tr>
        <w:trPr>
          <w:trHeight w:val="659" w:hRule="exact"/>
        </w:trPr>
        <w:tc>
          <w:tcPr>
            <w:tcW w:w="575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6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）与本公司日常活动相关的政府补助，计入其他收益，不再计入营业 外收入。比较数据不调整。</w:t>
            </w:r>
          </w:p>
        </w:tc>
        <w:tc>
          <w:tcPr>
            <w:tcW w:w="39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本期其他收益金额为</w:t>
            </w:r>
            <w:r>
              <w:rPr>
                <w:rFonts w:ascii="Times New Roman" w:hAnsi="Times New Roman" w:cs="Times New Roman" w:eastAsia="Times New Roman" w:hint="default"/>
                <w:sz w:val="18"/>
                <w:szCs w:val="18"/>
              </w:rPr>
              <w:t>20,231,587.03</w:t>
            </w:r>
            <w:r>
              <w:rPr>
                <w:rFonts w:ascii="宋体" w:hAnsi="宋体" w:cs="宋体" w:eastAsia="宋体" w:hint="default"/>
                <w:sz w:val="18"/>
                <w:szCs w:val="18"/>
              </w:rPr>
              <w:t>元。</w:t>
            </w:r>
          </w:p>
        </w:tc>
      </w:tr>
      <w:tr>
        <w:trPr>
          <w:trHeight w:val="660" w:hRule="exact"/>
        </w:trPr>
        <w:tc>
          <w:tcPr>
            <w:tcW w:w="575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）在利润表中新增</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资产处置收益</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项目，将部分原列示为</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营业外收入</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22"/>
                <w:sz w:val="18"/>
                <w:szCs w:val="18"/>
              </w:rPr>
              <w:t> </w:t>
            </w:r>
            <w:r>
              <w:rPr>
                <w:rFonts w:ascii="宋体" w:hAnsi="宋体" w:cs="宋体" w:eastAsia="宋体" w:hint="default"/>
                <w:sz w:val="18"/>
                <w:szCs w:val="18"/>
              </w:rPr>
              <w:t>的资产处置损益重分类至</w:t>
            </w:r>
            <w:r>
              <w:rPr>
                <w:rFonts w:ascii="Times New Roman" w:hAnsi="Times New Roman" w:cs="Times New Roman" w:eastAsia="Times New Roman" w:hint="default"/>
                <w:sz w:val="18"/>
                <w:szCs w:val="18"/>
              </w:rPr>
              <w:t>“</w:t>
            </w:r>
            <w:r>
              <w:rPr>
                <w:rFonts w:ascii="宋体" w:hAnsi="宋体" w:cs="宋体" w:eastAsia="宋体" w:hint="default"/>
                <w:sz w:val="18"/>
                <w:szCs w:val="18"/>
              </w:rPr>
              <w:t>资产处置收益</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项目。比较数据相应调整。</w:t>
            </w:r>
          </w:p>
        </w:tc>
        <w:tc>
          <w:tcPr>
            <w:tcW w:w="3909"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9"/>
              <w:jc w:val="left"/>
              <w:rPr>
                <w:rFonts w:ascii="宋体" w:hAnsi="宋体" w:cs="宋体" w:eastAsia="宋体" w:hint="default"/>
                <w:sz w:val="18"/>
                <w:szCs w:val="18"/>
              </w:rPr>
            </w:pPr>
            <w:r>
              <w:rPr>
                <w:rFonts w:ascii="宋体" w:hAnsi="宋体" w:cs="宋体" w:eastAsia="宋体" w:hint="default"/>
                <w:sz w:val="18"/>
                <w:szCs w:val="18"/>
              </w:rPr>
              <w:t>上期营业外收入减少</w:t>
            </w:r>
            <w:r>
              <w:rPr>
                <w:rFonts w:ascii="Times New Roman" w:hAnsi="Times New Roman" w:cs="Times New Roman" w:eastAsia="Times New Roman" w:hint="default"/>
                <w:sz w:val="18"/>
                <w:szCs w:val="18"/>
              </w:rPr>
              <w:t>209,097.37</w:t>
            </w:r>
            <w:r>
              <w:rPr>
                <w:rFonts w:ascii="宋体" w:hAnsi="宋体" w:cs="宋体" w:eastAsia="宋体" w:hint="default"/>
                <w:sz w:val="18"/>
                <w:szCs w:val="18"/>
              </w:rPr>
              <w:t>元，重分类至资产 处置收益。</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重要会计估计变更" w:id="219"/>
      <w:bookmarkEnd w:id="219"/>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34、其他" w:id="220"/>
      <w:bookmarkEnd w:id="220"/>
      <w:r>
        <w:rPr>
          <w:b w:val="0"/>
          <w:bCs w:val="0"/>
        </w:rPr>
      </w:r>
      <w:r>
        <w:rPr>
          <w:rFonts w:ascii="Times New Roman" w:hAnsi="Times New Roman" w:cs="Times New Roman" w:eastAsia="Times New Roman" w:hint="default"/>
        </w:rPr>
        <w:t>34</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六、税项" w:id="221"/>
      <w:bookmarkEnd w:id="221"/>
      <w:r>
        <w:rPr>
          <w:b w:val="0"/>
          <w:bCs w:val="0"/>
        </w:rPr>
      </w:r>
      <w:r>
        <w:rPr/>
        <w:t>六、税项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主要税种及税率" w:id="222"/>
      <w:bookmarkEnd w:id="222"/>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73" w:hRule="exact"/>
        </w:trPr>
        <w:tc>
          <w:tcPr>
            <w:tcW w:w="319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90" w:type="dxa"/>
            <w:vMerge w:val="restart"/>
            <w:tcBorders>
              <w:top w:val="single" w:sz="4" w:space="0" w:color="000000"/>
              <w:left w:val="single" w:sz="9" w:space="0" w:color="D2D2D2"/>
              <w:right w:val="single" w:sz="4" w:space="0" w:color="000000"/>
            </w:tcBorders>
          </w:tcPr>
          <w:p>
            <w:pPr>
              <w:pStyle w:val="TableParagraph"/>
              <w:spacing w:line="319" w:lineRule="auto" w:before="51"/>
              <w:ind w:left="16" w:right="95"/>
              <w:jc w:val="both"/>
              <w:rPr>
                <w:rFonts w:ascii="宋体" w:hAnsi="宋体" w:cs="宋体" w:eastAsia="宋体" w:hint="default"/>
                <w:sz w:val="18"/>
                <w:szCs w:val="18"/>
              </w:rPr>
            </w:pPr>
            <w:r>
              <w:rPr>
                <w:rFonts w:ascii="宋体" w:hAnsi="宋体" w:cs="宋体" w:eastAsia="宋体" w:hint="default"/>
                <w:sz w:val="18"/>
                <w:szCs w:val="18"/>
              </w:rPr>
              <w:t>按税法规定计算的销售货物和应税劳务 收入为基础计算销项税额，在扣除当期 允许抵扣的进项税额后，差额部分为应 交增值税。</w:t>
            </w:r>
          </w:p>
        </w:tc>
        <w:tc>
          <w:tcPr>
            <w:tcW w:w="319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p>
        </w:tc>
      </w:tr>
      <w:tr>
        <w:trPr>
          <w:trHeight w:val="392" w:hRule="exact"/>
        </w:trPr>
        <w:tc>
          <w:tcPr>
            <w:tcW w:w="31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vMerge/>
            <w:tcBorders>
              <w:left w:val="single" w:sz="9" w:space="0" w:color="D2D2D2"/>
              <w:right w:val="single" w:sz="4" w:space="0" w:color="000000"/>
            </w:tcBorders>
          </w:tcPr>
          <w:p>
            <w:pPr/>
          </w:p>
        </w:tc>
        <w:tc>
          <w:tcPr>
            <w:tcW w:w="3190" w:type="dxa"/>
            <w:vMerge/>
            <w:tcBorders>
              <w:left w:val="single" w:sz="4" w:space="0" w:color="000000"/>
              <w:right w:val="single" w:sz="4" w:space="0" w:color="000000"/>
            </w:tcBorders>
          </w:tcPr>
          <w:p>
            <w:pPr/>
          </w:p>
        </w:tc>
      </w:tr>
      <w:tr>
        <w:trPr>
          <w:trHeight w:val="473" w:hRule="exact"/>
        </w:trPr>
        <w:tc>
          <w:tcPr>
            <w:tcW w:w="3190" w:type="dxa"/>
            <w:tcBorders>
              <w:top w:val="nil" w:sz="6" w:space="0" w:color="auto"/>
              <w:left w:val="single" w:sz="4" w:space="0" w:color="000000"/>
              <w:bottom w:val="single" w:sz="4" w:space="0" w:color="000000"/>
              <w:right w:val="single" w:sz="4" w:space="0" w:color="000000"/>
            </w:tcBorders>
            <w:shd w:val="clear" w:color="auto" w:fill="D2D2D2"/>
          </w:tcPr>
          <w:p>
            <w:pPr/>
          </w:p>
        </w:tc>
        <w:tc>
          <w:tcPr>
            <w:tcW w:w="3190" w:type="dxa"/>
            <w:vMerge/>
            <w:tcBorders>
              <w:left w:val="single" w:sz="9" w:space="0" w:color="D2D2D2"/>
              <w:bottom w:val="single" w:sz="4" w:space="0" w:color="000000"/>
              <w:right w:val="single" w:sz="4" w:space="0" w:color="000000"/>
            </w:tcBorders>
          </w:tcPr>
          <w:p>
            <w:pPr/>
          </w:p>
        </w:tc>
        <w:tc>
          <w:tcPr>
            <w:tcW w:w="3190" w:type="dxa"/>
            <w:vMerge/>
            <w:tcBorders>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按实际缴纳的增值税计缴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【注】</w:t>
            </w:r>
          </w:p>
        </w:tc>
      </w:tr>
    </w:tbl>
    <w:p>
      <w:pPr>
        <w:pStyle w:val="BodyText"/>
        <w:spacing w:line="240" w:lineRule="auto" w:before="88"/>
        <w:ind w:left="1134" w:right="0"/>
        <w:jc w:val="left"/>
      </w:pPr>
      <w:r>
        <w:rPr/>
        <w:t>注：（</w:t>
      </w:r>
      <w:r>
        <w:rPr>
          <w:rFonts w:ascii="Times New Roman" w:hAnsi="Times New Roman" w:cs="Times New Roman" w:eastAsia="Times New Roman" w:hint="default"/>
        </w:rPr>
        <w:t>1</w:t>
      </w:r>
      <w:r>
        <w:rPr/>
        <w:t>）母公司北京神州泰岳软件股份有限公司法定所得税率为</w:t>
      </w:r>
      <w:r>
        <w:rPr>
          <w:rFonts w:ascii="Times New Roman" w:hAnsi="Times New Roman" w:cs="Times New Roman" w:eastAsia="Times New Roman" w:hint="default"/>
        </w:rPr>
        <w:t>25%</w:t>
      </w:r>
      <w:r>
        <w:rPr/>
        <w:t>。</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pStyle w:val="BodyText"/>
        <w:spacing w:line="240" w:lineRule="auto" w:before="44"/>
        <w:ind w:left="1494" w:right="0"/>
        <w:jc w:val="left"/>
      </w:pPr>
      <w:r>
        <w:rPr/>
        <w:t>（</w:t>
      </w:r>
      <w:r>
        <w:rPr>
          <w:rFonts w:ascii="Times New Roman" w:hAnsi="Times New Roman" w:cs="Times New Roman" w:eastAsia="Times New Roman" w:hint="default"/>
        </w:rPr>
        <w:t>2</w:t>
      </w:r>
      <w:r>
        <w:rPr/>
        <w:t>）以下公司存在不同企业所得税税率纳税主体的，披露情况说明如下：</w:t>
      </w:r>
    </w:p>
    <w:p>
      <w:pPr>
        <w:spacing w:line="240" w:lineRule="auto" w:before="12"/>
        <w:rPr>
          <w:rFonts w:ascii="宋体" w:hAnsi="宋体" w:cs="宋体" w:eastAsia="宋体"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宁波普天通信技术（香港）有限公司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神州泰岳（香港）有限公司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3"/>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CAMEL GAMES</w:t>
            </w:r>
            <w:r>
              <w:rPr>
                <w:rFonts w:ascii="Times New Roman"/>
                <w:spacing w:val="-8"/>
                <w:sz w:val="18"/>
              </w:rPr>
              <w:t> </w:t>
            </w:r>
            <w:r>
              <w:rPr>
                <w:rFonts w:ascii="Times New Roman"/>
                <w:sz w:val="18"/>
              </w:rPr>
              <w:t>INC.</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Bridge Minds Consulting Pte</w:t>
            </w:r>
            <w:r>
              <w:rPr>
                <w:rFonts w:ascii="Times New Roman"/>
                <w:spacing w:val="-5"/>
                <w:sz w:val="18"/>
              </w:rPr>
              <w:t> </w:t>
            </w:r>
            <w:r>
              <w:rPr>
                <w:rFonts w:ascii="Times New Roman"/>
                <w:sz w:val="18"/>
              </w:rPr>
              <w:t>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17</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ULTRAPOWER 360</w:t>
            </w:r>
            <w:r>
              <w:rPr>
                <w:rFonts w:ascii="Times New Roman"/>
                <w:spacing w:val="-16"/>
                <w:sz w:val="18"/>
              </w:rPr>
              <w:t> </w:t>
            </w:r>
            <w:r>
              <w:rPr>
                <w:rFonts w:ascii="Times New Roman"/>
                <w:spacing w:val="-3"/>
                <w:sz w:val="18"/>
              </w:rPr>
              <w:t>PTE.LTD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17</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 soft (Singapore)</w:t>
            </w:r>
            <w:r>
              <w:rPr>
                <w:rFonts w:ascii="Times New Roman"/>
                <w:spacing w:val="-5"/>
                <w:sz w:val="18"/>
              </w:rPr>
              <w:t> </w:t>
            </w:r>
            <w:r>
              <w:rPr>
                <w:rFonts w:ascii="Times New Roman"/>
                <w:sz w:val="18"/>
              </w:rPr>
              <w:t>Pte.Ltd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17</w:t>
            </w:r>
          </w:p>
        </w:tc>
      </w:tr>
      <w:tr>
        <w:trPr>
          <w:trHeight w:val="714"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2" w:right="308"/>
              <w:jc w:val="left"/>
              <w:rPr>
                <w:rFonts w:ascii="Times New Roman" w:hAnsi="Times New Roman" w:cs="Times New Roman" w:eastAsia="Times New Roman" w:hint="default"/>
                <w:sz w:val="18"/>
                <w:szCs w:val="18"/>
              </w:rPr>
            </w:pPr>
            <w:r>
              <w:rPr>
                <w:rFonts w:ascii="Times New Roman"/>
                <w:sz w:val="18"/>
              </w:rPr>
              <w:t>RED TRUST </w:t>
            </w:r>
            <w:r>
              <w:rPr>
                <w:rFonts w:ascii="Times New Roman"/>
                <w:spacing w:val="-3"/>
                <w:sz w:val="18"/>
              </w:rPr>
              <w:t>SOFTWARE </w:t>
            </w:r>
            <w:r>
              <w:rPr>
                <w:rFonts w:ascii="Times New Roman"/>
                <w:sz w:val="18"/>
              </w:rPr>
              <w:t>AND </w:t>
            </w:r>
            <w:r>
              <w:rPr>
                <w:rFonts w:ascii="Times New Roman"/>
                <w:spacing w:val="-3"/>
                <w:sz w:val="18"/>
              </w:rPr>
              <w:t>SERVICE</w:t>
            </w:r>
            <w:r>
              <w:rPr>
                <w:rFonts w:ascii="Times New Roman"/>
                <w:spacing w:val="-12"/>
                <w:sz w:val="18"/>
              </w:rPr>
              <w:t> </w:t>
            </w:r>
            <w:r>
              <w:rPr>
                <w:rFonts w:ascii="Times New Roman"/>
                <w:sz w:val="18"/>
              </w:rPr>
              <w:t>TECHNOLOGY</w:t>
            </w:r>
            <w:r>
              <w:rPr>
                <w:rFonts w:ascii="Times New Roman"/>
                <w:w w:val="99"/>
                <w:sz w:val="18"/>
              </w:rPr>
              <w:t> </w:t>
            </w:r>
            <w:r>
              <w:rPr>
                <w:rFonts w:ascii="Times New Roman"/>
                <w:spacing w:val="-3"/>
                <w:sz w:val="18"/>
              </w:rPr>
              <w:t>COMPANY</w:t>
            </w:r>
            <w:r>
              <w:rPr>
                <w:rFonts w:ascii="Times New Roman"/>
                <w:spacing w:val="-5"/>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泰岳小漫（香港）有限公司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Uqsoft (Thailand) Co.</w:t>
            </w:r>
            <w:r>
              <w:rPr>
                <w:rFonts w:ascii="宋体" w:hAnsi="宋体" w:cs="宋体" w:eastAsia="宋体" w:hint="default"/>
                <w:sz w:val="18"/>
                <w:szCs w:val="18"/>
              </w:rPr>
              <w:t>，</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Ltd.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 (Hong Kong)</w:t>
            </w:r>
            <w:r>
              <w:rPr>
                <w:rFonts w:ascii="Times New Roman"/>
                <w:spacing w:val="-2"/>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 (RUSSIA)</w:t>
            </w:r>
            <w:r>
              <w:rPr>
                <w:rFonts w:ascii="Times New Roman"/>
                <w:spacing w:val="-5"/>
                <w:sz w:val="18"/>
              </w:rPr>
              <w:t> </w:t>
            </w:r>
            <w:r>
              <w:rPr>
                <w:rFonts w:ascii="Times New Roman"/>
                <w:sz w:val="18"/>
              </w:rPr>
              <w:t>CO.</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UQSOFT YUHAN</w:t>
            </w:r>
            <w:r>
              <w:rPr>
                <w:rFonts w:ascii="Times New Roman"/>
                <w:spacing w:val="-13"/>
                <w:sz w:val="18"/>
              </w:rPr>
              <w:t> </w:t>
            </w:r>
            <w:r>
              <w:rPr>
                <w:rFonts w:ascii="Times New Roman"/>
                <w:sz w:val="18"/>
              </w:rPr>
              <w:t>HOESA</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r>
    </w:tbl>
    <w:p>
      <w:pPr>
        <w:pStyle w:val="BodyText"/>
        <w:spacing w:line="451" w:lineRule="auto" w:before="88"/>
        <w:ind w:right="1131"/>
        <w:jc w:val="both"/>
      </w:pPr>
      <w:r>
        <w:rPr>
          <w:rFonts w:ascii="Times New Roman" w:hAnsi="Times New Roman" w:cs="Times New Roman" w:eastAsia="Times New Roman" w:hint="default"/>
          <w:spacing w:val="-2"/>
        </w:rPr>
        <w:t>*1</w:t>
      </w:r>
      <w:r>
        <w:rPr>
          <w:spacing w:val="-2"/>
        </w:rPr>
        <w:t>：所在地为美国特拉华州，公司所得税分为联邦所得税和特拉华州所得税。其中：对于联邦所得税，其应纳税所得额少于</w:t>
      </w:r>
      <w:r>
        <w:rPr>
          <w:spacing w:val="-64"/>
        </w:rPr>
        <w:t> </w:t>
      </w:r>
      <w:r>
        <w:rPr>
          <w:spacing w:val="-64"/>
        </w:rPr>
      </w:r>
      <w:r>
        <w:rPr>
          <w:spacing w:val="-1"/>
        </w:rPr>
        <w:t>五万美元的公司，按</w:t>
      </w:r>
      <w:r>
        <w:rPr>
          <w:rFonts w:ascii="Times New Roman" w:hAnsi="Times New Roman" w:cs="Times New Roman" w:eastAsia="Times New Roman" w:hint="default"/>
          <w:spacing w:val="-1"/>
        </w:rPr>
        <w:t>15%</w:t>
      </w:r>
      <w:r>
        <w:rPr>
          <w:spacing w:val="-1"/>
        </w:rPr>
        <w:t>的比例纳税，五万美元到七万五千美元之间的所得按</w:t>
      </w:r>
      <w:r>
        <w:rPr>
          <w:rFonts w:ascii="Times New Roman" w:hAnsi="Times New Roman" w:cs="Times New Roman" w:eastAsia="Times New Roman" w:hint="default"/>
          <w:spacing w:val="-1"/>
        </w:rPr>
        <w:t>25%</w:t>
      </w:r>
      <w:r>
        <w:rPr>
          <w:spacing w:val="-1"/>
        </w:rPr>
        <w:t>的比例纳税，七万五千美元到一千万美元</w:t>
      </w:r>
      <w:r>
        <w:rPr>
          <w:spacing w:val="-58"/>
        </w:rPr>
        <w:t> </w:t>
      </w:r>
      <w:r>
        <w:rPr>
          <w:spacing w:val="-58"/>
        </w:rPr>
      </w:r>
      <w:r>
        <w:rPr/>
        <w:t>之间的所得按</w:t>
      </w:r>
      <w:r>
        <w:rPr>
          <w:rFonts w:ascii="Times New Roman" w:hAnsi="Times New Roman" w:cs="Times New Roman" w:eastAsia="Times New Roman" w:hint="default"/>
        </w:rPr>
        <w:t>34%</w:t>
      </w:r>
      <w:r>
        <w:rPr/>
        <w:t>的比例纳税，一千万美元以上的所得按</w:t>
      </w:r>
      <w:r>
        <w:rPr>
          <w:rFonts w:ascii="Times New Roman" w:hAnsi="Times New Roman" w:cs="Times New Roman" w:eastAsia="Times New Roman" w:hint="default"/>
        </w:rPr>
        <w:t>35%</w:t>
      </w:r>
      <w:r>
        <w:rPr/>
        <w:t>的比例纳税；特拉华州所得税税率为</w:t>
      </w:r>
      <w:r>
        <w:rPr>
          <w:rFonts w:ascii="Times New Roman" w:hAnsi="Times New Roman" w:cs="Times New Roman" w:eastAsia="Times New Roman" w:hint="default"/>
        </w:rPr>
        <w:t>8.7%</w:t>
      </w:r>
      <w:r>
        <w:rPr/>
        <w:t>。</w:t>
      </w:r>
    </w:p>
    <w:p>
      <w:pPr>
        <w:pStyle w:val="BodyText"/>
        <w:spacing w:line="451" w:lineRule="auto" w:before="43"/>
        <w:ind w:right="1132"/>
        <w:jc w:val="both"/>
      </w:pPr>
      <w:r>
        <w:rPr>
          <w:rFonts w:ascii="Times New Roman" w:hAnsi="Times New Roman" w:cs="Times New Roman" w:eastAsia="Times New Roman" w:hint="default"/>
          <w:spacing w:val="-1"/>
        </w:rPr>
        <w:t>*2</w:t>
      </w:r>
      <w:r>
        <w:rPr>
          <w:spacing w:val="-1"/>
        </w:rPr>
        <w:t>：公司所得税适应三级累计税率，其中：应纳税所得额小于</w:t>
      </w:r>
      <w:r>
        <w:rPr>
          <w:rFonts w:ascii="Times New Roman" w:hAnsi="Times New Roman" w:cs="Times New Roman" w:eastAsia="Times New Roman" w:hint="default"/>
          <w:spacing w:val="-1"/>
        </w:rPr>
        <w:t>2</w:t>
      </w:r>
      <w:r>
        <w:rPr>
          <w:spacing w:val="-1"/>
        </w:rPr>
        <w:t>亿韩元的所得按</w:t>
      </w:r>
      <w:r>
        <w:rPr>
          <w:rFonts w:ascii="Times New Roman" w:hAnsi="Times New Roman" w:cs="Times New Roman" w:eastAsia="Times New Roman" w:hint="default"/>
          <w:spacing w:val="-1"/>
        </w:rPr>
        <w:t>11%</w:t>
      </w:r>
      <w:r>
        <w:rPr>
          <w:spacing w:val="-1"/>
        </w:rPr>
        <w:t>的比例纳税；应纳税所得额在</w:t>
      </w:r>
      <w:r>
        <w:rPr>
          <w:rFonts w:ascii="Times New Roman" w:hAnsi="Times New Roman" w:cs="Times New Roman" w:eastAsia="Times New Roman" w:hint="default"/>
          <w:spacing w:val="-1"/>
        </w:rPr>
        <w:t>2</w:t>
      </w:r>
      <w:r>
        <w:rPr>
          <w:spacing w:val="-1"/>
        </w:rPr>
        <w:t>亿韩元至</w:t>
      </w:r>
      <w:r>
        <w:rPr/>
        <w:t> </w:t>
      </w:r>
      <w:r>
        <w:rPr>
          <w:rFonts w:ascii="Times New Roman" w:hAnsi="Times New Roman" w:cs="Times New Roman" w:eastAsia="Times New Roman" w:hint="default"/>
        </w:rPr>
        <w:t>200</w:t>
      </w:r>
      <w:r>
        <w:rPr/>
        <w:t>亿韩元之间的所得按</w:t>
      </w:r>
      <w:r>
        <w:rPr>
          <w:rFonts w:ascii="Times New Roman" w:hAnsi="Times New Roman" w:cs="Times New Roman" w:eastAsia="Times New Roman" w:hint="default"/>
        </w:rPr>
        <w:t>22%</w:t>
      </w:r>
      <w:r>
        <w:rPr/>
        <w:t>的比例纳税；应纳税所得额大于</w:t>
      </w:r>
      <w:r>
        <w:rPr>
          <w:rFonts w:ascii="Times New Roman" w:hAnsi="Times New Roman" w:cs="Times New Roman" w:eastAsia="Times New Roman" w:hint="default"/>
        </w:rPr>
        <w:t>200</w:t>
      </w:r>
      <w:r>
        <w:rPr/>
        <w:t>亿韩元的所得按</w:t>
      </w:r>
      <w:r>
        <w:rPr>
          <w:rFonts w:ascii="Times New Roman" w:hAnsi="Times New Roman" w:cs="Times New Roman" w:eastAsia="Times New Roman" w:hint="default"/>
        </w:rPr>
        <w:t>24.2%</w:t>
      </w:r>
      <w:r>
        <w:rPr/>
        <w:t>的比例纳税。</w:t>
      </w:r>
    </w:p>
    <w:p>
      <w:pPr>
        <w:pStyle w:val="BodyText"/>
        <w:spacing w:line="240" w:lineRule="auto" w:before="43"/>
        <w:ind w:left="1494" w:right="0"/>
        <w:jc w:val="left"/>
      </w:pPr>
      <w:r>
        <w:rPr/>
        <w:t>（</w:t>
      </w:r>
      <w:r>
        <w:rPr>
          <w:rFonts w:ascii="Times New Roman" w:hAnsi="Times New Roman" w:cs="Times New Roman" w:eastAsia="Times New Roman" w:hint="default"/>
        </w:rPr>
        <w:t>3</w:t>
      </w:r>
      <w:r>
        <w:rPr/>
        <w:t>）除上述公司外，其余子公司法定所得税税率均为</w:t>
      </w:r>
      <w:r>
        <w:rPr>
          <w:rFonts w:ascii="Times New Roman" w:hAnsi="Times New Roman" w:cs="Times New Roman" w:eastAsia="Times New Roman" w:hint="default"/>
        </w:rPr>
        <w:t>25%</w:t>
      </w:r>
      <w:r>
        <w:rPr/>
        <w:t>。</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right="0"/>
        <w:jc w:val="both"/>
        <w:rPr>
          <w:b w:val="0"/>
          <w:bCs w:val="0"/>
        </w:rPr>
      </w:pPr>
      <w:bookmarkStart w:name="2、税收优惠" w:id="223"/>
      <w:bookmarkEnd w:id="223"/>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1494" w:right="1118" w:firstLine="92"/>
        <w:jc w:val="left"/>
      </w:pPr>
      <w:r>
        <w:rPr>
          <w:rFonts w:ascii="Times New Roman" w:hAnsi="Times New Roman" w:cs="Times New Roman" w:eastAsia="Times New Roman" w:hint="default"/>
          <w:b/>
          <w:bCs/>
        </w:rPr>
        <w:t>1</w:t>
      </w:r>
      <w:r>
        <w:rPr>
          <w:rFonts w:ascii="宋体" w:hAnsi="宋体" w:cs="宋体" w:eastAsia="宋体" w:hint="default"/>
          <w:b/>
          <w:bCs/>
        </w:rPr>
        <w:t>、增值税</w:t>
      </w:r>
      <w:r>
        <w:rPr>
          <w:rFonts w:ascii="宋体" w:hAnsi="宋体" w:cs="宋体" w:eastAsia="宋体" w:hint="default"/>
          <w:b/>
          <w:bCs/>
          <w:w w:val="99"/>
        </w:rPr>
        <w:t> </w:t>
      </w:r>
      <w:r>
        <w:rPr>
          <w:spacing w:val="-2"/>
        </w:rPr>
        <w:t>根据国务院</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w:t>
      </w:r>
      <w:r>
        <w:rPr>
          <w:spacing w:val="-2"/>
        </w:rPr>
        <w:t>月发布的国发【</w:t>
      </w:r>
      <w:r>
        <w:rPr>
          <w:rFonts w:ascii="Times New Roman" w:hAnsi="Times New Roman" w:cs="Times New Roman" w:eastAsia="Times New Roman" w:hint="default"/>
          <w:spacing w:val="-2"/>
        </w:rPr>
        <w:t>2011</w:t>
      </w:r>
      <w:r>
        <w:rPr>
          <w:spacing w:val="-2"/>
        </w:rPr>
        <w:t>】</w:t>
      </w:r>
      <w:r>
        <w:rPr>
          <w:rFonts w:ascii="Times New Roman" w:hAnsi="Times New Roman" w:cs="Times New Roman" w:eastAsia="Times New Roman" w:hint="default"/>
          <w:spacing w:val="-2"/>
        </w:rPr>
        <w:t>4</w:t>
      </w:r>
      <w:r>
        <w:rPr>
          <w:spacing w:val="-2"/>
        </w:rPr>
        <w:t>号《关于印发进一步鼓励软件产业和集成电路产业发展若干政策的通知》和</w:t>
      </w:r>
    </w:p>
    <w:p>
      <w:pPr>
        <w:pStyle w:val="BodyText"/>
        <w:spacing w:line="468" w:lineRule="auto" w:before="43"/>
        <w:ind w:left="1134" w:right="1132"/>
        <w:jc w:val="both"/>
      </w:pPr>
      <w:r>
        <w:rPr/>
        <w:t>财政部、国家税务总局发布的财税【</w:t>
      </w:r>
      <w:r>
        <w:rPr>
          <w:rFonts w:ascii="Times New Roman" w:hAnsi="Times New Roman" w:cs="Times New Roman" w:eastAsia="Times New Roman" w:hint="default"/>
        </w:rPr>
        <w:t>2011</w:t>
      </w:r>
      <w:r>
        <w:rPr/>
        <w:t>】</w:t>
      </w:r>
      <w:r>
        <w:rPr>
          <w:rFonts w:ascii="Times New Roman" w:hAnsi="Times New Roman" w:cs="Times New Roman" w:eastAsia="Times New Roman" w:hint="default"/>
        </w:rPr>
        <w:t>100</w:t>
      </w:r>
      <w:r>
        <w:rPr/>
        <w:t>号《关于软件产品增值税政策的通知》中的有关规定，本公司及子公司北京</w:t>
      </w:r>
      <w:r>
        <w:rPr>
          <w:spacing w:val="-83"/>
        </w:rPr>
        <w:t> </w:t>
      </w:r>
      <w:r>
        <w:rPr>
          <w:spacing w:val="-83"/>
        </w:rPr>
      </w:r>
      <w:r>
        <w:rPr>
          <w:spacing w:val="-2"/>
        </w:rPr>
        <w:t>神州祥升软件有限公司、天津泰岳小漫科技有限公司、中科鼎富（北京）科技发展有限公司，本公司孙公司宁波金信通讯技</w:t>
      </w:r>
      <w:r>
        <w:rPr>
          <w:spacing w:val="-66"/>
        </w:rPr>
        <w:t> </w:t>
      </w:r>
      <w:r>
        <w:rPr>
          <w:spacing w:val="-66"/>
        </w:rPr>
      </w:r>
      <w:r>
        <w:rPr>
          <w:spacing w:val="-2"/>
        </w:rPr>
        <w:t>术有限公司、宁波移畅通信设备有限公司、宁波高新区捷远科技有限公司销售自行开发生产的软件产品时对增值税实际税负</w:t>
      </w:r>
      <w:r>
        <w:rPr>
          <w:spacing w:val="-64"/>
        </w:rPr>
        <w:t> </w:t>
      </w:r>
      <w:r>
        <w:rPr>
          <w:spacing w:val="-64"/>
        </w:rPr>
      </w:r>
      <w:r>
        <w:rPr/>
        <w:t>超过</w:t>
      </w:r>
      <w:r>
        <w:rPr>
          <w:rFonts w:ascii="Times New Roman" w:hAnsi="Times New Roman" w:cs="Times New Roman" w:eastAsia="Times New Roman" w:hint="default"/>
        </w:rPr>
        <w:t>3%</w:t>
      </w:r>
      <w:r>
        <w:rPr/>
        <w:t>的部分即征即退。</w:t>
      </w:r>
    </w:p>
    <w:p>
      <w:pPr>
        <w:pStyle w:val="BodyText"/>
        <w:spacing w:line="451" w:lineRule="auto" w:before="29"/>
        <w:ind w:right="0" w:firstLine="360"/>
        <w:jc w:val="left"/>
      </w:pPr>
      <w:r>
        <w:rPr>
          <w:spacing w:val="-2"/>
        </w:rPr>
        <w:t>根据财政部和国家税务总局财税【</w:t>
      </w:r>
      <w:r>
        <w:rPr>
          <w:rFonts w:ascii="Times New Roman" w:hAnsi="Times New Roman" w:cs="Times New Roman" w:eastAsia="Times New Roman" w:hint="default"/>
          <w:spacing w:val="-2"/>
        </w:rPr>
        <w:t>2016</w:t>
      </w:r>
      <w:r>
        <w:rPr>
          <w:spacing w:val="-2"/>
        </w:rPr>
        <w:t>】</w:t>
      </w:r>
      <w:r>
        <w:rPr>
          <w:rFonts w:ascii="Times New Roman" w:hAnsi="Times New Roman" w:cs="Times New Roman" w:eastAsia="Times New Roman" w:hint="default"/>
          <w:spacing w:val="-2"/>
        </w:rPr>
        <w:t>36</w:t>
      </w:r>
      <w:r>
        <w:rPr>
          <w:spacing w:val="-2"/>
        </w:rPr>
        <w:t>号《关于全面推开营业税改征增值税试点的通知》本公司及子公司北京新媒</w:t>
      </w:r>
      <w:r>
        <w:rPr/>
        <w:t> </w:t>
      </w:r>
      <w:r>
        <w:rPr>
          <w:spacing w:val="-2"/>
        </w:rPr>
        <w:t>传信科技有限公司、北京神州祥升软件有限公司、北京华泰德丰科技有限公司，本公司孙公司北京泰岳智桥信息技术有限公</w:t>
      </w:r>
    </w:p>
    <w:p>
      <w:pPr>
        <w:spacing w:after="0" w:line="451"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77" w:lineRule="auto" w:before="44"/>
        <w:ind w:left="1493" w:right="1123" w:hanging="360"/>
        <w:jc w:val="left"/>
      </w:pPr>
      <w:r>
        <w:rPr/>
        <w:t>司从事技术转让、技术开发业务和与之相关的技术咨询、技术服务业务取得的收入，符合条件的，免征增值税。 根据财税【</w:t>
      </w:r>
      <w:r>
        <w:rPr>
          <w:rFonts w:ascii="Times New Roman" w:hAnsi="Times New Roman" w:cs="Times New Roman" w:eastAsia="Times New Roman" w:hint="default"/>
        </w:rPr>
        <w:t>2015</w:t>
      </w:r>
      <w:r>
        <w:rPr/>
        <w:t>】</w:t>
      </w:r>
      <w:r>
        <w:rPr>
          <w:rFonts w:ascii="Times New Roman" w:hAnsi="Times New Roman" w:cs="Times New Roman" w:eastAsia="Times New Roman" w:hint="default"/>
        </w:rPr>
        <w:t>118</w:t>
      </w:r>
      <w:r>
        <w:rPr/>
        <w:t>号《关于影视等出口服务适用增值税率零税率政策的通知》的有关规定，本公司子公司天津泰岳</w:t>
      </w:r>
    </w:p>
    <w:p>
      <w:pPr>
        <w:pStyle w:val="BodyText"/>
        <w:spacing w:line="477" w:lineRule="auto" w:before="21"/>
        <w:ind w:left="1134" w:right="0"/>
        <w:jc w:val="left"/>
      </w:pPr>
      <w:r>
        <w:rPr>
          <w:spacing w:val="-2"/>
        </w:rPr>
        <w:t>小漫科技有限公司，本公司孙公司北京壳木软件有限责任公司、霍尔果斯小小橙软件开发有限责任公司、霍尔果斯于艺网络</w:t>
      </w:r>
      <w:r>
        <w:rPr>
          <w:spacing w:val="-66"/>
        </w:rPr>
        <w:t> </w:t>
      </w:r>
      <w:r>
        <w:rPr>
          <w:spacing w:val="-66"/>
        </w:rPr>
      </w:r>
      <w:r>
        <w:rPr/>
        <w:t>科技有限公司、北京神州泰奇互动科技有限公司向境外单位提供软件服务产生的收入免征增值税。</w:t>
      </w:r>
    </w:p>
    <w:p>
      <w:pPr>
        <w:pStyle w:val="BodyText"/>
        <w:spacing w:line="451" w:lineRule="auto" w:before="54"/>
        <w:ind w:left="1494" w:right="0" w:firstLine="1"/>
        <w:jc w:val="left"/>
      </w:pPr>
      <w:r>
        <w:rPr>
          <w:rFonts w:ascii="Times New Roman" w:hAnsi="Times New Roman" w:cs="Times New Roman" w:eastAsia="Times New Roman" w:hint="default"/>
          <w:b/>
          <w:bCs/>
        </w:rPr>
        <w:t>2</w:t>
      </w:r>
      <w:r>
        <w:rPr>
          <w:rFonts w:ascii="宋体" w:hAnsi="宋体" w:cs="宋体" w:eastAsia="宋体" w:hint="default"/>
          <w:b/>
          <w:bCs/>
        </w:rPr>
        <w:t>、企业所得税</w:t>
      </w:r>
      <w:r>
        <w:rPr>
          <w:rFonts w:ascii="宋体" w:hAnsi="宋体" w:cs="宋体" w:eastAsia="宋体" w:hint="default"/>
          <w:b/>
          <w:bCs/>
          <w:w w:val="99"/>
        </w:rPr>
        <w:t> </w:t>
      </w:r>
      <w:r>
        <w:rPr>
          <w:spacing w:val="-4"/>
        </w:rPr>
        <w:t>本公司与本公司子公司北京新媒传信科技有限公司、重庆新媒农信科技有限公司、北京神州泰岳智能数据技术有限公司、</w:t>
      </w:r>
    </w:p>
    <w:p>
      <w:pPr>
        <w:pStyle w:val="BodyText"/>
        <w:spacing w:line="468" w:lineRule="auto" w:before="74"/>
        <w:ind w:right="1033"/>
        <w:jc w:val="left"/>
      </w:pPr>
      <w:r>
        <w:rPr>
          <w:spacing w:val="-2"/>
        </w:rPr>
        <w:t>宁波普天通信技术有限公司、北京广通神州网络技术有限公司、奇点新源国际技术开发（北京）有限公司、北京华泰德丰科</w:t>
      </w:r>
      <w:r>
        <w:rPr>
          <w:spacing w:val="-66"/>
        </w:rPr>
        <w:t> </w:t>
      </w:r>
      <w:r>
        <w:rPr>
          <w:spacing w:val="-66"/>
        </w:rPr>
      </w:r>
      <w:r>
        <w:rPr/>
        <w:t>技有限公司、北京融聚世界网络科技有限公司，本公司孙公司宁波金信通讯技术有限公司、宁波高新区捷远科技有限公司、</w:t>
      </w:r>
      <w:r>
        <w:rPr>
          <w:spacing w:val="-85"/>
        </w:rPr>
        <w:t> </w:t>
      </w:r>
      <w:r>
        <w:rPr>
          <w:spacing w:val="-85"/>
        </w:rPr>
      </w:r>
      <w:r>
        <w:rPr/>
        <w:t>北京壳木软件有限责任公司，根据《企业所得税法》、《高新技术企业认定管理办法》等规定，本年减按</w:t>
      </w:r>
      <w:r>
        <w:rPr>
          <w:rFonts w:ascii="Times New Roman" w:hAnsi="Times New Roman" w:cs="Times New Roman" w:eastAsia="Times New Roman" w:hint="default"/>
        </w:rPr>
        <w:t>15%</w:t>
      </w:r>
      <w:r>
        <w:rPr/>
        <w:t>的税率征收企 业所得税。</w:t>
      </w:r>
    </w:p>
    <w:p>
      <w:pPr>
        <w:pStyle w:val="BodyText"/>
        <w:spacing w:line="451" w:lineRule="auto" w:before="61"/>
        <w:ind w:right="0" w:firstLine="360"/>
        <w:jc w:val="left"/>
      </w:pPr>
      <w:r>
        <w:rPr>
          <w:spacing w:val="-2"/>
        </w:rPr>
        <w:t>中科鼎富（北京）科技发展有限公司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2014</w:t>
      </w:r>
      <w:r>
        <w:rPr>
          <w:spacing w:val="-2"/>
        </w:rPr>
        <w:t>年起享受所得税两免三减半优惠政策，本年</w:t>
      </w:r>
      <w:r>
        <w:rPr/>
        <w:t> 为所得税两免三减半的第四年，即减按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北京神州泰岳信息安全技术有限公司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2015</w:t>
      </w:r>
      <w:r>
        <w:rPr>
          <w:spacing w:val="-2"/>
        </w:rPr>
        <w:t>年起享受所得税两免三减半优惠政策，本年</w:t>
      </w:r>
      <w:r>
        <w:rPr/>
        <w:t> 为所得税两免三减半的第三年，即减按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北京安纳西科技有限公司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2014</w:t>
      </w:r>
      <w:r>
        <w:rPr>
          <w:spacing w:val="-2"/>
        </w:rPr>
        <w:t>年起享受所得税两免三减半优惠政策，本年为所得税两</w:t>
      </w:r>
      <w:r>
        <w:rPr/>
        <w:t> 免三减半的第四年，即减按</w:t>
      </w:r>
      <w:r>
        <w:rPr>
          <w:rFonts w:ascii="Times New Roman" w:hAnsi="Times New Roman" w:cs="Times New Roman" w:eastAsia="Times New Roman" w:hint="default"/>
        </w:rPr>
        <w:t>12.5%</w:t>
      </w:r>
      <w:r>
        <w:rPr/>
        <w:t>的税率征收企业所得税。</w:t>
      </w:r>
    </w:p>
    <w:p>
      <w:pPr>
        <w:pStyle w:val="BodyText"/>
        <w:spacing w:line="451" w:lineRule="auto" w:before="43"/>
        <w:ind w:right="0" w:firstLine="360"/>
        <w:jc w:val="left"/>
      </w:pPr>
      <w:r>
        <w:rPr>
          <w:spacing w:val="-2"/>
        </w:rPr>
        <w:t>北京神州祥升软件有限公司</w:t>
      </w:r>
      <w:r>
        <w:rPr>
          <w:rFonts w:ascii="Times New Roman" w:hAnsi="Times New Roman" w:cs="Times New Roman" w:eastAsia="Times New Roman" w:hint="default"/>
          <w:spacing w:val="-2"/>
        </w:rPr>
        <w:t>2014</w:t>
      </w:r>
      <w:r>
        <w:rPr>
          <w:spacing w:val="-2"/>
        </w:rPr>
        <w:t>年被批准认定为软件企业，自</w:t>
      </w:r>
      <w:r>
        <w:rPr>
          <w:rFonts w:ascii="Times New Roman" w:hAnsi="Times New Roman" w:cs="Times New Roman" w:eastAsia="Times New Roman" w:hint="default"/>
          <w:spacing w:val="-2"/>
        </w:rPr>
        <w:t>2014</w:t>
      </w:r>
      <w:r>
        <w:rPr>
          <w:spacing w:val="-2"/>
        </w:rPr>
        <w:t>年起享受所得税两免三减半优惠政策，本年为所得税</w:t>
      </w:r>
      <w:r>
        <w:rPr/>
        <w:t> 两免三减半的第四年，即减按</w:t>
      </w:r>
      <w:r>
        <w:rPr>
          <w:rFonts w:ascii="Times New Roman" w:hAnsi="Times New Roman" w:cs="Times New Roman" w:eastAsia="Times New Roman" w:hint="default"/>
        </w:rPr>
        <w:t>12.5%</w:t>
      </w:r>
      <w:r>
        <w:rPr/>
        <w:t>的税率征收企业所得税。</w:t>
      </w:r>
    </w:p>
    <w:p>
      <w:pPr>
        <w:pStyle w:val="BodyText"/>
        <w:spacing w:line="451" w:lineRule="auto" w:before="43"/>
        <w:ind w:left="1134" w:right="0" w:firstLine="360"/>
        <w:jc w:val="left"/>
      </w:pPr>
      <w:r>
        <w:rPr>
          <w:spacing w:val="-2"/>
        </w:rPr>
        <w:t>霍尔果斯小小橙软件开发有限责任公司</w:t>
      </w:r>
      <w:r>
        <w:rPr>
          <w:rFonts w:ascii="Times New Roman" w:hAnsi="Times New Roman" w:cs="Times New Roman" w:eastAsia="Times New Roman" w:hint="default"/>
          <w:spacing w:val="-2"/>
        </w:rPr>
        <w:t>2015</w:t>
      </w:r>
      <w:r>
        <w:rPr>
          <w:spacing w:val="-2"/>
        </w:rPr>
        <w:t>年备案登记为特殊经济开发区新办企业，享受自取得第一笔生产经营收入所</w:t>
      </w:r>
      <w:r>
        <w:rPr/>
        <w:t> 属纳税年度起，五年内免征企业所得税，本年为所得税免征的第三年。</w:t>
      </w:r>
    </w:p>
    <w:p>
      <w:pPr>
        <w:pStyle w:val="BodyText"/>
        <w:spacing w:line="451" w:lineRule="auto" w:before="74"/>
        <w:ind w:right="0" w:firstLine="360"/>
        <w:jc w:val="left"/>
      </w:pPr>
      <w:r>
        <w:rPr>
          <w:spacing w:val="-2"/>
        </w:rPr>
        <w:t>霍尔果斯于艺网络科技有限公司</w:t>
      </w:r>
      <w:r>
        <w:rPr>
          <w:rFonts w:ascii="Times New Roman" w:hAnsi="Times New Roman" w:cs="Times New Roman" w:eastAsia="Times New Roman" w:hint="default"/>
          <w:spacing w:val="-2"/>
        </w:rPr>
        <w:t>2016</w:t>
      </w:r>
      <w:r>
        <w:rPr>
          <w:spacing w:val="-2"/>
        </w:rPr>
        <w:t>年备案登记为特殊经济开发区新办企业，享受自取得第一笔生产经营收入所属纳税</w:t>
      </w:r>
      <w:r>
        <w:rPr/>
        <w:t> 年度起，五年内免征企业所得税，本年为所得税免征的第二年。</w:t>
      </w:r>
    </w:p>
    <w:p>
      <w:pPr>
        <w:pStyle w:val="BodyText"/>
        <w:spacing w:line="451" w:lineRule="auto" w:before="74"/>
        <w:ind w:right="1119" w:firstLine="360"/>
        <w:jc w:val="left"/>
      </w:pPr>
      <w:r>
        <w:rPr>
          <w:spacing w:val="-1"/>
        </w:rPr>
        <w:t>宁波神州泰岳锐智信息科技有限公司</w:t>
      </w:r>
      <w:r>
        <w:rPr>
          <w:rFonts w:ascii="Times New Roman" w:hAnsi="Times New Roman" w:cs="Times New Roman" w:eastAsia="Times New Roman" w:hint="default"/>
          <w:spacing w:val="-1"/>
        </w:rPr>
        <w:t>2017</w:t>
      </w:r>
      <w:r>
        <w:rPr>
          <w:spacing w:val="-1"/>
        </w:rPr>
        <w:t>年被批准认定为小微企业，即企业所得减按</w:t>
      </w:r>
      <w:r>
        <w:rPr>
          <w:rFonts w:ascii="Times New Roman" w:hAnsi="Times New Roman" w:cs="Times New Roman" w:eastAsia="Times New Roman" w:hint="default"/>
          <w:spacing w:val="-1"/>
        </w:rPr>
        <w:t>50</w:t>
      </w:r>
      <w:r>
        <w:rPr>
          <w:spacing w:val="-1"/>
        </w:rPr>
        <w:t>％计入应纳税所得额，按</w:t>
      </w:r>
      <w:r>
        <w:rPr>
          <w:rFonts w:ascii="Times New Roman" w:hAnsi="Times New Roman" w:cs="Times New Roman" w:eastAsia="Times New Roman" w:hint="default"/>
          <w:spacing w:val="-1"/>
        </w:rPr>
        <w:t>20%</w:t>
      </w:r>
      <w:r>
        <w:rPr>
          <w:spacing w:val="-1"/>
        </w:rPr>
        <w:t>的</w:t>
      </w:r>
      <w:r>
        <w:rPr/>
        <w:t> 税率缴纳企业所得税。</w:t>
      </w:r>
    </w:p>
    <w:p>
      <w:pPr>
        <w:pStyle w:val="BodyText"/>
        <w:spacing w:line="451" w:lineRule="auto" w:before="74"/>
        <w:ind w:right="1119" w:firstLine="360"/>
        <w:jc w:val="left"/>
      </w:pPr>
      <w:r>
        <w:rPr>
          <w:spacing w:val="-1"/>
        </w:rPr>
        <w:t>北京慧联神州技术有限公司</w:t>
      </w:r>
      <w:r>
        <w:rPr>
          <w:rFonts w:ascii="Times New Roman" w:hAnsi="Times New Roman" w:cs="Times New Roman" w:eastAsia="Times New Roman" w:hint="default"/>
          <w:spacing w:val="-1"/>
        </w:rPr>
        <w:t>2017</w:t>
      </w:r>
      <w:r>
        <w:rPr>
          <w:spacing w:val="-1"/>
        </w:rPr>
        <w:t>年被批准认定为小微企业，即企业所得减按</w:t>
      </w:r>
      <w:r>
        <w:rPr>
          <w:rFonts w:ascii="Times New Roman" w:hAnsi="Times New Roman" w:cs="Times New Roman" w:eastAsia="Times New Roman" w:hint="default"/>
          <w:spacing w:val="-1"/>
        </w:rPr>
        <w:t>50</w:t>
      </w:r>
      <w:r>
        <w:rPr>
          <w:spacing w:val="-1"/>
        </w:rPr>
        <w:t>％计入应纳税所得额，按</w:t>
      </w:r>
      <w:r>
        <w:rPr>
          <w:rFonts w:ascii="Times New Roman" w:hAnsi="Times New Roman" w:cs="Times New Roman" w:eastAsia="Times New Roman" w:hint="default"/>
          <w:spacing w:val="-1"/>
        </w:rPr>
        <w:t>20%</w:t>
      </w:r>
      <w:r>
        <w:rPr>
          <w:spacing w:val="-1"/>
        </w:rPr>
        <w:t>的税率缴纳</w:t>
      </w:r>
      <w:r>
        <w:rPr/>
        <w:t> 企业所得税。</w:t>
      </w:r>
    </w:p>
    <w:p>
      <w:pPr>
        <w:spacing w:line="240" w:lineRule="auto" w:before="10"/>
        <w:rPr>
          <w:rFonts w:ascii="宋体" w:hAnsi="宋体" w:cs="宋体" w:eastAsia="宋体" w:hint="default"/>
          <w:sz w:val="20"/>
          <w:szCs w:val="20"/>
        </w:rPr>
      </w:pPr>
    </w:p>
    <w:p>
      <w:pPr>
        <w:pStyle w:val="Heading3"/>
        <w:spacing w:line="240" w:lineRule="auto"/>
        <w:ind w:left="1133" w:right="0"/>
        <w:jc w:val="left"/>
        <w:rPr>
          <w:b w:val="0"/>
          <w:bCs w:val="0"/>
        </w:rPr>
      </w:pPr>
      <w:bookmarkStart w:name="3、其他" w:id="224"/>
      <w:bookmarkEnd w:id="224"/>
      <w:r>
        <w:rPr>
          <w:b w:val="0"/>
          <w:bCs w:val="0"/>
        </w:rPr>
      </w:r>
      <w:r>
        <w:rPr>
          <w:rFonts w:ascii="Times New Roman" w:hAnsi="Times New Roman" w:cs="Times New Roman" w:eastAsia="Times New Roman" w:hint="default"/>
        </w:rPr>
        <w:t>3</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2"/>
        <w:spacing w:line="240" w:lineRule="auto" w:before="9"/>
        <w:ind w:right="0"/>
        <w:jc w:val="left"/>
        <w:rPr>
          <w:b w:val="0"/>
          <w:bCs w:val="0"/>
        </w:rPr>
      </w:pPr>
      <w:bookmarkStart w:name="七、合并财务报表项目注释" w:id="225"/>
      <w:bookmarkEnd w:id="225"/>
      <w:r>
        <w:rPr>
          <w:b w:val="0"/>
          <w:bCs w:val="0"/>
        </w:rPr>
      </w:r>
      <w:r>
        <w:rPr/>
        <w:t>七、合并财务报表项目注释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货币资金" w:id="226"/>
      <w:bookmarkEnd w:id="226"/>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292,546.51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223,504.83</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770,832,942.08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835,613,748.62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18,361,836.81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19,552,814.69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789,487,325.40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855,390,068.14</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135,971,656.16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291,498,328.84</w:t>
            </w:r>
          </w:p>
        </w:tc>
      </w:tr>
    </w:tbl>
    <w:p>
      <w:pPr>
        <w:pStyle w:val="BodyText"/>
        <w:spacing w:line="240" w:lineRule="auto" w:before="88"/>
        <w:ind w:left="1134" w:right="0"/>
        <w:jc w:val="left"/>
      </w:pPr>
      <w:r>
        <w:rPr/>
        <w:t>其中因抵押、质押或冻结等对使用有限制的货币资金明细如下：</w:t>
      </w:r>
    </w:p>
    <w:p>
      <w:pPr>
        <w:spacing w:line="240" w:lineRule="auto" w:before="13"/>
        <w:rPr>
          <w:rFonts w:ascii="宋体" w:hAnsi="宋体" w:cs="宋体" w:eastAsia="宋体" w:hint="default"/>
          <w:sz w:val="11"/>
          <w:szCs w:val="11"/>
        </w:rPr>
      </w:pPr>
    </w:p>
    <w:tbl>
      <w:tblPr>
        <w:tblW w:w="0" w:type="auto"/>
        <w:jc w:val="left"/>
        <w:tblInd w:w="1126" w:type="dxa"/>
        <w:tblLayout w:type="fixed"/>
        <w:tblCellMar>
          <w:top w:w="0" w:type="dxa"/>
          <w:left w:w="0" w:type="dxa"/>
          <w:bottom w:w="0" w:type="dxa"/>
          <w:right w:w="0" w:type="dxa"/>
        </w:tblCellMar>
        <w:tblLook w:val="01E0"/>
      </w:tblPr>
      <w:tblGrid>
        <w:gridCol w:w="4127"/>
        <w:gridCol w:w="2765"/>
        <w:gridCol w:w="2766"/>
      </w:tblGrid>
      <w:tr>
        <w:trPr>
          <w:trHeight w:val="334" w:hRule="exact"/>
        </w:trPr>
        <w:tc>
          <w:tcPr>
            <w:tcW w:w="4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6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6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47" w:hRule="exact"/>
        </w:trPr>
        <w:tc>
          <w:tcPr>
            <w:tcW w:w="4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境外信用卡保证金</w:t>
            </w:r>
          </w:p>
        </w:tc>
        <w:tc>
          <w:tcPr>
            <w:tcW w:w="2765"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2,470,394.28</w:t>
            </w:r>
          </w:p>
        </w:tc>
        <w:tc>
          <w:tcPr>
            <w:tcW w:w="2766"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z w:val="18"/>
              </w:rPr>
              <w:t>346,850.00</w:t>
            </w:r>
          </w:p>
        </w:tc>
      </w:tr>
      <w:tr>
        <w:trPr>
          <w:trHeight w:val="347" w:hRule="exact"/>
        </w:trPr>
        <w:tc>
          <w:tcPr>
            <w:tcW w:w="4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银行保函保证金</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7,958,203.28</w:t>
            </w:r>
          </w:p>
        </w:tc>
        <w:tc>
          <w:tcPr>
            <w:tcW w:w="2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11,932,614.22</w:t>
            </w:r>
          </w:p>
        </w:tc>
      </w:tr>
      <w:tr>
        <w:trPr>
          <w:trHeight w:val="347" w:hRule="exact"/>
        </w:trPr>
        <w:tc>
          <w:tcPr>
            <w:tcW w:w="4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资金使用受限的境外银行存款</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1,603,572.93</w:t>
            </w:r>
          </w:p>
        </w:tc>
        <w:tc>
          <w:tcPr>
            <w:tcW w:w="2766" w:type="dxa"/>
            <w:tcBorders>
              <w:top w:val="single" w:sz="6" w:space="0" w:color="000000"/>
              <w:left w:val="single" w:sz="6" w:space="0" w:color="000000"/>
              <w:bottom w:val="single" w:sz="6" w:space="0" w:color="000000"/>
              <w:right w:val="single" w:sz="6" w:space="0" w:color="000000"/>
            </w:tcBorders>
          </w:tcPr>
          <w:p>
            <w:pPr/>
          </w:p>
        </w:tc>
      </w:tr>
      <w:tr>
        <w:trPr>
          <w:trHeight w:val="348" w:hRule="exact"/>
        </w:trPr>
        <w:tc>
          <w:tcPr>
            <w:tcW w:w="4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支付宝保证金</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20,000.00</w:t>
            </w:r>
          </w:p>
        </w:tc>
        <w:tc>
          <w:tcPr>
            <w:tcW w:w="2766" w:type="dxa"/>
            <w:tcBorders>
              <w:top w:val="single" w:sz="6" w:space="0" w:color="000000"/>
              <w:left w:val="single" w:sz="6" w:space="0" w:color="000000"/>
              <w:bottom w:val="single" w:sz="6" w:space="0" w:color="000000"/>
              <w:right w:val="single" w:sz="6" w:space="0" w:color="000000"/>
            </w:tcBorders>
          </w:tcPr>
          <w:p>
            <w:pPr/>
          </w:p>
        </w:tc>
      </w:tr>
      <w:tr>
        <w:trPr>
          <w:trHeight w:val="347" w:hRule="exact"/>
        </w:trPr>
        <w:tc>
          <w:tcPr>
            <w:tcW w:w="412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7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12,052,170.49</w:t>
            </w:r>
          </w:p>
        </w:tc>
        <w:tc>
          <w:tcPr>
            <w:tcW w:w="2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12,279,464.22</w:t>
            </w:r>
          </w:p>
        </w:tc>
      </w:tr>
    </w:tbl>
    <w:p>
      <w:pPr>
        <w:pStyle w:val="BodyText"/>
        <w:spacing w:line="451" w:lineRule="auto" w:before="88"/>
        <w:ind w:left="1493" w:right="1168"/>
        <w:jc w:val="left"/>
      </w:pPr>
      <w:r>
        <w:rPr/>
        <w:t>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日，本公司资金使用受限的境外银行存款为人民币</w:t>
      </w:r>
      <w:r>
        <w:rPr>
          <w:rFonts w:ascii="Times New Roman" w:hAnsi="Times New Roman" w:cs="Times New Roman" w:eastAsia="Times New Roman" w:hint="default"/>
        </w:rPr>
        <w:t>1,603,572.93</w:t>
      </w:r>
      <w:r>
        <w:rPr/>
        <w:t>元。 截至</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日，其他货币资金中人民币</w:t>
      </w:r>
      <w:r>
        <w:rPr>
          <w:rFonts w:ascii="Times New Roman" w:hAnsi="Times New Roman" w:cs="Times New Roman" w:eastAsia="Times New Roman" w:hint="default"/>
        </w:rPr>
        <w:t>7,958,203.28</w:t>
      </w:r>
      <w:r>
        <w:rPr/>
        <w:t>元为本公司向银行申请开具无条件、不可撤销的保函所存入</w:t>
      </w:r>
    </w:p>
    <w:p>
      <w:pPr>
        <w:pStyle w:val="BodyText"/>
        <w:spacing w:line="240" w:lineRule="auto" w:before="43"/>
        <w:ind w:left="1134" w:right="0"/>
        <w:jc w:val="left"/>
      </w:pPr>
      <w:r>
        <w:rPr/>
        <w:t>的保证金存款。</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以公允价值计量且其变动计入当期损益的金融资产" w:id="227"/>
      <w:bookmarkEnd w:id="227"/>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3、衍生金融资产" w:id="228"/>
      <w:bookmarkEnd w:id="228"/>
      <w:r>
        <w:rPr>
          <w:b w:val="0"/>
          <w:bCs w:val="0"/>
        </w:rPr>
      </w:r>
      <w:r>
        <w:rPr>
          <w:rFonts w:ascii="Times New Roman" w:hAnsi="Times New Roman" w:cs="Times New Roman" w:eastAsia="Times New Roman" w:hint="default"/>
        </w:rPr>
        <w:t>3</w:t>
      </w:r>
      <w:r>
        <w:rPr/>
        <w:t>、衍生金融资产</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4、应收票据" w:id="229"/>
      <w:bookmarkEnd w:id="229"/>
      <w:r>
        <w:rPr>
          <w:b w:val="0"/>
          <w:bCs w:val="0"/>
        </w:rPr>
      </w:r>
      <w:r>
        <w:rPr>
          <w:rFonts w:ascii="Times New Roman" w:hAnsi="Times New Roman" w:cs="Times New Roman" w:eastAsia="Times New Roman" w:hint="default"/>
        </w:rPr>
        <w:t>4</w:t>
      </w:r>
      <w:r>
        <w:rPr/>
        <w:t>、应收票据</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应收票据分类列示" w:id="230"/>
      <w:bookmarkEnd w:id="230"/>
      <w:r>
        <w:rPr>
          <w:b w:val="0"/>
          <w:bCs w:val="0"/>
        </w:rPr>
      </w:r>
      <w:r>
        <w:rPr/>
        <w:t>（</w:t>
      </w:r>
      <w:r>
        <w:rPr>
          <w:rFonts w:ascii="Times New Roman" w:hAnsi="Times New Roman" w:cs="Times New Roman" w:eastAsia="Times New Roman" w:hint="default"/>
        </w:rPr>
        <w:t>1</w:t>
      </w:r>
      <w:r>
        <w:rPr/>
        <w:t>）应收票据分类列示</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278,478,661.00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413,300.00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269,941,528.00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413,300.00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33" w:right="0"/>
              <w:jc w:val="left"/>
              <w:rPr>
                <w:rFonts w:ascii="Times New Roman" w:hAnsi="Times New Roman" w:cs="Times New Roman" w:eastAsia="Times New Roman" w:hint="default"/>
                <w:sz w:val="18"/>
                <w:szCs w:val="18"/>
              </w:rPr>
            </w:pPr>
            <w:r>
              <w:rPr>
                <w:rFonts w:ascii="Times New Roman"/>
                <w:sz w:val="18"/>
              </w:rPr>
              <w:t>548,420,189.00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公司已质押的应收票据" w:id="231"/>
      <w:bookmarkEnd w:id="231"/>
      <w:r>
        <w:rPr>
          <w:b w:val="0"/>
          <w:bCs w:val="0"/>
        </w:rPr>
      </w:r>
      <w:r>
        <w:rPr/>
        <w:t>（</w:t>
      </w:r>
      <w:r>
        <w:rPr>
          <w:rFonts w:ascii="Times New Roman" w:hAnsi="Times New Roman" w:cs="Times New Roman" w:eastAsia="Times New Roman" w:hint="default"/>
        </w:rPr>
        <w:t>2</w:t>
      </w:r>
      <w:r>
        <w:rPr/>
        <w:t>）期末公司已质押的应收票据</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3）期末公司已背书或贴现且在资产负债表日尚未到期的应收票据" w:id="232"/>
      <w:bookmarkEnd w:id="232"/>
      <w:r>
        <w:rPr>
          <w:b w:val="0"/>
          <w:bCs w:val="0"/>
        </w:rPr>
      </w:r>
      <w:r>
        <w:rPr/>
        <w:t>（</w:t>
      </w:r>
      <w:r>
        <w:rPr>
          <w:rFonts w:ascii="Times New Roman" w:hAnsi="Times New Roman" w:cs="Times New Roman" w:eastAsia="Times New Roman" w:hint="default"/>
        </w:rPr>
        <w:t>3</w:t>
      </w:r>
      <w:r>
        <w:rPr/>
        <w:t>）期末公司已背书或贴现且在资产负债表日尚未到期的应收票据</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4）期末公司因出票人未履约而将其转应收账款的票据" w:id="233"/>
      <w:bookmarkEnd w:id="233"/>
      <w:r>
        <w:rPr>
          <w:b w:val="0"/>
          <w:bCs w:val="0"/>
        </w:rPr>
      </w:r>
      <w:r>
        <w:rPr/>
        <w:t>（</w:t>
      </w:r>
      <w:r>
        <w:rPr>
          <w:rFonts w:ascii="Times New Roman" w:hAnsi="Times New Roman" w:cs="Times New Roman" w:eastAsia="Times New Roman" w:hint="default"/>
        </w:rPr>
        <w:t>4</w:t>
      </w:r>
      <w:r>
        <w:rPr/>
        <w:t>）期末公司因出票人未履约而将其转应收账款的票据</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5、应收账款" w:id="234"/>
      <w:bookmarkEnd w:id="234"/>
      <w:r>
        <w:rPr>
          <w:b w:val="0"/>
          <w:bCs w:val="0"/>
        </w:rPr>
      </w:r>
      <w:r>
        <w:rPr>
          <w:rFonts w:ascii="Times New Roman" w:hAnsi="Times New Roman" w:cs="Times New Roman" w:eastAsia="Times New Roman" w:hint="default"/>
        </w:rPr>
        <w:t>5</w:t>
      </w:r>
      <w:r>
        <w:rPr/>
        <w:t>、应收账款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账款分类披露" w:id="235"/>
      <w:bookmarkEnd w:id="235"/>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1,275,39</w:t>
            </w:r>
          </w:p>
          <w:p>
            <w:pPr>
              <w:pStyle w:val="TableParagraph"/>
              <w:spacing w:line="240" w:lineRule="auto" w:before="106"/>
              <w:ind w:left="87" w:right="0"/>
              <w:jc w:val="left"/>
              <w:rPr>
                <w:rFonts w:ascii="Times New Roman" w:hAnsi="Times New Roman" w:cs="Times New Roman" w:eastAsia="Times New Roman" w:hint="default"/>
                <w:sz w:val="18"/>
                <w:szCs w:val="18"/>
              </w:rPr>
            </w:pPr>
            <w:r>
              <w:rPr>
                <w:rFonts w:ascii="Times New Roman"/>
                <w:sz w:val="18"/>
              </w:rPr>
              <w:t>1,438.36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95.28%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151,579,</w:t>
            </w:r>
          </w:p>
          <w:p>
            <w:pPr>
              <w:pStyle w:val="TableParagraph"/>
              <w:spacing w:line="240" w:lineRule="auto" w:before="106"/>
              <w:ind w:left="210" w:right="0"/>
              <w:jc w:val="center"/>
              <w:rPr>
                <w:rFonts w:ascii="Times New Roman" w:hAnsi="Times New Roman" w:cs="Times New Roman" w:eastAsia="Times New Roman" w:hint="default"/>
                <w:sz w:val="18"/>
                <w:szCs w:val="18"/>
              </w:rPr>
            </w:pPr>
            <w:r>
              <w:rPr>
                <w:rFonts w:ascii="Times New Roman"/>
                <w:sz w:val="18"/>
              </w:rPr>
              <w:t>228.45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11.88%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 w:right="0"/>
              <w:jc w:val="center"/>
              <w:rPr>
                <w:rFonts w:ascii="Times New Roman" w:hAnsi="Times New Roman" w:cs="Times New Roman" w:eastAsia="Times New Roman" w:hint="default"/>
                <w:sz w:val="18"/>
                <w:szCs w:val="18"/>
              </w:rPr>
            </w:pPr>
            <w:r>
              <w:rPr>
                <w:rFonts w:ascii="Times New Roman"/>
                <w:sz w:val="18"/>
              </w:rPr>
              <w:t>1,123,812</w:t>
            </w:r>
          </w:p>
          <w:p>
            <w:pPr>
              <w:pStyle w:val="TableParagraph"/>
              <w:spacing w:line="240" w:lineRule="auto" w:before="106"/>
              <w:ind w:left="195" w:right="0"/>
              <w:jc w:val="center"/>
              <w:rPr>
                <w:rFonts w:ascii="Times New Roman" w:hAnsi="Times New Roman" w:cs="Times New Roman" w:eastAsia="Times New Roman" w:hint="default"/>
                <w:sz w:val="18"/>
                <w:szCs w:val="18"/>
              </w:rPr>
            </w:pPr>
            <w:r>
              <w:rPr>
                <w:rFonts w:ascii="Times New Roman"/>
                <w:sz w:val="18"/>
              </w:rPr>
              <w:t>,209.91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1,240,6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29,085.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96.84%</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132,084,1</w:t>
            </w:r>
          </w:p>
          <w:p>
            <w:pPr>
              <w:pStyle w:val="TableParagraph"/>
              <w:spacing w:line="240" w:lineRule="auto" w:before="106"/>
              <w:ind w:left="376" w:right="0"/>
              <w:jc w:val="left"/>
              <w:rPr>
                <w:rFonts w:ascii="Times New Roman" w:hAnsi="Times New Roman" w:cs="Times New Roman" w:eastAsia="Times New Roman" w:hint="default"/>
                <w:sz w:val="18"/>
                <w:szCs w:val="18"/>
              </w:rPr>
            </w:pPr>
            <w:r>
              <w:rPr>
                <w:rFonts w:ascii="Times New Roman"/>
                <w:sz w:val="18"/>
              </w:rPr>
              <w:t>04.89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1,108,544,9</w:t>
            </w:r>
          </w:p>
          <w:p>
            <w:pPr>
              <w:pStyle w:val="TableParagraph"/>
              <w:spacing w:line="240" w:lineRule="auto" w:before="106"/>
              <w:ind w:left="494" w:right="0"/>
              <w:jc w:val="left"/>
              <w:rPr>
                <w:rFonts w:ascii="Times New Roman" w:hAnsi="Times New Roman" w:cs="Times New Roman" w:eastAsia="Times New Roman" w:hint="default"/>
                <w:sz w:val="18"/>
                <w:szCs w:val="18"/>
              </w:rPr>
            </w:pPr>
            <w:r>
              <w:rPr>
                <w:rFonts w:ascii="Times New Roman"/>
                <w:sz w:val="18"/>
              </w:rPr>
              <w:t>80.41</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60"/>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63,150,3</w:t>
            </w:r>
          </w:p>
          <w:p>
            <w:pPr>
              <w:pStyle w:val="TableParagraph"/>
              <w:spacing w:line="240" w:lineRule="auto" w:before="106"/>
              <w:ind w:left="313" w:right="0"/>
              <w:jc w:val="left"/>
              <w:rPr>
                <w:rFonts w:ascii="Times New Roman" w:hAnsi="Times New Roman" w:cs="Times New Roman" w:eastAsia="Times New Roman" w:hint="default"/>
                <w:sz w:val="18"/>
                <w:szCs w:val="18"/>
              </w:rPr>
            </w:pPr>
            <w:r>
              <w:rPr>
                <w:rFonts w:ascii="Times New Roman"/>
                <w:sz w:val="18"/>
              </w:rPr>
              <w:t>56.81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62,814,8</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24.35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99.47%</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335,532.4</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40,435,</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881.39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32,373,16</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4.45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8,062,716.9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w:t>
            </w:r>
          </w:p>
        </w:tc>
      </w:tr>
      <w:tr>
        <w:trPr>
          <w:trHeight w:val="317"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 w:right="0"/>
              <w:jc w:val="left"/>
              <w:rPr>
                <w:rFonts w:ascii="Times New Roman" w:hAnsi="Times New Roman" w:cs="Times New Roman" w:eastAsia="Times New Roman" w:hint="default"/>
                <w:sz w:val="18"/>
                <w:szCs w:val="18"/>
              </w:rPr>
            </w:pPr>
            <w:r>
              <w:rPr>
                <w:rFonts w:ascii="Times New Roman"/>
                <w:sz w:val="18"/>
              </w:rPr>
              <w:t>1,338,54</w:t>
            </w:r>
          </w:p>
          <w:p>
            <w:pPr>
              <w:pStyle w:val="TableParagraph"/>
              <w:spacing w:line="240" w:lineRule="auto" w:before="106"/>
              <w:ind w:left="93" w:right="0"/>
              <w:jc w:val="left"/>
              <w:rPr>
                <w:rFonts w:ascii="Times New Roman" w:hAnsi="Times New Roman" w:cs="Times New Roman" w:eastAsia="Times New Roman" w:hint="default"/>
                <w:sz w:val="18"/>
                <w:szCs w:val="18"/>
              </w:rPr>
            </w:pPr>
            <w:r>
              <w:rPr>
                <w:rFonts w:ascii="Times New Roman"/>
                <w:sz w:val="18"/>
              </w:rPr>
              <w:t>1,795.17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214,394,</w:t>
            </w:r>
          </w:p>
          <w:p>
            <w:pPr>
              <w:pStyle w:val="TableParagraph"/>
              <w:spacing w:line="240" w:lineRule="auto" w:before="106"/>
              <w:ind w:left="210" w:right="0"/>
              <w:jc w:val="center"/>
              <w:rPr>
                <w:rFonts w:ascii="Times New Roman" w:hAnsi="Times New Roman" w:cs="Times New Roman" w:eastAsia="Times New Roman" w:hint="default"/>
                <w:sz w:val="18"/>
                <w:szCs w:val="18"/>
              </w:rPr>
            </w:pPr>
            <w:r>
              <w:rPr>
                <w:rFonts w:ascii="Times New Roman"/>
                <w:sz w:val="18"/>
              </w:rPr>
              <w:t>052.80</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 w:right="0"/>
              <w:jc w:val="center"/>
              <w:rPr>
                <w:rFonts w:ascii="Times New Roman" w:hAnsi="Times New Roman" w:cs="Times New Roman" w:eastAsia="Times New Roman" w:hint="default"/>
                <w:sz w:val="18"/>
                <w:szCs w:val="18"/>
              </w:rPr>
            </w:pPr>
            <w:r>
              <w:rPr>
                <w:rFonts w:ascii="Times New Roman"/>
                <w:sz w:val="18"/>
              </w:rPr>
              <w:t>1,124,147</w:t>
            </w:r>
          </w:p>
          <w:p>
            <w:pPr>
              <w:pStyle w:val="TableParagraph"/>
              <w:spacing w:line="240" w:lineRule="auto" w:before="106"/>
              <w:ind w:left="195" w:right="0"/>
              <w:jc w:val="center"/>
              <w:rPr>
                <w:rFonts w:ascii="Times New Roman" w:hAnsi="Times New Roman" w:cs="Times New Roman" w:eastAsia="Times New Roman" w:hint="default"/>
                <w:sz w:val="18"/>
                <w:szCs w:val="18"/>
              </w:rPr>
            </w:pPr>
            <w:r>
              <w:rPr>
                <w:rFonts w:ascii="Times New Roman"/>
                <w:sz w:val="18"/>
              </w:rPr>
              <w:t>,742.37</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1,281,0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64,966.</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69</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164,457,2</w:t>
            </w:r>
          </w:p>
          <w:p>
            <w:pPr>
              <w:pStyle w:val="TableParagraph"/>
              <w:spacing w:line="240" w:lineRule="auto" w:before="106"/>
              <w:ind w:left="376" w:right="0"/>
              <w:jc w:val="left"/>
              <w:rPr>
                <w:rFonts w:ascii="Times New Roman" w:hAnsi="Times New Roman" w:cs="Times New Roman" w:eastAsia="Times New Roman" w:hint="default"/>
                <w:sz w:val="18"/>
                <w:szCs w:val="18"/>
              </w:rPr>
            </w:pPr>
            <w:r>
              <w:rPr>
                <w:rFonts w:ascii="Times New Roman"/>
                <w:sz w:val="18"/>
              </w:rPr>
              <w:t>69.34</w:t>
            </w:r>
          </w:p>
        </w:tc>
        <w:tc>
          <w:tcPr>
            <w:tcW w:w="932" w:type="dxa"/>
            <w:vMerge w:val="restart"/>
            <w:tcBorders>
              <w:top w:val="single" w:sz="4" w:space="0" w:color="000000"/>
              <w:left w:val="single" w:sz="4" w:space="0" w:color="000000"/>
              <w:right w:val="single" w:sz="4" w:space="0" w:color="000000"/>
            </w:tcBorders>
          </w:tcPr>
          <w:p>
            <w:pP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0" w:right="0"/>
              <w:jc w:val="left"/>
              <w:rPr>
                <w:rFonts w:ascii="Times New Roman" w:hAnsi="Times New Roman" w:cs="Times New Roman" w:eastAsia="Times New Roman" w:hint="default"/>
                <w:sz w:val="18"/>
                <w:szCs w:val="18"/>
              </w:rPr>
            </w:pPr>
            <w:r>
              <w:rPr>
                <w:rFonts w:ascii="Times New Roman"/>
                <w:sz w:val="18"/>
              </w:rPr>
              <w:t>1,116,607,6</w:t>
            </w:r>
          </w:p>
          <w:p>
            <w:pPr>
              <w:pStyle w:val="TableParagraph"/>
              <w:spacing w:line="240" w:lineRule="auto" w:before="106"/>
              <w:ind w:left="494" w:right="0"/>
              <w:jc w:val="left"/>
              <w:rPr>
                <w:rFonts w:ascii="Times New Roman" w:hAnsi="Times New Roman" w:cs="Times New Roman" w:eastAsia="Times New Roman" w:hint="default"/>
                <w:sz w:val="18"/>
                <w:szCs w:val="18"/>
              </w:rPr>
            </w:pPr>
            <w:r>
              <w:rPr>
                <w:rFonts w:ascii="Times New Roman"/>
                <w:sz w:val="18"/>
              </w:rPr>
              <w:t>97.35</w:t>
            </w:r>
          </w:p>
        </w:tc>
      </w:tr>
      <w:tr>
        <w:trPr>
          <w:trHeight w:val="392"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317"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期末单项金额重大并单项计提坏账准备的应收账款：</w:t>
      </w:r>
    </w:p>
    <w:p>
      <w:pPr>
        <w:spacing w:line="240" w:lineRule="auto" w:before="12"/>
        <w:rPr>
          <w:rFonts w:ascii="宋体" w:hAnsi="宋体" w:cs="宋体" w:eastAsia="宋体" w:hint="default"/>
          <w:sz w:val="20"/>
          <w:szCs w:val="20"/>
        </w:rPr>
      </w:pPr>
    </w:p>
    <w:p>
      <w:pPr>
        <w:pStyle w:val="BodyText"/>
        <w:spacing w:line="489" w:lineRule="auto"/>
        <w:ind w:left="1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组合中，按账龄分析法计提坏账准备的应收账款：</w:t>
      </w:r>
    </w:p>
    <w:p>
      <w:pPr>
        <w:spacing w:before="86"/>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5"/>
        <w:rPr>
          <w:rFonts w:ascii="宋体" w:hAnsi="宋体" w:cs="宋体" w:eastAsia="宋体" w:hint="default"/>
          <w:sz w:val="10"/>
          <w:szCs w:val="10"/>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2"/>
        <w:gridCol w:w="7177"/>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775,552,764.84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38,777,638.23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341,961,837.77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34,196,183.76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71,146,554.49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21,380,394.25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52,762,521.87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26,383,805.24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15,632,762.10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12,506,209.68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18,334,997.29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18,334,997.29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1,275,391,438.36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151,579,228.45</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组合中，采用余额百分比法计提坏账准备的应收账款：</w:t>
      </w:r>
    </w:p>
    <w:p>
      <w:pPr>
        <w:spacing w:line="240" w:lineRule="auto" w:before="12"/>
        <w:rPr>
          <w:rFonts w:ascii="宋体" w:hAnsi="宋体" w:cs="宋体" w:eastAsia="宋体" w:hint="default"/>
          <w:sz w:val="20"/>
          <w:szCs w:val="20"/>
        </w:rPr>
      </w:pPr>
    </w:p>
    <w:p>
      <w:pPr>
        <w:pStyle w:val="BodyText"/>
        <w:spacing w:line="489" w:lineRule="auto"/>
        <w:ind w:left="1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组合中，采用其他方法计提坏账准备的应收账款：</w:t>
      </w:r>
    </w:p>
    <w:p>
      <w:pPr>
        <w:spacing w:before="86"/>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3"/>
          <w:szCs w:val="13"/>
        </w:rPr>
      </w:pPr>
    </w:p>
    <w:p>
      <w:pPr>
        <w:pStyle w:val="Heading3"/>
        <w:spacing w:line="240" w:lineRule="auto"/>
        <w:ind w:right="0"/>
        <w:jc w:val="left"/>
        <w:rPr>
          <w:b w:val="0"/>
          <w:bCs w:val="0"/>
        </w:rPr>
      </w:pPr>
      <w:bookmarkStart w:name="（2）本期计提、收回或转回的坏账准备情况" w:id="236"/>
      <w:bookmarkEnd w:id="236"/>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134" w:right="0"/>
        <w:jc w:val="left"/>
      </w:pPr>
      <w:r>
        <w:rPr/>
        <w:t>本期计提坏账准备金额</w:t>
      </w:r>
      <w:r>
        <w:rPr>
          <w:spacing w:val="-47"/>
        </w:rPr>
        <w:t> </w:t>
      </w:r>
      <w:r>
        <w:rPr>
          <w:rFonts w:ascii="Times New Roman" w:hAnsi="Times New Roman" w:cs="Times New Roman" w:eastAsia="Times New Roman" w:hint="default"/>
        </w:rPr>
        <w:t>50,166,105.51</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pStyle w:val="Heading3"/>
        <w:spacing w:line="240" w:lineRule="auto"/>
        <w:ind w:left="1133" w:right="0"/>
        <w:jc w:val="left"/>
        <w:rPr>
          <w:b w:val="0"/>
          <w:bCs w:val="0"/>
        </w:rPr>
      </w:pPr>
      <w:bookmarkStart w:name="（3）本期实际核销的应收账款情况" w:id="237"/>
      <w:bookmarkEnd w:id="237"/>
      <w:r>
        <w:rPr>
          <w:b w:val="0"/>
          <w:bCs w:val="0"/>
        </w:rPr>
      </w:r>
      <w:r>
        <w:rPr/>
        <w:t>（</w:t>
      </w:r>
      <w:r>
        <w:rPr>
          <w:rFonts w:ascii="Times New Roman" w:hAnsi="Times New Roman" w:cs="Times New Roman" w:eastAsia="Times New Roman" w:hint="default"/>
        </w:rPr>
        <w:t>3</w:t>
      </w:r>
      <w:r>
        <w:rPr/>
        <w:t>）本期实际核销的应收账款情况</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4）按欠款方归集的期末余额前五名的应收账款情况" w:id="238"/>
      <w:bookmarkEnd w:id="238"/>
      <w:r>
        <w:rPr>
          <w:b w:val="0"/>
          <w:bCs w:val="0"/>
        </w:rPr>
      </w:r>
      <w:r>
        <w:rPr/>
        <w:t>（</w:t>
      </w:r>
      <w:r>
        <w:rPr>
          <w:rFonts w:ascii="Times New Roman" w:hAnsi="Times New Roman" w:cs="Times New Roman" w:eastAsia="Times New Roman" w:hint="default"/>
        </w:rPr>
        <w:t>4</w:t>
      </w:r>
      <w:r>
        <w:rPr/>
        <w:t>）按欠款方归集的期末余额前五名的应收账款情况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693"/>
        <w:jc w:val="left"/>
        <w:rPr>
          <w:rFonts w:ascii="宋体" w:hAnsi="宋体" w:cs="宋体" w:eastAsia="宋体" w:hint="default"/>
        </w:rPr>
      </w:pPr>
      <w:r>
        <w:rPr/>
        <w:t>公司是否需要遵守特殊行业的披露要求 </w:t>
      </w:r>
      <w:r>
        <w:rPr>
          <w:rFonts w:ascii="宋体" w:hAnsi="宋体" w:cs="宋体" w:eastAsia="宋体" w:hint="default"/>
          <w:b/>
          <w:bCs/>
        </w:rPr>
        <w:t>是</w:t>
      </w:r>
      <w:r>
        <w:rPr>
          <w:rFonts w:ascii="宋体" w:hAnsi="宋体" w:cs="宋体" w:eastAsia="宋体" w:hint="default"/>
        </w:rPr>
      </w:r>
    </w:p>
    <w:p>
      <w:pPr>
        <w:pStyle w:val="Heading4"/>
        <w:spacing w:line="240" w:lineRule="auto" w:before="29"/>
        <w:ind w:left="1133" w:right="0"/>
        <w:jc w:val="left"/>
        <w:rPr>
          <w:b w:val="0"/>
          <w:bCs w:val="0"/>
        </w:rPr>
      </w:pPr>
      <w:r>
        <w:rPr/>
        <w:t>互联网游戏业</w:t>
      </w:r>
      <w:r>
        <w:rPr>
          <w:b w:val="0"/>
          <w:bCs w:val="0"/>
        </w:rPr>
      </w:r>
    </w:p>
    <w:p>
      <w:pPr>
        <w:spacing w:line="240" w:lineRule="auto" w:before="5"/>
        <w:rPr>
          <w:rFonts w:ascii="宋体" w:hAnsi="宋体" w:cs="宋体" w:eastAsia="宋体" w:hint="default"/>
          <w:b/>
          <w:bCs/>
          <w:sz w:val="8"/>
          <w:szCs w:val="8"/>
        </w:rPr>
      </w:pPr>
    </w:p>
    <w:tbl>
      <w:tblPr>
        <w:tblW w:w="0" w:type="auto"/>
        <w:jc w:val="left"/>
        <w:tblInd w:w="1126" w:type="dxa"/>
        <w:tblLayout w:type="fixed"/>
        <w:tblCellMar>
          <w:top w:w="0" w:type="dxa"/>
          <w:left w:w="0" w:type="dxa"/>
          <w:bottom w:w="0" w:type="dxa"/>
          <w:right w:w="0" w:type="dxa"/>
        </w:tblCellMar>
        <w:tblLook w:val="01E0"/>
      </w:tblPr>
      <w:tblGrid>
        <w:gridCol w:w="4153"/>
        <w:gridCol w:w="1976"/>
        <w:gridCol w:w="1766"/>
        <w:gridCol w:w="1764"/>
      </w:tblGrid>
      <w:tr>
        <w:trPr>
          <w:trHeight w:val="336" w:hRule="exact"/>
        </w:trPr>
        <w:tc>
          <w:tcPr>
            <w:tcW w:w="4153"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5505"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665" w:hRule="exact"/>
        </w:trPr>
        <w:tc>
          <w:tcPr>
            <w:tcW w:w="4153" w:type="dxa"/>
            <w:vMerge/>
            <w:tcBorders>
              <w:left w:val="single" w:sz="6" w:space="0" w:color="000000"/>
              <w:bottom w:val="single" w:sz="6" w:space="0" w:color="000000"/>
              <w:right w:val="single" w:sz="6" w:space="0" w:color="000000"/>
            </w:tcBorders>
            <w:shd w:val="clear" w:color="auto" w:fill="D9D9D9"/>
          </w:tcPr>
          <w:p>
            <w:pPr/>
          </w:p>
        </w:tc>
        <w:tc>
          <w:tcPr>
            <w:tcW w:w="19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619"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76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6"/>
              <w:ind w:left="560" w:right="64" w:hanging="496"/>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占应收账款合计数的 比例</w:t>
            </w:r>
            <w:r>
              <w:rPr>
                <w:rFonts w:ascii="Times New Roman" w:hAnsi="Times New Roman" w:cs="Times New Roman" w:eastAsia="Times New Roman" w:hint="default"/>
                <w:sz w:val="18"/>
                <w:szCs w:val="18"/>
              </w:rPr>
              <w:t>(%)</w:t>
            </w:r>
          </w:p>
        </w:tc>
        <w:tc>
          <w:tcPr>
            <w:tcW w:w="176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514"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27" w:hRule="exact"/>
        </w:trPr>
        <w:tc>
          <w:tcPr>
            <w:tcW w:w="41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0"/>
              <w:ind w:left="184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1</w:t>
            </w:r>
          </w:p>
        </w:tc>
        <w:tc>
          <w:tcPr>
            <w:tcW w:w="1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104,404,178.69</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7.80</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11,362,225.94</w:t>
            </w:r>
          </w:p>
        </w:tc>
      </w:tr>
      <w:tr>
        <w:trPr>
          <w:trHeight w:val="427" w:hRule="exact"/>
        </w:trPr>
        <w:tc>
          <w:tcPr>
            <w:tcW w:w="41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0"/>
              <w:ind w:left="184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2</w:t>
            </w:r>
          </w:p>
        </w:tc>
        <w:tc>
          <w:tcPr>
            <w:tcW w:w="1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78,251,330.50</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5.85</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12,917,615.28</w:t>
            </w:r>
          </w:p>
        </w:tc>
      </w:tr>
      <w:tr>
        <w:trPr>
          <w:trHeight w:val="427" w:hRule="exact"/>
        </w:trPr>
        <w:tc>
          <w:tcPr>
            <w:tcW w:w="41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0"/>
              <w:ind w:left="184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3</w:t>
            </w:r>
          </w:p>
        </w:tc>
        <w:tc>
          <w:tcPr>
            <w:tcW w:w="1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52,278,809.72</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3.91</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12,021,859.88</w:t>
            </w:r>
          </w:p>
        </w:tc>
      </w:tr>
      <w:tr>
        <w:trPr>
          <w:trHeight w:val="427" w:hRule="exact"/>
        </w:trPr>
        <w:tc>
          <w:tcPr>
            <w:tcW w:w="41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84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4</w:t>
            </w:r>
          </w:p>
        </w:tc>
        <w:tc>
          <w:tcPr>
            <w:tcW w:w="1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49,566,714.19</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3.70</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8,663,005.81</w:t>
            </w:r>
          </w:p>
        </w:tc>
      </w:tr>
      <w:tr>
        <w:trPr>
          <w:trHeight w:val="427" w:hRule="exact"/>
        </w:trPr>
        <w:tc>
          <w:tcPr>
            <w:tcW w:w="41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84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5</w:t>
            </w:r>
          </w:p>
        </w:tc>
        <w:tc>
          <w:tcPr>
            <w:tcW w:w="1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42,643,458.58</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3.19</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2,132,172.93</w:t>
            </w:r>
          </w:p>
        </w:tc>
      </w:tr>
      <w:tr>
        <w:trPr>
          <w:trHeight w:val="428" w:hRule="exact"/>
        </w:trPr>
        <w:tc>
          <w:tcPr>
            <w:tcW w:w="41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0"/>
              <w:ind w:left="1889"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327,144,491.68</w:t>
            </w:r>
          </w:p>
        </w:tc>
        <w:tc>
          <w:tcPr>
            <w:tcW w:w="17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24.45</w:t>
            </w:r>
          </w:p>
        </w:tc>
        <w:tc>
          <w:tcPr>
            <w:tcW w:w="17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47,096,879.84</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5）因金融资产转移而终止确认的应收账款" w:id="239"/>
      <w:bookmarkEnd w:id="239"/>
      <w:r>
        <w:rPr>
          <w:b w:val="0"/>
          <w:bCs w:val="0"/>
        </w:rPr>
      </w:r>
      <w:r>
        <w:rPr/>
        <w:t>（</w:t>
      </w:r>
      <w:r>
        <w:rPr>
          <w:rFonts w:ascii="Times New Roman" w:hAnsi="Times New Roman" w:cs="Times New Roman" w:eastAsia="Times New Roman" w:hint="default"/>
        </w:rPr>
        <w:t>5</w:t>
      </w:r>
      <w:r>
        <w:rPr/>
        <w:t>）因金融资产转移而终止确认的应收账款</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6）转移应收账款且继续涉入形成的资产、负债金额" w:id="240"/>
      <w:bookmarkEnd w:id="240"/>
      <w:r>
        <w:rPr>
          <w:b w:val="0"/>
          <w:bCs w:val="0"/>
        </w:rPr>
      </w:r>
      <w:r>
        <w:rPr/>
        <w:t>（</w:t>
      </w:r>
      <w:r>
        <w:rPr>
          <w:rFonts w:ascii="Times New Roman" w:hAnsi="Times New Roman" w:cs="Times New Roman" w:eastAsia="Times New Roman" w:hint="default"/>
        </w:rPr>
        <w:t>6</w:t>
      </w:r>
      <w:r>
        <w:rPr/>
        <w:t>）转移应收账款且继续涉入形成的资产、负债金额</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6、预付款项" w:id="241"/>
      <w:bookmarkEnd w:id="241"/>
      <w:r>
        <w:rPr>
          <w:b w:val="0"/>
          <w:bCs w:val="0"/>
        </w:rPr>
      </w:r>
      <w:r>
        <w:rPr>
          <w:rFonts w:ascii="Times New Roman" w:hAnsi="Times New Roman" w:cs="Times New Roman" w:eastAsia="Times New Roman" w:hint="default"/>
        </w:rPr>
        <w:t>6</w:t>
      </w:r>
      <w:r>
        <w:rPr/>
        <w:t>、预付款项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预付款项按账龄列示" w:id="242"/>
      <w:bookmarkEnd w:id="242"/>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889"/>
        <w:gridCol w:w="1927"/>
        <w:gridCol w:w="1914"/>
        <w:gridCol w:w="1914"/>
        <w:gridCol w:w="1915"/>
      </w:tblGrid>
      <w:tr>
        <w:trPr>
          <w:trHeight w:val="205" w:hRule="exact"/>
        </w:trPr>
        <w:tc>
          <w:tcPr>
            <w:tcW w:w="18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8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41"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889" w:type="dxa"/>
            <w:vMerge/>
            <w:tcBorders>
              <w:left w:val="single" w:sz="4" w:space="0" w:color="000000"/>
              <w:bottom w:val="nil" w:sz="6" w:space="0" w:color="auto"/>
              <w:right w:val="single" w:sz="4" w:space="0" w:color="000000"/>
            </w:tcBorders>
            <w:shd w:val="clear" w:color="auto" w:fill="D2D2D2"/>
          </w:tcPr>
          <w:p>
            <w:pPr/>
          </w:p>
        </w:tc>
        <w:tc>
          <w:tcPr>
            <w:tcW w:w="192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18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16,666,776.04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95.30%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15,326,631.85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85.97%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767,776.99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2,411,327.36</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13.53%</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2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53,980.74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0.31%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90,000.00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0.50%</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7"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17,488,533.77</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17,827,959.21</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按预付对象归集的期末余额前五名的预付款情况" w:id="243"/>
      <w:bookmarkEnd w:id="243"/>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9"/>
        <w:rPr>
          <w:rFonts w:ascii="宋体" w:hAnsi="宋体" w:cs="宋体" w:eastAsia="宋体" w:hint="default"/>
          <w:b/>
          <w:bCs/>
          <w:sz w:val="26"/>
          <w:szCs w:val="26"/>
        </w:rPr>
      </w:pPr>
    </w:p>
    <w:tbl>
      <w:tblPr>
        <w:tblW w:w="0" w:type="auto"/>
        <w:jc w:val="left"/>
        <w:tblInd w:w="1126" w:type="dxa"/>
        <w:tblLayout w:type="fixed"/>
        <w:tblCellMar>
          <w:top w:w="0" w:type="dxa"/>
          <w:left w:w="0" w:type="dxa"/>
          <w:bottom w:w="0" w:type="dxa"/>
          <w:right w:w="0" w:type="dxa"/>
        </w:tblCellMar>
        <w:tblLook w:val="01E0"/>
      </w:tblPr>
      <w:tblGrid>
        <w:gridCol w:w="3219"/>
        <w:gridCol w:w="2859"/>
        <w:gridCol w:w="3580"/>
      </w:tblGrid>
      <w:tr>
        <w:trPr>
          <w:trHeight w:val="334"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预付对象</w:t>
            </w:r>
          </w:p>
        </w:tc>
        <w:tc>
          <w:tcPr>
            <w:tcW w:w="285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left="177" w:right="0"/>
              <w:jc w:val="left"/>
              <w:rPr>
                <w:rFonts w:ascii="宋体" w:hAnsi="宋体" w:cs="宋体" w:eastAsia="宋体" w:hint="default"/>
                <w:sz w:val="18"/>
                <w:szCs w:val="18"/>
              </w:rPr>
            </w:pPr>
            <w:r>
              <w:rPr>
                <w:rFonts w:ascii="宋体" w:hAnsi="宋体" w:cs="宋体" w:eastAsia="宋体" w:hint="default"/>
                <w:sz w:val="18"/>
                <w:szCs w:val="18"/>
              </w:rPr>
              <w:t>占预付款项期末余额合计数的比例（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1</w:t>
            </w:r>
          </w:p>
        </w:tc>
        <w:tc>
          <w:tcPr>
            <w:tcW w:w="2859"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3,282,500.00</w:t>
            </w:r>
          </w:p>
        </w:tc>
        <w:tc>
          <w:tcPr>
            <w:tcW w:w="358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z w:val="18"/>
              </w:rPr>
              <w:t>18.77</w:t>
            </w:r>
          </w:p>
        </w:tc>
      </w:tr>
      <w:tr>
        <w:trPr>
          <w:trHeight w:val="348"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2</w:t>
            </w:r>
          </w:p>
        </w:tc>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2,245,471.64</w:t>
            </w:r>
          </w:p>
        </w:tc>
        <w:tc>
          <w:tcPr>
            <w:tcW w:w="3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12.84</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3</w:t>
            </w:r>
          </w:p>
        </w:tc>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1,644,030.00</w:t>
            </w:r>
          </w:p>
        </w:tc>
        <w:tc>
          <w:tcPr>
            <w:tcW w:w="3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9.40</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4</w:t>
            </w:r>
          </w:p>
        </w:tc>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901,470.00</w:t>
            </w:r>
          </w:p>
        </w:tc>
        <w:tc>
          <w:tcPr>
            <w:tcW w:w="3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5.15</w:t>
            </w:r>
          </w:p>
        </w:tc>
      </w:tr>
      <w:tr>
        <w:trPr>
          <w:trHeight w:val="347"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Times New Roman" w:hAnsi="Times New Roman" w:cs="Times New Roman" w:eastAsia="Times New Roman" w:hint="default"/>
                <w:sz w:val="18"/>
                <w:szCs w:val="18"/>
              </w:rPr>
              <w:t>5</w:t>
            </w:r>
          </w:p>
        </w:tc>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635,283.00</w:t>
            </w:r>
          </w:p>
        </w:tc>
        <w:tc>
          <w:tcPr>
            <w:tcW w:w="3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3.63</w:t>
            </w:r>
          </w:p>
        </w:tc>
      </w:tr>
      <w:tr>
        <w:trPr>
          <w:trHeight w:val="348" w:hRule="exact"/>
        </w:trPr>
        <w:tc>
          <w:tcPr>
            <w:tcW w:w="32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85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8,708,754.64</w:t>
            </w:r>
          </w:p>
        </w:tc>
        <w:tc>
          <w:tcPr>
            <w:tcW w:w="35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49.79</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7、应收利息" w:id="244"/>
      <w:bookmarkEnd w:id="244"/>
      <w:r>
        <w:rPr>
          <w:b w:val="0"/>
          <w:bCs w:val="0"/>
        </w:rPr>
      </w:r>
      <w:r>
        <w:rPr>
          <w:rFonts w:ascii="Times New Roman" w:hAnsi="Times New Roman" w:cs="Times New Roman" w:eastAsia="Times New Roman" w:hint="default"/>
        </w:rPr>
        <w:t>7</w:t>
      </w:r>
      <w:r>
        <w:rPr/>
        <w:t>、应收利息</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8、应收股利" w:id="245"/>
      <w:bookmarkEnd w:id="245"/>
      <w:r>
        <w:rPr>
          <w:b w:val="0"/>
          <w:bCs w:val="0"/>
        </w:rPr>
      </w:r>
      <w:r>
        <w:rPr>
          <w:rFonts w:ascii="Times New Roman" w:hAnsi="Times New Roman" w:cs="Times New Roman" w:eastAsia="Times New Roman" w:hint="default"/>
        </w:rPr>
        <w:t>8</w:t>
      </w:r>
      <w:r>
        <w:rPr/>
        <w:t>、应收股利</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应收股利" w:id="246"/>
      <w:bookmarkEnd w:id="246"/>
      <w:r>
        <w:rPr>
          <w:b w:val="0"/>
          <w:bCs w:val="0"/>
        </w:rPr>
      </w:r>
      <w:r>
        <w:rPr/>
        <w:t>（</w:t>
      </w:r>
      <w:r>
        <w:rPr>
          <w:rFonts w:ascii="Times New Roman" w:hAnsi="Times New Roman" w:cs="Times New Roman" w:eastAsia="Times New Roman" w:hint="default"/>
        </w:rPr>
        <w:t>1</w:t>
      </w:r>
      <w:r>
        <w:rPr/>
        <w:t>）应收股利</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90"/>
        <w:gridCol w:w="3191"/>
        <w:gridCol w:w="3177"/>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北京中清龙图网络技术有限公司</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20,000,000.00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重要的账龄超过1年的应收股利" w:id="247"/>
      <w:bookmarkEnd w:id="247"/>
      <w:r>
        <w:rPr>
          <w:b w:val="0"/>
          <w:bCs w:val="0"/>
        </w:rPr>
      </w:r>
      <w:r>
        <w:rPr/>
        <w:t>（</w:t>
      </w:r>
      <w:r>
        <w:rPr>
          <w:rFonts w:ascii="Times New Roman" w:hAnsi="Times New Roman" w:cs="Times New Roman" w:eastAsia="Times New Roman" w:hint="default"/>
        </w:rPr>
        <w:t>2</w:t>
      </w:r>
      <w:r>
        <w:rPr/>
        <w:t>）重要的账龄超过</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3"/>
        </w:rPr>
        <w:t> </w:t>
      </w:r>
      <w:r>
        <w:rPr/>
        <w:t>年的应收股利</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9、其他应收款" w:id="248"/>
      <w:bookmarkEnd w:id="248"/>
      <w:r>
        <w:rPr>
          <w:b w:val="0"/>
          <w:bCs w:val="0"/>
        </w:rPr>
      </w:r>
      <w:r>
        <w:rPr>
          <w:rFonts w:ascii="Times New Roman" w:hAnsi="Times New Roman" w:cs="Times New Roman" w:eastAsia="Times New Roman" w:hint="default"/>
        </w:rPr>
        <w:t>9</w:t>
      </w:r>
      <w:r>
        <w:rPr/>
        <w:t>、其他应收款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其他应收款分类披露" w:id="249"/>
      <w:bookmarkEnd w:id="249"/>
      <w:r>
        <w:rPr>
          <w:b w:val="0"/>
          <w:bCs w:val="0"/>
        </w:rPr>
      </w:r>
      <w:r>
        <w:rPr/>
        <w:t>（</w:t>
      </w:r>
      <w:r>
        <w:rPr>
          <w:rFonts w:ascii="Times New Roman" w:hAnsi="Times New Roman" w:cs="Times New Roman" w:eastAsia="Times New Roman" w:hint="default"/>
        </w:rPr>
        <w:t>1</w:t>
      </w:r>
      <w:r>
        <w:rPr/>
        <w:t>）其他应收款分类披露</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813"/>
        <w:gridCol w:w="932"/>
        <w:gridCol w:w="932"/>
      </w:tblGrid>
      <w:tr>
        <w:trPr>
          <w:trHeight w:val="397" w:hRule="exact"/>
        </w:trPr>
        <w:tc>
          <w:tcPr>
            <w:tcW w:w="1611" w:type="dxa"/>
            <w:vMerge w:val="restart"/>
            <w:tcBorders>
              <w:top w:val="single" w:sz="4" w:space="0" w:color="000000"/>
              <w:left w:val="single" w:sz="4" w:space="0" w:color="000000"/>
              <w:right w:val="single" w:sz="4" w:space="0" w:color="000000"/>
            </w:tcBorders>
            <w:shd w:val="clear" w:color="auto" w:fill="D2D2D2"/>
          </w:tcPr>
          <w:p>
            <w:pPr/>
          </w:p>
        </w:tc>
        <w:tc>
          <w:tcPr>
            <w:tcW w:w="385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11" w:type="dxa"/>
            <w:vMerge/>
            <w:tcBorders>
              <w:left w:val="single" w:sz="4" w:space="0" w:color="000000"/>
              <w:bottom w:val="nil" w:sz="6" w:space="0" w:color="auto"/>
              <w:right w:val="single" w:sz="4" w:space="0" w:color="000000"/>
            </w:tcBorders>
            <w:shd w:val="clear" w:color="auto" w:fill="D2D2D2"/>
          </w:tcPr>
          <w:p>
            <w:pPr/>
          </w:p>
        </w:tc>
        <w:tc>
          <w:tcPr>
            <w:tcW w:w="153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0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1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37"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11" w:type="dxa"/>
            <w:vMerge/>
            <w:tcBorders>
              <w:left w:val="single" w:sz="4" w:space="0" w:color="000000"/>
              <w:bottom w:val="single" w:sz="4" w:space="0" w:color="FFFFFF"/>
              <w:right w:val="single" w:sz="4" w:space="0" w:color="000000"/>
            </w:tcBorders>
            <w:shd w:val="clear" w:color="auto" w:fill="D2D2D2"/>
          </w:tcPr>
          <w:p>
            <w:pPr/>
          </w:p>
        </w:tc>
        <w:tc>
          <w:tcPr>
            <w:tcW w:w="775"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11" w:type="dxa"/>
            <w:vMerge w:val="restart"/>
            <w:tcBorders>
              <w:top w:val="single" w:sz="4" w:space="0" w:color="FFFFFF"/>
              <w:left w:val="single" w:sz="4" w:space="0" w:color="000000"/>
              <w:right w:val="single" w:sz="4" w:space="0" w:color="000000"/>
            </w:tcBorders>
            <w:shd w:val="clear" w:color="auto" w:fill="D2D2D2"/>
          </w:tcPr>
          <w:p>
            <w:pPr/>
          </w:p>
        </w:tc>
        <w:tc>
          <w:tcPr>
            <w:tcW w:w="775"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20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11" w:type="dxa"/>
            <w:vMerge/>
            <w:tcBorders>
              <w:left w:val="single" w:sz="4" w:space="0" w:color="000000"/>
              <w:right w:val="single" w:sz="4" w:space="0" w:color="000000"/>
            </w:tcBorders>
            <w:shd w:val="clear" w:color="auto" w:fill="D2D2D2"/>
          </w:tcPr>
          <w:p>
            <w:pPr/>
          </w:p>
        </w:tc>
        <w:tc>
          <w:tcPr>
            <w:tcW w:w="775"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11" w:type="dxa"/>
            <w:vMerge/>
            <w:tcBorders>
              <w:left w:val="single" w:sz="4" w:space="0" w:color="000000"/>
              <w:bottom w:val="single" w:sz="4" w:space="0" w:color="000000"/>
              <w:right w:val="single" w:sz="4" w:space="0" w:color="000000"/>
            </w:tcBorders>
            <w:shd w:val="clear" w:color="auto" w:fill="D2D2D2"/>
          </w:tcPr>
          <w:p>
            <w:pPr/>
          </w:p>
        </w:tc>
        <w:tc>
          <w:tcPr>
            <w:tcW w:w="77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2,566,70</w:t>
            </w:r>
          </w:p>
          <w:p>
            <w:pPr>
              <w:pStyle w:val="TableParagraph"/>
              <w:spacing w:line="240" w:lineRule="auto" w:before="106"/>
              <w:ind w:left="415" w:right="0"/>
              <w:jc w:val="left"/>
              <w:rPr>
                <w:rFonts w:ascii="Times New Roman" w:hAnsi="Times New Roman" w:cs="Times New Roman" w:eastAsia="Times New Roman" w:hint="default"/>
                <w:sz w:val="18"/>
                <w:szCs w:val="18"/>
              </w:rPr>
            </w:pPr>
            <w:r>
              <w:rPr>
                <w:rFonts w:ascii="Times New Roman"/>
                <w:sz w:val="18"/>
              </w:rPr>
              <w:t>3.78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0.57%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1,283,35</w:t>
            </w:r>
          </w:p>
          <w:p>
            <w:pPr>
              <w:pStyle w:val="TableParagraph"/>
              <w:spacing w:line="240" w:lineRule="auto" w:before="106"/>
              <w:ind w:left="413" w:right="0"/>
              <w:jc w:val="left"/>
              <w:rPr>
                <w:rFonts w:ascii="Times New Roman" w:hAnsi="Times New Roman" w:cs="Times New Roman" w:eastAsia="Times New Roman" w:hint="default"/>
                <w:sz w:val="18"/>
                <w:szCs w:val="18"/>
              </w:rPr>
            </w:pPr>
            <w:r>
              <w:rPr>
                <w:rFonts w:ascii="Times New Roman"/>
                <w:sz w:val="18"/>
              </w:rPr>
              <w:t>1.90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1,283,351</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.88</w:t>
            </w: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 w:right="0"/>
              <w:jc w:val="center"/>
              <w:rPr>
                <w:rFonts w:ascii="Times New Roman" w:hAnsi="Times New Roman" w:cs="Times New Roman" w:eastAsia="Times New Roman" w:hint="default"/>
                <w:sz w:val="18"/>
                <w:szCs w:val="18"/>
              </w:rPr>
            </w:pPr>
            <w:r>
              <w:rPr>
                <w:rFonts w:ascii="Times New Roman"/>
                <w:sz w:val="18"/>
              </w:rPr>
              <w:t>449,702,</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838.23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99.43%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28,373,8</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40.12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6.31%</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421,328,9</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98.11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51,499,</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576.02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5,493,183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10.67%</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46,006,392.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66</w:t>
            </w:r>
          </w:p>
        </w:tc>
      </w:tr>
      <w:tr>
        <w:trPr>
          <w:trHeight w:val="16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1"/>
              <w:ind w:left="81" w:right="0"/>
              <w:jc w:val="center"/>
              <w:rPr>
                <w:rFonts w:ascii="Times New Roman" w:hAnsi="Times New Roman" w:cs="Times New Roman" w:eastAsia="Times New Roman" w:hint="default"/>
                <w:sz w:val="18"/>
                <w:szCs w:val="18"/>
              </w:rPr>
            </w:pPr>
            <w:r>
              <w:rPr>
                <w:rFonts w:ascii="Times New Roman"/>
                <w:sz w:val="18"/>
              </w:rPr>
              <w:t>452,269,</w:t>
            </w:r>
          </w:p>
          <w:p>
            <w:pPr>
              <w:pStyle w:val="TableParagraph"/>
              <w:spacing w:line="240" w:lineRule="auto" w:before="106"/>
              <w:ind w:left="217" w:right="0"/>
              <w:jc w:val="center"/>
              <w:rPr>
                <w:rFonts w:ascii="Times New Roman" w:hAnsi="Times New Roman" w:cs="Times New Roman" w:eastAsia="Times New Roman" w:hint="default"/>
                <w:sz w:val="18"/>
                <w:szCs w:val="18"/>
              </w:rPr>
            </w:pPr>
            <w:r>
              <w:rPr>
                <w:rFonts w:ascii="Times New Roman"/>
                <w:sz w:val="18"/>
              </w:rPr>
              <w:t>542.01</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29,657,1</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92.02</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422,612,3</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49.99</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51,499,</w:t>
            </w:r>
          </w:p>
          <w:p>
            <w:pPr>
              <w:pStyle w:val="TableParagraph"/>
              <w:spacing w:line="240" w:lineRule="auto" w:before="106"/>
              <w:ind w:left="125" w:right="0"/>
              <w:jc w:val="left"/>
              <w:rPr>
                <w:rFonts w:ascii="Times New Roman" w:hAnsi="Times New Roman" w:cs="Times New Roman" w:eastAsia="Times New Roman" w:hint="default"/>
                <w:sz w:val="18"/>
                <w:szCs w:val="18"/>
              </w:rPr>
            </w:pPr>
            <w:r>
              <w:rPr>
                <w:rFonts w:ascii="Times New Roman"/>
                <w:sz w:val="18"/>
              </w:rPr>
              <w:t>576.02</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5,493,183</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.36</w:t>
            </w:r>
          </w:p>
        </w:tc>
        <w:tc>
          <w:tcPr>
            <w:tcW w:w="932" w:type="dxa"/>
            <w:vMerge w:val="restart"/>
            <w:tcBorders>
              <w:top w:val="single" w:sz="4" w:space="0" w:color="000000"/>
              <w:left w:val="single" w:sz="4" w:space="0" w:color="000000"/>
              <w:right w:val="single" w:sz="4" w:space="0" w:color="000000"/>
            </w:tcBorders>
          </w:tcPr>
          <w:p>
            <w:pP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46,006,392.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66</w:t>
            </w:r>
          </w:p>
        </w:tc>
      </w:tr>
      <w:tr>
        <w:trPr>
          <w:trHeight w:val="392"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pStyle w:val="BodyText"/>
        <w:spacing w:line="240" w:lineRule="auto" w:before="51"/>
        <w:ind w:left="1134" w:right="-20"/>
        <w:jc w:val="left"/>
      </w:pPr>
      <w:r>
        <w:rPr/>
        <w:t>期末单项金额重大并单项计提坏账准备的其他应收款：</w:t>
      </w:r>
    </w:p>
    <w:p>
      <w:pPr>
        <w:spacing w:before="117"/>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113" w:right="1112"/>
        <w:jc w:val="center"/>
      </w:pPr>
      <w:r>
        <w:rPr/>
        <w:t>单位： 元</w:t>
      </w:r>
    </w:p>
    <w:p>
      <w:pPr>
        <w:spacing w:after="0" w:line="240" w:lineRule="auto"/>
        <w:jc w:val="center"/>
        <w:sectPr>
          <w:type w:val="continuous"/>
          <w:pgSz w:w="11910" w:h="16840"/>
          <w:pgMar w:top="280" w:bottom="280" w:left="0" w:right="0"/>
          <w:cols w:num="2" w:equalWidth="0">
            <w:col w:w="5455" w:space="3375"/>
            <w:col w:w="3080"/>
          </w:cols>
        </w:sectPr>
      </w:pP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其他应收款（按单位）</w:t>
            </w:r>
          </w:p>
        </w:tc>
        <w:tc>
          <w:tcPr>
            <w:tcW w:w="765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337"/>
              <w:jc w:val="left"/>
              <w:rPr>
                <w:rFonts w:ascii="Times New Roman" w:hAnsi="Times New Roman" w:cs="Times New Roman" w:eastAsia="Times New Roman" w:hint="default"/>
                <w:sz w:val="18"/>
                <w:szCs w:val="18"/>
              </w:rPr>
            </w:pPr>
            <w:r>
              <w:rPr>
                <w:rFonts w:ascii="Times New Roman"/>
                <w:sz w:val="18"/>
              </w:rPr>
              <w:t>Seastar Games</w:t>
            </w:r>
            <w:r>
              <w:rPr>
                <w:rFonts w:ascii="Times New Roman"/>
                <w:spacing w:val="-2"/>
                <w:sz w:val="18"/>
              </w:rPr>
              <w:t> </w:t>
            </w:r>
            <w:r>
              <w:rPr>
                <w:rFonts w:ascii="Times New Roman"/>
                <w:sz w:val="18"/>
              </w:rPr>
              <w:t>China</w:t>
            </w:r>
            <w:r>
              <w:rPr>
                <w:rFonts w:ascii="Times New Roman"/>
                <w:sz w:val="18"/>
              </w:rPr>
              <w:t> Holdings</w:t>
            </w:r>
            <w:r>
              <w:rPr>
                <w:rFonts w:ascii="Times New Roman"/>
                <w:spacing w:val="-3"/>
                <w:sz w:val="18"/>
              </w:rPr>
              <w:t> </w:t>
            </w:r>
            <w:r>
              <w:rPr>
                <w:rFonts w:ascii="Times New Roman"/>
                <w:sz w:val="18"/>
              </w:rPr>
              <w:t>Limited</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2,566,703.78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1,283,351.90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50.00%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9"/>
              <w:jc w:val="center"/>
              <w:rPr>
                <w:rFonts w:ascii="宋体" w:hAnsi="宋体" w:cs="宋体" w:eastAsia="宋体" w:hint="default"/>
                <w:sz w:val="18"/>
                <w:szCs w:val="18"/>
              </w:rPr>
            </w:pPr>
            <w:r>
              <w:rPr>
                <w:rFonts w:ascii="宋体" w:hAnsi="宋体" w:cs="宋体" w:eastAsia="宋体" w:hint="default"/>
                <w:sz w:val="18"/>
                <w:szCs w:val="18"/>
              </w:rPr>
              <w:t>退款收回存在不确定性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2,566,703.78</w:t>
            </w:r>
          </w:p>
        </w:tc>
        <w:tc>
          <w:tcPr>
            <w:tcW w:w="191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1,283,351.90</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280" w:bottom="280" w:left="0" w:right="0"/>
        </w:sectPr>
      </w:pPr>
    </w:p>
    <w:p>
      <w:pPr>
        <w:pStyle w:val="BodyText"/>
        <w:spacing w:line="240" w:lineRule="auto" w:before="51"/>
        <w:ind w:left="1134" w:right="-20"/>
        <w:jc w:val="left"/>
      </w:pPr>
      <w:r>
        <w:rPr/>
        <w:t>组合中，按账龄分析法计提坏账准备的其他应收款：</w:t>
      </w:r>
    </w:p>
    <w:p>
      <w:pPr>
        <w:spacing w:before="117"/>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113" w:right="1112"/>
        <w:jc w:val="center"/>
      </w:pPr>
      <w:r>
        <w:rPr/>
        <w:t>单位： 元</w:t>
      </w:r>
    </w:p>
    <w:p>
      <w:pPr>
        <w:spacing w:after="0" w:line="240" w:lineRule="auto"/>
        <w:jc w:val="center"/>
        <w:sectPr>
          <w:type w:val="continuous"/>
          <w:pgSz w:w="11910" w:h="16840"/>
          <w:pgMar w:top="280" w:bottom="280" w:left="0" w:right="0"/>
          <w:cols w:num="2" w:equalWidth="0">
            <w:col w:w="5275" w:space="3555"/>
            <w:col w:w="3080"/>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5" w:right="0"/>
              <w:jc w:val="left"/>
              <w:rPr>
                <w:rFonts w:ascii="Times New Roman" w:hAnsi="Times New Roman" w:cs="Times New Roman" w:eastAsia="Times New Roman" w:hint="default"/>
                <w:sz w:val="18"/>
                <w:szCs w:val="18"/>
              </w:rPr>
            </w:pPr>
            <w:r>
              <w:rPr>
                <w:rFonts w:ascii="Times New Roman"/>
                <w:sz w:val="18"/>
              </w:rPr>
              <w:t>390,495,048.81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24" w:right="0"/>
              <w:jc w:val="left"/>
              <w:rPr>
                <w:rFonts w:ascii="Times New Roman" w:hAnsi="Times New Roman" w:cs="Times New Roman" w:eastAsia="Times New Roman" w:hint="default"/>
                <w:sz w:val="18"/>
                <w:szCs w:val="18"/>
              </w:rPr>
            </w:pPr>
            <w:r>
              <w:rPr>
                <w:rFonts w:ascii="Times New Roman"/>
                <w:sz w:val="18"/>
              </w:rPr>
              <w:t>19,524,752.49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280" w:bottom="28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91"/>
        <w:gridCol w:w="2394"/>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52,548,748.25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5,254,874.86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2,484,020.02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745,206.05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2,466,235.60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1,233,117.80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464,483.16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371,586.53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1,244,302.39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1,244,302.39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449,702,838.23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28,373,840.12</w:t>
            </w:r>
          </w:p>
        </w:tc>
        <w:tc>
          <w:tcPr>
            <w:tcW w:w="2392"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134" w:right="0"/>
        <w:jc w:val="left"/>
      </w:pPr>
      <w:r>
        <w:rPr/>
        <w:t>组合中，采用余额百分比法计提坏账准备的其他应收款：</w:t>
      </w:r>
    </w:p>
    <w:p>
      <w:pPr>
        <w:pStyle w:val="BodyText"/>
        <w:spacing w:line="338" w:lineRule="auto" w:before="117"/>
        <w:ind w:left="1134"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组合中，采用其他方法计提坏账准备的其他应收款：</w:t>
      </w:r>
    </w:p>
    <w:p>
      <w:pPr>
        <w:spacing w:before="43"/>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本期计提、收回或转回的坏账准备情况" w:id="250"/>
      <w:bookmarkEnd w:id="250"/>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134" w:right="0"/>
        <w:jc w:val="left"/>
      </w:pPr>
      <w:r>
        <w:rPr/>
        <w:t>本期计提坏账准备金额</w:t>
      </w:r>
      <w:r>
        <w:rPr>
          <w:spacing w:val="-47"/>
        </w:rPr>
        <w:t> </w:t>
      </w:r>
      <w:r>
        <w:rPr>
          <w:rFonts w:ascii="Times New Roman" w:hAnsi="Times New Roman" w:cs="Times New Roman" w:eastAsia="Times New Roman" w:hint="default"/>
        </w:rPr>
        <w:t>25,324,429.67</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3"/>
          <w:szCs w:val="13"/>
        </w:rPr>
      </w:pPr>
    </w:p>
    <w:p>
      <w:pPr>
        <w:pStyle w:val="Heading3"/>
        <w:spacing w:line="240" w:lineRule="auto"/>
        <w:ind w:left="1133" w:right="0"/>
        <w:jc w:val="left"/>
        <w:rPr>
          <w:b w:val="0"/>
          <w:bCs w:val="0"/>
        </w:rPr>
      </w:pPr>
      <w:bookmarkStart w:name="（3）本期实际核销的其他应收款情况" w:id="251"/>
      <w:bookmarkEnd w:id="251"/>
      <w:r>
        <w:rPr>
          <w:b w:val="0"/>
          <w:bCs w:val="0"/>
        </w:rPr>
      </w: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780"/>
        <w:gridCol w:w="4788"/>
      </w:tblGrid>
      <w:tr>
        <w:trPr>
          <w:trHeight w:val="397"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7" w:hRule="exact"/>
        </w:trPr>
        <w:tc>
          <w:tcPr>
            <w:tcW w:w="47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8,760.00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其他应收款按款项性质分类情况" w:id="252"/>
      <w:bookmarkEnd w:id="252"/>
      <w:r>
        <w:rPr>
          <w:b w:val="0"/>
          <w:bCs w:val="0"/>
        </w:rPr>
      </w: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26,601,371.40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24,841,707.02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5,405,910.76</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其他往来款项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9,916,723.85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14,057,869.00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应收股权转让款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8,033,720.00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402,311,816.00</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452,269,542.01</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51,499,576.02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按欠款方归集的期末余额前五名的其他应收款情况" w:id="253"/>
      <w:bookmarkEnd w:id="253"/>
      <w:r>
        <w:rPr>
          <w:b w:val="0"/>
          <w:bCs w:val="0"/>
        </w:rPr>
      </w: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12" w:space="0" w:color="D9D9D9"/>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right="96"/>
              <w:jc w:val="center"/>
              <w:rPr>
                <w:rFonts w:ascii="宋体" w:hAnsi="宋体" w:cs="宋体" w:eastAsia="宋体" w:hint="default"/>
                <w:sz w:val="18"/>
                <w:szCs w:val="18"/>
              </w:rPr>
            </w:pPr>
            <w:r>
              <w:rPr>
                <w:rFonts w:ascii="宋体" w:hAnsi="宋体" w:cs="宋体" w:eastAsia="宋体" w:hint="default"/>
                <w:sz w:val="18"/>
                <w:szCs w:val="18"/>
              </w:rPr>
              <w:t>大唐半导体设计有</w:t>
            </w:r>
          </w:p>
        </w:tc>
        <w:tc>
          <w:tcPr>
            <w:tcW w:w="159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51"/>
              <w:ind w:left="17"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36" w:right="0"/>
              <w:jc w:val="left"/>
              <w:rPr>
                <w:rFonts w:ascii="Times New Roman" w:hAnsi="Times New Roman" w:cs="Times New Roman" w:eastAsia="Times New Roman" w:hint="default"/>
                <w:sz w:val="18"/>
                <w:szCs w:val="18"/>
              </w:rPr>
            </w:pPr>
            <w:r>
              <w:rPr>
                <w:rFonts w:ascii="Times New Roman"/>
                <w:sz w:val="18"/>
              </w:rPr>
              <w:t>304,733,448.00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08" w:right="0"/>
              <w:jc w:val="left"/>
              <w:rPr>
                <w:rFonts w:ascii="Times New Roman" w:hAnsi="Times New Roman" w:cs="Times New Roman" w:eastAsia="Times New Roman" w:hint="default"/>
                <w:sz w:val="18"/>
                <w:szCs w:val="18"/>
              </w:rPr>
            </w:pPr>
            <w:r>
              <w:rPr>
                <w:rFonts w:ascii="Times New Roman"/>
                <w:sz w:val="18"/>
              </w:rPr>
              <w:t>67.38%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16,830,098.25</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83"/>
        <w:gridCol w:w="1606"/>
        <w:gridCol w:w="1594"/>
        <w:gridCol w:w="1594"/>
        <w:gridCol w:w="1596"/>
        <w:gridCol w:w="1595"/>
      </w:tblGrid>
      <w:tr>
        <w:trPr>
          <w:trHeight w:val="36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1606" w:type="dxa"/>
            <w:tcBorders>
              <w:top w:val="single" w:sz="4" w:space="0" w:color="000000"/>
              <w:left w:val="single" w:sz="9" w:space="0" w:color="D9D9D9"/>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6"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大唐微电子技术有 限公司</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涉诉应收款项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97,578,368.00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21.58%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4,878,918.40</w:t>
            </w:r>
          </w:p>
        </w:tc>
      </w:tr>
      <w:tr>
        <w:trPr>
          <w:trHeight w:val="1338"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2" w:lineRule="auto" w:before="51"/>
              <w:ind w:left="22" w:right="9"/>
              <w:jc w:val="left"/>
              <w:rPr>
                <w:rFonts w:ascii="宋体" w:hAnsi="宋体" w:cs="宋体" w:eastAsia="宋体" w:hint="default"/>
                <w:sz w:val="18"/>
                <w:szCs w:val="18"/>
              </w:rPr>
            </w:pPr>
            <w:r>
              <w:rPr>
                <w:rFonts w:ascii="宋体" w:hAnsi="宋体" w:cs="宋体" w:eastAsia="宋体" w:hint="default"/>
                <w:sz w:val="18"/>
                <w:szCs w:val="18"/>
              </w:rPr>
              <w:t>中文在线</w:t>
            </w:r>
            <w:r>
              <w:rPr>
                <w:rFonts w:ascii="Times New Roman" w:hAnsi="Times New Roman" w:cs="Times New Roman" w:eastAsia="Times New Roman" w:hint="default"/>
                <w:sz w:val="18"/>
                <w:szCs w:val="18"/>
              </w:rPr>
              <w:t>(</w:t>
            </w:r>
            <w:r>
              <w:rPr>
                <w:rFonts w:ascii="宋体" w:hAnsi="宋体" w:cs="宋体" w:eastAsia="宋体" w:hint="default"/>
                <w:sz w:val="18"/>
                <w:szCs w:val="18"/>
              </w:rPr>
              <w:t>天津</w:t>
            </w:r>
            <w:r>
              <w:rPr>
                <w:rFonts w:ascii="Times New Roman" w:hAnsi="Times New Roman" w:cs="Times New Roman" w:eastAsia="Times New Roman" w:hint="default"/>
                <w:sz w:val="18"/>
                <w:szCs w:val="18"/>
              </w:rPr>
              <w:t>)</w:t>
            </w:r>
            <w:r>
              <w:rPr>
                <w:rFonts w:ascii="宋体" w:hAnsi="宋体" w:cs="宋体" w:eastAsia="宋体" w:hint="default"/>
                <w:sz w:val="18"/>
                <w:szCs w:val="18"/>
              </w:rPr>
              <w:t>文 化教育产业股权投 </w:t>
            </w:r>
            <w:r>
              <w:rPr>
                <w:rFonts w:ascii="宋体" w:hAnsi="宋体" w:cs="宋体" w:eastAsia="宋体" w:hint="default"/>
                <w:spacing w:val="-10"/>
                <w:sz w:val="18"/>
                <w:szCs w:val="18"/>
              </w:rPr>
              <w:t>资基金合伙企业（有</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限合伙）</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股权转让款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8,033,720.00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1.78%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803,372.00</w:t>
            </w: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重庆泰岳优才科技 有限公司</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5,405,910.76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540,454.08</w:t>
            </w:r>
          </w:p>
        </w:tc>
      </w:tr>
      <w:tr>
        <w:trPr>
          <w:trHeight w:val="714"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08"/>
              <w:jc w:val="left"/>
              <w:rPr>
                <w:rFonts w:ascii="宋体" w:hAnsi="宋体" w:cs="宋体" w:eastAsia="宋体" w:hint="default"/>
                <w:sz w:val="18"/>
                <w:szCs w:val="18"/>
              </w:rPr>
            </w:pPr>
            <w:r>
              <w:rPr>
                <w:rFonts w:ascii="宋体" w:hAnsi="宋体" w:cs="宋体" w:eastAsia="宋体" w:hint="default"/>
                <w:sz w:val="18"/>
                <w:szCs w:val="18"/>
              </w:rPr>
              <w:t>宁波普源通信技术 有限公司</w:t>
            </w:r>
          </w:p>
        </w:tc>
        <w:tc>
          <w:tcPr>
            <w:tcW w:w="160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代垫款项</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2,705,970.37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0.60%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135,298.52</w:t>
            </w:r>
          </w:p>
        </w:tc>
      </w:tr>
      <w:tr>
        <w:trPr>
          <w:trHeight w:val="402" w:hRule="exact"/>
        </w:trPr>
        <w:tc>
          <w:tcPr>
            <w:tcW w:w="1583"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6" w:type="dxa"/>
            <w:tcBorders>
              <w:top w:val="single" w:sz="4" w:space="0" w:color="000000"/>
              <w:left w:val="single" w:sz="9" w:space="0" w:color="D9D9D9"/>
              <w:bottom w:val="single" w:sz="4" w:space="0" w:color="000000"/>
              <w:right w:val="single" w:sz="4" w:space="0" w:color="000000"/>
            </w:tcBorders>
            <w:shd w:val="clear" w:color="auto" w:fill="D2D2D2"/>
          </w:tcPr>
          <w:p>
            <w:pPr>
              <w:pStyle w:val="TableParagraph"/>
              <w:spacing w:line="240" w:lineRule="auto" w:before="91"/>
              <w:ind w:left="6"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right="14"/>
              <w:jc w:val="right"/>
              <w:rPr>
                <w:rFonts w:ascii="Times New Roman" w:hAnsi="Times New Roman" w:cs="Times New Roman" w:eastAsia="Times New Roman" w:hint="default"/>
                <w:sz w:val="18"/>
                <w:szCs w:val="18"/>
              </w:rPr>
            </w:pPr>
            <w:r>
              <w:rPr>
                <w:rFonts w:ascii="Times New Roman"/>
                <w:spacing w:val="-1"/>
                <w:sz w:val="18"/>
              </w:rPr>
              <w:t>418,457,417.13</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92.54%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23,188,141.25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涉及政府补助的应收款项" w:id="254"/>
      <w:bookmarkEnd w:id="254"/>
      <w:r>
        <w:rPr>
          <w:b w:val="0"/>
          <w:bCs w:val="0"/>
        </w:rPr>
      </w:r>
      <w:r>
        <w:rPr/>
        <w:t>（</w:t>
      </w:r>
      <w:r>
        <w:rPr>
          <w:rFonts w:ascii="Times New Roman" w:hAnsi="Times New Roman" w:cs="Times New Roman" w:eastAsia="Times New Roman" w:hint="default"/>
        </w:rPr>
        <w:t>6</w:t>
      </w:r>
      <w:r>
        <w:rPr/>
        <w:t>）涉及政府补助的应收款项</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7）因金融资产转移而终止确认的其他应收款" w:id="255"/>
      <w:bookmarkEnd w:id="255"/>
      <w:r>
        <w:rPr>
          <w:b w:val="0"/>
          <w:bCs w:val="0"/>
        </w:rPr>
      </w:r>
      <w:r>
        <w:rPr/>
        <w:t>（</w:t>
      </w:r>
      <w:r>
        <w:rPr>
          <w:rFonts w:ascii="Times New Roman" w:hAnsi="Times New Roman" w:cs="Times New Roman" w:eastAsia="Times New Roman" w:hint="default"/>
        </w:rPr>
        <w:t>7</w:t>
      </w:r>
      <w:r>
        <w:rPr/>
        <w:t>）因金融资产转移而终止确认的其他应收款</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8）转移其他应收款且继续涉入形成的资产、负债金额" w:id="256"/>
      <w:bookmarkEnd w:id="256"/>
      <w:r>
        <w:rPr>
          <w:b w:val="0"/>
          <w:bCs w:val="0"/>
        </w:rPr>
      </w:r>
      <w:r>
        <w:rPr/>
        <w:t>（</w:t>
      </w:r>
      <w:r>
        <w:rPr>
          <w:rFonts w:ascii="Times New Roman" w:hAnsi="Times New Roman" w:cs="Times New Roman" w:eastAsia="Times New Roman" w:hint="default"/>
        </w:rPr>
        <w:t>8</w:t>
      </w:r>
      <w:r>
        <w:rPr/>
        <w:t>）转移其他应收款且继续涉入形成的资产、负债金额</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10、存货" w:id="257"/>
      <w:bookmarkEnd w:id="257"/>
      <w:r>
        <w:rPr>
          <w:b w:val="0"/>
          <w:bCs w:val="0"/>
        </w:rPr>
      </w:r>
      <w:r>
        <w:rPr>
          <w:rFonts w:ascii="Times New Roman" w:hAnsi="Times New Roman" w:cs="Times New Roman" w:eastAsia="Times New Roman" w:hint="default"/>
        </w:rPr>
        <w:t>10</w:t>
      </w:r>
      <w:r>
        <w:rPr/>
        <w:t>、存货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存货分类" w:id="258"/>
      <w:bookmarkEnd w:id="258"/>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57"/>
        <w:gridCol w:w="1379"/>
        <w:gridCol w:w="1367"/>
        <w:gridCol w:w="1367"/>
        <w:gridCol w:w="1368"/>
        <w:gridCol w:w="1367"/>
        <w:gridCol w:w="1367"/>
      </w:tblGrid>
      <w:tr>
        <w:trPr>
          <w:trHeight w:val="402" w:hRule="exact"/>
        </w:trPr>
        <w:tc>
          <w:tcPr>
            <w:tcW w:w="13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57" w:type="dxa"/>
            <w:vMerge/>
            <w:tcBorders>
              <w:left w:val="single" w:sz="4" w:space="0" w:color="000000"/>
              <w:bottom w:val="single" w:sz="4" w:space="0" w:color="000000"/>
              <w:right w:val="single" w:sz="4" w:space="0" w:color="000000"/>
            </w:tcBorders>
            <w:shd w:val="clear" w:color="auto" w:fill="D2D2D2"/>
          </w:tcPr>
          <w:p>
            <w:pPr/>
          </w:p>
        </w:tc>
        <w:tc>
          <w:tcPr>
            <w:tcW w:w="1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6,310,617.49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18,207.04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6,292,410.45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3,094,467.09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3,094,467.09</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低值易耗品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2,693,297.16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2,693,297.16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442,464.10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442,464.10</w:t>
            </w:r>
          </w:p>
        </w:tc>
      </w:tr>
      <w:tr>
        <w:trPr>
          <w:trHeight w:val="714"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外购软硬件及服 务</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71,486,881.76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7,151,080.82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64,335,800.94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65,724,921.68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1,907,032.15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63,817,889.53</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151,683,000.76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151,683,000.76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257,075,488.02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78,853.68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256,996,634.34</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707,176.24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707,176.24</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379" w:type="dxa"/>
            <w:tcBorders>
              <w:top w:val="single" w:sz="4" w:space="0" w:color="000000"/>
              <w:left w:val="single" w:sz="13" w:space="0" w:color="D9D9D9"/>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1,605,945.06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1,605,945.06</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357"/>
        <w:gridCol w:w="1379"/>
        <w:gridCol w:w="1367"/>
        <w:gridCol w:w="1367"/>
        <w:gridCol w:w="1368"/>
        <w:gridCol w:w="1367"/>
        <w:gridCol w:w="1367"/>
      </w:tblGrid>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79" w:type="dxa"/>
            <w:tcBorders>
              <w:top w:val="single" w:sz="4" w:space="0" w:color="000000"/>
              <w:left w:val="single" w:sz="13" w:space="0" w:color="D9D9D9"/>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429,571.17</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429,571.17</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10" w:right="0"/>
              <w:jc w:val="left"/>
              <w:rPr>
                <w:rFonts w:ascii="Times New Roman" w:hAnsi="Times New Roman" w:cs="Times New Roman" w:eastAsia="Times New Roman" w:hint="default"/>
                <w:sz w:val="18"/>
                <w:szCs w:val="18"/>
              </w:rPr>
            </w:pPr>
            <w:r>
              <w:rPr>
                <w:rFonts w:ascii="Times New Roman"/>
                <w:sz w:val="18"/>
              </w:rPr>
              <w:t>232,880,973.41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0" w:right="0"/>
              <w:jc w:val="left"/>
              <w:rPr>
                <w:rFonts w:ascii="Times New Roman" w:hAnsi="Times New Roman" w:cs="Times New Roman" w:eastAsia="Times New Roman" w:hint="default"/>
                <w:sz w:val="18"/>
                <w:szCs w:val="18"/>
              </w:rPr>
            </w:pPr>
            <w:r>
              <w:rPr>
                <w:rFonts w:ascii="Times New Roman"/>
                <w:sz w:val="18"/>
              </w:rPr>
              <w:t>7,169,287.86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6" w:right="0"/>
              <w:jc w:val="left"/>
              <w:rPr>
                <w:rFonts w:ascii="Times New Roman" w:hAnsi="Times New Roman" w:cs="Times New Roman" w:eastAsia="Times New Roman" w:hint="default"/>
                <w:sz w:val="18"/>
                <w:szCs w:val="18"/>
              </w:rPr>
            </w:pPr>
            <w:r>
              <w:rPr>
                <w:rFonts w:ascii="Times New Roman"/>
                <w:sz w:val="18"/>
              </w:rPr>
              <w:t>225,711,685.55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328,372,857.12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0" w:right="0"/>
              <w:jc w:val="left"/>
              <w:rPr>
                <w:rFonts w:ascii="Times New Roman" w:hAnsi="Times New Roman" w:cs="Times New Roman" w:eastAsia="Times New Roman" w:hint="default"/>
                <w:sz w:val="18"/>
                <w:szCs w:val="18"/>
              </w:rPr>
            </w:pPr>
            <w:r>
              <w:rPr>
                <w:rFonts w:ascii="Times New Roman"/>
                <w:sz w:val="18"/>
              </w:rPr>
              <w:t>1,985,885.83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326,386,971.29</w:t>
            </w:r>
          </w:p>
        </w:tc>
      </w:tr>
    </w:tbl>
    <w:p>
      <w:pPr>
        <w:pStyle w:val="BodyText"/>
        <w:spacing w:line="340" w:lineRule="auto" w:before="51"/>
        <w:ind w:right="1754"/>
        <w:jc w:val="left"/>
        <w:rPr>
          <w:rFonts w:ascii="宋体" w:hAnsi="宋体" w:cs="宋体" w:eastAsia="宋体" w:hint="default"/>
        </w:rPr>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w:t>
      </w:r>
      <w:r>
        <w:rPr>
          <w:rFonts w:ascii="宋体" w:hAnsi="宋体" w:cs="宋体" w:eastAsia="宋体" w:hint="default"/>
          <w:b/>
          <w:bCs/>
        </w:rPr>
        <w:t>是</w:t>
      </w:r>
      <w:r>
        <w:rPr>
          <w:rFonts w:ascii="宋体" w:hAnsi="宋体" w:cs="宋体" w:eastAsia="宋体" w:hint="default"/>
        </w:rPr>
      </w:r>
    </w:p>
    <w:p>
      <w:pPr>
        <w:pStyle w:val="BodyText"/>
        <w:spacing w:line="357" w:lineRule="auto" w:before="40"/>
        <w:ind w:right="9133"/>
        <w:jc w:val="left"/>
      </w:pPr>
      <w:r>
        <w:rPr/>
        <w:t>前五名游戏情况 存货中不存在游戏。</w:t>
      </w:r>
    </w:p>
    <w:p>
      <w:pPr>
        <w:spacing w:line="240" w:lineRule="auto" w:before="2"/>
        <w:rPr>
          <w:rFonts w:ascii="宋体" w:hAnsi="宋体" w:cs="宋体" w:eastAsia="宋体" w:hint="default"/>
          <w:sz w:val="20"/>
          <w:szCs w:val="20"/>
        </w:rPr>
      </w:pPr>
    </w:p>
    <w:p>
      <w:pPr>
        <w:pStyle w:val="Heading3"/>
        <w:spacing w:line="240" w:lineRule="auto"/>
        <w:ind w:right="0"/>
        <w:jc w:val="left"/>
        <w:rPr>
          <w:b w:val="0"/>
          <w:bCs w:val="0"/>
        </w:rPr>
      </w:pPr>
      <w:bookmarkStart w:name="（2）存货跌价准备" w:id="259"/>
      <w:bookmarkEnd w:id="259"/>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702"/>
        <w:gridCol w:w="1276"/>
        <w:gridCol w:w="1246"/>
        <w:gridCol w:w="1247"/>
        <w:gridCol w:w="1368"/>
        <w:gridCol w:w="1367"/>
        <w:gridCol w:w="1367"/>
      </w:tblGrid>
      <w:tr>
        <w:trPr>
          <w:trHeight w:val="402"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2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7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49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00"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12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w:t>
            </w:r>
          </w:p>
        </w:tc>
        <w:tc>
          <w:tcPr>
            <w:tcW w:w="12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18,207.04</w:t>
            </w:r>
          </w:p>
        </w:tc>
        <w:tc>
          <w:tcPr>
            <w:tcW w:w="124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18,207.04</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外购软硬件及服务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1,907,032.15</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5,244,048.67</w:t>
            </w:r>
          </w:p>
        </w:tc>
        <w:tc>
          <w:tcPr>
            <w:tcW w:w="124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7,151,080.82</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78,853.68</w:t>
            </w:r>
          </w:p>
        </w:tc>
        <w:tc>
          <w:tcPr>
            <w:tcW w:w="1246" w:type="dxa"/>
            <w:tcBorders>
              <w:top w:val="single" w:sz="4" w:space="0" w:color="000000"/>
              <w:left w:val="single" w:sz="4" w:space="0" w:color="000000"/>
              <w:bottom w:val="single" w:sz="4" w:space="0" w:color="000000"/>
              <w:right w:val="single" w:sz="4" w:space="0" w:color="000000"/>
            </w:tcBorders>
          </w:tcPr>
          <w:p>
            <w:pPr/>
          </w:p>
        </w:tc>
        <w:tc>
          <w:tcPr>
            <w:tcW w:w="124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78,853.68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1,985,885.83</w:t>
            </w:r>
          </w:p>
        </w:tc>
        <w:tc>
          <w:tcPr>
            <w:tcW w:w="1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5,262,255.71</w:t>
            </w:r>
          </w:p>
        </w:tc>
        <w:tc>
          <w:tcPr>
            <w:tcW w:w="124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78,853.68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7,169,287.86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1、持有待售的资产" w:id="260"/>
      <w:bookmarkEnd w:id="260"/>
      <w:r>
        <w:rPr>
          <w:b w:val="0"/>
          <w:bCs w:val="0"/>
        </w:rPr>
      </w:r>
      <w:r>
        <w:rPr>
          <w:rFonts w:ascii="Times New Roman" w:hAnsi="Times New Roman" w:cs="Times New Roman" w:eastAsia="Times New Roman" w:hint="default"/>
        </w:rPr>
        <w:t>11</w:t>
      </w:r>
      <w:r>
        <w:rPr/>
        <w:t>、持有待售的资产</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12、一年内到期的非流动资产" w:id="261"/>
      <w:bookmarkEnd w:id="261"/>
      <w:r>
        <w:rPr>
          <w:b w:val="0"/>
          <w:bCs w:val="0"/>
        </w:rPr>
      </w:r>
      <w:r>
        <w:rPr>
          <w:rFonts w:ascii="Times New Roman" w:hAnsi="Times New Roman" w:cs="Times New Roman" w:eastAsia="Times New Roman" w:hint="default"/>
        </w:rPr>
        <w:t>12</w:t>
      </w:r>
      <w:r>
        <w:rPr/>
        <w:t>、一年内到期的非流动资产</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13、其他流动资产" w:id="262"/>
      <w:bookmarkEnd w:id="262"/>
      <w:r>
        <w:rPr>
          <w:b w:val="0"/>
          <w:bCs w:val="0"/>
        </w:rPr>
      </w:r>
      <w:r>
        <w:rPr>
          <w:rFonts w:ascii="Times New Roman" w:hAnsi="Times New Roman" w:cs="Times New Roman" w:eastAsia="Times New Roman" w:hint="default"/>
        </w:rPr>
        <w:t>13</w:t>
      </w:r>
      <w:r>
        <w:rPr/>
        <w:t>、其他流动资产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待抵扣进项税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3,013,464.47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5,902,320.59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预缴的其他税金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222,511.48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355,755.04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202,000,000.00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205,235,975.95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110,258,075.63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4、可供出售金融资产" w:id="263"/>
      <w:bookmarkEnd w:id="263"/>
      <w:r>
        <w:rPr>
          <w:b w:val="0"/>
          <w:bCs w:val="0"/>
        </w:rPr>
      </w:r>
      <w:r>
        <w:rPr>
          <w:rFonts w:ascii="Times New Roman" w:hAnsi="Times New Roman" w:cs="Times New Roman" w:eastAsia="Times New Roman" w:hint="default"/>
        </w:rPr>
        <w:t>14</w:t>
      </w:r>
      <w:r>
        <w:rPr/>
        <w:t>、可供出售金融资产</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可供出售金融资产情况" w:id="264"/>
      <w:bookmarkEnd w:id="264"/>
      <w:r>
        <w:rPr>
          <w:b w:val="0"/>
          <w:bCs w:val="0"/>
        </w:rPr>
      </w:r>
      <w:r>
        <w:rPr/>
        <w:t>（</w:t>
      </w:r>
      <w:r>
        <w:rPr>
          <w:rFonts w:ascii="Times New Roman" w:hAnsi="Times New Roman" w:cs="Times New Roman" w:eastAsia="Times New Roman" w:hint="default"/>
        </w:rPr>
        <w:t>1</w:t>
      </w:r>
      <w:r>
        <w:rPr/>
        <w:t>）可供出售金融资产情况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after="0" w:line="240" w:lineRule="auto"/>
        <w:jc w:val="right"/>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89"/>
        <w:gridCol w:w="1195"/>
        <w:gridCol w:w="1196"/>
        <w:gridCol w:w="1196"/>
        <w:gridCol w:w="1248"/>
        <w:gridCol w:w="1367"/>
        <w:gridCol w:w="1367"/>
      </w:tblGrid>
      <w:tr>
        <w:trPr>
          <w:trHeight w:val="206" w:hRule="exact"/>
        </w:trPr>
        <w:tc>
          <w:tcPr>
            <w:tcW w:w="1989" w:type="dxa"/>
            <w:tcBorders>
              <w:top w:val="single" w:sz="4" w:space="0" w:color="000000"/>
              <w:left w:val="single" w:sz="4" w:space="0" w:color="000000"/>
              <w:bottom w:val="nil" w:sz="6" w:space="0" w:color="auto"/>
              <w:right w:val="single" w:sz="4" w:space="0" w:color="000000"/>
            </w:tcBorders>
            <w:shd w:val="clear" w:color="auto" w:fill="D2D2D2"/>
          </w:tcPr>
          <w:p>
            <w:pPr/>
          </w:p>
        </w:tc>
        <w:tc>
          <w:tcPr>
            <w:tcW w:w="358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8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vMerge/>
            <w:tcBorders>
              <w:left w:val="single" w:sz="4" w:space="0" w:color="000000"/>
              <w:bottom w:val="single" w:sz="4" w:space="0" w:color="000000"/>
              <w:right w:val="single" w:sz="4" w:space="0" w:color="000000"/>
            </w:tcBorders>
            <w:shd w:val="clear" w:color="auto" w:fill="D2D2D2"/>
          </w:tcPr>
          <w:p>
            <w:pPr/>
          </w:p>
        </w:tc>
        <w:tc>
          <w:tcPr>
            <w:tcW w:w="3982"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89" w:type="dxa"/>
            <w:vMerge/>
            <w:tcBorders>
              <w:left w:val="single" w:sz="4" w:space="0" w:color="000000"/>
              <w:bottom w:val="nil" w:sz="6" w:space="0" w:color="auto"/>
              <w:right w:val="single" w:sz="4" w:space="0" w:color="000000"/>
            </w:tcBorders>
            <w:shd w:val="clear" w:color="auto" w:fill="D2D2D2"/>
          </w:tcPr>
          <w:p>
            <w:pP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5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6" w:hRule="exact"/>
        </w:trPr>
        <w:tc>
          <w:tcPr>
            <w:tcW w:w="198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24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364,397,368.12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363,997,368.12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602,961,043.10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602,561,043.10</w:t>
            </w:r>
          </w:p>
        </w:tc>
      </w:tr>
      <w:tr>
        <w:trPr>
          <w:trHeight w:val="402"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364,397,368.12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363,997,368.12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602,961,043.10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602,561,043.10</w:t>
            </w:r>
          </w:p>
        </w:tc>
      </w:tr>
      <w:tr>
        <w:trPr>
          <w:trHeight w:val="402" w:hRule="exact"/>
        </w:trPr>
        <w:tc>
          <w:tcPr>
            <w:tcW w:w="1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364,397,368.12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363,997,368.12</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6" w:right="0"/>
              <w:jc w:val="center"/>
              <w:rPr>
                <w:rFonts w:ascii="Times New Roman" w:hAnsi="Times New Roman" w:cs="Times New Roman" w:eastAsia="Times New Roman" w:hint="default"/>
                <w:sz w:val="18"/>
                <w:szCs w:val="18"/>
              </w:rPr>
            </w:pPr>
            <w:r>
              <w:rPr>
                <w:rFonts w:ascii="Times New Roman"/>
                <w:sz w:val="18"/>
              </w:rPr>
              <w:t>602,961,043.10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602,561,043.10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期末按成本计量的可供出售金融资产" w:id="265"/>
      <w:bookmarkEnd w:id="265"/>
      <w:r>
        <w:rPr>
          <w:b w:val="0"/>
          <w:bCs w:val="0"/>
        </w:rPr>
      </w:r>
      <w:r>
        <w:rPr/>
        <w:t>（</w:t>
      </w:r>
      <w:r>
        <w:rPr>
          <w:rFonts w:ascii="Times New Roman" w:hAnsi="Times New Roman" w:cs="Times New Roman" w:eastAsia="Times New Roman" w:hint="default"/>
        </w:rPr>
        <w:t>2</w:t>
      </w:r>
      <w:r>
        <w:rPr/>
        <w:t>）期末按成本计量的可供出售金融资产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852"/>
        <w:gridCol w:w="881"/>
        <w:gridCol w:w="870"/>
        <w:gridCol w:w="870"/>
        <w:gridCol w:w="870"/>
        <w:gridCol w:w="870"/>
        <w:gridCol w:w="870"/>
        <w:gridCol w:w="870"/>
        <w:gridCol w:w="870"/>
        <w:gridCol w:w="870"/>
        <w:gridCol w:w="870"/>
      </w:tblGrid>
      <w:tr>
        <w:trPr>
          <w:trHeight w:val="402" w:hRule="exact"/>
        </w:trPr>
        <w:tc>
          <w:tcPr>
            <w:tcW w:w="85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5" w:right="54"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349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69" w:right="68"/>
              <w:jc w:val="center"/>
              <w:rPr>
                <w:rFonts w:ascii="宋体" w:hAnsi="宋体" w:cs="宋体" w:eastAsia="宋体" w:hint="default"/>
                <w:sz w:val="18"/>
                <w:szCs w:val="18"/>
              </w:rPr>
            </w:pPr>
            <w:r>
              <w:rPr>
                <w:rFonts w:ascii="宋体" w:hAnsi="宋体" w:cs="宋体" w:eastAsia="宋体" w:hint="default"/>
                <w:sz w:val="18"/>
                <w:szCs w:val="18"/>
              </w:rPr>
              <w:t>在被投资 单位持股 比例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49" w:right="68" w:hanging="180"/>
              <w:jc w:val="left"/>
              <w:rPr>
                <w:rFonts w:ascii="宋体" w:hAnsi="宋体" w:cs="宋体" w:eastAsia="宋体" w:hint="default"/>
                <w:sz w:val="18"/>
                <w:szCs w:val="18"/>
              </w:rPr>
            </w:pPr>
            <w:r>
              <w:rPr>
                <w:rFonts w:ascii="宋体" w:hAnsi="宋体" w:cs="宋体" w:eastAsia="宋体" w:hint="default"/>
                <w:sz w:val="18"/>
                <w:szCs w:val="18"/>
              </w:rPr>
              <w:t>本期现金 红利</w:t>
            </w:r>
          </w:p>
        </w:tc>
      </w:tr>
      <w:tr>
        <w:trPr>
          <w:trHeight w:val="624" w:hRule="exact"/>
        </w:trPr>
        <w:tc>
          <w:tcPr>
            <w:tcW w:w="852" w:type="dxa"/>
            <w:vMerge/>
            <w:tcBorders>
              <w:left w:val="single" w:sz="4" w:space="0" w:color="000000"/>
              <w:bottom w:val="single" w:sz="4" w:space="0" w:color="000000"/>
              <w:right w:val="single" w:sz="4" w:space="0" w:color="000000"/>
            </w:tcBorders>
            <w:shd w:val="clear" w:color="auto" w:fill="D2D2D2"/>
          </w:tcPr>
          <w:p>
            <w:pP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6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962"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北京润佳 华商创新 投资管理 中心（有 限合伙）</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59.91%</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广东中科 白云投资 管理有限 公司</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200,000,00</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200,000,00</w:t>
            </w:r>
          </w:p>
          <w:p>
            <w:pPr>
              <w:pStyle w:val="TableParagraph"/>
              <w:spacing w:line="240" w:lineRule="auto" w:before="105"/>
              <w:ind w:left="52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11.02%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3,401,909.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r>
      <w:tr>
        <w:trPr>
          <w:trHeight w:val="1338"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北京安德 伦技术开 发有限公 司</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250,000.00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250,000.00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宁波互通 网络技术 服务有限 公司</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150,000.00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3" w:right="0"/>
              <w:jc w:val="center"/>
              <w:rPr>
                <w:rFonts w:ascii="Times New Roman" w:hAnsi="Times New Roman" w:cs="Times New Roman" w:eastAsia="Times New Roman" w:hint="default"/>
                <w:sz w:val="18"/>
                <w:szCs w:val="18"/>
              </w:rPr>
            </w:pPr>
            <w:r>
              <w:rPr>
                <w:rFonts w:ascii="Times New Roman"/>
                <w:sz w:val="18"/>
              </w:rPr>
              <w:t>150,000.00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37"/>
              <w:jc w:val="left"/>
              <w:rPr>
                <w:rFonts w:ascii="Times New Roman" w:hAnsi="Times New Roman" w:cs="Times New Roman" w:eastAsia="Times New Roman" w:hint="default"/>
                <w:sz w:val="18"/>
                <w:szCs w:val="18"/>
              </w:rPr>
            </w:pPr>
            <w:r>
              <w:rPr>
                <w:rFonts w:ascii="Times New Roman"/>
                <w:sz w:val="18"/>
              </w:rPr>
              <w:t>Reliance Jio</w:t>
            </w:r>
            <w:r>
              <w:rPr>
                <w:rFonts w:ascii="Times New Roman"/>
                <w:w w:val="99"/>
                <w:sz w:val="18"/>
              </w:rPr>
              <w:t> </w:t>
            </w:r>
            <w:r>
              <w:rPr>
                <w:rFonts w:ascii="Times New Roman"/>
                <w:sz w:val="18"/>
              </w:rPr>
              <w:t>Messaging</w:t>
            </w:r>
            <w:r>
              <w:rPr>
                <w:rFonts w:ascii="Times New Roman"/>
                <w:sz w:val="18"/>
              </w:rPr>
              <w:t> Services</w:t>
            </w:r>
            <w:r>
              <w:rPr>
                <w:rFonts w:ascii="Times New Roman"/>
                <w:w w:val="99"/>
                <w:sz w:val="18"/>
              </w:rPr>
              <w:t> </w:t>
            </w:r>
            <w:r>
              <w:rPr>
                <w:rFonts w:ascii="Times New Roman"/>
                <w:sz w:val="18"/>
              </w:rPr>
              <w:t>Private</w:t>
            </w:r>
            <w:r>
              <w:rPr>
                <w:rFonts w:ascii="Times New Roman"/>
                <w:w w:val="99"/>
                <w:sz w:val="18"/>
              </w:rPr>
              <w:t> </w:t>
            </w:r>
            <w:r>
              <w:rPr>
                <w:rFonts w:ascii="Times New Roman"/>
                <w:sz w:val="18"/>
              </w:rPr>
              <w:t>Limited</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15,360,018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15,360,018</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.15</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97"/>
              <w:jc w:val="left"/>
              <w:rPr>
                <w:rFonts w:ascii="宋体" w:hAnsi="宋体" w:cs="宋体" w:eastAsia="宋体" w:hint="default"/>
                <w:sz w:val="18"/>
                <w:szCs w:val="18"/>
              </w:rPr>
            </w:pPr>
            <w:r>
              <w:rPr>
                <w:rFonts w:ascii="宋体" w:hAnsi="宋体" w:cs="宋体" w:eastAsia="宋体" w:hint="default"/>
                <w:sz w:val="18"/>
                <w:szCs w:val="18"/>
              </w:rPr>
              <w:t>爱财科技 有限公司</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11.84%</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71"/>
              <w:ind w:left="22" w:right="97"/>
              <w:jc w:val="left"/>
              <w:rPr>
                <w:rFonts w:ascii="宋体" w:hAnsi="宋体" w:cs="宋体" w:eastAsia="宋体" w:hint="default"/>
                <w:sz w:val="18"/>
                <w:szCs w:val="18"/>
              </w:rPr>
            </w:pPr>
            <w:r>
              <w:rPr>
                <w:rFonts w:ascii="宋体" w:hAnsi="宋体" w:cs="宋体" w:eastAsia="宋体" w:hint="default"/>
                <w:sz w:val="18"/>
                <w:szCs w:val="18"/>
              </w:rPr>
              <w:t>北京创金 兴业投资</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1.92%</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852"/>
        <w:gridCol w:w="881"/>
        <w:gridCol w:w="870"/>
        <w:gridCol w:w="870"/>
        <w:gridCol w:w="870"/>
        <w:gridCol w:w="870"/>
        <w:gridCol w:w="870"/>
        <w:gridCol w:w="870"/>
        <w:gridCol w:w="870"/>
        <w:gridCol w:w="870"/>
        <w:gridCol w:w="870"/>
      </w:tblGrid>
      <w:tr>
        <w:trPr>
          <w:trHeight w:val="674"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10"/>
              <w:ind w:left="22" w:right="97"/>
              <w:jc w:val="left"/>
              <w:rPr>
                <w:rFonts w:ascii="宋体" w:hAnsi="宋体" w:cs="宋体" w:eastAsia="宋体" w:hint="default"/>
                <w:sz w:val="18"/>
                <w:szCs w:val="18"/>
              </w:rPr>
            </w:pPr>
            <w:r>
              <w:rPr>
                <w:rFonts w:ascii="宋体" w:hAnsi="宋体" w:cs="宋体" w:eastAsia="宋体" w:hint="default"/>
                <w:sz w:val="18"/>
                <w:szCs w:val="18"/>
              </w:rPr>
              <w:t>中心（有 限合伙）</w:t>
            </w:r>
          </w:p>
        </w:tc>
        <w:tc>
          <w:tcPr>
            <w:tcW w:w="881" w:type="dxa"/>
            <w:tcBorders>
              <w:top w:val="single" w:sz="4" w:space="0" w:color="000000"/>
              <w:left w:val="single" w:sz="13" w:space="0" w:color="D9D9D9"/>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北京云中 融信网络 科技有限 公司</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6,900,000.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10.98%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北京魔力 码头科技 有限责任 公司【注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3,000,000.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1,860,000.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1,140,000.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北京中清 龙图网络 技术有限 公司</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255,143,65</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6.83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255,143,65</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6.83</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both"/>
              <w:rPr>
                <w:rFonts w:ascii="宋体" w:hAnsi="宋体" w:cs="宋体" w:eastAsia="宋体" w:hint="default"/>
                <w:sz w:val="18"/>
                <w:szCs w:val="18"/>
              </w:rPr>
            </w:pPr>
            <w:r>
              <w:rPr>
                <w:rFonts w:ascii="宋体" w:hAnsi="宋体" w:cs="宋体" w:eastAsia="宋体" w:hint="default"/>
                <w:sz w:val="18"/>
                <w:szCs w:val="18"/>
              </w:rPr>
              <w:t>泰岳金服</w:t>
            </w:r>
          </w:p>
          <w:p>
            <w:pPr>
              <w:pStyle w:val="TableParagraph"/>
              <w:spacing w:line="319" w:lineRule="auto" w:before="75"/>
              <w:ind w:left="22" w:right="97"/>
              <w:jc w:val="both"/>
              <w:rPr>
                <w:rFonts w:ascii="宋体" w:hAnsi="宋体" w:cs="宋体" w:eastAsia="宋体" w:hint="default"/>
                <w:sz w:val="18"/>
                <w:szCs w:val="18"/>
              </w:rPr>
            </w:pPr>
            <w:r>
              <w:rPr>
                <w:rFonts w:ascii="宋体" w:hAnsi="宋体" w:cs="宋体" w:eastAsia="宋体" w:hint="default"/>
                <w:sz w:val="18"/>
                <w:szCs w:val="18"/>
              </w:rPr>
              <w:t>（北京） 科技有限 公司【注 </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25.50%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北京裂变 科技有限 公司【注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1,157,368.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1,157,368.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12</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26.00%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泰岳梧桐 在线教育 产业新三 板与并购 基金</w:t>
            </w:r>
          </w:p>
        </w:tc>
        <w:tc>
          <w:tcPr>
            <w:tcW w:w="881"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0.99%</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北京帝派 智能科技 有限公司</w:t>
            </w:r>
          </w:p>
        </w:tc>
        <w:tc>
          <w:tcPr>
            <w:tcW w:w="881" w:type="dxa"/>
            <w:tcBorders>
              <w:top w:val="single" w:sz="4" w:space="0" w:color="000000"/>
              <w:left w:val="single" w:sz="13" w:space="0" w:color="D9D9D9"/>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成都斯沃 茨科技有 限公司</w:t>
            </w:r>
          </w:p>
        </w:tc>
        <w:tc>
          <w:tcPr>
            <w:tcW w:w="881" w:type="dxa"/>
            <w:tcBorders>
              <w:top w:val="single" w:sz="4" w:space="0" w:color="000000"/>
              <w:left w:val="single" w:sz="13" w:space="0" w:color="D9D9D9"/>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5.28%</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97"/>
              <w:jc w:val="both"/>
              <w:rPr>
                <w:rFonts w:ascii="宋体" w:hAnsi="宋体" w:cs="宋体" w:eastAsia="宋体" w:hint="default"/>
                <w:sz w:val="18"/>
                <w:szCs w:val="18"/>
              </w:rPr>
            </w:pPr>
            <w:r>
              <w:rPr>
                <w:rFonts w:ascii="宋体" w:hAnsi="宋体" w:cs="宋体" w:eastAsia="宋体" w:hint="default"/>
                <w:sz w:val="18"/>
                <w:szCs w:val="18"/>
              </w:rPr>
              <w:t>广州泰岳 指咚软件 技术有限 公司【注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881" w:type="dxa"/>
            <w:tcBorders>
              <w:top w:val="single" w:sz="4" w:space="0" w:color="000000"/>
              <w:left w:val="single" w:sz="13" w:space="0" w:color="D9D9D9"/>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2"/>
              <w:jc w:val="right"/>
              <w:rPr>
                <w:rFonts w:ascii="Times New Roman" w:hAnsi="Times New Roman" w:cs="Times New Roman" w:eastAsia="Times New Roman" w:hint="default"/>
                <w:sz w:val="18"/>
                <w:szCs w:val="18"/>
              </w:rPr>
            </w:pPr>
            <w:r>
              <w:rPr>
                <w:rFonts w:ascii="Times New Roman"/>
                <w:spacing w:val="-1"/>
                <w:sz w:val="18"/>
              </w:rPr>
              <w:t>2,000,000.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北京创董</w:t>
            </w:r>
          </w:p>
        </w:tc>
        <w:tc>
          <w:tcPr>
            <w:tcW w:w="881" w:type="dxa"/>
            <w:tcBorders>
              <w:top w:val="single" w:sz="4" w:space="0" w:color="000000"/>
              <w:left w:val="single" w:sz="13" w:space="0" w:color="D9D9D9"/>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6" w:right="0"/>
              <w:jc w:val="left"/>
              <w:rPr>
                <w:rFonts w:ascii="Times New Roman" w:hAnsi="Times New Roman" w:cs="Times New Roman" w:eastAsia="Times New Roman" w:hint="default"/>
                <w:sz w:val="18"/>
                <w:szCs w:val="18"/>
              </w:rPr>
            </w:pPr>
            <w:r>
              <w:rPr>
                <w:rFonts w:ascii="Times New Roman"/>
                <w:sz w:val="18"/>
              </w:rPr>
              <w:t>15,000,000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6" w:right="0"/>
              <w:jc w:val="left"/>
              <w:rPr>
                <w:rFonts w:ascii="Times New Roman" w:hAnsi="Times New Roman" w:cs="Times New Roman" w:eastAsia="Times New Roman" w:hint="default"/>
                <w:sz w:val="18"/>
                <w:szCs w:val="18"/>
              </w:rPr>
            </w:pPr>
            <w:r>
              <w:rPr>
                <w:rFonts w:ascii="Times New Roman"/>
                <w:sz w:val="18"/>
              </w:rPr>
              <w:t>15,000,000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15.00%</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674" w:hRule="exact"/>
        </w:trPr>
        <w:tc>
          <w:tcPr>
            <w:tcW w:w="86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10"/>
              <w:ind w:left="22" w:right="108"/>
              <w:jc w:val="left"/>
              <w:rPr>
                <w:rFonts w:ascii="宋体" w:hAnsi="宋体" w:cs="宋体" w:eastAsia="宋体" w:hint="default"/>
                <w:sz w:val="18"/>
                <w:szCs w:val="18"/>
              </w:rPr>
            </w:pPr>
            <w:r>
              <w:rPr>
                <w:rFonts w:ascii="宋体" w:hAnsi="宋体" w:cs="宋体" w:eastAsia="宋体" w:hint="default"/>
                <w:sz w:val="18"/>
                <w:szCs w:val="18"/>
              </w:rPr>
              <w:t>创新实业 有限公司</w:t>
            </w:r>
          </w:p>
        </w:tc>
        <w:tc>
          <w:tcPr>
            <w:tcW w:w="870" w:type="dxa"/>
            <w:tcBorders>
              <w:top w:val="single" w:sz="4" w:space="0" w:color="000000"/>
              <w:left w:val="single" w:sz="13" w:space="0" w:color="D9D9D9"/>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602,961,04</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3.10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33,800,000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272,363,67</w:t>
            </w:r>
          </w:p>
          <w:p>
            <w:pPr>
              <w:pStyle w:val="TableParagraph"/>
              <w:spacing w:line="240" w:lineRule="auto" w:before="105"/>
              <w:ind w:left="521" w:right="0"/>
              <w:jc w:val="left"/>
              <w:rPr>
                <w:rFonts w:ascii="Times New Roman" w:hAnsi="Times New Roman" w:cs="Times New Roman" w:eastAsia="Times New Roman" w:hint="default"/>
                <w:sz w:val="18"/>
                <w:szCs w:val="18"/>
              </w:rPr>
            </w:pPr>
            <w:r>
              <w:rPr>
                <w:rFonts w:ascii="Times New Roman"/>
                <w:sz w:val="18"/>
              </w:rPr>
              <w:t>4.98</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left"/>
              <w:rPr>
                <w:rFonts w:ascii="Times New Roman" w:hAnsi="Times New Roman" w:cs="Times New Roman" w:eastAsia="Times New Roman" w:hint="default"/>
                <w:sz w:val="18"/>
                <w:szCs w:val="18"/>
              </w:rPr>
            </w:pPr>
            <w:r>
              <w:rPr>
                <w:rFonts w:ascii="Times New Roman"/>
                <w:sz w:val="18"/>
              </w:rPr>
              <w:t>364,397,36</w:t>
            </w:r>
          </w:p>
          <w:p>
            <w:pPr>
              <w:pStyle w:val="TableParagraph"/>
              <w:spacing w:line="240" w:lineRule="auto" w:before="105"/>
              <w:ind w:left="522" w:right="0"/>
              <w:jc w:val="left"/>
              <w:rPr>
                <w:rFonts w:ascii="Times New Roman" w:hAnsi="Times New Roman" w:cs="Times New Roman" w:eastAsia="Times New Roman" w:hint="default"/>
                <w:sz w:val="18"/>
                <w:szCs w:val="18"/>
              </w:rPr>
            </w:pPr>
            <w:r>
              <w:rPr>
                <w:rFonts w:ascii="Times New Roman"/>
                <w:sz w:val="18"/>
              </w:rPr>
              <w:t>8.12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400,000.00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26" w:right="0"/>
              <w:jc w:val="left"/>
              <w:rPr>
                <w:rFonts w:ascii="Times New Roman" w:hAnsi="Times New Roman" w:cs="Times New Roman" w:eastAsia="Times New Roman" w:hint="default"/>
                <w:sz w:val="18"/>
                <w:szCs w:val="18"/>
              </w:rPr>
            </w:pPr>
            <w:r>
              <w:rPr>
                <w:rFonts w:ascii="Times New Roman"/>
                <w:sz w:val="18"/>
              </w:rPr>
              <w:t>400,000.00</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3,401,909.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r>
    </w:tbl>
    <w:p>
      <w:pPr>
        <w:pStyle w:val="BodyText"/>
        <w:spacing w:line="300" w:lineRule="auto" w:before="51"/>
        <w:ind w:right="1140"/>
        <w:jc w:val="both"/>
      </w:pPr>
      <w:r>
        <w:rPr/>
        <w:t>注</w:t>
      </w:r>
      <w:r>
        <w:rPr>
          <w:rFonts w:ascii="Times New Roman" w:hAnsi="Times New Roman" w:cs="Times New Roman" w:eastAsia="Times New Roman" w:hint="default"/>
        </w:rPr>
        <w:t>1</w:t>
      </w:r>
      <w:r>
        <w:rPr/>
        <w:t>：根据合伙协议，公司为有限合伙人，不参与合伙企业的经营管理，对其无法实施控制且不具有重大影响，按可供出售 金融资产核算。</w:t>
      </w:r>
    </w:p>
    <w:p>
      <w:pPr>
        <w:pStyle w:val="BodyText"/>
        <w:spacing w:line="302" w:lineRule="auto" w:before="71"/>
        <w:ind w:right="1132"/>
        <w:jc w:val="both"/>
      </w:pPr>
      <w:r>
        <w:rPr/>
        <w:t>注</w:t>
      </w:r>
      <w:r>
        <w:rPr>
          <w:rFonts w:ascii="Times New Roman" w:hAnsi="Times New Roman" w:cs="Times New Roman" w:eastAsia="Times New Roman" w:hint="default"/>
        </w:rPr>
        <w:t>2</w:t>
      </w:r>
      <w:r>
        <w:rPr/>
        <w:t>：公司全资子公司北京壳木软件有限责任公司持有北京魔力码头科技有限责任公司</w:t>
      </w:r>
      <w:r>
        <w:rPr>
          <w:rFonts w:ascii="Times New Roman" w:hAnsi="Times New Roman" w:cs="Times New Roman" w:eastAsia="Times New Roman" w:hint="default"/>
        </w:rPr>
        <w:t>20%</w:t>
      </w:r>
      <w:r>
        <w:rPr/>
        <w:t>股权，不参与日常经营，不具备 重大影响，按可供出售金融资产核算。</w:t>
      </w:r>
    </w:p>
    <w:p>
      <w:pPr>
        <w:pStyle w:val="BodyText"/>
        <w:spacing w:line="319" w:lineRule="auto" w:before="69"/>
        <w:ind w:right="1132"/>
        <w:jc w:val="both"/>
      </w:pPr>
      <w:r>
        <w:rPr>
          <w:spacing w:val="-4"/>
        </w:rPr>
        <w:t>注</w:t>
      </w:r>
      <w:r>
        <w:rPr>
          <w:rFonts w:ascii="Times New Roman" w:hAnsi="Times New Roman" w:cs="Times New Roman" w:eastAsia="Times New Roman" w:hint="default"/>
          <w:spacing w:val="-4"/>
        </w:rPr>
        <w:t>3</w:t>
      </w:r>
      <w:r>
        <w:rPr>
          <w:spacing w:val="-4"/>
        </w:rPr>
        <w:t>：公司持有泰岳金服（北京）科技有限公司</w:t>
      </w:r>
      <w:r>
        <w:rPr>
          <w:rFonts w:ascii="Times New Roman" w:hAnsi="Times New Roman" w:cs="Times New Roman" w:eastAsia="Times New Roman" w:hint="default"/>
          <w:spacing w:val="-4"/>
        </w:rPr>
        <w:t>25.50%</w:t>
      </w:r>
      <w:r>
        <w:rPr>
          <w:spacing w:val="-4"/>
        </w:rPr>
        <w:t>股权，不参与日常经营，不具备重大影响，按可供出售金融资产核算。</w:t>
      </w:r>
      <w:r>
        <w:rPr>
          <w:spacing w:val="-52"/>
        </w:rPr>
        <w:t> </w:t>
      </w:r>
      <w:r>
        <w:rPr>
          <w:spacing w:val="-52"/>
        </w:rPr>
      </w:r>
      <w:r>
        <w:rPr/>
        <w:t>注</w:t>
      </w:r>
      <w:r>
        <w:rPr>
          <w:rFonts w:ascii="Times New Roman" w:hAnsi="Times New Roman" w:cs="Times New Roman" w:eastAsia="Times New Roman" w:hint="default"/>
        </w:rPr>
        <w:t>4</w:t>
      </w:r>
      <w:r>
        <w:rPr/>
        <w:t>：公司控股子公司北京泰岳智桥信息技术有限公司持有北京裂变科技有限公司</w:t>
      </w:r>
      <w:r>
        <w:rPr>
          <w:rFonts w:ascii="Times New Roman" w:hAnsi="Times New Roman" w:cs="Times New Roman" w:eastAsia="Times New Roman" w:hint="default"/>
        </w:rPr>
        <w:t>26%</w:t>
      </w:r>
      <w:r>
        <w:rPr/>
        <w:t>股权，不参与日常经营，不具备重大 影响，按可供出售金融资产核算。</w:t>
      </w:r>
    </w:p>
    <w:p>
      <w:pPr>
        <w:pStyle w:val="BodyText"/>
        <w:spacing w:line="240" w:lineRule="auto" w:before="58"/>
        <w:ind w:right="0"/>
        <w:jc w:val="both"/>
      </w:pPr>
      <w:r>
        <w:rPr>
          <w:spacing w:val="-4"/>
        </w:rPr>
        <w:t>注</w:t>
      </w:r>
      <w:r>
        <w:rPr>
          <w:rFonts w:ascii="Times New Roman" w:hAnsi="Times New Roman" w:cs="Times New Roman" w:eastAsia="Times New Roman" w:hint="default"/>
          <w:spacing w:val="-4"/>
        </w:rPr>
        <w:t>5</w:t>
      </w:r>
      <w:r>
        <w:rPr>
          <w:spacing w:val="-4"/>
        </w:rPr>
        <w:t>：公司持有广州泰岳指咚软件技术有限公司</w:t>
      </w:r>
      <w:r>
        <w:rPr>
          <w:rFonts w:ascii="Times New Roman" w:hAnsi="Times New Roman" w:cs="Times New Roman" w:eastAsia="Times New Roman" w:hint="default"/>
          <w:spacing w:val="-4"/>
        </w:rPr>
        <w:t>20.00%</w:t>
      </w:r>
      <w:r>
        <w:rPr>
          <w:spacing w:val="-4"/>
        </w:rPr>
        <w:t>股权，不参与日常经营，不具备重大影响，按可供出售金融资产核算。</w:t>
      </w:r>
    </w:p>
    <w:p>
      <w:pPr>
        <w:spacing w:line="240" w:lineRule="auto" w:before="9"/>
        <w:rPr>
          <w:rFonts w:ascii="宋体" w:hAnsi="宋体" w:cs="宋体" w:eastAsia="宋体" w:hint="default"/>
          <w:sz w:val="25"/>
          <w:szCs w:val="25"/>
        </w:rPr>
      </w:pPr>
    </w:p>
    <w:p>
      <w:pPr>
        <w:pStyle w:val="Heading3"/>
        <w:spacing w:line="240" w:lineRule="auto"/>
        <w:ind w:right="0"/>
        <w:jc w:val="both"/>
        <w:rPr>
          <w:b w:val="0"/>
          <w:bCs w:val="0"/>
        </w:rPr>
      </w:pPr>
      <w:bookmarkStart w:name="（3）报告期内可供出售金融资产减值的变动情况" w:id="266"/>
      <w:bookmarkEnd w:id="266"/>
      <w:r>
        <w:rPr>
          <w:b w:val="0"/>
          <w:bCs w:val="0"/>
        </w:rPr>
      </w:r>
      <w:r>
        <w:rPr/>
        <w:t>（</w:t>
      </w:r>
      <w:r>
        <w:rPr>
          <w:rFonts w:ascii="Times New Roman" w:hAnsi="Times New Roman" w:cs="Times New Roman" w:eastAsia="Times New Roman" w:hint="default"/>
        </w:rPr>
        <w:t>3</w:t>
      </w:r>
      <w:r>
        <w:rPr/>
        <w:t>）报告期内可供出售金融资产减值的变动情况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400"/>
        <w:gridCol w:w="2435"/>
        <w:gridCol w:w="2424"/>
        <w:gridCol w:w="2424"/>
      </w:tblGrid>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4" w:right="0"/>
              <w:jc w:val="left"/>
              <w:rPr>
                <w:rFonts w:ascii="宋体" w:hAnsi="宋体" w:cs="宋体" w:eastAsia="宋体" w:hint="default"/>
                <w:sz w:val="18"/>
                <w:szCs w:val="18"/>
              </w:rPr>
            </w:pPr>
            <w:r>
              <w:rPr>
                <w:rFonts w:ascii="宋体" w:hAnsi="宋体" w:cs="宋体" w:eastAsia="宋体" w:hint="default"/>
                <w:sz w:val="18"/>
                <w:szCs w:val="18"/>
              </w:rPr>
              <w:t>可供出售金融资产分类</w:t>
            </w:r>
          </w:p>
        </w:tc>
        <w:tc>
          <w:tcPr>
            <w:tcW w:w="24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7"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7"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2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期初已计提减值余额</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2424" w:type="dxa"/>
            <w:tcBorders>
              <w:top w:val="single" w:sz="4" w:space="0" w:color="000000"/>
              <w:left w:val="single" w:sz="4" w:space="0" w:color="000000"/>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r>
      <w:tr>
        <w:trPr>
          <w:trHeight w:val="402" w:hRule="exact"/>
        </w:trPr>
        <w:tc>
          <w:tcPr>
            <w:tcW w:w="24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期末已计提减值余额</w:t>
            </w:r>
          </w:p>
        </w:tc>
        <w:tc>
          <w:tcPr>
            <w:tcW w:w="243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2424" w:type="dxa"/>
            <w:tcBorders>
              <w:top w:val="single" w:sz="4" w:space="0" w:color="000000"/>
              <w:left w:val="single" w:sz="4" w:space="0" w:color="000000"/>
              <w:bottom w:val="single" w:sz="4" w:space="0" w:color="000000"/>
              <w:right w:val="single" w:sz="4" w:space="0" w:color="000000"/>
            </w:tcBorders>
          </w:tcPr>
          <w:p>
            <w:pPr/>
          </w:p>
        </w:tc>
        <w:tc>
          <w:tcPr>
            <w:tcW w:w="2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15、持有至到期投资" w:id="267"/>
      <w:bookmarkEnd w:id="267"/>
      <w:r>
        <w:rPr>
          <w:b w:val="0"/>
          <w:bCs w:val="0"/>
        </w:rPr>
      </w:r>
      <w:r>
        <w:rPr>
          <w:rFonts w:ascii="Times New Roman" w:hAnsi="Times New Roman" w:cs="Times New Roman" w:eastAsia="Times New Roman" w:hint="default"/>
        </w:rPr>
        <w:t>15</w:t>
      </w:r>
      <w:r>
        <w:rPr/>
        <w:t>、持有至到期投资</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16、长期应收款" w:id="268"/>
      <w:bookmarkEnd w:id="268"/>
      <w:r>
        <w:rPr>
          <w:b w:val="0"/>
          <w:bCs w:val="0"/>
        </w:rPr>
      </w:r>
      <w:r>
        <w:rPr>
          <w:rFonts w:ascii="Times New Roman" w:hAnsi="Times New Roman" w:cs="Times New Roman" w:eastAsia="Times New Roman" w:hint="default"/>
        </w:rPr>
        <w:t>16</w:t>
      </w:r>
      <w:r>
        <w:rPr/>
        <w:t>、长期应收款</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17、长期股权投资" w:id="269"/>
      <w:bookmarkEnd w:id="269"/>
      <w:r>
        <w:rPr>
          <w:b w:val="0"/>
          <w:bCs w:val="0"/>
        </w:rPr>
      </w:r>
      <w:r>
        <w:rPr>
          <w:rFonts w:ascii="Times New Roman" w:hAnsi="Times New Roman" w:cs="Times New Roman" w:eastAsia="Times New Roman" w:hint="default"/>
        </w:rPr>
        <w:t>17</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986"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大连华信 计算机技 术股份有</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121,522,4</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65.96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15,745,38</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5.84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-202,465.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186,048.9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132,751,4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35.48</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宁波泰岳 梧桐投资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4,677,646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356,673.9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5,034,320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.36</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北京神州 泰岳良品 电子商务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64,763,47</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2.28</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-5,675,51</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7.46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-6,418,79</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2.25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52,669,16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2.57</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北京神州 泰岳教育 科技有限 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蓝鸥科技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141,029,0</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27.39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-20,836,0</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54.43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-2,598,40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2.25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-3,635,20</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left"/>
              <w:rPr>
                <w:rFonts w:ascii="Times New Roman" w:hAnsi="Times New Roman" w:cs="Times New Roman" w:eastAsia="Times New Roman" w:hint="default"/>
                <w:sz w:val="18"/>
                <w:szCs w:val="18"/>
              </w:rPr>
            </w:pPr>
            <w:r>
              <w:rPr>
                <w:rFonts w:ascii="Times New Roman"/>
                <w:sz w:val="18"/>
              </w:rPr>
              <w:t>113,959,3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70.71</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珠海神州 泰岳投资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479,092.0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-111,805.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367,286.7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珠海泰岳 梧桐投资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590,400.9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-5,529.68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584,871.2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宁波岳海 云测信息 技术有限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535,812.9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102,000.0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-637,812.</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333,597,9</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17.93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-11,164,6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60.01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-9,219,65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9.73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-3,449,15</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1.09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305,366,4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47.10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333,597,9</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17.93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-11,164,6</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60.01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-9,219,65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9.73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-3,449,15</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1.09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305,366,4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47.10</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8、投资性房地产" w:id="270"/>
      <w:bookmarkEnd w:id="270"/>
      <w:r>
        <w:rPr>
          <w:b w:val="0"/>
          <w:bCs w:val="0"/>
        </w:rPr>
      </w:r>
      <w:r>
        <w:rPr>
          <w:rFonts w:ascii="Times New Roman" w:hAnsi="Times New Roman" w:cs="Times New Roman" w:eastAsia="Times New Roman" w:hint="default"/>
        </w:rPr>
        <w:t>18</w:t>
      </w:r>
      <w:r>
        <w:rPr/>
        <w:t>、投资性房地产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采用成本计量模式的投资性房地产" w:id="271"/>
      <w:bookmarkEnd w:id="271"/>
      <w:r>
        <w:rPr>
          <w:b w:val="0"/>
          <w:bCs w:val="0"/>
        </w:rPr>
      </w:r>
      <w:r>
        <w:rPr/>
        <w:t>（</w:t>
      </w:r>
      <w:r>
        <w:rPr>
          <w:rFonts w:ascii="Times New Roman" w:hAnsi="Times New Roman" w:cs="Times New Roman" w:eastAsia="Times New Roman" w:hint="default"/>
        </w:rPr>
        <w:t>1</w:t>
      </w:r>
      <w:r>
        <w:rPr/>
        <w:t>）采用成本计量模式的投资性房地产</w:t>
      </w:r>
      <w:r>
        <w:rPr>
          <w:b w:val="0"/>
          <w:bCs w:val="0"/>
        </w:rPr>
      </w:r>
    </w:p>
    <w:p>
      <w:pPr>
        <w:spacing w:line="240" w:lineRule="auto" w:before="3"/>
        <w:rPr>
          <w:rFonts w:ascii="宋体" w:hAnsi="宋体" w:cs="宋体" w:eastAsia="宋体" w:hint="default"/>
          <w:b/>
          <w:bCs/>
          <w:sz w:val="23"/>
          <w:szCs w:val="23"/>
        </w:rPr>
      </w:pPr>
    </w:p>
    <w:p>
      <w:pPr>
        <w:spacing w:before="44"/>
        <w:ind w:left="113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pStyle w:val="BodyText"/>
        <w:spacing w:line="240" w:lineRule="auto" w:before="103"/>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58"/>
              <w:jc w:val="right"/>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25"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786"/>
              <w:jc w:val="right"/>
              <w:rPr>
                <w:rFonts w:ascii="宋体" w:hAnsi="宋体" w:cs="宋体" w:eastAsia="宋体" w:hint="default"/>
                <w:sz w:val="18"/>
                <w:szCs w:val="18"/>
              </w:rPr>
            </w:pPr>
            <w:r>
              <w:rPr>
                <w:rFonts w:ascii="宋体" w:hAnsi="宋体" w:cs="宋体" w:eastAsia="宋体" w:hint="default"/>
                <w:sz w:val="18"/>
                <w:szCs w:val="18"/>
              </w:rPr>
              <w:t>一、账面原值</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188,678,119.29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188,678,119.29</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）外购</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0"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）存货</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固定资产</w:t>
            </w:r>
          </w:p>
          <w:p>
            <w:pPr>
              <w:pStyle w:val="TableParagraph"/>
              <w:spacing w:line="240" w:lineRule="auto" w:before="64"/>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在建工程转入</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）企业合并增加</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188,678,119.29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188,678,119.29</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二、累计折旧和累计摊 销</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24,616,089.37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24,616,089.37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4,081,462.20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4,081,462.20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）计提或摊销</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4,081,462.20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4,081,462.20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28,697,551.57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28,697,551.57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）其他转出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159,980,567.72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159,980,567.72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164,062,029.92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164,062,029.92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采用公允价值计量模式的投资性房地产" w:id="272"/>
      <w:bookmarkEnd w:id="272"/>
      <w:r>
        <w:rPr>
          <w:b w:val="0"/>
          <w:bCs w:val="0"/>
        </w:rPr>
      </w:r>
      <w:r>
        <w:rPr/>
        <w:t>（</w:t>
      </w:r>
      <w:r>
        <w:rPr>
          <w:rFonts w:ascii="Times New Roman" w:hAnsi="Times New Roman" w:cs="Times New Roman" w:eastAsia="Times New Roman" w:hint="default"/>
        </w:rPr>
        <w:t>2</w:t>
      </w:r>
      <w:r>
        <w:rPr/>
        <w:t>）采用公允价值计量模式的投资性房地产</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3）未办妥产权证书的投资性房地产情况" w:id="273"/>
      <w:bookmarkEnd w:id="273"/>
      <w:r>
        <w:rPr>
          <w:b w:val="0"/>
          <w:bCs w:val="0"/>
        </w:rPr>
      </w:r>
      <w:r>
        <w:rPr/>
        <w:t>（</w:t>
      </w:r>
      <w:r>
        <w:rPr>
          <w:rFonts w:ascii="Times New Roman" w:hAnsi="Times New Roman" w:cs="Times New Roman" w:eastAsia="Times New Roman" w:hint="default"/>
        </w:rPr>
        <w:t>3</w:t>
      </w:r>
      <w:r>
        <w:rPr/>
        <w:t>）未办妥产权证书的投资性房地产情况</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19、固定资产" w:id="274"/>
      <w:bookmarkEnd w:id="274"/>
      <w:r>
        <w:rPr>
          <w:b w:val="0"/>
          <w:bCs w:val="0"/>
        </w:rPr>
      </w:r>
      <w:r>
        <w:rPr>
          <w:rFonts w:ascii="Times New Roman" w:hAnsi="Times New Roman" w:cs="Times New Roman" w:eastAsia="Times New Roman" w:hint="default"/>
        </w:rPr>
        <w:t>19</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固定资产情况" w:id="275"/>
      <w:bookmarkEnd w:id="275"/>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587" w:right="91" w:hanging="405"/>
              <w:jc w:val="left"/>
              <w:rPr>
                <w:rFonts w:ascii="宋体" w:hAnsi="宋体" w:cs="宋体" w:eastAsia="宋体" w:hint="default"/>
                <w:sz w:val="18"/>
                <w:szCs w:val="18"/>
              </w:rPr>
            </w:pPr>
            <w:r>
              <w:rPr>
                <w:rFonts w:ascii="宋体" w:hAnsi="宋体" w:cs="宋体" w:eastAsia="宋体" w:hint="default"/>
                <w:sz w:val="18"/>
                <w:szCs w:val="18"/>
              </w:rPr>
              <w:t>办公及电子设 备</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固定资产装修</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8"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441,968,202.79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13,112,000.42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107,092,888.70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8,533,703.85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2,804,264.36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573,511,060.12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604,800.00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968,341.88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11,655,101.91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3,692,272.46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3,269,294.75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20,189,811.00</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604,800.00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968,341.88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11,632,589.29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3,269,294.75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16,475,025.92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61" w:firstLine="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 转入</w:t>
            </w:r>
          </w:p>
        </w:tc>
        <w:tc>
          <w:tcPr>
            <w:tcW w:w="1378"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3,692,272.46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3,692,272.46</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）汇率变动</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22,512.62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22,512.62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9,836,224.01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1,165,710.32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2,882,066.30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13,884,000.63</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61" w:firstLine="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）处置或报 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9,836,224.01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1,165,710.32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2,339,122.18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13,341,056.51</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61" w:firstLine="9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）退出合并 范围减少</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542,944.12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542,944.12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432,736,778.78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12,914,631.98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115,865,924.31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12,225,976.31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6,073,559.11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579,816,870.49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50,581,963.55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9,397,775.51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72,601,961.00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8,533,703.85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1,322,965.48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142,438,369.39</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9,936,552.59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1,484,585.11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9,882,534.91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846,619.12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1,286,782.18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23,437,073.91</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9,936,552.59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1,484,585.11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9,865,558.39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846,619.12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1,286,782.18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23,420,097.39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61"/>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）汇率变动</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16,976.52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16,976.52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6,180,088.70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962,973.52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2,103,391.46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9,246,453.68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）处置或报废</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6,180,088.70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962,973.52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2,010,057.06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9,153,119.28</w:t>
            </w:r>
          </w:p>
        </w:tc>
      </w:tr>
      <w:tr>
        <w:trPr>
          <w:trHeight w:val="713"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2"/>
              <w:jc w:val="left"/>
              <w:rPr>
                <w:rFonts w:ascii="宋体" w:hAnsi="宋体" w:cs="宋体" w:eastAsia="宋体" w:hint="default"/>
                <w:sz w:val="18"/>
                <w:szCs w:val="18"/>
              </w:rPr>
            </w:pPr>
            <w:r>
              <w:rPr>
                <w:rFonts w:ascii="宋体" w:hAnsi="宋体" w:cs="宋体" w:eastAsia="宋体" w:hint="default"/>
                <w:spacing w:val="-6"/>
                <w:sz w:val="18"/>
                <w:szCs w:val="18"/>
              </w:rPr>
              <w:t>（</w:t>
            </w: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）退出合并范</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围减少</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93,334.40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93,334.40</w:t>
            </w:r>
          </w:p>
        </w:tc>
      </w:tr>
      <w:tr>
        <w:trPr>
          <w:trHeight w:val="403"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54,338,427.44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9,919,387.10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80,381,104.45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9,380,322.97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2,609,747.66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156,628,989.62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378,398,351.34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2,995,244.88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35,484,819.86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89" w:right="0"/>
              <w:jc w:val="left"/>
              <w:rPr>
                <w:rFonts w:ascii="Times New Roman" w:hAnsi="Times New Roman" w:cs="Times New Roman" w:eastAsia="Times New Roman" w:hint="default"/>
                <w:sz w:val="18"/>
                <w:szCs w:val="18"/>
              </w:rPr>
            </w:pPr>
            <w:r>
              <w:rPr>
                <w:rFonts w:ascii="Times New Roman"/>
                <w:sz w:val="18"/>
              </w:rPr>
              <w:t>2,845,653.34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3,463,811.45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423,187,880.87</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391,386,239.24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3,714,224.91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34,490,927.70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1,481,298.88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431,072,690.73</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未办妥产权证书的固定资产情况" w:id="276"/>
      <w:bookmarkEnd w:id="276"/>
      <w:r>
        <w:rPr>
          <w:b w:val="0"/>
          <w:bCs w:val="0"/>
        </w:rPr>
      </w:r>
      <w:r>
        <w:rPr/>
        <w:t>（</w:t>
      </w:r>
      <w:r>
        <w:rPr>
          <w:rFonts w:ascii="Times New Roman" w:hAnsi="Times New Roman" w:cs="Times New Roman" w:eastAsia="Times New Roman" w:hint="default"/>
        </w:rPr>
        <w:t>2</w:t>
      </w:r>
      <w:r>
        <w:rPr/>
        <w:t>）未办妥产权证书的固定资产情况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431"/>
        <w:gridCol w:w="1888"/>
        <w:gridCol w:w="6252"/>
      </w:tblGrid>
      <w:tr>
        <w:trPr>
          <w:trHeight w:val="402" w:hRule="exact"/>
        </w:trPr>
        <w:tc>
          <w:tcPr>
            <w:tcW w:w="14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84"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2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未办妥产权证书的原因</w:t>
            </w:r>
          </w:p>
        </w:tc>
      </w:tr>
      <w:tr>
        <w:trPr>
          <w:trHeight w:val="402" w:hRule="exact"/>
        </w:trPr>
        <w:tc>
          <w:tcPr>
            <w:tcW w:w="14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88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88,940,269.45</w:t>
            </w:r>
          </w:p>
        </w:tc>
        <w:tc>
          <w:tcPr>
            <w:tcW w:w="6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重庆农信茶园新媒软件园</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年办理完竣工验收，权证尚未办理完毕。</w:t>
            </w:r>
          </w:p>
        </w:tc>
      </w:tr>
      <w:tr>
        <w:trPr>
          <w:trHeight w:val="402" w:hRule="exact"/>
        </w:trPr>
        <w:tc>
          <w:tcPr>
            <w:tcW w:w="14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88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12,054,956.52</w:t>
            </w:r>
          </w:p>
        </w:tc>
        <w:tc>
          <w:tcPr>
            <w:tcW w:w="6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北辰泰岳大厦地下车库于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月已全部办理完毕。</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0、在建工程" w:id="277"/>
      <w:bookmarkEnd w:id="277"/>
      <w:r>
        <w:rPr>
          <w:b w:val="0"/>
          <w:bCs w:val="0"/>
        </w:rPr>
      </w:r>
      <w:r>
        <w:rPr>
          <w:rFonts w:ascii="Times New Roman" w:hAnsi="Times New Roman" w:cs="Times New Roman" w:eastAsia="Times New Roman" w:hint="default"/>
        </w:rPr>
        <w:t>20</w:t>
      </w:r>
      <w:r>
        <w:rPr/>
        <w:t>、在建工程</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在建工程情况" w:id="278"/>
      <w:bookmarkEnd w:id="278"/>
      <w:r>
        <w:rPr>
          <w:b w:val="0"/>
          <w:bCs w:val="0"/>
        </w:rPr>
      </w:r>
      <w:r>
        <w:rPr/>
        <w:t>（</w:t>
      </w:r>
      <w:r>
        <w:rPr>
          <w:rFonts w:ascii="Times New Roman" w:hAnsi="Times New Roman" w:cs="Times New Roman" w:eastAsia="Times New Roman" w:hint="default"/>
        </w:rPr>
        <w:t>1</w:t>
      </w:r>
      <w:r>
        <w:rPr/>
        <w:t>）在建工程情况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357"/>
        <w:gridCol w:w="1379"/>
        <w:gridCol w:w="1367"/>
        <w:gridCol w:w="1367"/>
        <w:gridCol w:w="1368"/>
        <w:gridCol w:w="1367"/>
        <w:gridCol w:w="1367"/>
      </w:tblGrid>
      <w:tr>
        <w:trPr>
          <w:trHeight w:val="402" w:hRule="exact"/>
        </w:trPr>
        <w:tc>
          <w:tcPr>
            <w:tcW w:w="135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57" w:type="dxa"/>
            <w:vMerge/>
            <w:tcBorders>
              <w:left w:val="single" w:sz="4" w:space="0" w:color="000000"/>
              <w:bottom w:val="single" w:sz="4" w:space="0" w:color="000000"/>
              <w:right w:val="single" w:sz="4" w:space="0" w:color="000000"/>
            </w:tcBorders>
            <w:shd w:val="clear" w:color="auto" w:fill="D2D2D2"/>
          </w:tcPr>
          <w:p>
            <w:pPr/>
          </w:p>
        </w:tc>
        <w:tc>
          <w:tcPr>
            <w:tcW w:w="13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办公楼装修</w:t>
            </w:r>
          </w:p>
        </w:tc>
        <w:tc>
          <w:tcPr>
            <w:tcW w:w="1379" w:type="dxa"/>
            <w:tcBorders>
              <w:top w:val="single" w:sz="4" w:space="0" w:color="000000"/>
              <w:left w:val="single" w:sz="13" w:space="0" w:color="D9D9D9"/>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1,612,887.96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1,612,887.96</w:t>
            </w:r>
          </w:p>
        </w:tc>
      </w:tr>
      <w:tr>
        <w:trPr>
          <w:trHeight w:val="714" w:hRule="exact"/>
        </w:trPr>
        <w:tc>
          <w:tcPr>
            <w:tcW w:w="135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2"/>
              <w:jc w:val="left"/>
              <w:rPr>
                <w:rFonts w:ascii="宋体" w:hAnsi="宋体" w:cs="宋体" w:eastAsia="宋体" w:hint="default"/>
                <w:sz w:val="18"/>
                <w:szCs w:val="18"/>
              </w:rPr>
            </w:pPr>
            <w:r>
              <w:rPr>
                <w:rFonts w:ascii="宋体" w:hAnsi="宋体" w:cs="宋体" w:eastAsia="宋体" w:hint="default"/>
                <w:sz w:val="18"/>
                <w:szCs w:val="18"/>
              </w:rPr>
              <w:t>未来科学城综合 管廊</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120,021.25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120,021.25</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120,021.25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1,612,887.96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1,612,887.96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重要在建工程项目本期变动情况" w:id="279"/>
      <w:bookmarkEnd w:id="279"/>
      <w:r>
        <w:rPr>
          <w:b w:val="0"/>
          <w:bCs w:val="0"/>
        </w:rPr>
      </w:r>
      <w:r>
        <w:rPr/>
        <w:t>（</w:t>
      </w:r>
      <w:r>
        <w:rPr>
          <w:rFonts w:ascii="Times New Roman" w:hAnsi="Times New Roman" w:cs="Times New Roman" w:eastAsia="Times New Roman" w:hint="default"/>
        </w:rPr>
        <w:t>2</w:t>
      </w:r>
      <w:r>
        <w:rPr/>
        <w:t>）重要在建工程项目本期变动情况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338"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0" w:right="90" w:hanging="180"/>
              <w:jc w:val="left"/>
              <w:rPr>
                <w:rFonts w:ascii="宋体" w:hAnsi="宋体" w:cs="宋体" w:eastAsia="宋体" w:hint="default"/>
                <w:sz w:val="18"/>
                <w:szCs w:val="18"/>
              </w:rPr>
            </w:pPr>
            <w:r>
              <w:rPr>
                <w:rFonts w:ascii="宋体" w:hAnsi="宋体" w:cs="宋体" w:eastAsia="宋体" w:hint="default"/>
                <w:sz w:val="18"/>
                <w:szCs w:val="18"/>
              </w:rPr>
              <w:t>项目名 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92"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3" w:right="91"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92" w:right="91"/>
              <w:jc w:val="left"/>
              <w:rPr>
                <w:rFonts w:ascii="宋体" w:hAnsi="宋体" w:cs="宋体" w:eastAsia="宋体" w:hint="default"/>
                <w:sz w:val="18"/>
                <w:szCs w:val="18"/>
              </w:rPr>
            </w:pPr>
            <w:r>
              <w:rPr>
                <w:rFonts w:ascii="宋体" w:hAnsi="宋体" w:cs="宋体" w:eastAsia="宋体" w:hint="default"/>
                <w:sz w:val="18"/>
                <w:szCs w:val="18"/>
              </w:rPr>
              <w:t>本期增 加金额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center"/>
              <w:rPr>
                <w:rFonts w:ascii="宋体" w:hAnsi="宋体" w:cs="宋体" w:eastAsia="宋体" w:hint="default"/>
                <w:sz w:val="18"/>
                <w:szCs w:val="18"/>
              </w:rPr>
            </w:pPr>
            <w:r>
              <w:rPr>
                <w:rFonts w:ascii="宋体" w:hAnsi="宋体" w:cs="宋体" w:eastAsia="宋体" w:hint="default"/>
                <w:sz w:val="18"/>
                <w:szCs w:val="18"/>
              </w:rPr>
              <w:t>本期转 入固定 资产金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本期其 他减少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2" w:right="91"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2" w:right="91"/>
              <w:jc w:val="both"/>
              <w:rPr>
                <w:rFonts w:ascii="宋体" w:hAnsi="宋体" w:cs="宋体" w:eastAsia="宋体" w:hint="default"/>
                <w:sz w:val="18"/>
                <w:szCs w:val="18"/>
              </w:rPr>
            </w:pPr>
            <w:r>
              <w:rPr>
                <w:rFonts w:ascii="宋体" w:hAnsi="宋体" w:cs="宋体" w:eastAsia="宋体" w:hint="default"/>
                <w:sz w:val="18"/>
                <w:szCs w:val="18"/>
              </w:rPr>
              <w:t>工程累 计投入 占预算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3" w:right="91" w:hanging="180"/>
              <w:jc w:val="left"/>
              <w:rPr>
                <w:rFonts w:ascii="宋体" w:hAnsi="宋体" w:cs="宋体" w:eastAsia="宋体" w:hint="default"/>
                <w:sz w:val="18"/>
                <w:szCs w:val="18"/>
              </w:rPr>
            </w:pPr>
            <w:r>
              <w:rPr>
                <w:rFonts w:ascii="宋体" w:hAnsi="宋体" w:cs="宋体" w:eastAsia="宋体" w:hint="default"/>
                <w:sz w:val="18"/>
                <w:szCs w:val="18"/>
              </w:rPr>
              <w:t>工程进 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2" w:right="93"/>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20"/>
              <w:jc w:val="center"/>
              <w:rPr>
                <w:rFonts w:ascii="宋体" w:hAnsi="宋体" w:cs="宋体" w:eastAsia="宋体" w:hint="default"/>
                <w:sz w:val="18"/>
                <w:szCs w:val="18"/>
              </w:rPr>
            </w:pPr>
            <w:r>
              <w:rPr>
                <w:rFonts w:ascii="宋体" w:hAnsi="宋体" w:cs="宋体" w:eastAsia="宋体" w:hint="default"/>
                <w:spacing w:val="-10"/>
                <w:sz w:val="18"/>
                <w:szCs w:val="18"/>
              </w:rPr>
              <w:t>其中：本</w:t>
            </w:r>
            <w:r>
              <w:rPr>
                <w:rFonts w:ascii="宋体" w:hAnsi="宋体" w:cs="宋体" w:eastAsia="宋体" w:hint="default"/>
                <w:sz w:val="18"/>
                <w:szCs w:val="18"/>
              </w:rPr>
              <w:t> 期利息 资本化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93" w:right="91"/>
              <w:jc w:val="both"/>
              <w:rPr>
                <w:rFonts w:ascii="宋体" w:hAnsi="宋体" w:cs="宋体" w:eastAsia="宋体" w:hint="default"/>
                <w:sz w:val="18"/>
                <w:szCs w:val="18"/>
              </w:rPr>
            </w:pPr>
            <w:r>
              <w:rPr>
                <w:rFonts w:ascii="宋体" w:hAnsi="宋体" w:cs="宋体" w:eastAsia="宋体" w:hint="default"/>
                <w:sz w:val="18"/>
                <w:szCs w:val="18"/>
              </w:rPr>
              <w:t>本期利 息资本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72" w:right="91" w:hanging="180"/>
              <w:jc w:val="left"/>
              <w:rPr>
                <w:rFonts w:ascii="宋体" w:hAnsi="宋体" w:cs="宋体" w:eastAsia="宋体" w:hint="default"/>
                <w:sz w:val="18"/>
                <w:szCs w:val="18"/>
              </w:rPr>
            </w:pPr>
            <w:r>
              <w:rPr>
                <w:rFonts w:ascii="宋体" w:hAnsi="宋体" w:cs="宋体" w:eastAsia="宋体" w:hint="default"/>
                <w:sz w:val="18"/>
                <w:szCs w:val="18"/>
              </w:rPr>
              <w:t>资金来 源</w:t>
            </w:r>
          </w:p>
        </w:tc>
      </w:tr>
    </w:tbl>
    <w:p>
      <w:pPr>
        <w:spacing w:after="0" w:line="316"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714" w:hRule="exact"/>
        </w:trPr>
        <w:tc>
          <w:tcPr>
            <w:tcW w:w="7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59"/>
              <w:jc w:val="left"/>
              <w:rPr>
                <w:rFonts w:ascii="宋体" w:hAnsi="宋体" w:cs="宋体" w:eastAsia="宋体" w:hint="default"/>
                <w:sz w:val="18"/>
                <w:szCs w:val="18"/>
              </w:rPr>
            </w:pPr>
            <w:r>
              <w:rPr>
                <w:rFonts w:ascii="宋体" w:hAnsi="宋体" w:cs="宋体" w:eastAsia="宋体" w:hint="default"/>
                <w:sz w:val="18"/>
                <w:szCs w:val="18"/>
              </w:rPr>
              <w:t>泰岳大 厦装修</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3,080,00</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1,612,88</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7.96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2,079,38</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4.50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3,692,27</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2.46</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119.88%</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61"/>
              <w:jc w:val="left"/>
              <w:rPr>
                <w:rFonts w:ascii="宋体" w:hAnsi="宋体" w:cs="宋体" w:eastAsia="宋体" w:hint="default"/>
                <w:sz w:val="18"/>
                <w:szCs w:val="18"/>
              </w:rPr>
            </w:pPr>
            <w:r>
              <w:rPr>
                <w:rFonts w:ascii="宋体" w:hAnsi="宋体" w:cs="宋体" w:eastAsia="宋体" w:hint="default"/>
                <w:sz w:val="18"/>
                <w:szCs w:val="18"/>
              </w:rPr>
              <w:t>项目已 竣工</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41"/>
              <w:jc w:val="right"/>
              <w:rPr>
                <w:rFonts w:ascii="宋体" w:hAnsi="宋体" w:cs="宋体" w:eastAsia="宋体" w:hint="default"/>
                <w:sz w:val="18"/>
                <w:szCs w:val="18"/>
              </w:rPr>
            </w:pPr>
            <w:r>
              <w:rPr>
                <w:rFonts w:ascii="宋体" w:hAnsi="宋体" w:cs="宋体" w:eastAsia="宋体" w:hint="default"/>
                <w:sz w:val="18"/>
                <w:szCs w:val="18"/>
              </w:rPr>
              <w:t>自筹</w:t>
            </w: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未来科 学城综 合管廊</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1,500,00</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120,021.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25</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120,021.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3" w:right="161"/>
              <w:jc w:val="left"/>
              <w:rPr>
                <w:rFonts w:ascii="宋体" w:hAnsi="宋体" w:cs="宋体" w:eastAsia="宋体" w:hint="default"/>
                <w:sz w:val="18"/>
                <w:szCs w:val="18"/>
              </w:rPr>
            </w:pPr>
            <w:r>
              <w:rPr>
                <w:rFonts w:ascii="宋体" w:hAnsi="宋体" w:cs="宋体" w:eastAsia="宋体" w:hint="default"/>
                <w:sz w:val="18"/>
                <w:szCs w:val="18"/>
              </w:rPr>
              <w:t>施工进 行中</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341"/>
              <w:jc w:val="right"/>
              <w:rPr>
                <w:rFonts w:ascii="宋体" w:hAnsi="宋体" w:cs="宋体" w:eastAsia="宋体" w:hint="default"/>
                <w:sz w:val="18"/>
                <w:szCs w:val="18"/>
              </w:rPr>
            </w:pPr>
            <w:r>
              <w:rPr>
                <w:rFonts w:ascii="宋体" w:hAnsi="宋体" w:cs="宋体" w:eastAsia="宋体" w:hint="default"/>
                <w:sz w:val="18"/>
                <w:szCs w:val="18"/>
              </w:rPr>
              <w:t>自筹</w:t>
            </w:r>
          </w:p>
        </w:tc>
      </w:tr>
      <w:tr>
        <w:trPr>
          <w:trHeight w:val="714"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4,580,00</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0.00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1,612,88</w:t>
            </w:r>
          </w:p>
          <w:p>
            <w:pPr>
              <w:pStyle w:val="TableParagraph"/>
              <w:spacing w:line="240" w:lineRule="auto" w:before="106"/>
              <w:ind w:left="389" w:right="0"/>
              <w:jc w:val="left"/>
              <w:rPr>
                <w:rFonts w:ascii="Times New Roman" w:hAnsi="Times New Roman" w:cs="Times New Roman" w:eastAsia="Times New Roman" w:hint="default"/>
                <w:sz w:val="18"/>
                <w:szCs w:val="18"/>
              </w:rPr>
            </w:pPr>
            <w:r>
              <w:rPr>
                <w:rFonts w:ascii="Times New Roman"/>
                <w:sz w:val="18"/>
              </w:rPr>
              <w:t>7.96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2,199,40</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5.75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3,692,27</w:t>
            </w:r>
          </w:p>
          <w:p>
            <w:pPr>
              <w:pStyle w:val="TableParagraph"/>
              <w:spacing w:line="240" w:lineRule="auto" w:before="106"/>
              <w:ind w:left="388" w:right="0"/>
              <w:jc w:val="left"/>
              <w:rPr>
                <w:rFonts w:ascii="Times New Roman" w:hAnsi="Times New Roman" w:cs="Times New Roman" w:eastAsia="Times New Roman" w:hint="default"/>
                <w:sz w:val="18"/>
                <w:szCs w:val="18"/>
              </w:rPr>
            </w:pPr>
            <w:r>
              <w:rPr>
                <w:rFonts w:ascii="Times New Roman"/>
                <w:sz w:val="18"/>
              </w:rPr>
              <w:t>2.46</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120,021.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25</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301"/>
              <w:jc w:val="right"/>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1、工程物资" w:id="280"/>
      <w:bookmarkEnd w:id="280"/>
      <w:r>
        <w:rPr>
          <w:b w:val="0"/>
          <w:bCs w:val="0"/>
        </w:rPr>
      </w:r>
      <w:r>
        <w:rPr>
          <w:rFonts w:ascii="Times New Roman" w:hAnsi="Times New Roman" w:cs="Times New Roman" w:eastAsia="Times New Roman" w:hint="default"/>
        </w:rPr>
        <w:t>21</w:t>
      </w:r>
      <w:r>
        <w:rPr/>
        <w:t>、工程物资</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2、固定资产清理" w:id="281"/>
      <w:bookmarkEnd w:id="281"/>
      <w:r>
        <w:rPr>
          <w:b w:val="0"/>
          <w:bCs w:val="0"/>
        </w:rPr>
      </w:r>
      <w:r>
        <w:rPr>
          <w:rFonts w:ascii="Times New Roman" w:hAnsi="Times New Roman" w:cs="Times New Roman" w:eastAsia="Times New Roman" w:hint="default"/>
        </w:rPr>
        <w:t>22</w:t>
      </w:r>
      <w:r>
        <w:rPr/>
        <w:t>、固定资产清理</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3、生产性生物资产" w:id="282"/>
      <w:bookmarkEnd w:id="282"/>
      <w:r>
        <w:rPr>
          <w:b w:val="0"/>
          <w:bCs w:val="0"/>
        </w:rPr>
      </w:r>
      <w:r>
        <w:rPr>
          <w:rFonts w:ascii="Times New Roman" w:hAnsi="Times New Roman" w:cs="Times New Roman" w:eastAsia="Times New Roman" w:hint="default"/>
        </w:rPr>
        <w:t>23</w:t>
      </w:r>
      <w:r>
        <w:rPr/>
        <w:t>、生产性生物资产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33" w:right="0"/>
        <w:jc w:val="left"/>
        <w:rPr>
          <w:b w:val="0"/>
          <w:bCs w:val="0"/>
        </w:rPr>
      </w:pPr>
      <w:bookmarkStart w:name="（1）采用成本计量模式的生产性生物资产" w:id="283"/>
      <w:bookmarkEnd w:id="283"/>
      <w:r>
        <w:rPr>
          <w:b w:val="0"/>
          <w:bCs w:val="0"/>
        </w:rPr>
      </w:r>
      <w:r>
        <w:rPr/>
        <w:t>（</w:t>
      </w:r>
      <w:r>
        <w:rPr>
          <w:rFonts w:ascii="Times New Roman" w:hAnsi="Times New Roman" w:cs="Times New Roman" w:eastAsia="Times New Roman" w:hint="default"/>
        </w:rPr>
        <w:t>1</w:t>
      </w:r>
      <w:r>
        <w:rPr/>
        <w:t>）采用成本计量模式的生产性生物资产</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采用公允价值计量模式的生产性生物资产" w:id="284"/>
      <w:bookmarkEnd w:id="284"/>
      <w:r>
        <w:rPr>
          <w:b w:val="0"/>
          <w:bCs w:val="0"/>
        </w:rPr>
      </w:r>
      <w:r>
        <w:rPr/>
        <w:t>（</w:t>
      </w:r>
      <w:r>
        <w:rPr>
          <w:rFonts w:ascii="Times New Roman" w:hAnsi="Times New Roman" w:cs="Times New Roman" w:eastAsia="Times New Roman" w:hint="default"/>
        </w:rPr>
        <w:t>2</w:t>
      </w:r>
      <w:r>
        <w:rPr/>
        <w:t>）采用公允价值计量模式的生产性生物资产</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4、油气资产" w:id="285"/>
      <w:bookmarkEnd w:id="285"/>
      <w:r>
        <w:rPr>
          <w:b w:val="0"/>
          <w:bCs w:val="0"/>
        </w:rPr>
      </w:r>
      <w:r>
        <w:rPr>
          <w:rFonts w:ascii="Times New Roman" w:hAnsi="Times New Roman" w:cs="Times New Roman" w:eastAsia="Times New Roman" w:hint="default"/>
        </w:rPr>
        <w:t>24</w:t>
      </w:r>
      <w:r>
        <w:rPr/>
        <w:t>、油气资产</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5、无形资产" w:id="286"/>
      <w:bookmarkEnd w:id="286"/>
      <w:r>
        <w:rPr>
          <w:b w:val="0"/>
          <w:bCs w:val="0"/>
        </w:rPr>
      </w:r>
      <w:r>
        <w:rPr>
          <w:rFonts w:ascii="Times New Roman" w:hAnsi="Times New Roman" w:cs="Times New Roman" w:eastAsia="Times New Roman" w:hint="default"/>
        </w:rPr>
        <w:t>25</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无形资产情况" w:id="287"/>
      <w:bookmarkEnd w:id="287"/>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134" w:right="0"/>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w:t>
      </w:r>
    </w:p>
    <w:p>
      <w:pPr>
        <w:spacing w:before="102"/>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pStyle w:val="BodyText"/>
        <w:spacing w:line="240" w:lineRule="auto" w:before="103"/>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13" w:type="dxa"/>
        <w:tblLayout w:type="fixed"/>
        <w:tblCellMar>
          <w:top w:w="0" w:type="dxa"/>
          <w:left w:w="0" w:type="dxa"/>
          <w:bottom w:w="0" w:type="dxa"/>
          <w:right w:w="0" w:type="dxa"/>
        </w:tblCellMar>
        <w:tblLook w:val="01E0"/>
      </w:tblPr>
      <w:tblGrid>
        <w:gridCol w:w="1188"/>
        <w:gridCol w:w="1223"/>
        <w:gridCol w:w="1212"/>
        <w:gridCol w:w="1212"/>
        <w:gridCol w:w="1212"/>
        <w:gridCol w:w="1212"/>
        <w:gridCol w:w="1212"/>
        <w:gridCol w:w="1212"/>
      </w:tblGrid>
      <w:tr>
        <w:trPr>
          <w:trHeight w:val="402" w:hRule="exact"/>
        </w:trPr>
        <w:tc>
          <w:tcPr>
            <w:tcW w:w="1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2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49"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60"/>
              <w:jc w:val="right"/>
              <w:rPr>
                <w:rFonts w:ascii="宋体" w:hAnsi="宋体" w:cs="宋体" w:eastAsia="宋体" w:hint="default"/>
                <w:sz w:val="18"/>
                <w:szCs w:val="18"/>
              </w:rPr>
            </w:pPr>
            <w:r>
              <w:rPr>
                <w:rFonts w:ascii="宋体" w:hAnsi="宋体" w:cs="宋体" w:eastAsia="宋体" w:hint="default"/>
                <w:sz w:val="18"/>
                <w:szCs w:val="18"/>
              </w:rPr>
              <w:t>自主研发软件</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50" w:right="0"/>
              <w:jc w:val="left"/>
              <w:rPr>
                <w:rFonts w:ascii="宋体" w:hAnsi="宋体" w:cs="宋体" w:eastAsia="宋体" w:hint="default"/>
                <w:sz w:val="18"/>
                <w:szCs w:val="18"/>
              </w:rPr>
            </w:pPr>
            <w:r>
              <w:rPr>
                <w:rFonts w:ascii="宋体" w:hAnsi="宋体" w:cs="宋体" w:eastAsia="宋体" w:hint="default"/>
                <w:sz w:val="18"/>
                <w:szCs w:val="18"/>
              </w:rPr>
              <w:t>许可使用权</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土地使用权</w:t>
            </w:r>
          </w:p>
        </w:tc>
        <w:tc>
          <w:tcPr>
            <w:tcW w:w="12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50" w:right="0"/>
              <w:jc w:val="left"/>
              <w:rPr>
                <w:rFonts w:ascii="宋体" w:hAnsi="宋体" w:cs="宋体" w:eastAsia="宋体" w:hint="default"/>
                <w:sz w:val="18"/>
                <w:szCs w:val="18"/>
              </w:rPr>
            </w:pPr>
            <w:r>
              <w:rPr>
                <w:rFonts w:ascii="宋体" w:hAnsi="宋体" w:cs="宋体" w:eastAsia="宋体" w:hint="default"/>
                <w:sz w:val="18"/>
                <w:szCs w:val="18"/>
              </w:rPr>
              <w:t>软件著作权</w:t>
            </w:r>
          </w:p>
        </w:tc>
        <w:tc>
          <w:tcPr>
            <w:tcW w:w="1212" w:type="dxa"/>
            <w:tcBorders>
              <w:top w:val="single" w:sz="4" w:space="0" w:color="000000"/>
              <w:left w:val="single" w:sz="13" w:space="0" w:color="D9D9D9"/>
              <w:bottom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223" w:type="dxa"/>
            <w:tcBorders>
              <w:top w:val="single" w:sz="4" w:space="0" w:color="000000"/>
              <w:left w:val="single" w:sz="13" w:space="0" w:color="D9D9D9"/>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23"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9,557,602.73</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3" w:right="0"/>
              <w:jc w:val="left"/>
              <w:rPr>
                <w:rFonts w:ascii="Times New Roman" w:hAnsi="Times New Roman" w:cs="Times New Roman" w:eastAsia="Times New Roman" w:hint="default"/>
                <w:sz w:val="18"/>
                <w:szCs w:val="18"/>
              </w:rPr>
            </w:pPr>
            <w:r>
              <w:rPr>
                <w:rFonts w:ascii="Times New Roman"/>
                <w:sz w:val="18"/>
              </w:rPr>
              <w:t>2,899,000.00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329,723,718.41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3" w:right="0"/>
              <w:jc w:val="left"/>
              <w:rPr>
                <w:rFonts w:ascii="Times New Roman" w:hAnsi="Times New Roman" w:cs="Times New Roman" w:eastAsia="Times New Roman" w:hint="default"/>
                <w:sz w:val="18"/>
                <w:szCs w:val="18"/>
              </w:rPr>
            </w:pPr>
            <w:r>
              <w:rPr>
                <w:rFonts w:ascii="Times New Roman"/>
                <w:sz w:val="18"/>
              </w:rPr>
              <w:t>3,639,145.31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0" w:right="0"/>
              <w:jc w:val="center"/>
              <w:rPr>
                <w:rFonts w:ascii="Times New Roman" w:hAnsi="Times New Roman" w:cs="Times New Roman" w:eastAsia="Times New Roman" w:hint="default"/>
                <w:sz w:val="18"/>
                <w:szCs w:val="18"/>
              </w:rPr>
            </w:pPr>
            <w:r>
              <w:rPr>
                <w:rFonts w:ascii="Times New Roman"/>
                <w:sz w:val="18"/>
              </w:rPr>
              <w:t>23,731,349.77</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46,398,300.00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415,949,116.22</w:t>
            </w:r>
          </w:p>
        </w:tc>
      </w:tr>
      <w:tr>
        <w:trPr>
          <w:trHeight w:val="402" w:hRule="exact"/>
        </w:trPr>
        <w:tc>
          <w:tcPr>
            <w:tcW w:w="1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w:t>
            </w:r>
          </w:p>
        </w:tc>
        <w:tc>
          <w:tcPr>
            <w:tcW w:w="1223"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-125,852.50</w:t>
            </w:r>
            <w:r>
              <w:rPr>
                <w:rFonts w:ascii="Times New Roman"/>
                <w:sz w:val="18"/>
              </w:rPr>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116,771,598.89</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center"/>
              <w:rPr>
                <w:rFonts w:ascii="Times New Roman" w:hAnsi="Times New Roman" w:cs="Times New Roman" w:eastAsia="Times New Roman" w:hint="default"/>
                <w:sz w:val="18"/>
                <w:szCs w:val="18"/>
              </w:rPr>
            </w:pPr>
            <w:r>
              <w:rPr>
                <w:rFonts w:ascii="Times New Roman"/>
                <w:sz w:val="18"/>
              </w:rPr>
              <w:t>116,645,746.39</w:t>
            </w:r>
          </w:p>
        </w:tc>
      </w:tr>
    </w:tbl>
    <w:p>
      <w:pPr>
        <w:spacing w:after="0" w:line="240" w:lineRule="auto"/>
        <w:jc w:val="center"/>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1211"/>
        <w:gridCol w:w="1211"/>
        <w:gridCol w:w="1212"/>
        <w:gridCol w:w="1212"/>
        <w:gridCol w:w="1212"/>
        <w:gridCol w:w="1212"/>
        <w:gridCol w:w="1212"/>
        <w:gridCol w:w="1212"/>
      </w:tblGrid>
      <w:tr>
        <w:trPr>
          <w:trHeight w:val="36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70,479.92</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70,479.92</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）内部研发</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116,771,598.89</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116,771,598.89</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）汇率变动</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-196,332.42</w:t>
            </w:r>
            <w:r>
              <w:rPr>
                <w:rFonts w:ascii="Times New Roman"/>
                <w:sz w:val="18"/>
              </w:rPr>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-196,332.42</w:t>
            </w:r>
            <w:r>
              <w:rPr>
                <w:rFonts w:ascii="Times New Roman"/>
                <w:sz w:val="18"/>
              </w:rPr>
            </w: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2,101,408.32</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2,101,408.32</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2,101,408.32</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2,101,408.32</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9,431,750.23</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2,899,000.00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446,495,317.30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3,639,145.31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21,629,941.45</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46,398,300.00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530,493,454.29</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6,315,502.70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2,899,000.00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59,354,780.97</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3,639,145.31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2,880,146.02</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26,888,312.12</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101,976,887.12</w:t>
            </w: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917,494.36</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39,757,841.99</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463,979.33</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10,259,987.88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51,399,303.56</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1,113,826.72</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39,757,841.99</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463,979.33</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10,259,987.88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51,595,635.92</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）汇率变动</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-196,332.36</w:t>
            </w:r>
            <w:r>
              <w:rPr>
                <w:rFonts w:ascii="Times New Roman"/>
                <w:sz w:val="18"/>
              </w:rPr>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-196,332.36</w:t>
            </w:r>
            <w:r>
              <w:rPr>
                <w:rFonts w:ascii="Times New Roman"/>
                <w:sz w:val="18"/>
              </w:rPr>
            </w: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661,944.15</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661,944.15</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661,944.15</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661,944.15</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7,232,997.06</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2,899,000.00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99,112,622.96</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3,639,145.31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2,682,181.20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37,148,300.00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152,714,246.53</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4,750,162.96</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4,750,162.96</w:t>
            </w: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4,715,971.38</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4,715,971.38</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4,715,971.38</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4,715,971.38</w:t>
            </w: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9,466,134.34</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9,466,134.34</w:t>
            </w:r>
          </w:p>
        </w:tc>
      </w:tr>
      <w:tr>
        <w:trPr>
          <w:trHeight w:val="402"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211"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2,198,753.17</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337,916,560.00</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18,947,760.25</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9,250,000.00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368,313,073.42</w:t>
            </w:r>
          </w:p>
        </w:tc>
      </w:tr>
      <w:tr>
        <w:trPr>
          <w:trHeight w:val="714" w:hRule="exact"/>
        </w:trPr>
        <w:tc>
          <w:tcPr>
            <w:tcW w:w="12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14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3,242,100.03</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265,618,774.48</w:t>
            </w:r>
          </w:p>
        </w:tc>
        <w:tc>
          <w:tcPr>
            <w:tcW w:w="1212" w:type="dxa"/>
            <w:tcBorders>
              <w:top w:val="single" w:sz="4" w:space="0" w:color="000000"/>
              <w:left w:val="single" w:sz="4" w:space="0" w:color="000000"/>
              <w:bottom w:val="single" w:sz="4" w:space="0" w:color="000000"/>
              <w:right w:val="single" w:sz="4" w:space="0" w:color="000000"/>
            </w:tcBorders>
          </w:tcPr>
          <w:p>
            <w:pP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20,851,203.75</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19,509,987.88</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309,222,066.14</w:t>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本期末通过公司内部研发形成的无形资产占无形资产余额的比例</w:t>
      </w:r>
      <w:r>
        <w:rPr>
          <w:spacing w:val="-45"/>
        </w:rPr>
        <w:t> </w:t>
      </w:r>
      <w:r>
        <w:rPr>
          <w:rFonts w:ascii="Times New Roman" w:hAnsi="Times New Roman" w:cs="Times New Roman" w:eastAsia="Times New Roman" w:hint="default"/>
        </w:rPr>
        <w:t>92.03%</w:t>
      </w:r>
      <w:r>
        <w:rPr/>
        <w:t>。</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3"/>
          <w:szCs w:val="13"/>
        </w:rPr>
      </w:pPr>
    </w:p>
    <w:p>
      <w:pPr>
        <w:pStyle w:val="Heading3"/>
        <w:spacing w:line="240" w:lineRule="auto"/>
        <w:ind w:left="1133" w:right="0"/>
        <w:jc w:val="left"/>
        <w:rPr>
          <w:b w:val="0"/>
          <w:bCs w:val="0"/>
        </w:rPr>
      </w:pPr>
      <w:bookmarkStart w:name="（2）期末无形资产中游戏情况" w:id="288"/>
      <w:bookmarkEnd w:id="288"/>
      <w:r>
        <w:rPr>
          <w:b w:val="0"/>
          <w:bCs w:val="0"/>
        </w:rPr>
      </w:r>
      <w:r>
        <w:rPr/>
        <w:t>（</w:t>
      </w:r>
      <w:r>
        <w:rPr>
          <w:rFonts w:ascii="Times New Roman" w:hAnsi="Times New Roman" w:cs="Times New Roman" w:eastAsia="Times New Roman" w:hint="default"/>
        </w:rPr>
        <w:t>2</w:t>
      </w:r>
      <w:r>
        <w:rPr/>
        <w:t>）期末无形资产中游戏情况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26" w:type="dxa"/>
        <w:tblLayout w:type="fixed"/>
        <w:tblCellMar>
          <w:top w:w="0" w:type="dxa"/>
          <w:left w:w="0" w:type="dxa"/>
          <w:bottom w:w="0" w:type="dxa"/>
          <w:right w:w="0" w:type="dxa"/>
        </w:tblCellMar>
        <w:tblLook w:val="01E0"/>
      </w:tblPr>
      <w:tblGrid>
        <w:gridCol w:w="3254"/>
        <w:gridCol w:w="3254"/>
        <w:gridCol w:w="3152"/>
      </w:tblGrid>
      <w:tr>
        <w:trPr>
          <w:trHeight w:val="394" w:hRule="exact"/>
        </w:trPr>
        <w:tc>
          <w:tcPr>
            <w:tcW w:w="32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游戏名称</w:t>
            </w:r>
          </w:p>
        </w:tc>
        <w:tc>
          <w:tcPr>
            <w:tcW w:w="32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4"/>
              <w:ind w:left="683" w:right="0"/>
              <w:jc w:val="left"/>
              <w:rPr>
                <w:rFonts w:ascii="宋体" w:hAnsi="宋体" w:cs="宋体" w:eastAsia="宋体" w:hint="default"/>
                <w:sz w:val="18"/>
                <w:szCs w:val="18"/>
              </w:rPr>
            </w:pPr>
            <w:r>
              <w:rPr>
                <w:rFonts w:ascii="宋体" w:hAnsi="宋体" w:cs="宋体" w:eastAsia="宋体" w:hint="default"/>
                <w:sz w:val="18"/>
                <w:szCs w:val="18"/>
              </w:rPr>
              <w:t>占无形资产比重（</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7"/>
          <w:szCs w:val="7"/>
        </w:rPr>
      </w:pPr>
    </w:p>
    <w:tbl>
      <w:tblPr>
        <w:tblW w:w="0" w:type="auto"/>
        <w:jc w:val="left"/>
        <w:tblInd w:w="1126" w:type="dxa"/>
        <w:tblLayout w:type="fixed"/>
        <w:tblCellMar>
          <w:top w:w="0" w:type="dxa"/>
          <w:left w:w="0" w:type="dxa"/>
          <w:bottom w:w="0" w:type="dxa"/>
          <w:right w:w="0" w:type="dxa"/>
        </w:tblCellMar>
        <w:tblLook w:val="01E0"/>
      </w:tblPr>
      <w:tblGrid>
        <w:gridCol w:w="3254"/>
        <w:gridCol w:w="3254"/>
        <w:gridCol w:w="3152"/>
      </w:tblGrid>
      <w:tr>
        <w:trPr>
          <w:trHeight w:val="395" w:hRule="exact"/>
        </w:trPr>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8"/>
                <w:szCs w:val="18"/>
              </w:rPr>
            </w:pPr>
            <w:r>
              <w:rPr>
                <w:rFonts w:ascii="宋体" w:hAnsi="宋体" w:cs="宋体" w:eastAsia="宋体" w:hint="default"/>
                <w:sz w:val="18"/>
                <w:szCs w:val="18"/>
              </w:rPr>
              <w:t>战火与秩序</w:t>
            </w:r>
          </w:p>
        </w:tc>
        <w:tc>
          <w:tcPr>
            <w:tcW w:w="32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pacing w:val="-1"/>
                <w:sz w:val="18"/>
              </w:rPr>
              <w:t>3,082,692.91</w:t>
            </w:r>
          </w:p>
        </w:tc>
        <w:tc>
          <w:tcPr>
            <w:tcW w:w="31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4"/>
              <w:ind w:right="1"/>
              <w:jc w:val="right"/>
              <w:rPr>
                <w:rFonts w:ascii="Times New Roman" w:hAnsi="Times New Roman" w:cs="Times New Roman" w:eastAsia="Times New Roman" w:hint="default"/>
                <w:sz w:val="18"/>
                <w:szCs w:val="18"/>
              </w:rPr>
            </w:pPr>
            <w:r>
              <w:rPr>
                <w:rFonts w:ascii="Times New Roman"/>
                <w:sz w:val="18"/>
              </w:rPr>
              <w:t>1.00</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26、开发支出" w:id="289"/>
      <w:bookmarkEnd w:id="289"/>
      <w:r>
        <w:rPr>
          <w:b w:val="0"/>
          <w:bCs w:val="0"/>
        </w:rPr>
      </w:r>
      <w:r>
        <w:rPr>
          <w:rFonts w:ascii="Times New Roman" w:hAnsi="Times New Roman" w:cs="Times New Roman" w:eastAsia="Times New Roman" w:hint="default"/>
        </w:rPr>
        <w:t>26</w:t>
      </w:r>
      <w:r>
        <w:rPr/>
        <w:t>、开发支出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5"/>
        <w:rPr>
          <w:rFonts w:ascii="宋体" w:hAnsi="宋体" w:cs="宋体" w:eastAsia="宋体" w:hint="default"/>
          <w:sz w:val="8"/>
          <w:szCs w:val="8"/>
        </w:rPr>
      </w:pPr>
    </w:p>
    <w:tbl>
      <w:tblPr>
        <w:tblW w:w="0" w:type="auto"/>
        <w:jc w:val="left"/>
        <w:tblInd w:w="1126" w:type="dxa"/>
        <w:tblLayout w:type="fixed"/>
        <w:tblCellMar>
          <w:top w:w="0" w:type="dxa"/>
          <w:left w:w="0" w:type="dxa"/>
          <w:bottom w:w="0" w:type="dxa"/>
          <w:right w:w="0" w:type="dxa"/>
        </w:tblCellMar>
        <w:tblLook w:val="01E0"/>
      </w:tblPr>
      <w:tblGrid>
        <w:gridCol w:w="1257"/>
        <w:gridCol w:w="1105"/>
        <w:gridCol w:w="1218"/>
        <w:gridCol w:w="1224"/>
        <w:gridCol w:w="1141"/>
        <w:gridCol w:w="1107"/>
        <w:gridCol w:w="1039"/>
        <w:gridCol w:w="851"/>
        <w:gridCol w:w="716"/>
      </w:tblGrid>
      <w:tr>
        <w:trPr>
          <w:trHeight w:val="185" w:hRule="exact"/>
        </w:trPr>
        <w:tc>
          <w:tcPr>
            <w:tcW w:w="1257" w:type="dxa"/>
            <w:vMerge w:val="restart"/>
            <w:tcBorders>
              <w:top w:val="single" w:sz="6" w:space="0" w:color="000000"/>
              <w:left w:val="single" w:sz="6" w:space="0" w:color="000000"/>
              <w:right w:val="single" w:sz="6" w:space="0" w:color="000000"/>
            </w:tcBorders>
            <w:shd w:val="clear" w:color="auto" w:fill="D9D9D9"/>
          </w:tcPr>
          <w:p>
            <w:pPr/>
          </w:p>
        </w:tc>
        <w:tc>
          <w:tcPr>
            <w:tcW w:w="1105" w:type="dxa"/>
            <w:vMerge w:val="restart"/>
            <w:tcBorders>
              <w:top w:val="single" w:sz="6" w:space="0" w:color="000000"/>
              <w:left w:val="single" w:sz="6" w:space="0" w:color="000000"/>
              <w:right w:val="single" w:sz="6" w:space="0" w:color="000000"/>
            </w:tcBorders>
            <w:shd w:val="clear" w:color="auto" w:fill="D9D9D9"/>
          </w:tcPr>
          <w:p>
            <w:pPr/>
          </w:p>
        </w:tc>
        <w:tc>
          <w:tcPr>
            <w:tcW w:w="1218"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6"/>
              <w:ind w:left="6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366" w:type="dxa"/>
            <w:gridSpan w:val="2"/>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6"/>
              <w:ind w:left="636"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107"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sz w:val="26"/>
                <w:szCs w:val="26"/>
              </w:rPr>
            </w:pPr>
          </w:p>
          <w:p>
            <w:pPr>
              <w:pStyle w:val="TableParagraph"/>
              <w:spacing w:line="240" w:lineRule="auto"/>
              <w:ind w:left="18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39" w:type="dxa"/>
            <w:tcBorders>
              <w:top w:val="single" w:sz="6" w:space="0" w:color="000000"/>
              <w:left w:val="single" w:sz="6" w:space="0" w:color="000000"/>
              <w:bottom w:val="nil" w:sz="6" w:space="0" w:color="auto"/>
              <w:right w:val="single" w:sz="6" w:space="0" w:color="000000"/>
            </w:tcBorders>
            <w:shd w:val="clear" w:color="auto" w:fill="D9D9D9"/>
          </w:tcPr>
          <w:p>
            <w:pPr/>
          </w:p>
        </w:tc>
        <w:tc>
          <w:tcPr>
            <w:tcW w:w="851" w:type="dxa"/>
            <w:tcBorders>
              <w:top w:val="single" w:sz="6" w:space="0" w:color="000000"/>
              <w:left w:val="single" w:sz="6" w:space="0" w:color="000000"/>
              <w:bottom w:val="nil" w:sz="6" w:space="0" w:color="auto"/>
              <w:right w:val="single" w:sz="6" w:space="0" w:color="000000"/>
            </w:tcBorders>
            <w:shd w:val="clear" w:color="auto" w:fill="D9D9D9"/>
          </w:tcPr>
          <w:p>
            <w:pPr/>
          </w:p>
        </w:tc>
        <w:tc>
          <w:tcPr>
            <w:tcW w:w="716" w:type="dxa"/>
            <w:tcBorders>
              <w:top w:val="single" w:sz="6" w:space="0" w:color="000000"/>
              <w:left w:val="single" w:sz="6" w:space="0" w:color="000000"/>
              <w:bottom w:val="nil" w:sz="6" w:space="0" w:color="auto"/>
              <w:right w:val="single" w:sz="6" w:space="0" w:color="000000"/>
            </w:tcBorders>
            <w:shd w:val="clear" w:color="auto" w:fill="D9D9D9"/>
          </w:tcPr>
          <w:p>
            <w:pPr/>
          </w:p>
        </w:tc>
      </w:tr>
      <w:tr>
        <w:trPr>
          <w:trHeight w:val="147" w:hRule="exact"/>
        </w:trPr>
        <w:tc>
          <w:tcPr>
            <w:tcW w:w="1257" w:type="dxa"/>
            <w:vMerge/>
            <w:tcBorders>
              <w:left w:val="single" w:sz="6" w:space="0" w:color="000000"/>
              <w:bottom w:val="nil" w:sz="6" w:space="0" w:color="auto"/>
              <w:right w:val="single" w:sz="6" w:space="0" w:color="000000"/>
            </w:tcBorders>
            <w:shd w:val="clear" w:color="auto" w:fill="D9D9D9"/>
          </w:tcPr>
          <w:p>
            <w:pPr/>
          </w:p>
        </w:tc>
        <w:tc>
          <w:tcPr>
            <w:tcW w:w="1105" w:type="dxa"/>
            <w:vMerge/>
            <w:tcBorders>
              <w:left w:val="single" w:sz="6" w:space="0" w:color="000000"/>
              <w:bottom w:val="nil" w:sz="6" w:space="0" w:color="auto"/>
              <w:right w:val="single" w:sz="6" w:space="0" w:color="000000"/>
            </w:tcBorders>
            <w:shd w:val="clear" w:color="auto" w:fill="D9D9D9"/>
          </w:tcPr>
          <w:p>
            <w:pPr/>
          </w:p>
        </w:tc>
        <w:tc>
          <w:tcPr>
            <w:tcW w:w="1218" w:type="dxa"/>
            <w:vMerge/>
            <w:tcBorders>
              <w:left w:val="single" w:sz="6" w:space="0" w:color="000000"/>
              <w:bottom w:val="single" w:sz="6" w:space="0" w:color="000000"/>
              <w:right w:val="single" w:sz="6" w:space="0" w:color="000000"/>
            </w:tcBorders>
            <w:shd w:val="clear" w:color="auto" w:fill="D9D9D9"/>
          </w:tcPr>
          <w:p>
            <w:pPr/>
          </w:p>
        </w:tc>
        <w:tc>
          <w:tcPr>
            <w:tcW w:w="2366" w:type="dxa"/>
            <w:gridSpan w:val="2"/>
            <w:vMerge/>
            <w:tcBorders>
              <w:left w:val="single" w:sz="6" w:space="0" w:color="000000"/>
              <w:bottom w:val="single" w:sz="6" w:space="0" w:color="000000"/>
              <w:right w:val="single" w:sz="6" w:space="0" w:color="000000"/>
            </w:tcBorders>
            <w:shd w:val="clear" w:color="auto" w:fill="D9D9D9"/>
          </w:tcPr>
          <w:p>
            <w:pPr/>
          </w:p>
        </w:tc>
        <w:tc>
          <w:tcPr>
            <w:tcW w:w="1107" w:type="dxa"/>
            <w:vMerge/>
            <w:tcBorders>
              <w:left w:val="single" w:sz="6" w:space="0" w:color="000000"/>
              <w:right w:val="single" w:sz="6" w:space="0" w:color="000000"/>
            </w:tcBorders>
            <w:shd w:val="clear" w:color="auto" w:fill="D9D9D9"/>
          </w:tcPr>
          <w:p>
            <w:pPr/>
          </w:p>
        </w:tc>
        <w:tc>
          <w:tcPr>
            <w:tcW w:w="1039" w:type="dxa"/>
            <w:vMerge w:val="restart"/>
            <w:tcBorders>
              <w:top w:val="nil" w:sz="6" w:space="0" w:color="auto"/>
              <w:left w:val="single" w:sz="6" w:space="0" w:color="000000"/>
              <w:right w:val="single" w:sz="6" w:space="0" w:color="000000"/>
            </w:tcBorders>
            <w:shd w:val="clear" w:color="auto" w:fill="D9D9D9"/>
          </w:tcPr>
          <w:p>
            <w:pPr>
              <w:pStyle w:val="TableParagraph"/>
              <w:spacing w:line="316" w:lineRule="auto" w:before="10"/>
              <w:ind w:left="331" w:right="61" w:hanging="270"/>
              <w:jc w:val="left"/>
              <w:rPr>
                <w:rFonts w:ascii="宋体" w:hAnsi="宋体" w:cs="宋体" w:eastAsia="宋体" w:hint="default"/>
                <w:sz w:val="18"/>
                <w:szCs w:val="18"/>
              </w:rPr>
            </w:pPr>
            <w:r>
              <w:rPr>
                <w:rFonts w:ascii="宋体" w:hAnsi="宋体" w:cs="宋体" w:eastAsia="宋体" w:hint="default"/>
                <w:sz w:val="18"/>
                <w:szCs w:val="18"/>
              </w:rPr>
              <w:t>资本化开始 时点</w:t>
            </w:r>
          </w:p>
        </w:tc>
        <w:tc>
          <w:tcPr>
            <w:tcW w:w="851" w:type="dxa"/>
            <w:vMerge w:val="restart"/>
            <w:tcBorders>
              <w:top w:val="nil" w:sz="6" w:space="0" w:color="auto"/>
              <w:left w:val="single" w:sz="6" w:space="0" w:color="000000"/>
              <w:right w:val="single" w:sz="6" w:space="0" w:color="000000"/>
            </w:tcBorders>
            <w:shd w:val="clear" w:color="auto" w:fill="D9D9D9"/>
          </w:tcPr>
          <w:p>
            <w:pPr>
              <w:pStyle w:val="TableParagraph"/>
              <w:spacing w:line="316" w:lineRule="auto" w:before="10"/>
              <w:ind w:left="147" w:right="56" w:hanging="90"/>
              <w:jc w:val="left"/>
              <w:rPr>
                <w:rFonts w:ascii="宋体" w:hAnsi="宋体" w:cs="宋体" w:eastAsia="宋体" w:hint="default"/>
                <w:sz w:val="18"/>
                <w:szCs w:val="18"/>
              </w:rPr>
            </w:pPr>
            <w:r>
              <w:rPr>
                <w:rFonts w:ascii="宋体" w:hAnsi="宋体" w:cs="宋体" w:eastAsia="宋体" w:hint="default"/>
                <w:sz w:val="18"/>
                <w:szCs w:val="18"/>
              </w:rPr>
              <w:t>资本化具 体依据</w:t>
            </w:r>
          </w:p>
        </w:tc>
        <w:tc>
          <w:tcPr>
            <w:tcW w:w="716" w:type="dxa"/>
            <w:vMerge w:val="restart"/>
            <w:tcBorders>
              <w:top w:val="nil" w:sz="6" w:space="0" w:color="auto"/>
              <w:left w:val="single" w:sz="6" w:space="0" w:color="000000"/>
              <w:right w:val="single" w:sz="6" w:space="0" w:color="000000"/>
            </w:tcBorders>
            <w:shd w:val="clear" w:color="auto" w:fill="D9D9D9"/>
          </w:tcPr>
          <w:p>
            <w:pPr>
              <w:pStyle w:val="TableParagraph"/>
              <w:spacing w:line="316" w:lineRule="auto" w:before="10"/>
              <w:ind w:left="80" w:right="79"/>
              <w:jc w:val="left"/>
              <w:rPr>
                <w:rFonts w:ascii="宋体" w:hAnsi="宋体" w:cs="宋体" w:eastAsia="宋体" w:hint="default"/>
                <w:sz w:val="18"/>
                <w:szCs w:val="18"/>
              </w:rPr>
            </w:pPr>
            <w:r>
              <w:rPr>
                <w:rFonts w:ascii="宋体" w:hAnsi="宋体" w:cs="宋体" w:eastAsia="宋体" w:hint="default"/>
                <w:sz w:val="18"/>
                <w:szCs w:val="18"/>
              </w:rPr>
              <w:t>期末研 发进度</w:t>
            </w:r>
          </w:p>
        </w:tc>
      </w:tr>
      <w:tr>
        <w:trPr>
          <w:trHeight w:val="668" w:hRule="exact"/>
        </w:trPr>
        <w:tc>
          <w:tcPr>
            <w:tcW w:w="1257"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9"/>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105"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9"/>
              <w:ind w:left="18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1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59"/>
              <w:jc w:val="right"/>
              <w:rPr>
                <w:rFonts w:ascii="宋体" w:hAnsi="宋体" w:cs="宋体" w:eastAsia="宋体" w:hint="default"/>
                <w:sz w:val="18"/>
                <w:szCs w:val="18"/>
              </w:rPr>
            </w:pPr>
            <w:r>
              <w:rPr>
                <w:rFonts w:ascii="宋体" w:hAnsi="宋体" w:cs="宋体" w:eastAsia="宋体" w:hint="default"/>
                <w:sz w:val="18"/>
                <w:szCs w:val="18"/>
              </w:rPr>
              <w:t>内部开发支出</w:t>
            </w:r>
          </w:p>
        </w:tc>
        <w:tc>
          <w:tcPr>
            <w:tcW w:w="122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30"/>
              <w:ind w:left="515" w:right="63" w:hanging="451"/>
              <w:jc w:val="left"/>
              <w:rPr>
                <w:rFonts w:ascii="宋体" w:hAnsi="宋体" w:cs="宋体" w:eastAsia="宋体" w:hint="default"/>
                <w:sz w:val="18"/>
                <w:szCs w:val="18"/>
              </w:rPr>
            </w:pPr>
            <w:r>
              <w:rPr>
                <w:rFonts w:ascii="宋体" w:hAnsi="宋体" w:cs="宋体" w:eastAsia="宋体" w:hint="default"/>
                <w:sz w:val="18"/>
                <w:szCs w:val="18"/>
              </w:rPr>
              <w:t>确认为无形资 产</w:t>
            </w:r>
          </w:p>
        </w:tc>
        <w:tc>
          <w:tcPr>
            <w:tcW w:w="114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计入当期损益</w:t>
            </w:r>
          </w:p>
        </w:tc>
        <w:tc>
          <w:tcPr>
            <w:tcW w:w="1107" w:type="dxa"/>
            <w:vMerge/>
            <w:tcBorders>
              <w:left w:val="single" w:sz="6" w:space="0" w:color="000000"/>
              <w:bottom w:val="single" w:sz="6" w:space="0" w:color="000000"/>
              <w:right w:val="single" w:sz="6" w:space="0" w:color="000000"/>
            </w:tcBorders>
            <w:shd w:val="clear" w:color="auto" w:fill="D9D9D9"/>
          </w:tcPr>
          <w:p>
            <w:pPr/>
          </w:p>
        </w:tc>
        <w:tc>
          <w:tcPr>
            <w:tcW w:w="1039" w:type="dxa"/>
            <w:vMerge/>
            <w:tcBorders>
              <w:left w:val="single" w:sz="6" w:space="0" w:color="000000"/>
              <w:bottom w:val="single" w:sz="6" w:space="0" w:color="000000"/>
              <w:right w:val="single" w:sz="6" w:space="0" w:color="000000"/>
            </w:tcBorders>
            <w:shd w:val="clear" w:color="auto" w:fill="D9D9D9"/>
          </w:tcPr>
          <w:p>
            <w:pPr/>
          </w:p>
        </w:tc>
        <w:tc>
          <w:tcPr>
            <w:tcW w:w="851" w:type="dxa"/>
            <w:vMerge/>
            <w:tcBorders>
              <w:left w:val="single" w:sz="6" w:space="0" w:color="000000"/>
              <w:bottom w:val="single" w:sz="6" w:space="0" w:color="000000"/>
              <w:right w:val="single" w:sz="6" w:space="0" w:color="000000"/>
            </w:tcBorders>
            <w:shd w:val="clear" w:color="auto" w:fill="D9D9D9"/>
          </w:tcPr>
          <w:p>
            <w:pPr/>
          </w:p>
        </w:tc>
        <w:tc>
          <w:tcPr>
            <w:tcW w:w="716" w:type="dxa"/>
            <w:vMerge/>
            <w:tcBorders>
              <w:left w:val="single" w:sz="6" w:space="0" w:color="000000"/>
              <w:bottom w:val="single" w:sz="6" w:space="0" w:color="000000"/>
              <w:right w:val="single" w:sz="6" w:space="0" w:color="000000"/>
            </w:tcBorders>
            <w:shd w:val="clear" w:color="auto" w:fill="D9D9D9"/>
          </w:tcPr>
          <w:p>
            <w:pPr/>
          </w:p>
        </w:tc>
      </w:tr>
      <w:tr>
        <w:trPr>
          <w:trHeight w:val="972"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both"/>
              <w:rPr>
                <w:rFonts w:ascii="宋体" w:hAnsi="宋体" w:cs="宋体" w:eastAsia="宋体" w:hint="default"/>
                <w:sz w:val="18"/>
                <w:szCs w:val="18"/>
              </w:rPr>
            </w:pPr>
            <w:r>
              <w:rPr>
                <w:rFonts w:ascii="宋体" w:hAnsi="宋体" w:cs="宋体" w:eastAsia="宋体" w:hint="default"/>
                <w:sz w:val="18"/>
                <w:szCs w:val="18"/>
              </w:rPr>
              <w:t>面向金融行业 的基础通信系 统</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142" w:right="0"/>
              <w:jc w:val="left"/>
              <w:rPr>
                <w:rFonts w:ascii="Times New Roman" w:hAnsi="Times New Roman" w:cs="Times New Roman" w:eastAsia="Times New Roman" w:hint="default"/>
                <w:sz w:val="18"/>
                <w:szCs w:val="18"/>
              </w:rPr>
            </w:pPr>
            <w:r>
              <w:rPr>
                <w:rFonts w:ascii="Times New Roman"/>
                <w:sz w:val="18"/>
              </w:rPr>
              <w:t>4,427,524.99</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1,928,470.34</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6,355,995.33</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2" w:right="159"/>
              <w:jc w:val="left"/>
              <w:rPr>
                <w:rFonts w:ascii="宋体" w:hAnsi="宋体" w:cs="宋体" w:eastAsia="宋体" w:hint="default"/>
                <w:sz w:val="18"/>
                <w:szCs w:val="18"/>
              </w:rPr>
            </w:pPr>
            <w:r>
              <w:rPr>
                <w:rFonts w:ascii="宋体" w:hAnsi="宋体" w:cs="宋体" w:eastAsia="宋体" w:hint="default"/>
                <w:sz w:val="18"/>
                <w:szCs w:val="18"/>
              </w:rPr>
              <w:t>社交化融合通 信终端系统</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6,732,659.82</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6,807,787.44</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13,540,447.26</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智慧芯</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1,491,354.62</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363,774.26</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1,855,128.88</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971"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小小帝国</w:t>
            </w:r>
            <w:r>
              <w:rPr>
                <w:rFonts w:ascii="Times New Roman" w:hAnsi="Times New Roman" w:cs="Times New Roman" w:eastAsia="Times New Roman" w:hint="default"/>
                <w:sz w:val="18"/>
                <w:szCs w:val="18"/>
              </w:rPr>
              <w:t>2</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142" w:right="0"/>
              <w:jc w:val="left"/>
              <w:rPr>
                <w:rFonts w:ascii="Times New Roman" w:hAnsi="Times New Roman" w:cs="Times New Roman" w:eastAsia="Times New Roman" w:hint="default"/>
                <w:sz w:val="18"/>
                <w:szCs w:val="18"/>
              </w:rPr>
            </w:pPr>
            <w:r>
              <w:rPr>
                <w:rFonts w:ascii="Times New Roman"/>
                <w:sz w:val="18"/>
              </w:rPr>
              <w:t>6,676,929.63</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3,703,299.79</w:t>
            </w: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10,380,229.42</w:t>
            </w: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both"/>
              <w:rPr>
                <w:rFonts w:ascii="宋体" w:hAnsi="宋体" w:cs="宋体" w:eastAsia="宋体" w:hint="default"/>
                <w:sz w:val="18"/>
                <w:szCs w:val="18"/>
              </w:rPr>
            </w:pPr>
            <w:r>
              <w:rPr>
                <w:rFonts w:ascii="宋体" w:hAnsi="宋体" w:cs="宋体" w:eastAsia="宋体" w:hint="default"/>
                <w:sz w:val="18"/>
                <w:szCs w:val="18"/>
              </w:rPr>
              <w:t>已结项 当期费 用化</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21"/>
              <w:ind w:left="2" w:right="113"/>
              <w:jc w:val="left"/>
              <w:rPr>
                <w:rFonts w:ascii="宋体" w:hAnsi="宋体" w:cs="宋体" w:eastAsia="宋体" w:hint="default"/>
                <w:sz w:val="18"/>
                <w:szCs w:val="18"/>
              </w:rPr>
            </w:pPr>
            <w:r>
              <w:rPr>
                <w:rFonts w:ascii="Times New Roman" w:hAnsi="Times New Roman" w:cs="Times New Roman" w:eastAsia="Times New Roman" w:hint="default"/>
                <w:sz w:val="18"/>
                <w:szCs w:val="18"/>
              </w:rPr>
              <w:t>Titan</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Throne</w:t>
            </w:r>
            <w:r>
              <w:rPr>
                <w:rFonts w:ascii="宋体" w:hAnsi="宋体" w:cs="宋体" w:eastAsia="宋体" w:hint="default"/>
                <w:sz w:val="18"/>
                <w:szCs w:val="18"/>
              </w:rPr>
              <w:t>手 游项目</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5,244,301.80</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12,766,758.79</w:t>
            </w: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18,011,060.59</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正在研 发中</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9"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气象综合观测 业务一体化</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3,171,613.08</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1,628,407.67</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4,800,020.75</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972"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农业气象服务 产品制作</w:t>
            </w:r>
          </w:p>
          <w:p>
            <w:pPr>
              <w:pStyle w:val="TableParagraph"/>
              <w:spacing w:line="240" w:lineRule="auto" w:before="58"/>
              <w:ind w:left="2" w:right="0"/>
              <w:jc w:val="left"/>
              <w:rPr>
                <w:rFonts w:ascii="Times New Roman" w:hAnsi="Times New Roman" w:cs="Times New Roman" w:eastAsia="Times New Roman" w:hint="default"/>
                <w:sz w:val="18"/>
                <w:szCs w:val="18"/>
              </w:rPr>
            </w:pPr>
            <w:r>
              <w:rPr>
                <w:rFonts w:ascii="Times New Roman"/>
                <w:sz w:val="18"/>
              </w:rPr>
              <w:t>YH-2016-3</w:t>
            </w:r>
          </w:p>
        </w:tc>
        <w:tc>
          <w:tcPr>
            <w:tcW w:w="1105"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142" w:right="0"/>
              <w:jc w:val="left"/>
              <w:rPr>
                <w:rFonts w:ascii="Times New Roman" w:hAnsi="Times New Roman" w:cs="Times New Roman" w:eastAsia="Times New Roman" w:hint="default"/>
                <w:sz w:val="18"/>
                <w:szCs w:val="18"/>
              </w:rPr>
            </w:pPr>
            <w:r>
              <w:rPr>
                <w:rFonts w:ascii="Times New Roman"/>
                <w:sz w:val="18"/>
              </w:rPr>
              <w:t>2,906,809.76</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1,347,741.59</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4,254,551.35</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2" w:right="159"/>
              <w:jc w:val="left"/>
              <w:rPr>
                <w:rFonts w:ascii="宋体" w:hAnsi="宋体" w:cs="宋体" w:eastAsia="宋体" w:hint="default"/>
                <w:sz w:val="18"/>
                <w:szCs w:val="18"/>
              </w:rPr>
            </w:pPr>
            <w:r>
              <w:rPr>
                <w:rFonts w:ascii="宋体" w:hAnsi="宋体" w:cs="宋体" w:eastAsia="宋体" w:hint="default"/>
                <w:sz w:val="18"/>
                <w:szCs w:val="18"/>
              </w:rPr>
              <w:t>防火墙策略核 查系统</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6,155,145.14</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6,155,145.14</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971"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both"/>
              <w:rPr>
                <w:rFonts w:ascii="宋体" w:hAnsi="宋体" w:cs="宋体" w:eastAsia="宋体" w:hint="default"/>
                <w:sz w:val="18"/>
                <w:szCs w:val="18"/>
              </w:rPr>
            </w:pPr>
            <w:r>
              <w:rPr>
                <w:rFonts w:ascii="宋体" w:hAnsi="宋体" w:cs="宋体" w:eastAsia="宋体" w:hint="default"/>
                <w:sz w:val="18"/>
                <w:szCs w:val="18"/>
              </w:rPr>
              <w:t>基于深度学习 的语义认知平 台</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19,570,595.55</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19,570,595.55</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971"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both"/>
              <w:rPr>
                <w:rFonts w:ascii="宋体" w:hAnsi="宋体" w:cs="宋体" w:eastAsia="宋体" w:hint="default"/>
                <w:sz w:val="18"/>
                <w:szCs w:val="18"/>
              </w:rPr>
            </w:pPr>
            <w:r>
              <w:rPr>
                <w:rFonts w:ascii="宋体" w:hAnsi="宋体" w:cs="宋体" w:eastAsia="宋体" w:hint="default"/>
                <w:sz w:val="18"/>
                <w:szCs w:val="18"/>
              </w:rPr>
              <w:t>神州泰岳数据 中心可视化系 统</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17,411,033.91</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17,411,033.91</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网络配置管理 系统</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16,587,714.65</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16,587,714.65</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业务流程平台 系统</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10,681,775.30</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10,681,775.30</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9"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资源弱口令核 查系统</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6,381,762.86</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6,381,762.86</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60"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软件逆向分析 教学实训平台</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1,265,262.28</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1,265,262.28</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347"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企业融合通信</w:t>
            </w:r>
          </w:p>
        </w:tc>
        <w:tc>
          <w:tcPr>
            <w:tcW w:w="1105" w:type="dxa"/>
            <w:tcBorders>
              <w:top w:val="single" w:sz="6" w:space="0" w:color="000000"/>
              <w:left w:val="single" w:sz="7"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7,203,721.65</w:t>
            </w: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7,203,721.65</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立项及审</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正在研</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6" w:type="dxa"/>
        <w:tblLayout w:type="fixed"/>
        <w:tblCellMar>
          <w:top w:w="0" w:type="dxa"/>
          <w:left w:w="0" w:type="dxa"/>
          <w:bottom w:w="0" w:type="dxa"/>
          <w:right w:w="0" w:type="dxa"/>
        </w:tblCellMar>
        <w:tblLook w:val="01E0"/>
      </w:tblPr>
      <w:tblGrid>
        <w:gridCol w:w="1257"/>
        <w:gridCol w:w="1105"/>
        <w:gridCol w:w="1218"/>
        <w:gridCol w:w="1224"/>
        <w:gridCol w:w="1141"/>
        <w:gridCol w:w="1107"/>
        <w:gridCol w:w="1039"/>
        <w:gridCol w:w="851"/>
        <w:gridCol w:w="716"/>
      </w:tblGrid>
      <w:tr>
        <w:trPr>
          <w:trHeight w:val="347"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中间件平台</w:t>
            </w:r>
          </w:p>
        </w:tc>
        <w:tc>
          <w:tcPr>
            <w:tcW w:w="1105"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发中</w:t>
            </w:r>
          </w:p>
        </w:tc>
      </w:tr>
      <w:tr>
        <w:trPr>
          <w:trHeight w:val="971"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59"/>
              <w:jc w:val="left"/>
              <w:rPr>
                <w:rFonts w:ascii="宋体" w:hAnsi="宋体" w:cs="宋体" w:eastAsia="宋体" w:hint="default"/>
                <w:sz w:val="18"/>
                <w:szCs w:val="18"/>
              </w:rPr>
            </w:pPr>
            <w:r>
              <w:rPr>
                <w:rFonts w:ascii="宋体" w:hAnsi="宋体" w:cs="宋体" w:eastAsia="宋体" w:hint="default"/>
                <w:sz w:val="18"/>
                <w:szCs w:val="18"/>
              </w:rPr>
              <w:t>聚享营销服务 平台</w:t>
            </w:r>
          </w:p>
        </w:tc>
        <w:tc>
          <w:tcPr>
            <w:tcW w:w="1105"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2,621,682.07</w:t>
            </w: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right="1"/>
              <w:jc w:val="right"/>
              <w:rPr>
                <w:rFonts w:ascii="Times New Roman" w:hAnsi="Times New Roman" w:cs="Times New Roman" w:eastAsia="Times New Roman" w:hint="default"/>
                <w:sz w:val="18"/>
                <w:szCs w:val="18"/>
              </w:rPr>
            </w:pPr>
            <w:r>
              <w:rPr>
                <w:rFonts w:ascii="Times New Roman"/>
                <w:spacing w:val="-1"/>
                <w:sz w:val="18"/>
              </w:rPr>
              <w:t>2,621,682.07</w:t>
            </w: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both"/>
              <w:rPr>
                <w:rFonts w:ascii="宋体" w:hAnsi="宋体" w:cs="宋体" w:eastAsia="宋体" w:hint="default"/>
                <w:sz w:val="18"/>
                <w:szCs w:val="18"/>
              </w:rPr>
            </w:pPr>
            <w:r>
              <w:rPr>
                <w:rFonts w:ascii="宋体" w:hAnsi="宋体" w:cs="宋体" w:eastAsia="宋体" w:hint="default"/>
                <w:sz w:val="18"/>
                <w:szCs w:val="18"/>
              </w:rPr>
              <w:t>已结项 当期费 用化</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21"/>
              <w:ind w:left="2" w:right="96"/>
              <w:jc w:val="left"/>
              <w:rPr>
                <w:rFonts w:ascii="宋体" w:hAnsi="宋体" w:cs="宋体" w:eastAsia="宋体" w:hint="default"/>
                <w:sz w:val="18"/>
                <w:szCs w:val="18"/>
              </w:rPr>
            </w:pPr>
            <w:r>
              <w:rPr>
                <w:rFonts w:ascii="Times New Roman" w:hAnsi="Times New Roman" w:cs="Times New Roman" w:eastAsia="Times New Roman" w:hint="default"/>
                <w:sz w:val="18"/>
                <w:szCs w:val="18"/>
              </w:rPr>
              <w:t>Doomsday</w:t>
            </w:r>
            <w:r>
              <w:rPr>
                <w:rFonts w:ascii="宋体" w:hAnsi="宋体" w:cs="宋体" w:eastAsia="宋体" w:hint="default"/>
                <w:sz w:val="18"/>
                <w:szCs w:val="18"/>
              </w:rPr>
              <w:t>手游</w:t>
            </w:r>
            <w:r>
              <w:rPr>
                <w:rFonts w:ascii="宋体" w:hAnsi="宋体" w:cs="宋体" w:eastAsia="宋体" w:hint="default"/>
                <w:w w:val="99"/>
                <w:sz w:val="18"/>
                <w:szCs w:val="18"/>
              </w:rPr>
              <w:t> </w:t>
            </w:r>
            <w:r>
              <w:rPr>
                <w:rFonts w:ascii="宋体" w:hAnsi="宋体" w:cs="宋体" w:eastAsia="宋体" w:hint="default"/>
                <w:sz w:val="18"/>
                <w:szCs w:val="18"/>
              </w:rPr>
              <w:t>项目</w:t>
            </w:r>
          </w:p>
        </w:tc>
        <w:tc>
          <w:tcPr>
            <w:tcW w:w="1105"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2,714,507.59</w:t>
            </w: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2,714,507.59</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正在研 发中</w:t>
            </w:r>
          </w:p>
        </w:tc>
      </w:tr>
      <w:tr>
        <w:trPr>
          <w:trHeight w:val="660"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1"/>
              <w:ind w:left="2" w:right="159"/>
              <w:jc w:val="left"/>
              <w:rPr>
                <w:rFonts w:ascii="宋体" w:hAnsi="宋体" w:cs="宋体" w:eastAsia="宋体" w:hint="default"/>
                <w:sz w:val="18"/>
                <w:szCs w:val="18"/>
              </w:rPr>
            </w:pPr>
            <w:r>
              <w:rPr>
                <w:rFonts w:ascii="宋体" w:hAnsi="宋体" w:cs="宋体" w:eastAsia="宋体" w:hint="default"/>
                <w:sz w:val="18"/>
                <w:szCs w:val="18"/>
              </w:rPr>
              <w:t>智慧墙入侵检 测系统</w:t>
            </w:r>
          </w:p>
        </w:tc>
        <w:tc>
          <w:tcPr>
            <w:tcW w:w="1105"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4,222,388.24</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4,222,388.24</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2" w:right="159"/>
              <w:jc w:val="left"/>
              <w:rPr>
                <w:rFonts w:ascii="宋体" w:hAnsi="宋体" w:cs="宋体" w:eastAsia="宋体" w:hint="default"/>
                <w:sz w:val="18"/>
                <w:szCs w:val="18"/>
              </w:rPr>
            </w:pPr>
            <w:r>
              <w:rPr>
                <w:rFonts w:ascii="宋体" w:hAnsi="宋体" w:cs="宋体" w:eastAsia="宋体" w:hint="default"/>
                <w:sz w:val="18"/>
                <w:szCs w:val="18"/>
              </w:rPr>
              <w:t>通信安防一体 化系统</w:t>
            </w:r>
          </w:p>
        </w:tc>
        <w:tc>
          <w:tcPr>
            <w:tcW w:w="1105"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3,689,777.39</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3,689,777.39</w:t>
            </w: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57"/>
              <w:jc w:val="left"/>
              <w:rPr>
                <w:rFonts w:ascii="宋体" w:hAnsi="宋体" w:cs="宋体" w:eastAsia="宋体" w:hint="default"/>
                <w:sz w:val="18"/>
                <w:szCs w:val="18"/>
              </w:rPr>
            </w:pPr>
            <w:r>
              <w:rPr>
                <w:rFonts w:ascii="宋体" w:hAnsi="宋体" w:cs="宋体" w:eastAsia="宋体" w:hint="default"/>
                <w:sz w:val="18"/>
                <w:szCs w:val="18"/>
              </w:rPr>
              <w:t>已经结 项</w:t>
            </w:r>
          </w:p>
        </w:tc>
      </w:tr>
      <w:tr>
        <w:trPr>
          <w:trHeight w:val="659"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21"/>
              <w:ind w:left="2" w:right="48"/>
              <w:jc w:val="left"/>
              <w:rPr>
                <w:rFonts w:ascii="宋体" w:hAnsi="宋体" w:cs="宋体" w:eastAsia="宋体" w:hint="default"/>
                <w:sz w:val="18"/>
                <w:szCs w:val="18"/>
              </w:rPr>
            </w:pPr>
            <w:r>
              <w:rPr>
                <w:rFonts w:ascii="Times New Roman" w:hAnsi="Times New Roman" w:cs="Times New Roman" w:eastAsia="Times New Roman" w:hint="default"/>
                <w:sz w:val="18"/>
                <w:szCs w:val="18"/>
              </w:rPr>
              <w:t>Nu-WiFi</w:t>
            </w:r>
            <w:r>
              <w:rPr>
                <w:rFonts w:ascii="宋体" w:hAnsi="宋体" w:cs="宋体" w:eastAsia="宋体" w:hint="default"/>
                <w:sz w:val="18"/>
                <w:szCs w:val="18"/>
              </w:rPr>
              <w:t>无线通 信系统</w:t>
            </w:r>
          </w:p>
        </w:tc>
        <w:tc>
          <w:tcPr>
            <w:tcW w:w="1105" w:type="dxa"/>
            <w:tcBorders>
              <w:top w:val="single" w:sz="6" w:space="0" w:color="000000"/>
              <w:left w:val="single" w:sz="6" w:space="0" w:color="000000"/>
              <w:bottom w:val="single" w:sz="6" w:space="0" w:color="000000"/>
              <w:right w:val="single" w:sz="6" w:space="0" w:color="000000"/>
            </w:tcBorders>
          </w:tcPr>
          <w:p>
            <w:pP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7,779,524.14</w:t>
            </w:r>
          </w:p>
        </w:tc>
        <w:tc>
          <w:tcPr>
            <w:tcW w:w="1224" w:type="dxa"/>
            <w:tcBorders>
              <w:top w:val="single" w:sz="6" w:space="0" w:color="000000"/>
              <w:left w:val="single" w:sz="6" w:space="0" w:color="000000"/>
              <w:bottom w:val="single" w:sz="6" w:space="0" w:color="000000"/>
              <w:right w:val="single" w:sz="6" w:space="0" w:color="000000"/>
            </w:tcBorders>
          </w:tcPr>
          <w:p>
            <w:pPr/>
          </w:p>
        </w:tc>
        <w:tc>
          <w:tcPr>
            <w:tcW w:w="1141" w:type="dxa"/>
            <w:tcBorders>
              <w:top w:val="single" w:sz="6" w:space="0" w:color="000000"/>
              <w:left w:val="single" w:sz="6" w:space="0" w:color="000000"/>
              <w:bottom w:val="single" w:sz="6" w:space="0" w:color="000000"/>
              <w:right w:val="single" w:sz="6" w:space="0" w:color="000000"/>
            </w:tcBorders>
          </w:tcPr>
          <w:p>
            <w:pPr/>
          </w:p>
        </w:tc>
        <w:tc>
          <w:tcPr>
            <w:tcW w:w="11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7,779,524.14</w:t>
            </w:r>
          </w:p>
        </w:tc>
        <w:tc>
          <w:tcPr>
            <w:tcW w:w="10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13"/>
              <w:jc w:val="left"/>
              <w:rPr>
                <w:rFonts w:ascii="宋体" w:hAnsi="宋体" w:cs="宋体" w:eastAsia="宋体" w:hint="default"/>
                <w:sz w:val="18"/>
                <w:szCs w:val="18"/>
              </w:rPr>
            </w:pPr>
            <w:r>
              <w:rPr>
                <w:rFonts w:ascii="宋体" w:hAnsi="宋体" w:cs="宋体" w:eastAsia="宋体" w:hint="default"/>
                <w:sz w:val="18"/>
                <w:szCs w:val="18"/>
              </w:rPr>
              <w:t>立项及审 批文件</w:t>
            </w:r>
          </w:p>
        </w:tc>
        <w:tc>
          <w:tcPr>
            <w:tcW w:w="71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57"/>
              <w:jc w:val="left"/>
              <w:rPr>
                <w:rFonts w:ascii="宋体" w:hAnsi="宋体" w:cs="宋体" w:eastAsia="宋体" w:hint="default"/>
                <w:sz w:val="18"/>
                <w:szCs w:val="18"/>
              </w:rPr>
            </w:pPr>
            <w:r>
              <w:rPr>
                <w:rFonts w:ascii="宋体" w:hAnsi="宋体" w:cs="宋体" w:eastAsia="宋体" w:hint="default"/>
                <w:sz w:val="18"/>
                <w:szCs w:val="18"/>
              </w:rPr>
              <w:t>正在研 发中</w:t>
            </w:r>
          </w:p>
        </w:tc>
      </w:tr>
      <w:tr>
        <w:trPr>
          <w:trHeight w:val="348" w:hRule="exact"/>
        </w:trPr>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1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53" w:right="0"/>
              <w:jc w:val="left"/>
              <w:rPr>
                <w:rFonts w:ascii="Times New Roman" w:hAnsi="Times New Roman" w:cs="Times New Roman" w:eastAsia="Times New Roman" w:hint="default"/>
                <w:sz w:val="18"/>
                <w:szCs w:val="18"/>
              </w:rPr>
            </w:pPr>
            <w:r>
              <w:rPr>
                <w:rFonts w:ascii="Times New Roman"/>
                <w:sz w:val="18"/>
              </w:rPr>
              <w:t>30,651,193.70</w:t>
            </w:r>
          </w:p>
        </w:tc>
        <w:tc>
          <w:tcPr>
            <w:tcW w:w="12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134,831,130.65</w:t>
            </w:r>
          </w:p>
        </w:tc>
        <w:tc>
          <w:tcPr>
            <w:tcW w:w="1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116,771,598.89</w:t>
            </w:r>
          </w:p>
        </w:tc>
        <w:tc>
          <w:tcPr>
            <w:tcW w:w="114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13,001,911.49</w:t>
            </w:r>
          </w:p>
        </w:tc>
        <w:tc>
          <w:tcPr>
            <w:tcW w:w="11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35,708,813.97</w:t>
            </w:r>
          </w:p>
        </w:tc>
        <w:tc>
          <w:tcPr>
            <w:tcW w:w="1039" w:type="dxa"/>
            <w:tcBorders>
              <w:top w:val="single" w:sz="6" w:space="0" w:color="000000"/>
              <w:left w:val="single" w:sz="6" w:space="0" w:color="000000"/>
              <w:bottom w:val="single" w:sz="6" w:space="0" w:color="000000"/>
              <w:right w:val="single" w:sz="6" w:space="0" w:color="000000"/>
            </w:tcBorders>
          </w:tcPr>
          <w:p>
            <w:pPr/>
          </w:p>
        </w:tc>
        <w:tc>
          <w:tcPr>
            <w:tcW w:w="851" w:type="dxa"/>
            <w:tcBorders>
              <w:top w:val="single" w:sz="6" w:space="0" w:color="000000"/>
              <w:left w:val="single" w:sz="6" w:space="0" w:color="000000"/>
              <w:bottom w:val="single" w:sz="6" w:space="0" w:color="000000"/>
              <w:right w:val="single" w:sz="6" w:space="0" w:color="000000"/>
            </w:tcBorders>
          </w:tcPr>
          <w:p>
            <w:pPr/>
          </w:p>
        </w:tc>
        <w:tc>
          <w:tcPr>
            <w:tcW w:w="716"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7、商誉" w:id="290"/>
      <w:bookmarkEnd w:id="290"/>
      <w:r>
        <w:rPr>
          <w:b w:val="0"/>
          <w:bCs w:val="0"/>
        </w:rPr>
      </w:r>
      <w:r>
        <w:rPr>
          <w:rFonts w:ascii="Times New Roman" w:hAnsi="Times New Roman" w:cs="Times New Roman" w:eastAsia="Times New Roman" w:hint="default"/>
        </w:rPr>
        <w:t>27</w:t>
      </w:r>
      <w:r>
        <w:rPr/>
        <w:t>、商誉</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商誉账面原值" w:id="291"/>
      <w:bookmarkEnd w:id="291"/>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1938"/>
        <w:gridCol w:w="1940"/>
        <w:gridCol w:w="1938"/>
        <w:gridCol w:w="1940"/>
        <w:gridCol w:w="1939"/>
      </w:tblGrid>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514" w:right="62" w:hanging="451"/>
              <w:jc w:val="left"/>
              <w:rPr>
                <w:rFonts w:ascii="宋体" w:hAnsi="宋体" w:cs="宋体" w:eastAsia="宋体" w:hint="default"/>
                <w:sz w:val="18"/>
                <w:szCs w:val="18"/>
              </w:rPr>
            </w:pPr>
            <w:r>
              <w:rPr>
                <w:rFonts w:ascii="宋体" w:hAnsi="宋体" w:cs="宋体" w:eastAsia="宋体" w:hint="default"/>
                <w:sz w:val="18"/>
                <w:szCs w:val="18"/>
              </w:rPr>
              <w:t>被投资单位名称或形成 商誉的事项</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0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北京神州泰岳系统集成 有限公司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33,470,814.63</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33,470,814.63</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宁波普天通信技术有限 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206,137,154.75</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206,137,154.75</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奇点新源国际技术开发</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（北京）有限公司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13,156,878.95</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13,156,878.95</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北京广通神州网络技术 有限公司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45,572,687.69</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45,572,687.69</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72"/>
              <w:jc w:val="left"/>
              <w:rPr>
                <w:rFonts w:ascii="Times New Roman" w:hAnsi="Times New Roman" w:cs="Times New Roman" w:eastAsia="Times New Roman" w:hint="default"/>
                <w:sz w:val="18"/>
                <w:szCs w:val="18"/>
              </w:rPr>
            </w:pPr>
            <w:r>
              <w:rPr>
                <w:rFonts w:ascii="Times New Roman"/>
                <w:sz w:val="18"/>
              </w:rPr>
              <w:t>Bridge Minds</w:t>
            </w:r>
            <w:r>
              <w:rPr>
                <w:rFonts w:ascii="Times New Roman"/>
                <w:spacing w:val="-1"/>
                <w:sz w:val="18"/>
              </w:rPr>
              <w:t> </w:t>
            </w:r>
            <w:r>
              <w:rPr>
                <w:rFonts w:ascii="Times New Roman"/>
                <w:sz w:val="18"/>
              </w:rPr>
              <w:t>Consulting</w:t>
            </w:r>
            <w:r>
              <w:rPr>
                <w:rFonts w:ascii="Times New Roman"/>
                <w:sz w:val="18"/>
              </w:rPr>
              <w:t> Pte</w:t>
            </w:r>
            <w:r>
              <w:rPr>
                <w:rFonts w:ascii="Times New Roman"/>
                <w:spacing w:val="-2"/>
                <w:sz w:val="18"/>
              </w:rPr>
              <w:t> </w:t>
            </w:r>
            <w:r>
              <w:rPr>
                <w:rFonts w:ascii="Times New Roman"/>
                <w:sz w:val="18"/>
              </w:rPr>
              <w:t>Ltd</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46,913,784.54</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46,913,784.54</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北京神州泰岳智能数据 技术有限公司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33,027,608.12</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33,027,608.12</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天津壳木软件有限责任 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1,085,618,741.77</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1,085,618,741.77</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天津安纳西科技有限公 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72,341,201.72</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72,341,201.72</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宁波高新区捷远科技有 限公司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2,154,884.91</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2,154,884.91</w:t>
            </w:r>
          </w:p>
        </w:tc>
      </w:tr>
      <w:tr>
        <w:trPr>
          <w:trHeight w:val="402"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中科鼎富</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科技发</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573,575,297.78</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573,575,297.78</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01" w:type="dxa"/>
        <w:tblLayout w:type="fixed"/>
        <w:tblCellMar>
          <w:top w:w="0" w:type="dxa"/>
          <w:left w:w="0" w:type="dxa"/>
          <w:bottom w:w="0" w:type="dxa"/>
          <w:right w:w="0" w:type="dxa"/>
        </w:tblCellMar>
        <w:tblLook w:val="01E0"/>
      </w:tblPr>
      <w:tblGrid>
        <w:gridCol w:w="1938"/>
        <w:gridCol w:w="1940"/>
        <w:gridCol w:w="1938"/>
        <w:gridCol w:w="1940"/>
        <w:gridCol w:w="1939"/>
      </w:tblGrid>
      <w:tr>
        <w:trPr>
          <w:trHeight w:val="362"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展有限公司</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9" w:right="0"/>
              <w:jc w:val="left"/>
              <w:rPr>
                <w:rFonts w:ascii="Times New Roman" w:hAnsi="Times New Roman" w:cs="Times New Roman" w:eastAsia="Times New Roman" w:hint="default"/>
                <w:sz w:val="18"/>
                <w:szCs w:val="18"/>
              </w:rPr>
            </w:pPr>
            <w:r>
              <w:rPr>
                <w:rFonts w:ascii="Times New Roman"/>
                <w:sz w:val="18"/>
              </w:rPr>
              <w:t>2,111,969,054.86</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8" w:right="0"/>
              <w:jc w:val="left"/>
              <w:rPr>
                <w:rFonts w:ascii="Times New Roman" w:hAnsi="Times New Roman" w:cs="Times New Roman" w:eastAsia="Times New Roman" w:hint="default"/>
                <w:sz w:val="18"/>
                <w:szCs w:val="18"/>
              </w:rPr>
            </w:pPr>
            <w:r>
              <w:rPr>
                <w:rFonts w:ascii="Times New Roman"/>
                <w:sz w:val="18"/>
              </w:rPr>
              <w:t>2,111,969,054.86</w:t>
            </w:r>
          </w:p>
        </w:tc>
      </w:tr>
    </w:tbl>
    <w:p>
      <w:pPr>
        <w:pStyle w:val="Heading4"/>
        <w:spacing w:line="240" w:lineRule="auto" w:before="88"/>
        <w:ind w:right="0"/>
        <w:jc w:val="left"/>
        <w:rPr>
          <w:b w:val="0"/>
          <w:bCs w:val="0"/>
        </w:rPr>
      </w:pPr>
      <w:r>
        <w:rPr/>
        <w:t>商誉计算过程</w:t>
      </w:r>
      <w:r>
        <w:rPr>
          <w:b w:val="0"/>
          <w:bCs w:val="0"/>
        </w:rPr>
      </w:r>
    </w:p>
    <w:p>
      <w:pPr>
        <w:spacing w:line="240" w:lineRule="auto" w:before="10"/>
        <w:rPr>
          <w:rFonts w:ascii="宋体" w:hAnsi="宋体" w:cs="宋体" w:eastAsia="宋体" w:hint="default"/>
          <w:b/>
          <w:bCs/>
          <w:sz w:val="17"/>
          <w:szCs w:val="17"/>
        </w:rPr>
      </w:pPr>
    </w:p>
    <w:p>
      <w:pPr>
        <w:pStyle w:val="BodyText"/>
        <w:spacing w:line="451" w:lineRule="auto"/>
        <w:ind w:right="1130" w:firstLine="360"/>
        <w:jc w:val="both"/>
      </w:pPr>
      <w:r>
        <w:rPr/>
        <w:t>（</w:t>
      </w:r>
      <w:r>
        <w:rPr>
          <w:rFonts w:ascii="Times New Roman" w:hAnsi="Times New Roman" w:cs="Times New Roman" w:eastAsia="Times New Roman" w:hint="default"/>
        </w:rPr>
        <w:t>1</w:t>
      </w:r>
      <w:r>
        <w:rPr/>
        <w:t>）本公司于</w:t>
      </w:r>
      <w:r>
        <w:rPr>
          <w:rFonts w:ascii="Times New Roman" w:hAnsi="Times New Roman" w:cs="Times New Roman" w:eastAsia="Times New Roman" w:hint="default"/>
        </w:rPr>
        <w:t>2010</w:t>
      </w:r>
      <w:r>
        <w:rPr/>
        <w:t>年以人民币</w:t>
      </w:r>
      <w:r>
        <w:rPr>
          <w:rFonts w:ascii="Times New Roman" w:hAnsi="Times New Roman" w:cs="Times New Roman" w:eastAsia="Times New Roman" w:hint="default"/>
        </w:rPr>
        <w:t>5,900</w:t>
      </w:r>
      <w:r>
        <w:rPr/>
        <w:t>万元作为合并成本购买北京神州泰岳系统集成有限公司</w:t>
      </w:r>
      <w:r>
        <w:rPr>
          <w:rFonts w:ascii="Times New Roman" w:hAnsi="Times New Roman" w:cs="Times New Roman" w:eastAsia="Times New Roman" w:hint="default"/>
        </w:rPr>
        <w:t>100%</w:t>
      </w:r>
      <w:r>
        <w:rPr/>
        <w:t>股权。合并成本超过 </w:t>
      </w:r>
      <w:r>
        <w:rPr>
          <w:spacing w:val="-1"/>
        </w:rPr>
        <w:t>按比例获得的北京神州泰岳系统集成有限公司可辨认资产、负债公允价值的差额人民币</w:t>
      </w:r>
      <w:r>
        <w:rPr>
          <w:rFonts w:ascii="Times New Roman" w:hAnsi="Times New Roman" w:cs="Times New Roman" w:eastAsia="Times New Roman" w:hint="default"/>
          <w:spacing w:val="-1"/>
        </w:rPr>
        <w:t>33,470,814.63</w:t>
      </w:r>
      <w:r>
        <w:rPr>
          <w:spacing w:val="-1"/>
        </w:rPr>
        <w:t>元，确认为与北京神州</w:t>
      </w:r>
      <w:r>
        <w:rPr>
          <w:spacing w:val="-68"/>
        </w:rPr>
        <w:t> </w:t>
      </w:r>
      <w:r>
        <w:rPr>
          <w:spacing w:val="-68"/>
        </w:rPr>
      </w:r>
      <w:r>
        <w:rPr/>
        <w:t>泰岳系统集成有限公司相关的商誉。</w:t>
      </w:r>
    </w:p>
    <w:p>
      <w:pPr>
        <w:pStyle w:val="BodyText"/>
        <w:spacing w:line="451" w:lineRule="auto" w:before="74"/>
        <w:ind w:right="0" w:firstLine="360"/>
        <w:jc w:val="left"/>
      </w:pPr>
      <w:r>
        <w:rPr/>
        <w:t>（</w:t>
      </w:r>
      <w:r>
        <w:rPr>
          <w:rFonts w:ascii="Times New Roman" w:hAnsi="Times New Roman" w:cs="Times New Roman" w:eastAsia="Times New Roman" w:hint="default"/>
        </w:rPr>
        <w:t>2</w:t>
      </w:r>
      <w:r>
        <w:rPr/>
        <w:t>）本公司于</w:t>
      </w:r>
      <w:r>
        <w:rPr>
          <w:rFonts w:ascii="Times New Roman" w:hAnsi="Times New Roman" w:cs="Times New Roman" w:eastAsia="Times New Roman" w:hint="default"/>
        </w:rPr>
        <w:t>2011</w:t>
      </w:r>
      <w:r>
        <w:rPr/>
        <w:t>年以人民币</w:t>
      </w:r>
      <w:r>
        <w:rPr>
          <w:rFonts w:ascii="Times New Roman" w:hAnsi="Times New Roman" w:cs="Times New Roman" w:eastAsia="Times New Roman" w:hint="default"/>
        </w:rPr>
        <w:t>24,000</w:t>
      </w:r>
      <w:r>
        <w:rPr/>
        <w:t>万元作为合并成本购买宁波普天通信技术有限公司</w:t>
      </w:r>
      <w:r>
        <w:rPr>
          <w:rFonts w:ascii="Times New Roman" w:hAnsi="Times New Roman" w:cs="Times New Roman" w:eastAsia="Times New Roman" w:hint="default"/>
        </w:rPr>
        <w:t>100%</w:t>
      </w:r>
      <w:r>
        <w:rPr/>
        <w:t>的股权。合并成本超过按 </w:t>
      </w:r>
      <w:r>
        <w:rPr>
          <w:spacing w:val="-1"/>
        </w:rPr>
        <w:t>比例获得的宁波普天通信技术有限公司可辨认资产、负债公允价值及确认递延所得税负债后的差额人民币</w:t>
      </w:r>
      <w:r>
        <w:rPr>
          <w:rFonts w:ascii="Times New Roman" w:hAnsi="Times New Roman" w:cs="Times New Roman" w:eastAsia="Times New Roman" w:hint="default"/>
          <w:spacing w:val="-1"/>
        </w:rPr>
        <w:t>206,137,154.75</w:t>
      </w:r>
      <w:r>
        <w:rPr>
          <w:spacing w:val="-1"/>
        </w:rPr>
        <w:t>元，</w:t>
      </w:r>
      <w:r>
        <w:rPr>
          <w:spacing w:val="-66"/>
        </w:rPr>
        <w:t> </w:t>
      </w:r>
      <w:r>
        <w:rPr/>
        <w:t>确认为与宁波普天通信技术有限公司相关的商誉。</w:t>
      </w:r>
    </w:p>
    <w:p>
      <w:pPr>
        <w:pStyle w:val="BodyText"/>
        <w:spacing w:line="463" w:lineRule="auto" w:before="74"/>
        <w:ind w:right="1132" w:firstLine="360"/>
        <w:jc w:val="both"/>
      </w:pPr>
      <w:r>
        <w:rPr>
          <w:spacing w:val="-1"/>
        </w:rPr>
        <w:t>（</w:t>
      </w:r>
      <w:r>
        <w:rPr>
          <w:rFonts w:ascii="Times New Roman" w:hAnsi="Times New Roman" w:cs="Times New Roman" w:eastAsia="Times New Roman" w:hint="default"/>
          <w:spacing w:val="-1"/>
        </w:rPr>
        <w:t>3</w:t>
      </w:r>
      <w:r>
        <w:rPr>
          <w:spacing w:val="-1"/>
        </w:rPr>
        <w:t>）本公司于</w:t>
      </w:r>
      <w:r>
        <w:rPr>
          <w:rFonts w:ascii="Times New Roman" w:hAnsi="Times New Roman" w:cs="Times New Roman" w:eastAsia="Times New Roman" w:hint="default"/>
          <w:spacing w:val="-1"/>
        </w:rPr>
        <w:t>2011</w:t>
      </w:r>
      <w:r>
        <w:rPr>
          <w:spacing w:val="-1"/>
        </w:rPr>
        <w:t>年以人民币</w:t>
      </w:r>
      <w:r>
        <w:rPr>
          <w:rFonts w:ascii="Times New Roman" w:hAnsi="Times New Roman" w:cs="Times New Roman" w:eastAsia="Times New Roman" w:hint="default"/>
          <w:spacing w:val="-1"/>
        </w:rPr>
        <w:t>2,050</w:t>
      </w:r>
      <w:r>
        <w:rPr>
          <w:spacing w:val="-1"/>
        </w:rPr>
        <w:t>万元作为合并成本购买并增资奇点新源国际技术开发（北京）有限公司取得</w:t>
      </w:r>
      <w:r>
        <w:rPr>
          <w:rFonts w:ascii="Times New Roman" w:hAnsi="Times New Roman" w:cs="Times New Roman" w:eastAsia="Times New Roman" w:hint="default"/>
          <w:spacing w:val="-1"/>
        </w:rPr>
        <w:t>80%</w:t>
      </w:r>
      <w:r>
        <w:rPr>
          <w:spacing w:val="-1"/>
        </w:rPr>
        <w:t>股</w:t>
      </w:r>
      <w:r>
        <w:rPr/>
        <w:t> </w:t>
      </w:r>
      <w:r>
        <w:rPr>
          <w:spacing w:val="11"/>
        </w:rPr>
        <w:t>权。合并成本超过按比例获得的奇点新源国际技术开发（北京）有限公司可辨认资产、负债公允价值的差额人民币</w:t>
      </w:r>
      <w:r>
        <w:rPr>
          <w:spacing w:val="-61"/>
        </w:rPr>
        <w:t> </w:t>
      </w:r>
      <w:r>
        <w:rPr>
          <w:spacing w:val="-61"/>
        </w:rPr>
      </w:r>
      <w:r>
        <w:rPr>
          <w:rFonts w:ascii="Times New Roman" w:hAnsi="Times New Roman" w:cs="Times New Roman" w:eastAsia="Times New Roman" w:hint="default"/>
        </w:rPr>
        <w:t>13,156,878.95</w:t>
      </w:r>
      <w:r>
        <w:rPr/>
        <w:t>元，确认为与奇点新源国际技术开发（北京）有限公司相关的商誉。</w:t>
      </w:r>
    </w:p>
    <w:p>
      <w:pPr>
        <w:pStyle w:val="BodyText"/>
        <w:spacing w:line="451" w:lineRule="auto" w:before="33"/>
        <w:ind w:right="1132" w:firstLine="360"/>
        <w:jc w:val="both"/>
      </w:pPr>
      <w:r>
        <w:rPr/>
        <w:t>（</w:t>
      </w:r>
      <w:r>
        <w:rPr>
          <w:rFonts w:ascii="Times New Roman" w:hAnsi="Times New Roman" w:cs="Times New Roman" w:eastAsia="Times New Roman" w:hint="default"/>
        </w:rPr>
        <w:t>4</w:t>
      </w:r>
      <w:r>
        <w:rPr/>
        <w:t>）本公司于</w:t>
      </w:r>
      <w:r>
        <w:rPr>
          <w:rFonts w:ascii="Times New Roman" w:hAnsi="Times New Roman" w:cs="Times New Roman" w:eastAsia="Times New Roman" w:hint="default"/>
        </w:rPr>
        <w:t>2013</w:t>
      </w:r>
      <w:r>
        <w:rPr/>
        <w:t>年人民币</w:t>
      </w:r>
      <w:r>
        <w:rPr>
          <w:rFonts w:ascii="Times New Roman" w:hAnsi="Times New Roman" w:cs="Times New Roman" w:eastAsia="Times New Roman" w:hint="default"/>
        </w:rPr>
        <w:t>5,500</w:t>
      </w:r>
      <w:r>
        <w:rPr/>
        <w:t>万元作为合并成本取得北京广通神州网络技术有限公司</w:t>
      </w:r>
      <w:r>
        <w:rPr>
          <w:rFonts w:ascii="Times New Roman" w:hAnsi="Times New Roman" w:cs="Times New Roman" w:eastAsia="Times New Roman" w:hint="default"/>
        </w:rPr>
        <w:t>100%</w:t>
      </w:r>
      <w:r>
        <w:rPr/>
        <w:t>股权。合并成本超过按 比例获得的北京广通神州网络技术有限公司可辨认资产、负债公允价值的差额人民币</w:t>
      </w:r>
      <w:r>
        <w:rPr>
          <w:rFonts w:ascii="Times New Roman" w:hAnsi="Times New Roman" w:cs="Times New Roman" w:eastAsia="Times New Roman" w:hint="default"/>
        </w:rPr>
        <w:t>45,572,687.69</w:t>
      </w:r>
      <w:r>
        <w:rPr/>
        <w:t>元确认为商誉。</w:t>
      </w:r>
    </w:p>
    <w:p>
      <w:pPr>
        <w:pStyle w:val="BodyText"/>
        <w:spacing w:line="451" w:lineRule="auto" w:before="43"/>
        <w:ind w:left="1134" w:right="1132" w:firstLine="360"/>
        <w:jc w:val="both"/>
      </w:pPr>
      <w:r>
        <w:rPr/>
        <w:t>（</w:t>
      </w:r>
      <w:r>
        <w:rPr>
          <w:rFonts w:ascii="Times New Roman" w:hAnsi="Times New Roman" w:cs="Times New Roman" w:eastAsia="Times New Roman" w:hint="default"/>
        </w:rPr>
        <w:t>5</w:t>
      </w:r>
      <w:r>
        <w:rPr/>
        <w:t>）本公司于</w:t>
      </w:r>
      <w:r>
        <w:rPr>
          <w:rFonts w:ascii="Times New Roman" w:hAnsi="Times New Roman" w:cs="Times New Roman" w:eastAsia="Times New Roman" w:hint="default"/>
        </w:rPr>
        <w:t>2013</w:t>
      </w:r>
      <w:r>
        <w:rPr/>
        <w:t>年以人民币</w:t>
      </w:r>
      <w:r>
        <w:rPr>
          <w:rFonts w:ascii="Times New Roman" w:hAnsi="Times New Roman" w:cs="Times New Roman" w:eastAsia="Times New Roman" w:hint="default"/>
        </w:rPr>
        <w:t>49,329,906.91</w:t>
      </w:r>
      <w:r>
        <w:rPr/>
        <w:t>元作为合并成本取得</w:t>
      </w:r>
      <w:r>
        <w:rPr>
          <w:rFonts w:ascii="Times New Roman" w:hAnsi="Times New Roman" w:cs="Times New Roman" w:eastAsia="Times New Roman" w:hint="default"/>
        </w:rPr>
        <w:t>Bridge Minds Consulting Pte Ltd</w:t>
      </w:r>
      <w:r>
        <w:rPr>
          <w:rFonts w:ascii="Times New Roman" w:hAnsi="Times New Roman" w:cs="Times New Roman" w:eastAsia="Times New Roman" w:hint="default"/>
          <w:spacing w:val="-28"/>
        </w:rPr>
        <w:t> </w:t>
      </w:r>
      <w:r>
        <w:rPr>
          <w:rFonts w:ascii="Times New Roman" w:hAnsi="Times New Roman" w:cs="Times New Roman" w:eastAsia="Times New Roman" w:hint="default"/>
        </w:rPr>
        <w:t>80%</w:t>
      </w:r>
      <w:r>
        <w:rPr/>
        <w:t>股权。合并成本超 过按比例获得的</w:t>
      </w:r>
      <w:r>
        <w:rPr>
          <w:rFonts w:ascii="Times New Roman" w:hAnsi="Times New Roman" w:cs="Times New Roman" w:eastAsia="Times New Roman" w:hint="default"/>
        </w:rPr>
        <w:t>Bridge Minds Consulting Pte</w:t>
      </w:r>
      <w:r>
        <w:rPr>
          <w:rFonts w:ascii="Times New Roman" w:hAnsi="Times New Roman" w:cs="Times New Roman" w:eastAsia="Times New Roman" w:hint="default"/>
          <w:spacing w:val="-6"/>
        </w:rPr>
        <w:t> </w:t>
      </w:r>
      <w:r>
        <w:rPr>
          <w:rFonts w:ascii="Times New Roman" w:hAnsi="Times New Roman" w:cs="Times New Roman" w:eastAsia="Times New Roman" w:hint="default"/>
        </w:rPr>
        <w:t>Ltd</w:t>
      </w:r>
      <w:r>
        <w:rPr/>
        <w:t>可辨认资产、负债公允价值的差额人民币</w:t>
      </w:r>
      <w:r>
        <w:rPr>
          <w:rFonts w:ascii="Times New Roman" w:hAnsi="Times New Roman" w:cs="Times New Roman" w:eastAsia="Times New Roman" w:hint="default"/>
        </w:rPr>
        <w:t>46,913,784.54</w:t>
      </w:r>
      <w:r>
        <w:rPr/>
        <w:t>元确认为商誉。</w:t>
      </w:r>
    </w:p>
    <w:p>
      <w:pPr>
        <w:pStyle w:val="BodyText"/>
        <w:spacing w:line="451" w:lineRule="auto" w:before="43"/>
        <w:ind w:right="1130" w:firstLine="360"/>
        <w:jc w:val="both"/>
      </w:pPr>
      <w:r>
        <w:rPr>
          <w:spacing w:val="-1"/>
        </w:rPr>
        <w:t>（</w:t>
      </w:r>
      <w:r>
        <w:rPr>
          <w:rFonts w:ascii="Times New Roman" w:hAnsi="Times New Roman" w:cs="Times New Roman" w:eastAsia="Times New Roman" w:hint="default"/>
          <w:spacing w:val="-1"/>
        </w:rPr>
        <w:t>6</w:t>
      </w:r>
      <w:r>
        <w:rPr>
          <w:spacing w:val="-1"/>
        </w:rPr>
        <w:t>）本公司于</w:t>
      </w:r>
      <w:r>
        <w:rPr>
          <w:rFonts w:ascii="Times New Roman" w:hAnsi="Times New Roman" w:cs="Times New Roman" w:eastAsia="Times New Roman" w:hint="default"/>
          <w:spacing w:val="-1"/>
        </w:rPr>
        <w:t>2014</w:t>
      </w:r>
      <w:r>
        <w:rPr>
          <w:spacing w:val="-1"/>
        </w:rPr>
        <w:t>年以人民币</w:t>
      </w:r>
      <w:r>
        <w:rPr>
          <w:rFonts w:ascii="Times New Roman" w:hAnsi="Times New Roman" w:cs="Times New Roman" w:eastAsia="Times New Roman" w:hint="default"/>
          <w:spacing w:val="-1"/>
        </w:rPr>
        <w:t>1,275</w:t>
      </w:r>
      <w:r>
        <w:rPr>
          <w:spacing w:val="-1"/>
        </w:rPr>
        <w:t>万元作为合并成本购买北京神州泰岳智能数据技术有限公司</w:t>
      </w:r>
      <w:r>
        <w:rPr>
          <w:rFonts w:ascii="Times New Roman" w:hAnsi="Times New Roman" w:cs="Times New Roman" w:eastAsia="Times New Roman" w:hint="default"/>
          <w:spacing w:val="-1"/>
        </w:rPr>
        <w:t>85%</w:t>
      </w:r>
      <w:r>
        <w:rPr>
          <w:spacing w:val="-1"/>
        </w:rPr>
        <w:t>的股权。合并成本</w:t>
      </w:r>
      <w:r>
        <w:rPr/>
        <w:t> </w:t>
      </w:r>
      <w:r>
        <w:rPr>
          <w:spacing w:val="-1"/>
        </w:rPr>
        <w:t>超过按比例获得的北京神州泰岳智能数据技术有限公司可辨认资产、负债公允价值的差额人民币</w:t>
      </w:r>
      <w:r>
        <w:rPr>
          <w:rFonts w:ascii="Times New Roman" w:hAnsi="Times New Roman" w:cs="Times New Roman" w:eastAsia="Times New Roman" w:hint="default"/>
          <w:spacing w:val="-1"/>
        </w:rPr>
        <w:t>33,027,608.12</w:t>
      </w:r>
      <w:r>
        <w:rPr>
          <w:spacing w:val="-1"/>
        </w:rPr>
        <w:t>元，确认为与</w:t>
      </w:r>
      <w:r>
        <w:rPr>
          <w:spacing w:val="-68"/>
        </w:rPr>
        <w:t> </w:t>
      </w:r>
      <w:r>
        <w:rPr>
          <w:spacing w:val="-68"/>
        </w:rPr>
      </w:r>
      <w:r>
        <w:rPr/>
        <w:t>北京神州泰岳智能数据技术有限公司相关的商誉。</w:t>
      </w:r>
    </w:p>
    <w:p>
      <w:pPr>
        <w:pStyle w:val="BodyText"/>
        <w:spacing w:line="451" w:lineRule="auto" w:before="74"/>
        <w:ind w:left="1134" w:right="1130" w:firstLine="360"/>
        <w:jc w:val="both"/>
      </w:pPr>
      <w:r>
        <w:rPr/>
        <w:t>（</w:t>
      </w:r>
      <w:r>
        <w:rPr>
          <w:rFonts w:ascii="Times New Roman" w:hAnsi="Times New Roman" w:cs="Times New Roman" w:eastAsia="Times New Roman" w:hint="default"/>
        </w:rPr>
        <w:t>7</w:t>
      </w:r>
      <w:r>
        <w:rPr/>
        <w:t>）本公司于</w:t>
      </w:r>
      <w:r>
        <w:rPr>
          <w:rFonts w:ascii="Times New Roman" w:hAnsi="Times New Roman" w:cs="Times New Roman" w:eastAsia="Times New Roman" w:hint="default"/>
        </w:rPr>
        <w:t>2014</w:t>
      </w:r>
      <w:r>
        <w:rPr/>
        <w:t>年以人民币</w:t>
      </w:r>
      <w:r>
        <w:rPr>
          <w:rFonts w:ascii="Times New Roman" w:hAnsi="Times New Roman" w:cs="Times New Roman" w:eastAsia="Times New Roman" w:hint="default"/>
        </w:rPr>
        <w:t>121,500</w:t>
      </w:r>
      <w:r>
        <w:rPr/>
        <w:t>万元作为合并成本购买天津壳木软件有限责任公司</w:t>
      </w:r>
      <w:r>
        <w:rPr>
          <w:rFonts w:ascii="Times New Roman" w:hAnsi="Times New Roman" w:cs="Times New Roman" w:eastAsia="Times New Roman" w:hint="default"/>
        </w:rPr>
        <w:t>100%</w:t>
      </w:r>
      <w:r>
        <w:rPr/>
        <w:t>的股权。合并成本超过 </w:t>
      </w:r>
      <w:r>
        <w:rPr>
          <w:spacing w:val="-2"/>
        </w:rPr>
        <w:t>按比例获得的天津壳木软件有限责任公司可辨认资产、负债公允价值及确认递延所得税负债后的差额人民币</w:t>
      </w:r>
      <w:r>
        <w:rPr>
          <w:rFonts w:ascii="Times New Roman" w:hAnsi="Times New Roman" w:cs="Times New Roman" w:eastAsia="Times New Roman" w:hint="default"/>
          <w:spacing w:val="-2"/>
        </w:rPr>
        <w:t>1,085,618,741.77</w:t>
      </w:r>
      <w:r>
        <w:rPr>
          <w:rFonts w:ascii="Times New Roman" w:hAnsi="Times New Roman" w:cs="Times New Roman" w:eastAsia="Times New Roman" w:hint="default"/>
          <w:spacing w:val="-1"/>
        </w:rPr>
        <w:t> </w:t>
      </w:r>
      <w:r>
        <w:rPr>
          <w:rFonts w:ascii="Times New Roman" w:hAnsi="Times New Roman" w:cs="Times New Roman" w:eastAsia="Times New Roman" w:hint="default"/>
          <w:spacing w:val="-1"/>
        </w:rPr>
      </w:r>
      <w:r>
        <w:rPr/>
        <w:t>元，确认为与天津壳木软件有限责任公司相关的商誉。</w:t>
      </w:r>
    </w:p>
    <w:p>
      <w:pPr>
        <w:pStyle w:val="BodyText"/>
        <w:spacing w:line="451" w:lineRule="auto" w:before="74"/>
        <w:ind w:left="1134" w:right="1130" w:firstLine="360"/>
        <w:jc w:val="both"/>
      </w:pPr>
      <w:r>
        <w:rPr/>
        <w:t>（</w:t>
      </w:r>
      <w:r>
        <w:rPr>
          <w:rFonts w:ascii="Times New Roman" w:hAnsi="Times New Roman" w:cs="Times New Roman" w:eastAsia="Times New Roman" w:hint="default"/>
        </w:rPr>
        <w:t>8</w:t>
      </w:r>
      <w:r>
        <w:rPr/>
        <w:t>）本公司于</w:t>
      </w:r>
      <w:r>
        <w:rPr>
          <w:rFonts w:ascii="Times New Roman" w:hAnsi="Times New Roman" w:cs="Times New Roman" w:eastAsia="Times New Roman" w:hint="default"/>
        </w:rPr>
        <w:t>2015</w:t>
      </w:r>
      <w:r>
        <w:rPr/>
        <w:t>年以人民币</w:t>
      </w:r>
      <w:r>
        <w:rPr>
          <w:rFonts w:ascii="Times New Roman" w:hAnsi="Times New Roman" w:cs="Times New Roman" w:eastAsia="Times New Roman" w:hint="default"/>
        </w:rPr>
        <w:t>8,000</w:t>
      </w:r>
      <w:r>
        <w:rPr/>
        <w:t>万元作为合并成本购买天津安纳西科技有限公司</w:t>
      </w:r>
      <w:r>
        <w:rPr>
          <w:rFonts w:ascii="Times New Roman" w:hAnsi="Times New Roman" w:cs="Times New Roman" w:eastAsia="Times New Roman" w:hint="default"/>
        </w:rPr>
        <w:t>100%</w:t>
      </w:r>
      <w:r>
        <w:rPr/>
        <w:t>的股权。合并成本超过按比 </w:t>
      </w:r>
      <w:r>
        <w:rPr>
          <w:spacing w:val="-1"/>
        </w:rPr>
        <w:t>例获得的天津安纳西科技有限公司可辨认资产、负债公允价值及确认递延所得负债后的差额人民币</w:t>
      </w:r>
      <w:r>
        <w:rPr>
          <w:rFonts w:ascii="Times New Roman" w:hAnsi="Times New Roman" w:cs="Times New Roman" w:eastAsia="Times New Roman" w:hint="default"/>
          <w:spacing w:val="-1"/>
        </w:rPr>
        <w:t>72,341,201.72</w:t>
      </w:r>
      <w:r>
        <w:rPr>
          <w:spacing w:val="-1"/>
        </w:rPr>
        <w:t>元，确认为</w:t>
      </w:r>
      <w:r>
        <w:rPr>
          <w:spacing w:val="-67"/>
        </w:rPr>
        <w:t> </w:t>
      </w:r>
      <w:r>
        <w:rPr>
          <w:spacing w:val="-67"/>
        </w:rPr>
      </w:r>
      <w:r>
        <w:rPr/>
        <w:t>与天津安纳西科技有限公司相关的商誉。</w:t>
      </w:r>
    </w:p>
    <w:p>
      <w:pPr>
        <w:pStyle w:val="BodyText"/>
        <w:spacing w:line="451" w:lineRule="auto" w:before="74"/>
        <w:ind w:right="1129" w:firstLine="360"/>
        <w:jc w:val="both"/>
      </w:pPr>
      <w:r>
        <w:rPr/>
        <w:t>（</w:t>
      </w:r>
      <w:r>
        <w:rPr>
          <w:rFonts w:ascii="Times New Roman" w:hAnsi="Times New Roman" w:cs="Times New Roman" w:eastAsia="Times New Roman" w:hint="default"/>
        </w:rPr>
        <w:t>9</w:t>
      </w:r>
      <w:r>
        <w:rPr/>
        <w:t>）本公司于</w:t>
      </w:r>
      <w:r>
        <w:rPr>
          <w:rFonts w:ascii="Times New Roman" w:hAnsi="Times New Roman" w:cs="Times New Roman" w:eastAsia="Times New Roman" w:hint="default"/>
        </w:rPr>
        <w:t>2015</w:t>
      </w:r>
      <w:r>
        <w:rPr/>
        <w:t>年以人民币</w:t>
      </w:r>
      <w:r>
        <w:rPr>
          <w:rFonts w:ascii="Times New Roman" w:hAnsi="Times New Roman" w:cs="Times New Roman" w:eastAsia="Times New Roman" w:hint="default"/>
        </w:rPr>
        <w:t>160</w:t>
      </w:r>
      <w:r>
        <w:rPr/>
        <w:t>万元作为合并成本购买宁波高新区捷远科技有限公司</w:t>
      </w:r>
      <w:r>
        <w:rPr>
          <w:rFonts w:ascii="Times New Roman" w:hAnsi="Times New Roman" w:cs="Times New Roman" w:eastAsia="Times New Roman" w:hint="default"/>
        </w:rPr>
        <w:t>100%</w:t>
      </w:r>
      <w:r>
        <w:rPr/>
        <w:t>的股权。合并成本超过按 比例获得的宁波高新区捷远科技有限公司可辨认资产、负债公允价值的差额人民币</w:t>
      </w:r>
      <w:r>
        <w:rPr>
          <w:rFonts w:ascii="Times New Roman" w:hAnsi="Times New Roman" w:cs="Times New Roman" w:eastAsia="Times New Roman" w:hint="default"/>
        </w:rPr>
        <w:t>2,154,884.91</w:t>
      </w:r>
      <w:r>
        <w:rPr/>
        <w:t>元，确认为与宁波高新区捷</w:t>
      </w:r>
      <w:r>
        <w:rPr>
          <w:spacing w:val="-48"/>
        </w:rPr>
        <w:t> </w:t>
      </w:r>
      <w:r>
        <w:rPr>
          <w:spacing w:val="-48"/>
        </w:rPr>
      </w:r>
      <w:r>
        <w:rPr/>
        <w:t>远科技有限公司相关的商誉。</w:t>
      </w:r>
    </w:p>
    <w:p>
      <w:pPr>
        <w:pStyle w:val="BodyText"/>
        <w:spacing w:line="451" w:lineRule="auto" w:before="74"/>
        <w:ind w:right="1130" w:firstLine="360"/>
        <w:jc w:val="both"/>
      </w:pPr>
      <w:r>
        <w:rPr>
          <w:spacing w:val="-1"/>
        </w:rPr>
        <w:t>（</w:t>
      </w:r>
      <w:r>
        <w:rPr>
          <w:rFonts w:ascii="Times New Roman" w:hAnsi="Times New Roman" w:cs="Times New Roman" w:eastAsia="Times New Roman" w:hint="default"/>
          <w:spacing w:val="-1"/>
        </w:rPr>
        <w:t>10</w:t>
      </w:r>
      <w:r>
        <w:rPr>
          <w:spacing w:val="-1"/>
        </w:rPr>
        <w:t>）本公司于</w:t>
      </w:r>
      <w:r>
        <w:rPr>
          <w:rFonts w:ascii="Times New Roman" w:hAnsi="Times New Roman" w:cs="Times New Roman" w:eastAsia="Times New Roman" w:hint="default"/>
          <w:spacing w:val="-1"/>
        </w:rPr>
        <w:t>2016</w:t>
      </w:r>
      <w:r>
        <w:rPr>
          <w:spacing w:val="-1"/>
        </w:rPr>
        <w:t>年以人民币</w:t>
      </w:r>
      <w:r>
        <w:rPr>
          <w:rFonts w:ascii="Times New Roman" w:hAnsi="Times New Roman" w:cs="Times New Roman" w:eastAsia="Times New Roman" w:hint="default"/>
          <w:spacing w:val="-1"/>
        </w:rPr>
        <w:t>60,000</w:t>
      </w:r>
      <w:r>
        <w:rPr>
          <w:spacing w:val="-1"/>
        </w:rPr>
        <w:t>万元作为合并成本购买中科鼎富</w:t>
      </w:r>
      <w:r>
        <w:rPr>
          <w:rFonts w:ascii="Times New Roman" w:hAnsi="Times New Roman" w:cs="Times New Roman" w:eastAsia="Times New Roman" w:hint="default"/>
          <w:spacing w:val="-1"/>
        </w:rPr>
        <w:t>(</w:t>
      </w:r>
      <w:r>
        <w:rPr>
          <w:spacing w:val="-1"/>
        </w:rPr>
        <w:t>北京</w:t>
      </w:r>
      <w:r>
        <w:rPr>
          <w:rFonts w:ascii="Times New Roman" w:hAnsi="Times New Roman" w:cs="Times New Roman" w:eastAsia="Times New Roman" w:hint="default"/>
          <w:spacing w:val="-1"/>
        </w:rPr>
        <w:t>)</w:t>
      </w:r>
      <w:r>
        <w:rPr>
          <w:spacing w:val="-1"/>
        </w:rPr>
        <w:t>科技发展有限公司</w:t>
      </w:r>
      <w:r>
        <w:rPr>
          <w:rFonts w:ascii="Times New Roman" w:hAnsi="Times New Roman" w:cs="Times New Roman" w:eastAsia="Times New Roman" w:hint="default"/>
          <w:spacing w:val="-1"/>
        </w:rPr>
        <w:t>100%</w:t>
      </w:r>
      <w:r>
        <w:rPr>
          <w:spacing w:val="-1"/>
        </w:rPr>
        <w:t>的股权。合并成本</w:t>
      </w:r>
      <w:r>
        <w:rPr/>
        <w:t> </w:t>
      </w:r>
      <w:r>
        <w:rPr>
          <w:spacing w:val="16"/>
        </w:rPr>
        <w:t>超过按比例获得的中科鼎富</w:t>
      </w:r>
      <w:r>
        <w:rPr>
          <w:rFonts w:ascii="Times New Roman" w:hAnsi="Times New Roman" w:cs="Times New Roman" w:eastAsia="Times New Roman" w:hint="default"/>
          <w:spacing w:val="16"/>
        </w:rPr>
        <w:t>(</w:t>
      </w:r>
      <w:r>
        <w:rPr>
          <w:rFonts w:ascii="Times New Roman" w:hAnsi="Times New Roman" w:cs="Times New Roman" w:eastAsia="Times New Roman" w:hint="default"/>
          <w:spacing w:val="-21"/>
        </w:rPr>
        <w:t> </w:t>
      </w:r>
      <w:r>
        <w:rPr>
          <w:spacing w:val="12"/>
        </w:rPr>
        <w:t>北京</w:t>
      </w:r>
      <w:r>
        <w:rPr>
          <w:rFonts w:ascii="Times New Roman" w:hAnsi="Times New Roman" w:cs="Times New Roman" w:eastAsia="Times New Roman" w:hint="default"/>
          <w:spacing w:val="12"/>
        </w:rPr>
        <w:t>)</w:t>
      </w:r>
      <w:r>
        <w:rPr>
          <w:rFonts w:ascii="Times New Roman" w:hAnsi="Times New Roman" w:cs="Times New Roman" w:eastAsia="Times New Roman" w:hint="default"/>
          <w:spacing w:val="-21"/>
        </w:rPr>
        <w:t> </w:t>
      </w:r>
      <w:r>
        <w:rPr>
          <w:spacing w:val="15"/>
        </w:rPr>
        <w:t>科技发展有限公司可辨认资产、</w:t>
      </w:r>
      <w:r>
        <w:rPr>
          <w:spacing w:val="-67"/>
        </w:rPr>
        <w:t> </w:t>
      </w:r>
      <w:r>
        <w:rPr>
          <w:spacing w:val="16"/>
        </w:rPr>
        <w:t>负债公允价值及确认递延所得税负债后的差额</w:t>
      </w:r>
    </w:p>
    <w:p>
      <w:pPr>
        <w:spacing w:after="0" w:line="451" w:lineRule="auto"/>
        <w:jc w:val="both"/>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rFonts w:ascii="Times New Roman" w:hAnsi="Times New Roman" w:cs="Times New Roman" w:eastAsia="Times New Roman" w:hint="default"/>
        </w:rPr>
        <w:t>573,575,297.78</w:t>
      </w:r>
      <w:r>
        <w:rPr/>
        <w:t>人民币元，确认为与中科鼎富</w:t>
      </w:r>
      <w:r>
        <w:rPr>
          <w:rFonts w:ascii="Times New Roman" w:hAnsi="Times New Roman" w:cs="Times New Roman" w:eastAsia="Times New Roman" w:hint="default"/>
        </w:rPr>
        <w:t>(</w:t>
      </w:r>
      <w:r>
        <w:rPr/>
        <w:t>北京</w:t>
      </w:r>
      <w:r>
        <w:rPr>
          <w:rFonts w:ascii="Times New Roman" w:hAnsi="Times New Roman" w:cs="Times New Roman" w:eastAsia="Times New Roman" w:hint="default"/>
        </w:rPr>
        <w:t>)</w:t>
      </w:r>
      <w:r>
        <w:rPr/>
        <w:t>科技发展有限公司相关的商誉。</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3" w:right="0"/>
        <w:jc w:val="left"/>
        <w:rPr>
          <w:b w:val="0"/>
          <w:bCs w:val="0"/>
        </w:rPr>
      </w:pPr>
      <w:bookmarkStart w:name="（2）商誉减值准备" w:id="292"/>
      <w:bookmarkEnd w:id="292"/>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01" w:type="dxa"/>
        <w:tblLayout w:type="fixed"/>
        <w:tblCellMar>
          <w:top w:w="0" w:type="dxa"/>
          <w:left w:w="0" w:type="dxa"/>
          <w:bottom w:w="0" w:type="dxa"/>
          <w:right w:w="0" w:type="dxa"/>
        </w:tblCellMar>
        <w:tblLook w:val="01E0"/>
      </w:tblPr>
      <w:tblGrid>
        <w:gridCol w:w="1938"/>
        <w:gridCol w:w="1940"/>
        <w:gridCol w:w="1938"/>
        <w:gridCol w:w="1940"/>
        <w:gridCol w:w="1939"/>
      </w:tblGrid>
      <w:tr>
        <w:trPr>
          <w:trHeight w:val="713" w:hRule="exact"/>
        </w:trPr>
        <w:tc>
          <w:tcPr>
            <w:tcW w:w="1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14" w:right="62" w:hanging="451"/>
              <w:jc w:val="left"/>
              <w:rPr>
                <w:rFonts w:ascii="宋体" w:hAnsi="宋体" w:cs="宋体" w:eastAsia="宋体" w:hint="default"/>
                <w:sz w:val="18"/>
                <w:szCs w:val="18"/>
              </w:rPr>
            </w:pPr>
            <w:r>
              <w:rPr>
                <w:rFonts w:ascii="宋体" w:hAnsi="宋体" w:cs="宋体" w:eastAsia="宋体" w:hint="default"/>
                <w:sz w:val="18"/>
                <w:szCs w:val="18"/>
              </w:rPr>
              <w:t>被投资单位名称或形成 商誉的事项</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0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04"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0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03"/>
              <w:jc w:val="left"/>
              <w:rPr>
                <w:rFonts w:ascii="宋体" w:hAnsi="宋体" w:cs="宋体" w:eastAsia="宋体" w:hint="default"/>
                <w:sz w:val="18"/>
                <w:szCs w:val="18"/>
              </w:rPr>
            </w:pPr>
            <w:r>
              <w:rPr>
                <w:rFonts w:ascii="宋体" w:hAnsi="宋体" w:cs="宋体" w:eastAsia="宋体" w:hint="default"/>
                <w:sz w:val="18"/>
                <w:szCs w:val="18"/>
              </w:rPr>
              <w:t>天津壳木软件有限责任 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40,716,000.00</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40,716,000.00</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03"/>
              <w:jc w:val="left"/>
              <w:rPr>
                <w:rFonts w:ascii="宋体" w:hAnsi="宋体" w:cs="宋体" w:eastAsia="宋体" w:hint="default"/>
                <w:sz w:val="18"/>
                <w:szCs w:val="18"/>
              </w:rPr>
            </w:pPr>
            <w:r>
              <w:rPr>
                <w:rFonts w:ascii="宋体" w:hAnsi="宋体" w:cs="宋体" w:eastAsia="宋体" w:hint="default"/>
                <w:sz w:val="18"/>
                <w:szCs w:val="18"/>
              </w:rPr>
              <w:t>北京广通神州网络技术 有限公司</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2,037,600.00</w:t>
            </w:r>
          </w:p>
        </w:tc>
        <w:tc>
          <w:tcPr>
            <w:tcW w:w="1938" w:type="dxa"/>
            <w:tcBorders>
              <w:top w:val="single" w:sz="4" w:space="0" w:color="000000"/>
              <w:left w:val="single" w:sz="4" w:space="0" w:color="000000"/>
              <w:bottom w:val="single" w:sz="4" w:space="0" w:color="000000"/>
              <w:right w:val="single" w:sz="4" w:space="0" w:color="000000"/>
            </w:tcBorders>
          </w:tcPr>
          <w:p>
            <w:pP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2,037,600.00</w:t>
            </w:r>
          </w:p>
        </w:tc>
      </w:tr>
      <w:tr>
        <w:trPr>
          <w:trHeight w:val="714" w:hRule="exact"/>
        </w:trPr>
        <w:tc>
          <w:tcPr>
            <w:tcW w:w="19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03"/>
              <w:jc w:val="left"/>
              <w:rPr>
                <w:rFonts w:ascii="宋体" w:hAnsi="宋体" w:cs="宋体" w:eastAsia="宋体" w:hint="default"/>
                <w:sz w:val="18"/>
                <w:szCs w:val="18"/>
              </w:rPr>
            </w:pPr>
            <w:r>
              <w:rPr>
                <w:rFonts w:ascii="宋体" w:hAnsi="宋体" w:cs="宋体" w:eastAsia="宋体" w:hint="default"/>
                <w:sz w:val="18"/>
                <w:szCs w:val="18"/>
              </w:rPr>
              <w:t>北京神州泰岳系统集成 有限公司</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6,600,000.00</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6,600,000.00</w:t>
            </w:r>
          </w:p>
        </w:tc>
      </w:tr>
      <w:tr>
        <w:trPr>
          <w:trHeight w:val="403" w:hRule="exact"/>
        </w:trPr>
        <w:tc>
          <w:tcPr>
            <w:tcW w:w="19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42,753,600.00</w:t>
            </w:r>
          </w:p>
        </w:tc>
        <w:tc>
          <w:tcPr>
            <w:tcW w:w="19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6,600,000.00</w:t>
            </w:r>
          </w:p>
        </w:tc>
        <w:tc>
          <w:tcPr>
            <w:tcW w:w="1940" w:type="dxa"/>
            <w:tcBorders>
              <w:top w:val="single" w:sz="4" w:space="0" w:color="000000"/>
              <w:left w:val="single" w:sz="4" w:space="0" w:color="000000"/>
              <w:bottom w:val="single" w:sz="4" w:space="0" w:color="000000"/>
              <w:right w:val="single" w:sz="4" w:space="0" w:color="000000"/>
            </w:tcBorders>
          </w:tcPr>
          <w:p>
            <w:pPr/>
          </w:p>
        </w:tc>
        <w:tc>
          <w:tcPr>
            <w:tcW w:w="19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49,353,600.00</w:t>
            </w:r>
          </w:p>
        </w:tc>
      </w:tr>
    </w:tbl>
    <w:p>
      <w:pPr>
        <w:pStyle w:val="BodyText"/>
        <w:spacing w:line="477" w:lineRule="auto" w:before="88"/>
        <w:ind w:left="1493" w:right="1123" w:firstLine="1"/>
        <w:jc w:val="left"/>
      </w:pPr>
      <w:r>
        <w:rPr>
          <w:rFonts w:ascii="宋体" w:hAnsi="宋体" w:cs="宋体" w:eastAsia="宋体" w:hint="default"/>
          <w:b/>
          <w:bCs/>
        </w:rPr>
        <w:t>商誉减值测试的方法</w:t>
      </w:r>
      <w:r>
        <w:rPr>
          <w:rFonts w:ascii="宋体" w:hAnsi="宋体" w:cs="宋体" w:eastAsia="宋体" w:hint="default"/>
          <w:b/>
          <w:bCs/>
          <w:w w:val="99"/>
        </w:rPr>
        <w:t> </w:t>
      </w:r>
      <w:r>
        <w:rPr/>
        <w:t>本公司采用预计未来现金流现值的方法计算资产组的可收回金额。本公司根据管理层批准的财务预算预计未来</w:t>
      </w:r>
      <w:r>
        <w:rPr>
          <w:rFonts w:ascii="Times New Roman" w:hAnsi="Times New Roman" w:cs="Times New Roman" w:eastAsia="Times New Roman" w:hint="default"/>
        </w:rPr>
        <w:t>5</w:t>
      </w:r>
      <w:r>
        <w:rPr/>
        <w:t>年内现</w:t>
      </w:r>
    </w:p>
    <w:p>
      <w:pPr>
        <w:pStyle w:val="BodyText"/>
        <w:spacing w:line="463" w:lineRule="auto" w:before="21"/>
        <w:ind w:right="1130"/>
        <w:jc w:val="both"/>
      </w:pPr>
      <w:r>
        <w:rPr/>
        <w:t>金流量，其后年度采用的现金流量增长率预计为</w:t>
      </w:r>
      <w:r>
        <w:rPr>
          <w:rFonts w:ascii="Times New Roman" w:hAnsi="Times New Roman" w:cs="Times New Roman" w:eastAsia="Times New Roman" w:hint="default"/>
        </w:rPr>
        <w:t>0</w:t>
      </w:r>
      <w:r>
        <w:rPr/>
        <w:t>，不会超过资产组经营业务的长期平均增长率。管理层根据过往表现及其</w:t>
      </w:r>
      <w:r>
        <w:rPr>
          <w:spacing w:val="-82"/>
        </w:rPr>
        <w:t> </w:t>
      </w:r>
      <w:r>
        <w:rPr>
          <w:spacing w:val="-82"/>
        </w:rPr>
      </w:r>
      <w:r>
        <w:rPr>
          <w:spacing w:val="-2"/>
        </w:rPr>
        <w:t>对市场发展的预期编制上述财务预算。计算未来现金流现值所采用的税前折现率时考虑了债务成本、长期国债利率、市场预</w:t>
      </w:r>
      <w:r>
        <w:rPr>
          <w:spacing w:val="-66"/>
        </w:rPr>
        <w:t> </w:t>
      </w:r>
      <w:r>
        <w:rPr>
          <w:spacing w:val="-66"/>
        </w:rPr>
      </w:r>
      <w:r>
        <w:rPr/>
        <w:t>期报酬率等因素，已反映了相对于有关分部的风险。</w:t>
      </w:r>
    </w:p>
    <w:p>
      <w:pPr>
        <w:pStyle w:val="BodyText"/>
        <w:spacing w:line="451" w:lineRule="auto" w:before="65"/>
        <w:ind w:left="1134" w:right="0" w:firstLine="360"/>
        <w:jc w:val="left"/>
      </w:pPr>
      <w:r>
        <w:rPr/>
        <w:t>北京神州泰岳系统集成有限公司资产组组合的可收回金额是依据的五年预算和</w:t>
      </w:r>
      <w:r>
        <w:rPr>
          <w:rFonts w:ascii="Times New Roman" w:hAnsi="Times New Roman" w:cs="Times New Roman" w:eastAsia="Times New Roman" w:hint="default"/>
        </w:rPr>
        <w:t>11.25%</w:t>
      </w:r>
      <w:r>
        <w:rPr/>
        <w:t>的折现率预计未来现金流量的现 值，超过</w:t>
      </w:r>
      <w:r>
        <w:rPr>
          <w:rFonts w:ascii="Times New Roman" w:hAnsi="Times New Roman" w:cs="Times New Roman" w:eastAsia="Times New Roman" w:hint="default"/>
        </w:rPr>
        <w:t>5</w:t>
      </w:r>
      <w:r>
        <w:rPr/>
        <w:t>年财务预算之后年份的现金流量均保持稳定。</w:t>
      </w:r>
    </w:p>
    <w:p>
      <w:pPr>
        <w:pStyle w:val="BodyText"/>
        <w:spacing w:line="477" w:lineRule="auto" w:before="43"/>
        <w:ind w:left="1134" w:right="1118" w:firstLine="360"/>
        <w:jc w:val="left"/>
      </w:pPr>
      <w:r>
        <w:rPr>
          <w:spacing w:val="-2"/>
        </w:rPr>
        <w:t>减值测试中的其他关键假设包括：营业收入、毛利率及其他相关费用，管理层根据历史经验及对市场发展的预测确定相</w:t>
      </w:r>
      <w:r>
        <w:rPr/>
        <w:t> 关关键假设。</w:t>
      </w:r>
    </w:p>
    <w:p>
      <w:pPr>
        <w:pStyle w:val="BodyText"/>
        <w:spacing w:line="477" w:lineRule="auto" w:before="54"/>
        <w:ind w:left="1493" w:right="0"/>
        <w:jc w:val="left"/>
      </w:pPr>
      <w:r>
        <w:rPr/>
        <w:t>报告期末，公司按照《企业会计准则》和公司会计政策规定对该商誉进行减值测试。 </w:t>
      </w:r>
      <w:r>
        <w:rPr>
          <w:spacing w:val="4"/>
        </w:rPr>
        <w:t>基于上述测试结果，本公司管理层于</w:t>
      </w:r>
      <w:r>
        <w:rPr>
          <w:rFonts w:ascii="Times New Roman" w:hAnsi="Times New Roman" w:cs="Times New Roman" w:eastAsia="Times New Roman" w:hint="default"/>
          <w:spacing w:val="4"/>
        </w:rPr>
        <w:t>2017</w:t>
      </w:r>
      <w:r>
        <w:rPr>
          <w:spacing w:val="4"/>
        </w:rPr>
        <w:t>年</w:t>
      </w:r>
      <w:r>
        <w:rPr>
          <w:rFonts w:ascii="Times New Roman" w:hAnsi="Times New Roman" w:cs="Times New Roman" w:eastAsia="Times New Roman" w:hint="default"/>
          <w:spacing w:val="4"/>
        </w:rPr>
        <w:t>12</w:t>
      </w:r>
      <w:r>
        <w:rPr>
          <w:spacing w:val="4"/>
        </w:rPr>
        <w:t>月</w:t>
      </w:r>
      <w:r>
        <w:rPr>
          <w:rFonts w:ascii="Times New Roman" w:hAnsi="Times New Roman" w:cs="Times New Roman" w:eastAsia="Times New Roman" w:hint="default"/>
          <w:spacing w:val="4"/>
        </w:rPr>
        <w:t>31</w:t>
      </w:r>
      <w:r>
        <w:rPr>
          <w:spacing w:val="4"/>
        </w:rPr>
        <w:t>日对北京神州泰岳系统集成有限公司资产组的商誉计提减值准备</w:t>
      </w:r>
    </w:p>
    <w:p>
      <w:pPr>
        <w:pStyle w:val="BodyText"/>
        <w:spacing w:line="240" w:lineRule="auto" w:before="21"/>
        <w:ind w:left="1134" w:right="0"/>
        <w:jc w:val="both"/>
      </w:pPr>
      <w:r>
        <w:rPr>
          <w:rFonts w:ascii="Times New Roman" w:hAnsi="Times New Roman" w:cs="Times New Roman" w:eastAsia="Times New Roman" w:hint="default"/>
        </w:rPr>
        <w:t>6,600,000.00</w:t>
      </w:r>
      <w:r>
        <w:rPr/>
        <w:t>元。</w:t>
      </w:r>
    </w:p>
    <w:p>
      <w:pPr>
        <w:spacing w:line="240" w:lineRule="auto" w:before="9"/>
        <w:rPr>
          <w:rFonts w:ascii="宋体" w:hAnsi="宋体" w:cs="宋体" w:eastAsia="宋体" w:hint="default"/>
          <w:sz w:val="16"/>
          <w:szCs w:val="16"/>
        </w:rPr>
      </w:pPr>
    </w:p>
    <w:p>
      <w:pPr>
        <w:pStyle w:val="BodyText"/>
        <w:spacing w:line="240" w:lineRule="auto"/>
        <w:ind w:left="1494" w:right="0"/>
        <w:jc w:val="left"/>
      </w:pPr>
      <w:r>
        <w:rPr/>
        <w:t>除上述商誉外其余商誉未发生减值。</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both"/>
        <w:rPr>
          <w:b w:val="0"/>
          <w:bCs w:val="0"/>
        </w:rPr>
      </w:pPr>
      <w:bookmarkStart w:name="28、长期待摊费用" w:id="293"/>
      <w:bookmarkEnd w:id="293"/>
      <w:r>
        <w:rPr>
          <w:b w:val="0"/>
          <w:bCs w:val="0"/>
        </w:rPr>
      </w:r>
      <w:r>
        <w:rPr>
          <w:rFonts w:ascii="Times New Roman" w:hAnsi="Times New Roman" w:cs="Times New Roman" w:eastAsia="Times New Roman" w:hint="default"/>
        </w:rPr>
        <w:t>28</w:t>
      </w:r>
      <w:r>
        <w:rPr/>
        <w:t>、长期待摊费用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租入办公场所装修</w:t>
            </w:r>
          </w:p>
        </w:tc>
        <w:tc>
          <w:tcPr>
            <w:tcW w:w="1607"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2,615,847.14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425,834.13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1,410,323.05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1,110,294.90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521,063.32</w:t>
            </w:r>
          </w:p>
        </w:tc>
      </w:tr>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游戏授权金</w:t>
            </w:r>
          </w:p>
        </w:tc>
        <w:tc>
          <w:tcPr>
            <w:tcW w:w="1607"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17,408,919.17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7,178,119.16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18,181,085.75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458,745.43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5,947,207.15</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83"/>
        <w:gridCol w:w="1607"/>
        <w:gridCol w:w="1595"/>
        <w:gridCol w:w="1594"/>
        <w:gridCol w:w="1594"/>
        <w:gridCol w:w="1595"/>
      </w:tblGrid>
      <w:tr>
        <w:trPr>
          <w:trHeight w:val="402" w:hRule="exact"/>
        </w:trPr>
        <w:tc>
          <w:tcPr>
            <w:tcW w:w="15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607"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left="534" w:right="0"/>
              <w:jc w:val="left"/>
              <w:rPr>
                <w:rFonts w:ascii="Times New Roman" w:hAnsi="Times New Roman" w:cs="Times New Roman" w:eastAsia="Times New Roman" w:hint="default"/>
                <w:sz w:val="18"/>
                <w:szCs w:val="18"/>
              </w:rPr>
            </w:pPr>
            <w:r>
              <w:rPr>
                <w:rFonts w:ascii="Times New Roman"/>
                <w:sz w:val="18"/>
              </w:rPr>
              <w:t>20,024,766.31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8" w:right="0"/>
              <w:jc w:val="left"/>
              <w:rPr>
                <w:rFonts w:ascii="Times New Roman" w:hAnsi="Times New Roman" w:cs="Times New Roman" w:eastAsia="Times New Roman" w:hint="default"/>
                <w:sz w:val="18"/>
                <w:szCs w:val="18"/>
              </w:rPr>
            </w:pPr>
            <w:r>
              <w:rPr>
                <w:rFonts w:ascii="Times New Roman"/>
                <w:sz w:val="18"/>
              </w:rPr>
              <w:t>7,603,953.29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26" w:right="0"/>
              <w:jc w:val="left"/>
              <w:rPr>
                <w:rFonts w:ascii="Times New Roman" w:hAnsi="Times New Roman" w:cs="Times New Roman" w:eastAsia="Times New Roman" w:hint="default"/>
                <w:sz w:val="18"/>
                <w:szCs w:val="18"/>
              </w:rPr>
            </w:pPr>
            <w:r>
              <w:rPr>
                <w:rFonts w:ascii="Times New Roman"/>
                <w:sz w:val="18"/>
              </w:rPr>
              <w:t>19,591,408.80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7" w:right="0"/>
              <w:jc w:val="left"/>
              <w:rPr>
                <w:rFonts w:ascii="Times New Roman" w:hAnsi="Times New Roman" w:cs="Times New Roman" w:eastAsia="Times New Roman" w:hint="default"/>
                <w:sz w:val="18"/>
                <w:szCs w:val="18"/>
              </w:rPr>
            </w:pPr>
            <w:r>
              <w:rPr>
                <w:rFonts w:ascii="Times New Roman"/>
                <w:sz w:val="18"/>
              </w:rPr>
              <w:t>1,569,040.33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17" w:right="0"/>
              <w:jc w:val="left"/>
              <w:rPr>
                <w:rFonts w:ascii="Times New Roman" w:hAnsi="Times New Roman" w:cs="Times New Roman" w:eastAsia="Times New Roman" w:hint="default"/>
                <w:sz w:val="18"/>
                <w:szCs w:val="18"/>
              </w:rPr>
            </w:pPr>
            <w:r>
              <w:rPr>
                <w:rFonts w:ascii="Times New Roman"/>
                <w:sz w:val="18"/>
              </w:rPr>
              <w:t>6,468,270.47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9、递延所得税资产/递延所得税负债" w:id="294"/>
      <w:bookmarkEnd w:id="294"/>
      <w:r>
        <w:rPr>
          <w:b w:val="0"/>
          <w:bCs w:val="0"/>
        </w:rPr>
      </w:r>
      <w:r>
        <w:rPr>
          <w:rFonts w:ascii="Times New Roman" w:hAnsi="Times New Roman" w:cs="Times New Roman" w:eastAsia="Times New Roman" w:hint="default"/>
        </w:rPr>
        <w:t>29</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未经抵销的递延所得税资产" w:id="295"/>
      <w:bookmarkEnd w:id="295"/>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资产减值准备形成的可 抵扣暂时性差异</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166,625,544.82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27,986,699.93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112,391,077.79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19,313,721.87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计提质保金形成的可抵 扣暂时性差异</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18,474,183.80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2,753,182.85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16,965,454.78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2,535,754.18</w:t>
            </w:r>
          </w:p>
        </w:tc>
      </w:tr>
      <w:tr>
        <w:trPr>
          <w:trHeight w:val="1026"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77"/>
              <w:jc w:val="both"/>
              <w:rPr>
                <w:rFonts w:ascii="宋体" w:hAnsi="宋体" w:cs="宋体" w:eastAsia="宋体" w:hint="default"/>
                <w:sz w:val="18"/>
                <w:szCs w:val="18"/>
              </w:rPr>
            </w:pPr>
            <w:r>
              <w:rPr>
                <w:rFonts w:ascii="宋体" w:hAnsi="宋体" w:cs="宋体" w:eastAsia="宋体" w:hint="default"/>
                <w:sz w:val="18"/>
                <w:szCs w:val="18"/>
              </w:rPr>
              <w:t>其他非流动负债（递延 收益）形成的可抵扣暂 时性差异</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5,455,083.82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818,262.57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内部销售未实现毛利形 成的可抵扣暂时性差异</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39,918,717.78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5,987,807.67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23,205,228.79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3,480,784.32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225,018,446.40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36,727,690.45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158,016,845.18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26,148,522.94</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2）未经抵销的递延所得税负债" w:id="296"/>
      <w:bookmarkEnd w:id="296"/>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901"/>
        <w:gridCol w:w="1928"/>
        <w:gridCol w:w="1914"/>
        <w:gridCol w:w="1914"/>
        <w:gridCol w:w="1914"/>
      </w:tblGrid>
      <w:tr>
        <w:trPr>
          <w:trHeight w:val="205"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2"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2"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4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12,131,824.57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1,587,836.11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18,611,569.32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2,464,563.66</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12,131,824.57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1,587,836.11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18,611,569.32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2,464,563.66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以抵销后净额列示的递延所得税资产或负债" w:id="297"/>
      <w:bookmarkEnd w:id="297"/>
      <w:r>
        <w:rPr>
          <w:b w:val="0"/>
          <w:bCs w:val="0"/>
        </w:rPr>
      </w:r>
      <w:r>
        <w:rPr/>
        <w:t>（</w:t>
      </w:r>
      <w:r>
        <w:rPr>
          <w:rFonts w:ascii="Times New Roman" w:hAnsi="Times New Roman" w:cs="Times New Roman" w:eastAsia="Times New Roman" w:hint="default"/>
        </w:rPr>
        <w:t>3</w:t>
      </w:r>
      <w:r>
        <w:rPr/>
        <w:t>）以抵销后净额列示的递延所得税资产或负债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01"/>
        <w:gridCol w:w="1917"/>
        <w:gridCol w:w="1914"/>
        <w:gridCol w:w="1914"/>
        <w:gridCol w:w="1914"/>
      </w:tblGrid>
      <w:tr>
        <w:trPr>
          <w:trHeight w:val="162"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13"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期末互抵金额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或负债期末余额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11" w:right="51" w:hanging="360"/>
              <w:jc w:val="left"/>
              <w:rPr>
                <w:rFonts w:ascii="宋体" w:hAnsi="宋体" w:cs="宋体" w:eastAsia="宋体" w:hint="default"/>
                <w:sz w:val="18"/>
                <w:szCs w:val="18"/>
              </w:rPr>
            </w:pPr>
            <w:r>
              <w:rPr>
                <w:rFonts w:ascii="宋体" w:hAnsi="宋体" w:cs="宋体" w:eastAsia="宋体" w:hint="default"/>
                <w:sz w:val="18"/>
                <w:szCs w:val="18"/>
              </w:rPr>
              <w:t>递延所得税资产和负债 期初互抵金额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321" w:right="50" w:hanging="270"/>
              <w:jc w:val="left"/>
              <w:rPr>
                <w:rFonts w:ascii="宋体" w:hAnsi="宋体" w:cs="宋体" w:eastAsia="宋体" w:hint="default"/>
                <w:sz w:val="18"/>
                <w:szCs w:val="18"/>
              </w:rPr>
            </w:pPr>
            <w:r>
              <w:rPr>
                <w:rFonts w:ascii="宋体" w:hAnsi="宋体" w:cs="宋体" w:eastAsia="宋体" w:hint="default"/>
                <w:sz w:val="18"/>
                <w:szCs w:val="18"/>
              </w:rPr>
              <w:t>抵销后递延所得税资产 或负债期初余额</w:t>
            </w:r>
          </w:p>
        </w:tc>
      </w:tr>
      <w:tr>
        <w:trPr>
          <w:trHeight w:val="391" w:hRule="exact"/>
        </w:trPr>
        <w:tc>
          <w:tcPr>
            <w:tcW w:w="190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c>
          <w:tcPr>
            <w:tcW w:w="1914" w:type="dxa"/>
            <w:vMerge/>
            <w:tcBorders>
              <w:left w:val="single" w:sz="4" w:space="0" w:color="000000"/>
              <w:right w:val="single" w:sz="4" w:space="0" w:color="000000"/>
            </w:tcBorders>
            <w:shd w:val="clear" w:color="auto" w:fill="D2D2D2"/>
          </w:tcPr>
          <w:p>
            <w:pPr/>
          </w:p>
        </w:tc>
      </w:tr>
      <w:tr>
        <w:trPr>
          <w:trHeight w:val="161"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36,727,690.45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26,148,522.94</w:t>
            </w:r>
          </w:p>
        </w:tc>
      </w:tr>
      <w:tr>
        <w:trPr>
          <w:trHeight w:val="404"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7"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2"/>
              <w:jc w:val="right"/>
              <w:rPr>
                <w:rFonts w:ascii="Times New Roman" w:hAnsi="Times New Roman" w:cs="Times New Roman" w:eastAsia="Times New Roman" w:hint="default"/>
                <w:sz w:val="18"/>
                <w:szCs w:val="18"/>
              </w:rPr>
            </w:pPr>
            <w:r>
              <w:rPr>
                <w:rFonts w:ascii="Times New Roman"/>
                <w:spacing w:val="-1"/>
                <w:sz w:val="18"/>
              </w:rPr>
              <w:t>1,587,836.11</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2,464,563.66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0、其他非流动资产" w:id="298"/>
      <w:bookmarkEnd w:id="298"/>
      <w:r>
        <w:rPr>
          <w:b w:val="0"/>
          <w:bCs w:val="0"/>
        </w:rPr>
      </w:r>
      <w:r>
        <w:rPr>
          <w:rFonts w:ascii="Times New Roman" w:hAnsi="Times New Roman" w:cs="Times New Roman" w:eastAsia="Times New Roman" w:hint="default"/>
        </w:rPr>
        <w:t>30</w:t>
      </w:r>
      <w:r>
        <w:rPr/>
        <w:t>、其他非流动资产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after="0" w:line="240" w:lineRule="auto"/>
        <w:jc w:val="right"/>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人才公寓</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865,532.67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865,532.67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预付采购软件款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1,177,358.50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1,177,358.50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预付土地款【注】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375,000,000.00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377,042,891.17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2,042,891.17</w:t>
            </w:r>
          </w:p>
        </w:tc>
      </w:tr>
    </w:tbl>
    <w:p>
      <w:pPr>
        <w:pStyle w:val="BodyText"/>
        <w:spacing w:line="451" w:lineRule="auto" w:before="88"/>
        <w:ind w:right="1130"/>
        <w:jc w:val="both"/>
      </w:pPr>
      <w:r>
        <w:rPr>
          <w:spacing w:val="-2"/>
        </w:rPr>
        <w:t>注：根据项目开发合作协议，北京市房山新城建设工程有限责任公司（以下简称</w:t>
      </w:r>
      <w:r>
        <w:rPr>
          <w:rFonts w:ascii="Times New Roman" w:hAnsi="Times New Roman" w:cs="Times New Roman" w:eastAsia="Times New Roman" w:hint="default"/>
          <w:spacing w:val="-2"/>
        </w:rPr>
        <w:t>“</w:t>
      </w:r>
      <w:r>
        <w:rPr>
          <w:spacing w:val="-2"/>
        </w:rPr>
        <w:t>房山建设</w:t>
      </w:r>
      <w:r>
        <w:rPr>
          <w:rFonts w:ascii="Times New Roman" w:hAnsi="Times New Roman" w:cs="Times New Roman" w:eastAsia="Times New Roman" w:hint="default"/>
          <w:spacing w:val="-2"/>
        </w:rPr>
        <w:t>”</w:t>
      </w:r>
      <w:r>
        <w:rPr>
          <w:spacing w:val="-2"/>
        </w:rPr>
        <w:t>）与本公司全资子公司北京泰岳</w:t>
      </w:r>
      <w:r>
        <w:rPr>
          <w:spacing w:val="-44"/>
        </w:rPr>
        <w:t> </w:t>
      </w:r>
      <w:r>
        <w:rPr>
          <w:spacing w:val="-44"/>
        </w:rPr>
      </w:r>
      <w:r>
        <w:rPr>
          <w:spacing w:val="-2"/>
        </w:rPr>
        <w:t>阳光科技有限公司（以下简称</w:t>
      </w:r>
      <w:r>
        <w:rPr>
          <w:rFonts w:ascii="Times New Roman" w:hAnsi="Times New Roman" w:cs="Times New Roman" w:eastAsia="Times New Roman" w:hint="default"/>
          <w:spacing w:val="-2"/>
        </w:rPr>
        <w:t>“</w:t>
      </w:r>
      <w:r>
        <w:rPr>
          <w:spacing w:val="-2"/>
        </w:rPr>
        <w:t>阳光科技</w:t>
      </w:r>
      <w:r>
        <w:rPr>
          <w:rFonts w:ascii="Times New Roman" w:hAnsi="Times New Roman" w:cs="Times New Roman" w:eastAsia="Times New Roman" w:hint="default"/>
          <w:spacing w:val="-2"/>
        </w:rPr>
        <w:t>”</w:t>
      </w:r>
      <w:r>
        <w:rPr>
          <w:spacing w:val="-2"/>
        </w:rPr>
        <w:t>）等共计六家公司组成联合体，由房山建设作为牵头公司进行</w:t>
      </w:r>
      <w:r>
        <w:rPr>
          <w:rFonts w:ascii="Times New Roman" w:hAnsi="Times New Roman" w:cs="Times New Roman" w:eastAsia="Times New Roman" w:hint="default"/>
          <w:spacing w:val="-2"/>
        </w:rPr>
        <w:t>FS00-LX10-0092</w:t>
      </w:r>
      <w:r>
        <w:rPr>
          <w:spacing w:val="-2"/>
        </w:rPr>
        <w:t>等地</w:t>
      </w:r>
      <w:r>
        <w:rPr>
          <w:spacing w:val="-52"/>
        </w:rPr>
        <w:t> </w:t>
      </w:r>
      <w:r>
        <w:rPr>
          <w:spacing w:val="-1"/>
        </w:rPr>
        <w:t>块的土地竞买活动。截止</w:t>
      </w:r>
      <w:r>
        <w:rPr>
          <w:rFonts w:ascii="Times New Roman" w:hAnsi="Times New Roman" w:cs="Times New Roman" w:eastAsia="Times New Roman" w:hint="default"/>
          <w:spacing w:val="-1"/>
        </w:rPr>
        <w:t>2017</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日，阳光科技已根据协议向房山建设支付土地价款人民币</w:t>
      </w:r>
      <w:r>
        <w:rPr>
          <w:rFonts w:ascii="Times New Roman" w:hAnsi="Times New Roman" w:cs="Times New Roman" w:eastAsia="Times New Roman" w:hint="default"/>
          <w:spacing w:val="-1"/>
        </w:rPr>
        <w:t>3.75</w:t>
      </w:r>
      <w:r>
        <w:rPr>
          <w:spacing w:val="-1"/>
        </w:rPr>
        <w:t>亿元，用于向北京市财</w:t>
      </w:r>
      <w:r>
        <w:rPr>
          <w:spacing w:val="-71"/>
        </w:rPr>
        <w:t> </w:t>
      </w:r>
      <w:r>
        <w:rPr>
          <w:spacing w:val="-71"/>
        </w:rPr>
      </w:r>
      <w:r>
        <w:rPr/>
        <w:t>政局支付土地款。</w:t>
      </w:r>
    </w:p>
    <w:p>
      <w:pPr>
        <w:spacing w:line="240" w:lineRule="auto" w:before="10"/>
        <w:rPr>
          <w:rFonts w:ascii="宋体" w:hAnsi="宋体" w:cs="宋体" w:eastAsia="宋体" w:hint="default"/>
          <w:sz w:val="20"/>
          <w:szCs w:val="20"/>
        </w:rPr>
      </w:pPr>
    </w:p>
    <w:p>
      <w:pPr>
        <w:pStyle w:val="Heading3"/>
        <w:spacing w:line="240" w:lineRule="auto"/>
        <w:ind w:right="0"/>
        <w:jc w:val="both"/>
        <w:rPr>
          <w:b w:val="0"/>
          <w:bCs w:val="0"/>
        </w:rPr>
      </w:pPr>
      <w:bookmarkStart w:name="31、短期借款" w:id="299"/>
      <w:bookmarkEnd w:id="299"/>
      <w:r>
        <w:rPr>
          <w:b w:val="0"/>
          <w:bCs w:val="0"/>
        </w:rPr>
      </w:r>
      <w:r>
        <w:rPr>
          <w:rFonts w:ascii="Times New Roman" w:hAnsi="Times New Roman" w:cs="Times New Roman" w:eastAsia="Times New Roman" w:hint="default"/>
        </w:rPr>
        <w:t>31</w:t>
      </w:r>
      <w:r>
        <w:rPr/>
        <w:t>、短期借款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短期借款分类" w:id="300"/>
      <w:bookmarkEnd w:id="300"/>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194,445,999.00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299,994,705.00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信用借款</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应收票据贴现</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79,691,401.00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301,445,999.00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414,686,106.00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2、以公允价值计量且其变动计入当期损益的金融负债" w:id="301"/>
      <w:bookmarkEnd w:id="301"/>
      <w:r>
        <w:rPr>
          <w:b w:val="0"/>
          <w:bCs w:val="0"/>
        </w:rPr>
      </w:r>
      <w:r>
        <w:rPr>
          <w:rFonts w:ascii="Times New Roman" w:hAnsi="Times New Roman" w:cs="Times New Roman" w:eastAsia="Times New Roman" w:hint="default"/>
        </w:rPr>
        <w:t>32</w:t>
      </w:r>
      <w:r>
        <w:rPr/>
        <w:t>、以公允价值计量且其变动计入当期损益的金融负债</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left="1133" w:right="0"/>
        <w:jc w:val="left"/>
        <w:rPr>
          <w:b w:val="0"/>
          <w:bCs w:val="0"/>
        </w:rPr>
      </w:pPr>
      <w:bookmarkStart w:name="33、衍生金融负债" w:id="302"/>
      <w:bookmarkEnd w:id="302"/>
      <w:r>
        <w:rPr>
          <w:b w:val="0"/>
          <w:bCs w:val="0"/>
        </w:rPr>
      </w:r>
      <w:r>
        <w:rPr>
          <w:rFonts w:ascii="Times New Roman" w:hAnsi="Times New Roman" w:cs="Times New Roman" w:eastAsia="Times New Roman" w:hint="default"/>
        </w:rPr>
        <w:t>33</w:t>
      </w:r>
      <w:r>
        <w:rPr/>
        <w:t>、衍生金融负债</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34、应付票据" w:id="303"/>
      <w:bookmarkEnd w:id="303"/>
      <w:r>
        <w:rPr>
          <w:b w:val="0"/>
          <w:bCs w:val="0"/>
        </w:rPr>
      </w:r>
      <w:r>
        <w:rPr>
          <w:rFonts w:ascii="Times New Roman" w:hAnsi="Times New Roman" w:cs="Times New Roman" w:eastAsia="Times New Roman" w:hint="default"/>
        </w:rPr>
        <w:t>34</w:t>
      </w:r>
      <w:r>
        <w:rPr/>
        <w:t>、应付票据</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right="0"/>
        <w:jc w:val="left"/>
        <w:rPr>
          <w:b w:val="0"/>
          <w:bCs w:val="0"/>
        </w:rPr>
      </w:pPr>
      <w:bookmarkStart w:name="35、应付账款" w:id="304"/>
      <w:bookmarkEnd w:id="304"/>
      <w:r>
        <w:rPr>
          <w:b w:val="0"/>
          <w:bCs w:val="0"/>
        </w:rPr>
      </w:r>
      <w:r>
        <w:rPr>
          <w:rFonts w:ascii="Times New Roman" w:hAnsi="Times New Roman" w:cs="Times New Roman" w:eastAsia="Times New Roman" w:hint="default"/>
        </w:rPr>
        <w:t>35</w:t>
      </w:r>
      <w:r>
        <w:rPr/>
        <w:t>、应付账款</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left"/>
        <w:rPr>
          <w:b w:val="0"/>
          <w:bCs w:val="0"/>
        </w:rPr>
      </w:pPr>
      <w:bookmarkStart w:name="（1）应付账款列示" w:id="305"/>
      <w:bookmarkEnd w:id="305"/>
      <w:r>
        <w:rPr>
          <w:b w:val="0"/>
          <w:bCs w:val="0"/>
        </w:rPr>
      </w:r>
      <w:r>
        <w:rPr/>
        <w:t>（</w:t>
      </w:r>
      <w:r>
        <w:rPr>
          <w:rFonts w:ascii="Times New Roman" w:hAnsi="Times New Roman" w:cs="Times New Roman" w:eastAsia="Times New Roman" w:hint="default"/>
        </w:rPr>
        <w:t>1</w:t>
      </w:r>
      <w:r>
        <w:rPr/>
        <w:t>）应付账款列示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after="0" w:line="240" w:lineRule="auto"/>
        <w:jc w:val="right"/>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215,120,889.30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173,220,208.63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215,120,889.30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173,220,208.63</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36、预收款项" w:id="306"/>
      <w:bookmarkEnd w:id="306"/>
      <w:r>
        <w:rPr>
          <w:b w:val="0"/>
          <w:bCs w:val="0"/>
        </w:rPr>
      </w:r>
      <w:r>
        <w:rPr>
          <w:rFonts w:ascii="Times New Roman" w:hAnsi="Times New Roman" w:cs="Times New Roman" w:eastAsia="Times New Roman" w:hint="default"/>
        </w:rPr>
        <w:t>36</w:t>
      </w:r>
      <w:r>
        <w:rPr/>
        <w:t>、预收款项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预收款项列示" w:id="307"/>
      <w:bookmarkEnd w:id="307"/>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116,716,453.49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93,288,935.79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116,716,453.49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93,288,935.79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7、应付职工薪酬" w:id="308"/>
      <w:bookmarkEnd w:id="308"/>
      <w:r>
        <w:rPr>
          <w:b w:val="0"/>
          <w:bCs w:val="0"/>
        </w:rPr>
      </w:r>
      <w:r>
        <w:rPr>
          <w:rFonts w:ascii="Times New Roman" w:hAnsi="Times New Roman" w:cs="Times New Roman" w:eastAsia="Times New Roman" w:hint="default"/>
        </w:rPr>
        <w:t>37</w:t>
      </w:r>
      <w:r>
        <w:rPr/>
        <w:t>、应付职工薪酬</w:t>
      </w:r>
      <w:r>
        <w:rPr>
          <w:b w:val="0"/>
          <w:bCs w:val="0"/>
        </w:rPr>
      </w:r>
    </w:p>
    <w:p>
      <w:pPr>
        <w:spacing w:line="240" w:lineRule="auto" w:before="7"/>
        <w:rPr>
          <w:rFonts w:ascii="宋体" w:hAnsi="宋体" w:cs="宋体" w:eastAsia="宋体" w:hint="default"/>
          <w:b/>
          <w:bCs/>
          <w:sz w:val="24"/>
          <w:szCs w:val="24"/>
        </w:rPr>
      </w:pPr>
    </w:p>
    <w:p>
      <w:pPr>
        <w:pStyle w:val="Heading3"/>
        <w:spacing w:line="240" w:lineRule="auto"/>
        <w:ind w:right="0"/>
        <w:jc w:val="left"/>
        <w:rPr>
          <w:b w:val="0"/>
          <w:bCs w:val="0"/>
        </w:rPr>
      </w:pP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6" w:type="dxa"/>
        <w:tblLayout w:type="fixed"/>
        <w:tblCellMar>
          <w:top w:w="0" w:type="dxa"/>
          <w:left w:w="0" w:type="dxa"/>
          <w:bottom w:w="0" w:type="dxa"/>
          <w:right w:w="0" w:type="dxa"/>
        </w:tblCellMar>
        <w:tblLook w:val="01E0"/>
      </w:tblPr>
      <w:tblGrid>
        <w:gridCol w:w="2128"/>
        <w:gridCol w:w="1254"/>
        <w:gridCol w:w="1256"/>
        <w:gridCol w:w="1256"/>
        <w:gridCol w:w="1257"/>
        <w:gridCol w:w="1074"/>
        <w:gridCol w:w="1434"/>
      </w:tblGrid>
      <w:tr>
        <w:trPr>
          <w:trHeight w:val="658" w:hRule="exact"/>
        </w:trPr>
        <w:tc>
          <w:tcPr>
            <w:tcW w:w="212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6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2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6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2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440" w:right="81" w:hanging="360"/>
              <w:jc w:val="left"/>
              <w:rPr>
                <w:rFonts w:ascii="宋体" w:hAnsi="宋体" w:cs="宋体" w:eastAsia="宋体" w:hint="default"/>
                <w:sz w:val="18"/>
                <w:szCs w:val="18"/>
              </w:rPr>
            </w:pPr>
            <w:r>
              <w:rPr>
                <w:rFonts w:ascii="宋体" w:hAnsi="宋体" w:cs="宋体" w:eastAsia="宋体" w:hint="default"/>
                <w:sz w:val="18"/>
                <w:szCs w:val="18"/>
              </w:rPr>
              <w:t>退出合并范围 减少</w:t>
            </w:r>
          </w:p>
        </w:tc>
        <w:tc>
          <w:tcPr>
            <w:tcW w:w="107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4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34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8" w:hRule="exact"/>
        </w:trPr>
        <w:tc>
          <w:tcPr>
            <w:tcW w:w="212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短期薪酬</w:t>
            </w:r>
          </w:p>
        </w:tc>
        <w:tc>
          <w:tcPr>
            <w:tcW w:w="1254"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91,997,040.66</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pacing w:val="-1"/>
                <w:sz w:val="18"/>
              </w:rPr>
              <w:t>717,313,114.46</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741,140,243.08</w:t>
            </w:r>
          </w:p>
        </w:tc>
        <w:tc>
          <w:tcPr>
            <w:tcW w:w="1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z w:val="18"/>
              </w:rPr>
              <w:t>191,668.84</w:t>
            </w:r>
          </w:p>
        </w:tc>
        <w:tc>
          <w:tcPr>
            <w:tcW w:w="10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right"/>
              <w:rPr>
                <w:rFonts w:ascii="Times New Roman" w:hAnsi="Times New Roman" w:cs="Times New Roman" w:eastAsia="Times New Roman" w:hint="default"/>
                <w:sz w:val="18"/>
                <w:szCs w:val="18"/>
              </w:rPr>
            </w:pPr>
            <w:r>
              <w:rPr>
                <w:rFonts w:ascii="Times New Roman"/>
                <w:sz w:val="18"/>
              </w:rPr>
              <w:t>10,584.67</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right"/>
              <w:rPr>
                <w:rFonts w:ascii="Times New Roman" w:hAnsi="Times New Roman" w:cs="Times New Roman" w:eastAsia="Times New Roman" w:hint="default"/>
                <w:sz w:val="18"/>
                <w:szCs w:val="18"/>
              </w:rPr>
            </w:pPr>
            <w:r>
              <w:rPr>
                <w:rFonts w:ascii="Times New Roman"/>
                <w:spacing w:val="-1"/>
                <w:sz w:val="18"/>
              </w:rPr>
              <w:t>67,988,827.87</w:t>
            </w:r>
          </w:p>
        </w:tc>
      </w:tr>
      <w:tr>
        <w:trPr>
          <w:trHeight w:val="347" w:hRule="exact"/>
        </w:trPr>
        <w:tc>
          <w:tcPr>
            <w:tcW w:w="212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设定提存计划</w:t>
            </w:r>
          </w:p>
        </w:tc>
        <w:tc>
          <w:tcPr>
            <w:tcW w:w="1254"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2,270,241.47</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33,403,805.11</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32,998,588.50</w:t>
            </w:r>
          </w:p>
        </w:tc>
        <w:tc>
          <w:tcPr>
            <w:tcW w:w="1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6,122.66</w:t>
            </w:r>
          </w:p>
        </w:tc>
        <w:tc>
          <w:tcPr>
            <w:tcW w:w="10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288.10</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2,669,623.52</w:t>
            </w:r>
          </w:p>
        </w:tc>
      </w:tr>
      <w:tr>
        <w:trPr>
          <w:trHeight w:val="347" w:hRule="exact"/>
        </w:trPr>
        <w:tc>
          <w:tcPr>
            <w:tcW w:w="212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辞退福利</w:t>
            </w:r>
          </w:p>
        </w:tc>
        <w:tc>
          <w:tcPr>
            <w:tcW w:w="1254" w:type="dxa"/>
            <w:tcBorders>
              <w:top w:val="single" w:sz="6" w:space="0" w:color="000000"/>
              <w:left w:val="single" w:sz="7" w:space="0" w:color="000000"/>
              <w:bottom w:val="single" w:sz="6" w:space="0" w:color="000000"/>
              <w:right w:val="single" w:sz="6" w:space="0" w:color="000000"/>
            </w:tcBorders>
          </w:tcPr>
          <w:p>
            <w:pP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10,788,111.08</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10,188,427.60</w:t>
            </w:r>
          </w:p>
        </w:tc>
        <w:tc>
          <w:tcPr>
            <w:tcW w:w="1257" w:type="dxa"/>
            <w:tcBorders>
              <w:top w:val="single" w:sz="6" w:space="0" w:color="000000"/>
              <w:left w:val="single" w:sz="6" w:space="0" w:color="000000"/>
              <w:bottom w:val="single" w:sz="6" w:space="0" w:color="000000"/>
              <w:right w:val="single" w:sz="6" w:space="0" w:color="000000"/>
            </w:tcBorders>
          </w:tcPr>
          <w:p>
            <w:pPr/>
          </w:p>
        </w:tc>
        <w:tc>
          <w:tcPr>
            <w:tcW w:w="10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1,017.33</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600,700.81</w:t>
            </w:r>
          </w:p>
        </w:tc>
      </w:tr>
      <w:tr>
        <w:trPr>
          <w:trHeight w:val="348" w:hRule="exact"/>
        </w:trPr>
        <w:tc>
          <w:tcPr>
            <w:tcW w:w="212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54"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94,267,282.13</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761,505,030.65</w:t>
            </w:r>
          </w:p>
        </w:tc>
        <w:tc>
          <w:tcPr>
            <w:tcW w:w="12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784,327,259.18</w:t>
            </w:r>
          </w:p>
        </w:tc>
        <w:tc>
          <w:tcPr>
            <w:tcW w:w="12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197,791.50</w:t>
            </w:r>
          </w:p>
        </w:tc>
        <w:tc>
          <w:tcPr>
            <w:tcW w:w="107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11,890.10</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71,259,152.20</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6" w:type="dxa"/>
        <w:tblLayout w:type="fixed"/>
        <w:tblCellMar>
          <w:top w:w="0" w:type="dxa"/>
          <w:left w:w="0" w:type="dxa"/>
          <w:bottom w:w="0" w:type="dxa"/>
          <w:right w:w="0" w:type="dxa"/>
        </w:tblCellMar>
        <w:tblLook w:val="01E0"/>
      </w:tblPr>
      <w:tblGrid>
        <w:gridCol w:w="1952"/>
        <w:gridCol w:w="1349"/>
        <w:gridCol w:w="1446"/>
        <w:gridCol w:w="1446"/>
        <w:gridCol w:w="1108"/>
        <w:gridCol w:w="1009"/>
        <w:gridCol w:w="1349"/>
      </w:tblGrid>
      <w:tr>
        <w:trPr>
          <w:trHeight w:val="173" w:hRule="exact"/>
        </w:trPr>
        <w:tc>
          <w:tcPr>
            <w:tcW w:w="1952" w:type="dxa"/>
            <w:tcBorders>
              <w:top w:val="single" w:sz="6" w:space="0" w:color="000000"/>
              <w:left w:val="single" w:sz="6" w:space="0" w:color="000000"/>
              <w:bottom w:val="nil" w:sz="6" w:space="0" w:color="auto"/>
              <w:right w:val="single" w:sz="6" w:space="0" w:color="000000"/>
            </w:tcBorders>
            <w:shd w:val="clear" w:color="auto" w:fill="D9D9D9"/>
          </w:tcPr>
          <w:p>
            <w:pPr/>
          </w:p>
        </w:tc>
        <w:tc>
          <w:tcPr>
            <w:tcW w:w="1349" w:type="dxa"/>
            <w:tcBorders>
              <w:top w:val="single" w:sz="6" w:space="0" w:color="000000"/>
              <w:left w:val="single" w:sz="6" w:space="0" w:color="000000"/>
              <w:bottom w:val="nil" w:sz="6" w:space="0" w:color="auto"/>
              <w:right w:val="single" w:sz="6" w:space="0" w:color="000000"/>
            </w:tcBorders>
            <w:shd w:val="clear" w:color="auto" w:fill="D9D9D9"/>
          </w:tcPr>
          <w:p>
            <w:pPr/>
          </w:p>
        </w:tc>
        <w:tc>
          <w:tcPr>
            <w:tcW w:w="1446" w:type="dxa"/>
            <w:tcBorders>
              <w:top w:val="single" w:sz="6" w:space="0" w:color="000000"/>
              <w:left w:val="single" w:sz="6" w:space="0" w:color="000000"/>
              <w:bottom w:val="nil" w:sz="6" w:space="0" w:color="auto"/>
              <w:right w:val="single" w:sz="6" w:space="0" w:color="000000"/>
            </w:tcBorders>
            <w:shd w:val="clear" w:color="auto" w:fill="D9D9D9"/>
          </w:tcPr>
          <w:p>
            <w:pPr/>
          </w:p>
        </w:tc>
        <w:tc>
          <w:tcPr>
            <w:tcW w:w="1446" w:type="dxa"/>
            <w:tcBorders>
              <w:top w:val="single" w:sz="6" w:space="0" w:color="000000"/>
              <w:left w:val="single" w:sz="6" w:space="0" w:color="000000"/>
              <w:bottom w:val="nil" w:sz="6" w:space="0" w:color="auto"/>
              <w:right w:val="single" w:sz="6" w:space="0" w:color="000000"/>
            </w:tcBorders>
            <w:shd w:val="clear" w:color="auto" w:fill="D9D9D9"/>
          </w:tcPr>
          <w:p>
            <w:pPr/>
          </w:p>
        </w:tc>
        <w:tc>
          <w:tcPr>
            <w:tcW w:w="1108" w:type="dxa"/>
            <w:vMerge w:val="restart"/>
            <w:tcBorders>
              <w:top w:val="single" w:sz="6" w:space="0" w:color="000000"/>
              <w:left w:val="single" w:sz="6" w:space="0" w:color="000000"/>
              <w:right w:val="single" w:sz="6" w:space="0" w:color="000000"/>
            </w:tcBorders>
            <w:shd w:val="clear" w:color="auto" w:fill="D9D9D9"/>
          </w:tcPr>
          <w:p>
            <w:pPr>
              <w:pStyle w:val="TableParagraph"/>
              <w:spacing w:line="316" w:lineRule="auto" w:before="20"/>
              <w:ind w:left="365" w:right="5" w:hanging="360"/>
              <w:jc w:val="left"/>
              <w:rPr>
                <w:rFonts w:ascii="宋体" w:hAnsi="宋体" w:cs="宋体" w:eastAsia="宋体" w:hint="default"/>
                <w:sz w:val="18"/>
                <w:szCs w:val="18"/>
              </w:rPr>
            </w:pPr>
            <w:r>
              <w:rPr>
                <w:rFonts w:ascii="宋体" w:hAnsi="宋体" w:cs="宋体" w:eastAsia="宋体" w:hint="default"/>
                <w:sz w:val="18"/>
                <w:szCs w:val="18"/>
              </w:rPr>
              <w:t>退出合并范围 减少</w:t>
            </w:r>
          </w:p>
        </w:tc>
        <w:tc>
          <w:tcPr>
            <w:tcW w:w="1009" w:type="dxa"/>
            <w:tcBorders>
              <w:top w:val="single" w:sz="6" w:space="0" w:color="000000"/>
              <w:left w:val="single" w:sz="6" w:space="0" w:color="000000"/>
              <w:bottom w:val="nil" w:sz="6" w:space="0" w:color="auto"/>
              <w:right w:val="single" w:sz="6" w:space="0" w:color="000000"/>
            </w:tcBorders>
            <w:shd w:val="clear" w:color="auto" w:fill="D9D9D9"/>
          </w:tcPr>
          <w:p>
            <w:pPr/>
          </w:p>
        </w:tc>
        <w:tc>
          <w:tcPr>
            <w:tcW w:w="1349" w:type="dxa"/>
            <w:tcBorders>
              <w:top w:val="single" w:sz="6" w:space="0" w:color="000000"/>
              <w:left w:val="single" w:sz="6" w:space="0" w:color="000000"/>
              <w:bottom w:val="nil" w:sz="6" w:space="0" w:color="auto"/>
              <w:right w:val="single" w:sz="6" w:space="0" w:color="000000"/>
            </w:tcBorders>
            <w:shd w:val="clear" w:color="auto" w:fill="D9D9D9"/>
          </w:tcPr>
          <w:p>
            <w:pPr/>
          </w:p>
        </w:tc>
      </w:tr>
      <w:tr>
        <w:trPr>
          <w:trHeight w:val="485" w:hRule="exact"/>
        </w:trPr>
        <w:tc>
          <w:tcPr>
            <w:tcW w:w="1952"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49"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0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46"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55"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46"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55"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108" w:type="dxa"/>
            <w:vMerge/>
            <w:tcBorders>
              <w:left w:val="single" w:sz="6" w:space="0" w:color="000000"/>
              <w:bottom w:val="single" w:sz="6" w:space="0" w:color="000000"/>
              <w:right w:val="single" w:sz="6" w:space="0" w:color="000000"/>
            </w:tcBorders>
            <w:shd w:val="clear" w:color="auto" w:fill="D9D9D9"/>
          </w:tcPr>
          <w:p>
            <w:pPr/>
          </w:p>
        </w:tc>
        <w:tc>
          <w:tcPr>
            <w:tcW w:w="1009"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136"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349"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06"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60"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21"/>
              <w:ind w:left="2" w:right="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 和补贴</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87,393,203.26</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636,124,966.53</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660,019,732.47</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174,992.09</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z w:val="18"/>
              </w:rPr>
              <w:t>9,388.50</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63,332,833.73</w:t>
            </w:r>
          </w:p>
        </w:tc>
      </w:tr>
      <w:tr>
        <w:trPr>
          <w:trHeight w:val="347"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1,182,878.98</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17,557,773.35</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17,681,039.05</w:t>
            </w:r>
          </w:p>
        </w:tc>
        <w:tc>
          <w:tcPr>
            <w:tcW w:w="1108" w:type="dxa"/>
            <w:tcBorders>
              <w:top w:val="single" w:sz="6" w:space="0" w:color="000000"/>
              <w:left w:val="single" w:sz="6" w:space="0" w:color="000000"/>
              <w:bottom w:val="single" w:sz="6" w:space="0" w:color="000000"/>
              <w:right w:val="single" w:sz="6" w:space="0" w:color="000000"/>
            </w:tcBorders>
          </w:tcPr>
          <w:p>
            <w:pPr/>
          </w:p>
        </w:tc>
        <w:tc>
          <w:tcPr>
            <w:tcW w:w="1009" w:type="dxa"/>
            <w:tcBorders>
              <w:top w:val="single" w:sz="6" w:space="0" w:color="000000"/>
              <w:left w:val="single" w:sz="6" w:space="0" w:color="000000"/>
              <w:bottom w:val="single" w:sz="6" w:space="0" w:color="000000"/>
              <w:right w:val="single" w:sz="6" w:space="0" w:color="000000"/>
            </w:tcBorders>
          </w:tcPr>
          <w:p>
            <w:pP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1,059,613.28</w:t>
            </w:r>
          </w:p>
        </w:tc>
      </w:tr>
      <w:tr>
        <w:trPr>
          <w:trHeight w:val="347"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1,613,941.15</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23,748,004.27</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23,490,810.93</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2,516.75</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515.46</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1,869,133.20</w:t>
            </w:r>
          </w:p>
        </w:tc>
      </w:tr>
      <w:tr>
        <w:trPr>
          <w:trHeight w:val="347"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9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1,453,849.64</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21,487,545.14</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21,255,016.68</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2,443.04</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400.44</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1,684,335.50</w:t>
            </w:r>
          </w:p>
        </w:tc>
      </w:tr>
      <w:tr>
        <w:trPr>
          <w:trHeight w:val="347"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402"/>
              <w:jc w:val="right"/>
              <w:rPr>
                <w:rFonts w:ascii="宋体" w:hAnsi="宋体" w:cs="宋体" w:eastAsia="宋体" w:hint="default"/>
                <w:sz w:val="18"/>
                <w:szCs w:val="18"/>
              </w:rPr>
            </w:pPr>
            <w:r>
              <w:rPr>
                <w:rFonts w:ascii="宋体" w:hAnsi="宋体" w:cs="宋体" w:eastAsia="宋体" w:hint="default"/>
                <w:sz w:val="18"/>
                <w:szCs w:val="18"/>
              </w:rPr>
              <w:t>工伤保险费</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47,028.52</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664,506.09</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658,552.83</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30.45</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115.02</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53,066.35</w:t>
            </w:r>
          </w:p>
        </w:tc>
      </w:tr>
      <w:tr>
        <w:trPr>
          <w:trHeight w:val="347"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402"/>
              <w:jc w:val="right"/>
              <w:rPr>
                <w:rFonts w:ascii="宋体" w:hAnsi="宋体" w:cs="宋体" w:eastAsia="宋体" w:hint="default"/>
                <w:sz w:val="18"/>
                <w:szCs w:val="18"/>
              </w:rPr>
            </w:pPr>
            <w:r>
              <w:rPr>
                <w:rFonts w:ascii="宋体" w:hAnsi="宋体" w:cs="宋体" w:eastAsia="宋体" w:hint="default"/>
                <w:sz w:val="18"/>
                <w:szCs w:val="18"/>
              </w:rPr>
              <w:t>生育保险费</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113,062.99</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1,595,953.04</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1,577,241.42</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43.26</w:t>
            </w:r>
          </w:p>
        </w:tc>
        <w:tc>
          <w:tcPr>
            <w:tcW w:w="1009" w:type="dxa"/>
            <w:tcBorders>
              <w:top w:val="single" w:sz="6" w:space="0" w:color="000000"/>
              <w:left w:val="single" w:sz="6" w:space="0" w:color="000000"/>
              <w:bottom w:val="single" w:sz="6" w:space="0" w:color="000000"/>
              <w:right w:val="single" w:sz="6" w:space="0" w:color="000000"/>
            </w:tcBorders>
          </w:tcPr>
          <w:p>
            <w:pP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131,731.35</w:t>
            </w:r>
          </w:p>
        </w:tc>
      </w:tr>
      <w:tr>
        <w:trPr>
          <w:trHeight w:val="348"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1,611,540.65</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38,053,147.33</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38,159,607.71</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14,160.00</w:t>
            </w:r>
          </w:p>
        </w:tc>
        <w:tc>
          <w:tcPr>
            <w:tcW w:w="1009" w:type="dxa"/>
            <w:tcBorders>
              <w:top w:val="single" w:sz="6" w:space="0" w:color="000000"/>
              <w:left w:val="single" w:sz="6" w:space="0" w:color="000000"/>
              <w:bottom w:val="single" w:sz="6" w:space="0" w:color="000000"/>
              <w:right w:val="single" w:sz="6" w:space="0" w:color="000000"/>
            </w:tcBorders>
          </w:tcPr>
          <w:p>
            <w:pP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1,490,920.27</w:t>
            </w:r>
          </w:p>
        </w:tc>
      </w:tr>
      <w:tr>
        <w:trPr>
          <w:trHeight w:val="659"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20"/>
              <w:ind w:left="2" w:right="42"/>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 育经费</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189,269.75</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1,488,829.26</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1,441,771.62</w:t>
            </w:r>
          </w:p>
        </w:tc>
        <w:tc>
          <w:tcPr>
            <w:tcW w:w="1108" w:type="dxa"/>
            <w:tcBorders>
              <w:top w:val="single" w:sz="6" w:space="0" w:color="000000"/>
              <w:left w:val="single" w:sz="6" w:space="0" w:color="000000"/>
              <w:bottom w:val="single" w:sz="6" w:space="0" w:color="000000"/>
              <w:right w:val="single" w:sz="6" w:space="0" w:color="000000"/>
            </w:tcBorders>
          </w:tcPr>
          <w:p>
            <w:pPr/>
          </w:p>
        </w:tc>
        <w:tc>
          <w:tcPr>
            <w:tcW w:w="1009" w:type="dxa"/>
            <w:tcBorders>
              <w:top w:val="single" w:sz="6" w:space="0" w:color="000000"/>
              <w:left w:val="single" w:sz="6" w:space="0" w:color="000000"/>
              <w:bottom w:val="single" w:sz="6" w:space="0" w:color="000000"/>
              <w:right w:val="single" w:sz="6" w:space="0" w:color="000000"/>
            </w:tcBorders>
          </w:tcPr>
          <w:p>
            <w:pP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right"/>
              <w:rPr>
                <w:rFonts w:ascii="Times New Roman" w:hAnsi="Times New Roman" w:cs="Times New Roman" w:eastAsia="Times New Roman" w:hint="default"/>
                <w:sz w:val="18"/>
                <w:szCs w:val="18"/>
              </w:rPr>
            </w:pPr>
            <w:r>
              <w:rPr>
                <w:rFonts w:ascii="Times New Roman"/>
                <w:sz w:val="18"/>
              </w:rPr>
              <w:t>236,327.39</w:t>
            </w:r>
          </w:p>
        </w:tc>
      </w:tr>
      <w:tr>
        <w:trPr>
          <w:trHeight w:val="347"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）境外社保费用</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6,206.87</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340,393.72</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347,281.30</w:t>
            </w:r>
          </w:p>
        </w:tc>
        <w:tc>
          <w:tcPr>
            <w:tcW w:w="1108" w:type="dxa"/>
            <w:tcBorders>
              <w:top w:val="single" w:sz="6" w:space="0" w:color="000000"/>
              <w:left w:val="single" w:sz="6" w:space="0" w:color="000000"/>
              <w:bottom w:val="single" w:sz="6" w:space="0" w:color="000000"/>
              <w:right w:val="single" w:sz="6" w:space="0" w:color="000000"/>
            </w:tcBorders>
          </w:tcPr>
          <w:p>
            <w:pP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680.71</w:t>
            </w:r>
          </w:p>
        </w:tc>
        <w:tc>
          <w:tcPr>
            <w:tcW w:w="1349"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6" w:type="dxa"/>
        <w:tblLayout w:type="fixed"/>
        <w:tblCellMar>
          <w:top w:w="0" w:type="dxa"/>
          <w:left w:w="0" w:type="dxa"/>
          <w:bottom w:w="0" w:type="dxa"/>
          <w:right w:w="0" w:type="dxa"/>
        </w:tblCellMar>
        <w:tblLook w:val="01E0"/>
      </w:tblPr>
      <w:tblGrid>
        <w:gridCol w:w="1952"/>
        <w:gridCol w:w="1349"/>
        <w:gridCol w:w="1446"/>
        <w:gridCol w:w="1446"/>
        <w:gridCol w:w="1108"/>
        <w:gridCol w:w="1009"/>
        <w:gridCol w:w="1349"/>
      </w:tblGrid>
      <w:tr>
        <w:trPr>
          <w:trHeight w:val="348" w:hRule="exact"/>
        </w:trPr>
        <w:tc>
          <w:tcPr>
            <w:tcW w:w="19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96" w:right="0"/>
              <w:jc w:val="left"/>
              <w:rPr>
                <w:rFonts w:ascii="Times New Roman" w:hAnsi="Times New Roman" w:cs="Times New Roman" w:eastAsia="Times New Roman" w:hint="default"/>
                <w:sz w:val="18"/>
                <w:szCs w:val="18"/>
              </w:rPr>
            </w:pPr>
            <w:r>
              <w:rPr>
                <w:rFonts w:ascii="Times New Roman"/>
                <w:sz w:val="18"/>
              </w:rPr>
              <w:t>91,997,040.66</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03" w:right="0"/>
              <w:jc w:val="left"/>
              <w:rPr>
                <w:rFonts w:ascii="Times New Roman" w:hAnsi="Times New Roman" w:cs="Times New Roman" w:eastAsia="Times New Roman" w:hint="default"/>
                <w:sz w:val="18"/>
                <w:szCs w:val="18"/>
              </w:rPr>
            </w:pPr>
            <w:r>
              <w:rPr>
                <w:rFonts w:ascii="Times New Roman"/>
                <w:sz w:val="18"/>
              </w:rPr>
              <w:t>717,313,114.46</w:t>
            </w:r>
          </w:p>
        </w:tc>
        <w:tc>
          <w:tcPr>
            <w:tcW w:w="14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03" w:right="0"/>
              <w:jc w:val="left"/>
              <w:rPr>
                <w:rFonts w:ascii="Times New Roman" w:hAnsi="Times New Roman" w:cs="Times New Roman" w:eastAsia="Times New Roman" w:hint="default"/>
                <w:sz w:val="18"/>
                <w:szCs w:val="18"/>
              </w:rPr>
            </w:pPr>
            <w:r>
              <w:rPr>
                <w:rFonts w:ascii="Times New Roman"/>
                <w:sz w:val="18"/>
              </w:rPr>
              <w:t>741,140,243.08</w:t>
            </w:r>
          </w:p>
        </w:tc>
        <w:tc>
          <w:tcPr>
            <w:tcW w:w="11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79" w:right="0"/>
              <w:jc w:val="left"/>
              <w:rPr>
                <w:rFonts w:ascii="Times New Roman" w:hAnsi="Times New Roman" w:cs="Times New Roman" w:eastAsia="Times New Roman" w:hint="default"/>
                <w:sz w:val="18"/>
                <w:szCs w:val="18"/>
              </w:rPr>
            </w:pPr>
            <w:r>
              <w:rPr>
                <w:rFonts w:ascii="Times New Roman"/>
                <w:sz w:val="18"/>
              </w:rPr>
              <w:t>191,668.84</w:t>
            </w:r>
          </w:p>
        </w:tc>
        <w:tc>
          <w:tcPr>
            <w:tcW w:w="10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72" w:right="0"/>
              <w:jc w:val="left"/>
              <w:rPr>
                <w:rFonts w:ascii="Times New Roman" w:hAnsi="Times New Roman" w:cs="Times New Roman" w:eastAsia="Times New Roman" w:hint="default"/>
                <w:sz w:val="18"/>
                <w:szCs w:val="18"/>
              </w:rPr>
            </w:pPr>
            <w:r>
              <w:rPr>
                <w:rFonts w:ascii="Times New Roman"/>
                <w:sz w:val="18"/>
              </w:rPr>
              <w:t>10,584.67</w:t>
            </w:r>
          </w:p>
        </w:tc>
        <w:tc>
          <w:tcPr>
            <w:tcW w:w="134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96" w:right="0"/>
              <w:jc w:val="left"/>
              <w:rPr>
                <w:rFonts w:ascii="Times New Roman" w:hAnsi="Times New Roman" w:cs="Times New Roman" w:eastAsia="Times New Roman" w:hint="default"/>
                <w:sz w:val="18"/>
                <w:szCs w:val="18"/>
              </w:rPr>
            </w:pPr>
            <w:r>
              <w:rPr>
                <w:rFonts w:ascii="Times New Roman"/>
                <w:sz w:val="18"/>
              </w:rPr>
              <w:t>67,988,827.87</w:t>
            </w:r>
          </w:p>
        </w:tc>
      </w:tr>
    </w:tbl>
    <w:p>
      <w:pPr>
        <w:spacing w:line="240" w:lineRule="auto" w:before="1"/>
        <w:rPr>
          <w:rFonts w:ascii="宋体" w:hAnsi="宋体" w:cs="宋体" w:eastAsia="宋体" w:hint="default"/>
          <w:sz w:val="19"/>
          <w:szCs w:val="19"/>
        </w:rPr>
      </w:pPr>
    </w:p>
    <w:p>
      <w:pPr>
        <w:pStyle w:val="Heading3"/>
        <w:spacing w:line="240" w:lineRule="auto" w:before="35"/>
        <w:ind w:right="0"/>
        <w:jc w:val="left"/>
        <w:rPr>
          <w:b w:val="0"/>
          <w:bCs w:val="0"/>
        </w:rPr>
      </w:pP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6" w:type="dxa"/>
        <w:tblLayout w:type="fixed"/>
        <w:tblCellMar>
          <w:top w:w="0" w:type="dxa"/>
          <w:left w:w="0" w:type="dxa"/>
          <w:bottom w:w="0" w:type="dxa"/>
          <w:right w:w="0" w:type="dxa"/>
        </w:tblCellMar>
        <w:tblLook w:val="01E0"/>
      </w:tblPr>
      <w:tblGrid>
        <w:gridCol w:w="1862"/>
        <w:gridCol w:w="1314"/>
        <w:gridCol w:w="1418"/>
        <w:gridCol w:w="1417"/>
        <w:gridCol w:w="1404"/>
        <w:gridCol w:w="930"/>
        <w:gridCol w:w="1314"/>
      </w:tblGrid>
      <w:tr>
        <w:trPr>
          <w:trHeight w:val="173" w:hRule="exact"/>
        </w:trPr>
        <w:tc>
          <w:tcPr>
            <w:tcW w:w="1862" w:type="dxa"/>
            <w:tcBorders>
              <w:top w:val="single" w:sz="6" w:space="0" w:color="000000"/>
              <w:left w:val="single" w:sz="6" w:space="0" w:color="000000"/>
              <w:bottom w:val="nil" w:sz="6" w:space="0" w:color="auto"/>
              <w:right w:val="single" w:sz="6" w:space="0" w:color="000000"/>
            </w:tcBorders>
            <w:shd w:val="clear" w:color="auto" w:fill="D9D9D9"/>
          </w:tcPr>
          <w:p>
            <w:pPr/>
          </w:p>
        </w:tc>
        <w:tc>
          <w:tcPr>
            <w:tcW w:w="1314" w:type="dxa"/>
            <w:tcBorders>
              <w:top w:val="single" w:sz="6" w:space="0" w:color="000000"/>
              <w:left w:val="single" w:sz="6" w:space="0" w:color="000000"/>
              <w:bottom w:val="nil" w:sz="6" w:space="0" w:color="auto"/>
              <w:right w:val="single" w:sz="6" w:space="0" w:color="000000"/>
            </w:tcBorders>
            <w:shd w:val="clear" w:color="auto" w:fill="D9D9D9"/>
          </w:tcPr>
          <w:p>
            <w:pPr/>
          </w:p>
        </w:tc>
        <w:tc>
          <w:tcPr>
            <w:tcW w:w="1418" w:type="dxa"/>
            <w:tcBorders>
              <w:top w:val="single" w:sz="6" w:space="0" w:color="000000"/>
              <w:left w:val="single" w:sz="6" w:space="0" w:color="000000"/>
              <w:bottom w:val="nil" w:sz="6" w:space="0" w:color="auto"/>
              <w:right w:val="single" w:sz="6" w:space="0" w:color="000000"/>
            </w:tcBorders>
            <w:shd w:val="clear" w:color="auto" w:fill="D9D9D9"/>
          </w:tcPr>
          <w:p>
            <w:pPr/>
          </w:p>
        </w:tc>
        <w:tc>
          <w:tcPr>
            <w:tcW w:w="1417" w:type="dxa"/>
            <w:tcBorders>
              <w:top w:val="single" w:sz="6" w:space="0" w:color="000000"/>
              <w:left w:val="single" w:sz="6" w:space="0" w:color="000000"/>
              <w:bottom w:val="nil" w:sz="6" w:space="0" w:color="auto"/>
              <w:right w:val="single" w:sz="6" w:space="0" w:color="000000"/>
            </w:tcBorders>
            <w:shd w:val="clear" w:color="auto" w:fill="D9D9D9"/>
          </w:tcPr>
          <w:p>
            <w:pPr/>
          </w:p>
        </w:tc>
        <w:tc>
          <w:tcPr>
            <w:tcW w:w="1404" w:type="dxa"/>
            <w:vMerge w:val="restart"/>
            <w:tcBorders>
              <w:top w:val="single" w:sz="6" w:space="0" w:color="000000"/>
              <w:left w:val="single" w:sz="6" w:space="0" w:color="000000"/>
              <w:right w:val="single" w:sz="6" w:space="0" w:color="000000"/>
            </w:tcBorders>
            <w:shd w:val="clear" w:color="auto" w:fill="D9D9D9"/>
          </w:tcPr>
          <w:p>
            <w:pPr>
              <w:pStyle w:val="TableParagraph"/>
              <w:spacing w:line="316" w:lineRule="auto" w:before="20"/>
              <w:ind w:left="604" w:right="63" w:hanging="540"/>
              <w:jc w:val="left"/>
              <w:rPr>
                <w:rFonts w:ascii="宋体" w:hAnsi="宋体" w:cs="宋体" w:eastAsia="宋体" w:hint="default"/>
                <w:sz w:val="18"/>
                <w:szCs w:val="18"/>
              </w:rPr>
            </w:pPr>
            <w:r>
              <w:rPr>
                <w:rFonts w:ascii="宋体" w:hAnsi="宋体" w:cs="宋体" w:eastAsia="宋体" w:hint="default"/>
                <w:sz w:val="18"/>
                <w:szCs w:val="18"/>
              </w:rPr>
              <w:t>退出合并范围减 少</w:t>
            </w:r>
          </w:p>
        </w:tc>
        <w:tc>
          <w:tcPr>
            <w:tcW w:w="930" w:type="dxa"/>
            <w:tcBorders>
              <w:top w:val="single" w:sz="6" w:space="0" w:color="000000"/>
              <w:left w:val="single" w:sz="6" w:space="0" w:color="000000"/>
              <w:bottom w:val="nil" w:sz="6" w:space="0" w:color="auto"/>
              <w:right w:val="single" w:sz="6" w:space="0" w:color="000000"/>
            </w:tcBorders>
            <w:shd w:val="clear" w:color="auto" w:fill="D9D9D9"/>
          </w:tcPr>
          <w:p>
            <w:pPr/>
          </w:p>
        </w:tc>
        <w:tc>
          <w:tcPr>
            <w:tcW w:w="1314" w:type="dxa"/>
            <w:tcBorders>
              <w:top w:val="single" w:sz="6" w:space="0" w:color="000000"/>
              <w:left w:val="single" w:sz="6" w:space="0" w:color="000000"/>
              <w:bottom w:val="nil" w:sz="6" w:space="0" w:color="auto"/>
              <w:right w:val="single" w:sz="6" w:space="0" w:color="000000"/>
            </w:tcBorders>
            <w:shd w:val="clear" w:color="auto" w:fill="D9D9D9"/>
          </w:tcPr>
          <w:p>
            <w:pPr/>
          </w:p>
        </w:tc>
      </w:tr>
      <w:tr>
        <w:trPr>
          <w:trHeight w:val="485" w:hRule="exact"/>
        </w:trPr>
        <w:tc>
          <w:tcPr>
            <w:tcW w:w="1862"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right="743"/>
              <w:jc w:val="right"/>
              <w:rPr>
                <w:rFonts w:ascii="宋体" w:hAnsi="宋体" w:cs="宋体" w:eastAsia="宋体" w:hint="default"/>
                <w:sz w:val="18"/>
                <w:szCs w:val="18"/>
              </w:rPr>
            </w:pPr>
            <w:r>
              <w:rPr>
                <w:rFonts w:ascii="宋体" w:hAnsi="宋体" w:cs="宋体" w:eastAsia="宋体" w:hint="default"/>
                <w:sz w:val="18"/>
                <w:szCs w:val="18"/>
              </w:rPr>
              <w:t>项目</w:t>
            </w:r>
          </w:p>
        </w:tc>
        <w:tc>
          <w:tcPr>
            <w:tcW w:w="1314"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289"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8"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40"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17"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34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404" w:type="dxa"/>
            <w:vMerge/>
            <w:tcBorders>
              <w:left w:val="single" w:sz="6" w:space="0" w:color="000000"/>
              <w:bottom w:val="single" w:sz="6" w:space="0" w:color="000000"/>
              <w:right w:val="single" w:sz="6" w:space="0" w:color="000000"/>
            </w:tcBorders>
            <w:shd w:val="clear" w:color="auto" w:fill="D9D9D9"/>
          </w:tcPr>
          <w:p>
            <w:pPr/>
          </w:p>
        </w:tc>
        <w:tc>
          <w:tcPr>
            <w:tcW w:w="930"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97" w:right="0"/>
              <w:jc w:val="left"/>
              <w:rPr>
                <w:rFonts w:ascii="宋体" w:hAnsi="宋体" w:cs="宋体" w:eastAsia="宋体" w:hint="default"/>
                <w:sz w:val="18"/>
                <w:szCs w:val="18"/>
              </w:rPr>
            </w:pPr>
            <w:r>
              <w:rPr>
                <w:rFonts w:ascii="宋体" w:hAnsi="宋体" w:cs="宋体" w:eastAsia="宋体" w:hint="default"/>
                <w:sz w:val="18"/>
                <w:szCs w:val="18"/>
              </w:rPr>
              <w:t>汇率变动</w:t>
            </w:r>
          </w:p>
        </w:tc>
        <w:tc>
          <w:tcPr>
            <w:tcW w:w="1314" w:type="dxa"/>
            <w:tcBorders>
              <w:top w:val="nil" w:sz="6" w:space="0" w:color="auto"/>
              <w:left w:val="single" w:sz="6" w:space="0" w:color="000000"/>
              <w:bottom w:val="single" w:sz="6" w:space="0" w:color="000000"/>
              <w:right w:val="single" w:sz="6" w:space="0" w:color="000000"/>
            </w:tcBorders>
            <w:shd w:val="clear" w:color="auto" w:fill="D9D9D9"/>
          </w:tcPr>
          <w:p>
            <w:pPr>
              <w:pStyle w:val="TableParagraph"/>
              <w:spacing w:line="240" w:lineRule="auto" w:before="10"/>
              <w:ind w:left="289"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47" w:hRule="exact"/>
        </w:trPr>
        <w:tc>
          <w:tcPr>
            <w:tcW w:w="18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基本养老保险</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2,177,811.24</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32,134,607.64</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31,737,568.40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5,783.90</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270.93</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2,569,337.51</w:t>
            </w:r>
          </w:p>
        </w:tc>
      </w:tr>
      <w:tr>
        <w:trPr>
          <w:trHeight w:val="347" w:hRule="exact"/>
        </w:trPr>
        <w:tc>
          <w:tcPr>
            <w:tcW w:w="18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92,430.23</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1,269,197.47</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1,261,020.10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338.76</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17.17</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100,286.01</w:t>
            </w:r>
          </w:p>
        </w:tc>
      </w:tr>
      <w:tr>
        <w:trPr>
          <w:trHeight w:val="348" w:hRule="exact"/>
        </w:trPr>
        <w:tc>
          <w:tcPr>
            <w:tcW w:w="18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743"/>
              <w:jc w:val="right"/>
              <w:rPr>
                <w:rFonts w:ascii="宋体" w:hAnsi="宋体" w:cs="宋体" w:eastAsia="宋体" w:hint="default"/>
                <w:sz w:val="18"/>
                <w:szCs w:val="18"/>
              </w:rPr>
            </w:pPr>
            <w:r>
              <w:rPr>
                <w:rFonts w:ascii="宋体" w:hAnsi="宋体" w:cs="宋体" w:eastAsia="宋体" w:hint="default"/>
                <w:sz w:val="18"/>
                <w:szCs w:val="18"/>
              </w:rPr>
              <w:t>合计</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2,270,241.47</w:t>
            </w:r>
          </w:p>
        </w:tc>
        <w:tc>
          <w:tcPr>
            <w:tcW w:w="141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33,403,805.11</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32,998,588.50</w:t>
            </w:r>
          </w:p>
        </w:tc>
        <w:tc>
          <w:tcPr>
            <w:tcW w:w="14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6,122.66</w:t>
            </w:r>
          </w:p>
        </w:tc>
        <w:tc>
          <w:tcPr>
            <w:tcW w:w="93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288.10</w:t>
            </w:r>
          </w:p>
        </w:tc>
        <w:tc>
          <w:tcPr>
            <w:tcW w:w="13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2,669,623.52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8、应交税费" w:id="309"/>
      <w:bookmarkEnd w:id="309"/>
      <w:r>
        <w:rPr>
          <w:b w:val="0"/>
          <w:bCs w:val="0"/>
        </w:rPr>
      </w:r>
      <w:r>
        <w:rPr>
          <w:rFonts w:ascii="Times New Roman" w:hAnsi="Times New Roman" w:cs="Times New Roman" w:eastAsia="Times New Roman" w:hint="default"/>
        </w:rPr>
        <w:t>38</w:t>
      </w:r>
      <w:r>
        <w:rPr/>
        <w:t>、应交税费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70,178,976.82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44,365,236.87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48,672,650.06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32,676,227.55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5,196,728.04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125,075,127.67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1,651,081.38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1,664,098.06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232,346.22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988,449.60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997,807.96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44,509.10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27,549.38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73,516.85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2,771,401.34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2,650,487.18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129,763,691.94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207,502,502.14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9、应付利息" w:id="310"/>
      <w:bookmarkEnd w:id="310"/>
      <w:r>
        <w:rPr>
          <w:b w:val="0"/>
          <w:bCs w:val="0"/>
        </w:rPr>
      </w:r>
      <w:r>
        <w:rPr>
          <w:rFonts w:ascii="Times New Roman" w:hAnsi="Times New Roman" w:cs="Times New Roman" w:eastAsia="Times New Roman" w:hint="default"/>
        </w:rPr>
        <w:t>39</w:t>
      </w:r>
      <w:r>
        <w:rPr/>
        <w:t>、应付利息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中期票据应付利息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1,091,750.00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1,091,750.00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超短期融资券应付利息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19,402,777.78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7,340,277.78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168,139.58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42,291.67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20,662,667.36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8,474,319.45</w:t>
            </w:r>
          </w:p>
        </w:tc>
      </w:tr>
    </w:tbl>
    <w:p>
      <w:pPr>
        <w:spacing w:line="240" w:lineRule="auto" w:before="3"/>
        <w:rPr>
          <w:rFonts w:ascii="宋体" w:hAnsi="宋体" w:cs="宋体" w:eastAsia="宋体" w:hint="default"/>
          <w:sz w:val="19"/>
          <w:szCs w:val="19"/>
        </w:rPr>
      </w:pPr>
    </w:p>
    <w:p>
      <w:pPr>
        <w:pStyle w:val="Heading3"/>
        <w:spacing w:line="240" w:lineRule="auto" w:before="35"/>
        <w:ind w:left="0" w:right="8373"/>
        <w:jc w:val="center"/>
        <w:rPr>
          <w:b w:val="0"/>
          <w:bCs w:val="0"/>
        </w:rPr>
      </w:pPr>
      <w:bookmarkStart w:name="40、应付股利" w:id="311"/>
      <w:bookmarkEnd w:id="311"/>
      <w:r>
        <w:rPr>
          <w:b w:val="0"/>
          <w:bCs w:val="0"/>
        </w:rPr>
      </w:r>
      <w:r>
        <w:rPr>
          <w:rFonts w:ascii="Times New Roman" w:hAnsi="Times New Roman" w:cs="Times New Roman" w:eastAsia="Times New Roman" w:hint="default"/>
        </w:rPr>
        <w:t>40</w:t>
      </w:r>
      <w:r>
        <w:rPr/>
        <w:t>、应付股利</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after="0" w:line="240" w:lineRule="auto"/>
        <w:jc w:val="cente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41、其他应付款" w:id="312"/>
      <w:bookmarkEnd w:id="312"/>
      <w:r>
        <w:rPr>
          <w:b w:val="0"/>
          <w:bCs w:val="0"/>
        </w:rPr>
      </w:r>
      <w:r>
        <w:rPr>
          <w:rFonts w:ascii="Times New Roman" w:hAnsi="Times New Roman" w:cs="Times New Roman" w:eastAsia="Times New Roman" w:hint="default"/>
        </w:rPr>
        <w:t>41</w:t>
      </w:r>
      <w:r>
        <w:rPr/>
        <w:t>、其他应付款</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按款项性质列示其他应付款" w:id="313"/>
      <w:bookmarkEnd w:id="313"/>
      <w:r>
        <w:rPr>
          <w:b w:val="0"/>
          <w:bCs w:val="0"/>
        </w:rPr>
      </w:r>
      <w:r>
        <w:rPr/>
        <w:t>（</w:t>
      </w:r>
      <w:r>
        <w:rPr>
          <w:rFonts w:ascii="Times New Roman" w:hAnsi="Times New Roman" w:cs="Times New Roman" w:eastAsia="Times New Roman" w:hint="default"/>
        </w:rPr>
        <w:t>1</w:t>
      </w:r>
      <w:r>
        <w:rPr/>
        <w:t>）按款项性质列示其他应付款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应付股权收购款项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56,139,001.62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116,833,333.33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其他非大额、非特殊往来款项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24,351,647.03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36,919,865.84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押金及保证金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11,297,768.00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12,083,547.04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社保、公积金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2,958,610.93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2,938,981.00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退个人所得税手续费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6,832,403.82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6,408,652.39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未付北京帝派科技有限公司投资款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107,579,431.40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175,184,379.60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2、持有待售的负债" w:id="314"/>
      <w:bookmarkEnd w:id="314"/>
      <w:r>
        <w:rPr>
          <w:b w:val="0"/>
          <w:bCs w:val="0"/>
        </w:rPr>
      </w:r>
      <w:r>
        <w:rPr>
          <w:rFonts w:ascii="Times New Roman" w:hAnsi="Times New Roman" w:cs="Times New Roman" w:eastAsia="Times New Roman" w:hint="default"/>
        </w:rPr>
        <w:t>42</w:t>
      </w:r>
      <w:r>
        <w:rPr/>
        <w:t>、持有待售的负债</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left="1133" w:right="0"/>
        <w:jc w:val="left"/>
        <w:rPr>
          <w:b w:val="0"/>
          <w:bCs w:val="0"/>
        </w:rPr>
      </w:pPr>
      <w:bookmarkStart w:name="43、一年内到期的非流动负债" w:id="315"/>
      <w:bookmarkEnd w:id="315"/>
      <w:r>
        <w:rPr>
          <w:b w:val="0"/>
          <w:bCs w:val="0"/>
        </w:rPr>
      </w:r>
      <w:r>
        <w:rPr>
          <w:rFonts w:ascii="Times New Roman" w:hAnsi="Times New Roman" w:cs="Times New Roman" w:eastAsia="Times New Roman" w:hint="default"/>
        </w:rPr>
        <w:t>43</w:t>
      </w:r>
      <w:r>
        <w:rPr/>
        <w:t>、一年内到期的非流动负债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管理费收入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1,160,319.52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2,321,106.60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1,160,319.52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2,321,106.60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4、其他流动负债" w:id="316"/>
      <w:bookmarkEnd w:id="316"/>
      <w:r>
        <w:rPr>
          <w:b w:val="0"/>
          <w:bCs w:val="0"/>
        </w:rPr>
      </w:r>
      <w:r>
        <w:rPr>
          <w:rFonts w:ascii="Times New Roman" w:hAnsi="Times New Roman" w:cs="Times New Roman" w:eastAsia="Times New Roman" w:hint="default"/>
        </w:rPr>
        <w:t>44</w:t>
      </w:r>
      <w:r>
        <w:rPr/>
        <w:t>、其他流动负债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超短期融资券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500,000,000.00</w:t>
            </w:r>
          </w:p>
        </w:tc>
      </w:tr>
    </w:tbl>
    <w:p>
      <w:pPr>
        <w:spacing w:line="240" w:lineRule="auto" w:before="2"/>
        <w:rPr>
          <w:rFonts w:ascii="宋体" w:hAnsi="宋体" w:cs="宋体" w:eastAsia="宋体" w:hint="default"/>
          <w:sz w:val="19"/>
          <w:szCs w:val="19"/>
        </w:rPr>
      </w:pPr>
    </w:p>
    <w:p>
      <w:pPr>
        <w:pStyle w:val="Heading3"/>
        <w:spacing w:line="240" w:lineRule="auto" w:before="35"/>
        <w:ind w:left="0" w:right="8373"/>
        <w:jc w:val="center"/>
        <w:rPr>
          <w:b w:val="0"/>
          <w:bCs w:val="0"/>
        </w:rPr>
      </w:pPr>
      <w:bookmarkStart w:name="45、长期借款" w:id="317"/>
      <w:bookmarkEnd w:id="317"/>
      <w:r>
        <w:rPr>
          <w:b w:val="0"/>
          <w:bCs w:val="0"/>
        </w:rPr>
      </w:r>
      <w:r>
        <w:rPr>
          <w:rFonts w:ascii="Times New Roman" w:hAnsi="Times New Roman" w:cs="Times New Roman" w:eastAsia="Times New Roman" w:hint="default"/>
        </w:rPr>
        <w:t>45</w:t>
      </w:r>
      <w:r>
        <w:rPr/>
        <w:t>、长期借款</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after="0" w:line="240" w:lineRule="auto"/>
        <w:jc w:val="cente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46、应付债券" w:id="318"/>
      <w:bookmarkEnd w:id="318"/>
      <w:r>
        <w:rPr>
          <w:b w:val="0"/>
          <w:bCs w:val="0"/>
        </w:rPr>
      </w:r>
      <w:r>
        <w:rPr>
          <w:rFonts w:ascii="Times New Roman" w:hAnsi="Times New Roman" w:cs="Times New Roman" w:eastAsia="Times New Roman" w:hint="default"/>
        </w:rPr>
        <w:t>46</w:t>
      </w:r>
      <w:r>
        <w:rPr/>
        <w:t>、应付债券</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0"/>
        <w:jc w:val="left"/>
        <w:rPr>
          <w:b w:val="0"/>
          <w:bCs w:val="0"/>
        </w:rPr>
      </w:pPr>
      <w:bookmarkStart w:name="（1）应付债券" w:id="319"/>
      <w:bookmarkEnd w:id="319"/>
      <w:r>
        <w:rPr>
          <w:b w:val="0"/>
          <w:bCs w:val="0"/>
        </w:rPr>
      </w:r>
      <w:r>
        <w:rPr/>
        <w:t>（</w:t>
      </w:r>
      <w:r>
        <w:rPr>
          <w:rFonts w:ascii="Times New Roman" w:hAnsi="Times New Roman" w:cs="Times New Roman" w:eastAsia="Times New Roman" w:hint="default"/>
        </w:rPr>
        <w:t>1</w:t>
      </w:r>
      <w:r>
        <w:rPr/>
        <w:t>）应付债券</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中期票据</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298,201,572.72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297,375,433.30</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298,201,572.72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297,375,433.30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应付债券的增减变动（不包括划分为金融负债的优先股、永续债等其他金融工具）" w:id="320"/>
      <w:bookmarkEnd w:id="320"/>
      <w:r>
        <w:rPr>
          <w:b w:val="0"/>
          <w:bCs w:val="0"/>
        </w:rPr>
      </w:r>
      <w:r>
        <w:rPr/>
        <w:t>（</w:t>
      </w:r>
      <w:r>
        <w:rPr>
          <w:rFonts w:ascii="Times New Roman" w:hAnsi="Times New Roman" w:cs="Times New Roman" w:eastAsia="Times New Roman" w:hint="default"/>
        </w:rPr>
        <w:t>2</w:t>
      </w:r>
      <w:r>
        <w:rPr/>
        <w:t>）应付债券的增减变动（不包括划分为金融负债的优先股、永续债等其他金融工具）</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860"/>
        <w:gridCol w:w="893"/>
        <w:gridCol w:w="882"/>
        <w:gridCol w:w="881"/>
        <w:gridCol w:w="881"/>
        <w:gridCol w:w="882"/>
        <w:gridCol w:w="881"/>
        <w:gridCol w:w="881"/>
        <w:gridCol w:w="881"/>
        <w:gridCol w:w="881"/>
        <w:gridCol w:w="881"/>
      </w:tblGrid>
      <w:tr>
        <w:trPr>
          <w:trHeight w:val="440" w:hRule="exact"/>
        </w:trPr>
        <w:tc>
          <w:tcPr>
            <w:tcW w:w="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债券名称</w:t>
            </w:r>
          </w:p>
        </w:tc>
        <w:tc>
          <w:tcPr>
            <w:tcW w:w="8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9"/>
              <w:ind w:left="10" w:right="0"/>
              <w:jc w:val="center"/>
              <w:rPr>
                <w:rFonts w:ascii="宋体" w:hAnsi="宋体" w:cs="宋体" w:eastAsia="宋体" w:hint="default"/>
                <w:sz w:val="18"/>
                <w:szCs w:val="18"/>
              </w:rPr>
            </w:pPr>
            <w:r>
              <w:rPr>
                <w:rFonts w:ascii="宋体" w:hAnsi="宋体" w:cs="宋体" w:eastAsia="宋体" w:hint="default"/>
                <w:sz w:val="18"/>
                <w:szCs w:val="18"/>
              </w:rPr>
              <w:t>面值</w:t>
            </w:r>
          </w:p>
        </w:tc>
        <w:tc>
          <w:tcPr>
            <w:tcW w:w="8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9"/>
              <w:ind w:right="1"/>
              <w:jc w:val="center"/>
              <w:rPr>
                <w:rFonts w:ascii="宋体" w:hAnsi="宋体" w:cs="宋体" w:eastAsia="宋体" w:hint="default"/>
                <w:sz w:val="18"/>
                <w:szCs w:val="18"/>
              </w:rPr>
            </w:pPr>
            <w:r>
              <w:rPr>
                <w:rFonts w:ascii="宋体" w:hAnsi="宋体" w:cs="宋体" w:eastAsia="宋体" w:hint="default"/>
                <w:sz w:val="18"/>
                <w:szCs w:val="18"/>
              </w:rPr>
              <w:t>发行日期</w:t>
            </w:r>
          </w:p>
        </w:tc>
        <w:tc>
          <w:tcPr>
            <w:tcW w:w="881" w:type="dxa"/>
            <w:tcBorders>
              <w:top w:val="single" w:sz="51" w:space="0" w:color="D9D9D9"/>
              <w:left w:val="single" w:sz="9" w:space="0" w:color="D9D9D9"/>
              <w:bottom w:val="single" w:sz="50" w:space="0" w:color="D9D9D9"/>
              <w:right w:val="single" w:sz="9" w:space="0" w:color="D9D9D9"/>
            </w:tcBorders>
          </w:tcPr>
          <w:p>
            <w:pPr>
              <w:pStyle w:val="TableParagraph"/>
              <w:spacing w:line="240" w:lineRule="auto" w:before="10"/>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7"/>
                <w:sz w:val="18"/>
                <w:szCs w:val="18"/>
                <w:shd w:fill="D9D9D9" w:color="auto" w:val="clear"/>
              </w:rPr>
              <w:t> </w:t>
            </w:r>
            <w:r>
              <w:rPr>
                <w:rFonts w:ascii="宋体" w:hAnsi="宋体" w:cs="宋体" w:eastAsia="宋体" w:hint="default"/>
                <w:sz w:val="18"/>
                <w:szCs w:val="18"/>
                <w:shd w:fill="D9D9D9" w:color="auto" w:val="clear"/>
              </w:rPr>
              <w:t>债券期限</w:t>
            </w:r>
            <w:r>
              <w:rPr>
                <w:rFonts w:ascii="宋体" w:hAnsi="宋体" w:cs="宋体" w:eastAsia="宋体" w:hint="default"/>
                <w:sz w:val="18"/>
                <w:szCs w:val="18"/>
              </w:rPr>
            </w:r>
          </w:p>
        </w:tc>
        <w:tc>
          <w:tcPr>
            <w:tcW w:w="881" w:type="dxa"/>
            <w:tcBorders>
              <w:top w:val="single" w:sz="51" w:space="0" w:color="D9D9D9"/>
              <w:left w:val="single" w:sz="9" w:space="0" w:color="D9D9D9"/>
              <w:bottom w:val="single" w:sz="50" w:space="0" w:color="D9D9D9"/>
              <w:right w:val="single" w:sz="10" w:space="0" w:color="D9D9D9"/>
            </w:tcBorders>
          </w:tcPr>
          <w:p>
            <w:pPr>
              <w:pStyle w:val="TableParagraph"/>
              <w:spacing w:line="240" w:lineRule="auto" w:before="10"/>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7"/>
                <w:sz w:val="18"/>
                <w:szCs w:val="18"/>
                <w:shd w:fill="D9D9D9" w:color="auto" w:val="clear"/>
              </w:rPr>
              <w:t> </w:t>
            </w:r>
            <w:r>
              <w:rPr>
                <w:rFonts w:ascii="宋体" w:hAnsi="宋体" w:cs="宋体" w:eastAsia="宋体" w:hint="default"/>
                <w:sz w:val="18"/>
                <w:szCs w:val="18"/>
                <w:shd w:fill="D9D9D9" w:color="auto" w:val="clear"/>
              </w:rPr>
              <w:t>发行金额</w:t>
            </w:r>
            <w:r>
              <w:rPr>
                <w:rFonts w:ascii="宋体" w:hAnsi="宋体" w:cs="宋体" w:eastAsia="宋体" w:hint="default"/>
                <w:sz w:val="18"/>
                <w:szCs w:val="18"/>
              </w:rPr>
            </w:r>
          </w:p>
        </w:tc>
        <w:tc>
          <w:tcPr>
            <w:tcW w:w="882" w:type="dxa"/>
            <w:tcBorders>
              <w:top w:val="single" w:sz="51" w:space="0" w:color="D9D9D9"/>
              <w:left w:val="single" w:sz="10" w:space="0" w:color="D9D9D9"/>
              <w:bottom w:val="single" w:sz="50" w:space="0" w:color="D9D9D9"/>
              <w:right w:val="single" w:sz="23" w:space="0" w:color="D9D9D9"/>
            </w:tcBorders>
          </w:tcPr>
          <w:p>
            <w:pPr>
              <w:pStyle w:val="TableParagraph"/>
              <w:spacing w:line="240" w:lineRule="auto" w:before="10"/>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7"/>
                <w:sz w:val="18"/>
                <w:szCs w:val="18"/>
                <w:shd w:fill="D9D9D9" w:color="auto" w:val="clear"/>
              </w:rPr>
              <w:t> </w:t>
            </w:r>
            <w:r>
              <w:rPr>
                <w:rFonts w:ascii="宋体" w:hAnsi="宋体" w:cs="宋体" w:eastAsia="宋体" w:hint="default"/>
                <w:sz w:val="18"/>
                <w:szCs w:val="18"/>
                <w:shd w:fill="D9D9D9" w:color="auto" w:val="clear"/>
              </w:rPr>
              <w:t>期初余额</w:t>
            </w:r>
            <w:r>
              <w:rPr>
                <w:rFonts w:ascii="宋体" w:hAnsi="宋体" w:cs="宋体" w:eastAsia="宋体" w:hint="default"/>
                <w:sz w:val="18"/>
                <w:szCs w:val="18"/>
              </w:rPr>
            </w:r>
          </w:p>
        </w:tc>
        <w:tc>
          <w:tcPr>
            <w:tcW w:w="881" w:type="dxa"/>
            <w:tcBorders>
              <w:top w:val="single" w:sz="51" w:space="0" w:color="D9D9D9"/>
              <w:left w:val="single" w:sz="23" w:space="0" w:color="D9D9D9"/>
              <w:bottom w:val="single" w:sz="50" w:space="0" w:color="D9D9D9"/>
              <w:right w:val="single" w:sz="9" w:space="0" w:color="D9D9D9"/>
            </w:tcBorders>
          </w:tcPr>
          <w:p>
            <w:pPr>
              <w:pStyle w:val="TableParagraph"/>
              <w:spacing w:line="240" w:lineRule="auto" w:before="1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7"/>
                <w:sz w:val="18"/>
                <w:szCs w:val="18"/>
                <w:shd w:fill="D9D9D9" w:color="auto" w:val="clear"/>
              </w:rPr>
              <w:t> </w:t>
            </w:r>
            <w:r>
              <w:rPr>
                <w:rFonts w:ascii="宋体" w:hAnsi="宋体" w:cs="宋体" w:eastAsia="宋体" w:hint="default"/>
                <w:sz w:val="18"/>
                <w:szCs w:val="18"/>
                <w:shd w:fill="D9D9D9" w:color="auto" w:val="clear"/>
              </w:rPr>
              <w:t>本期发行</w:t>
            </w:r>
            <w:r>
              <w:rPr>
                <w:rFonts w:ascii="宋体" w:hAnsi="宋体" w:cs="宋体" w:eastAsia="宋体" w:hint="default"/>
                <w:sz w:val="18"/>
                <w:szCs w:val="18"/>
              </w:rPr>
            </w:r>
          </w:p>
        </w:tc>
        <w:tc>
          <w:tcPr>
            <w:tcW w:w="8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6" w:lineRule="exact"/>
              <w:ind w:left="165" w:right="0" w:hanging="90"/>
              <w:jc w:val="left"/>
              <w:rPr>
                <w:rFonts w:ascii="宋体" w:hAnsi="宋体" w:cs="宋体" w:eastAsia="宋体" w:hint="default"/>
                <w:sz w:val="18"/>
                <w:szCs w:val="18"/>
              </w:rPr>
            </w:pPr>
            <w:r>
              <w:rPr>
                <w:rFonts w:ascii="宋体" w:hAnsi="宋体" w:cs="宋体" w:eastAsia="宋体" w:hint="default"/>
                <w:sz w:val="18"/>
                <w:szCs w:val="18"/>
              </w:rPr>
              <w:t>按面值计</w:t>
            </w:r>
          </w:p>
          <w:p>
            <w:pPr>
              <w:pStyle w:val="TableParagraph"/>
              <w:spacing w:line="234" w:lineRule="exact"/>
              <w:ind w:left="165" w:right="0"/>
              <w:jc w:val="left"/>
              <w:rPr>
                <w:rFonts w:ascii="宋体" w:hAnsi="宋体" w:cs="宋体" w:eastAsia="宋体" w:hint="default"/>
                <w:sz w:val="18"/>
                <w:szCs w:val="18"/>
              </w:rPr>
            </w:pPr>
            <w:r>
              <w:rPr>
                <w:rFonts w:ascii="宋体" w:hAnsi="宋体" w:cs="宋体" w:eastAsia="宋体" w:hint="default"/>
                <w:sz w:val="18"/>
                <w:szCs w:val="18"/>
              </w:rPr>
              <w:t>提利息</w:t>
            </w:r>
          </w:p>
        </w:tc>
        <w:tc>
          <w:tcPr>
            <w:tcW w:w="8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溢折价摊</w:t>
            </w:r>
          </w:p>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销</w:t>
            </w:r>
          </w:p>
        </w:tc>
        <w:tc>
          <w:tcPr>
            <w:tcW w:w="881" w:type="dxa"/>
            <w:tcBorders>
              <w:top w:val="single" w:sz="51" w:space="0" w:color="D9D9D9"/>
              <w:left w:val="single" w:sz="9" w:space="0" w:color="D9D9D9"/>
              <w:bottom w:val="single" w:sz="50" w:space="0" w:color="D9D9D9"/>
              <w:right w:val="single" w:sz="22" w:space="0" w:color="D9D9D9"/>
            </w:tcBorders>
          </w:tcPr>
          <w:p>
            <w:pPr>
              <w:pStyle w:val="TableParagraph"/>
              <w:spacing w:line="240" w:lineRule="auto" w:before="10"/>
              <w:ind w:left="1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7"/>
                <w:sz w:val="18"/>
                <w:szCs w:val="18"/>
                <w:shd w:fill="D9D9D9" w:color="auto" w:val="clear"/>
              </w:rPr>
              <w:t> </w:t>
            </w:r>
            <w:r>
              <w:rPr>
                <w:rFonts w:ascii="宋体" w:hAnsi="宋体" w:cs="宋体" w:eastAsia="宋体" w:hint="default"/>
                <w:sz w:val="18"/>
                <w:szCs w:val="18"/>
                <w:shd w:fill="D9D9D9" w:color="auto" w:val="clear"/>
              </w:rPr>
              <w:t>本期偿还</w:t>
            </w:r>
            <w:r>
              <w:rPr>
                <w:rFonts w:ascii="宋体" w:hAnsi="宋体" w:cs="宋体" w:eastAsia="宋体" w:hint="default"/>
                <w:sz w:val="18"/>
                <w:szCs w:val="18"/>
              </w:rPr>
            </w:r>
          </w:p>
        </w:tc>
        <w:tc>
          <w:tcPr>
            <w:tcW w:w="881" w:type="dxa"/>
            <w:tcBorders>
              <w:top w:val="single" w:sz="51" w:space="0" w:color="D9D9D9"/>
              <w:left w:val="single" w:sz="22" w:space="0" w:color="D9D9D9"/>
              <w:bottom w:val="single" w:sz="50" w:space="0" w:color="D9D9D9"/>
              <w:right w:val="single" w:sz="13" w:space="0" w:color="D9D9D9"/>
            </w:tcBorders>
          </w:tcPr>
          <w:p>
            <w:pPr>
              <w:pStyle w:val="TableParagraph"/>
              <w:spacing w:line="240" w:lineRule="auto" w:before="10"/>
              <w:ind w:left="-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7"/>
                <w:sz w:val="18"/>
                <w:szCs w:val="18"/>
                <w:shd w:fill="D9D9D9" w:color="auto" w:val="clear"/>
              </w:rPr>
              <w:t> </w:t>
            </w:r>
            <w:r>
              <w:rPr>
                <w:rFonts w:ascii="宋体" w:hAnsi="宋体" w:cs="宋体" w:eastAsia="宋体" w:hint="default"/>
                <w:sz w:val="18"/>
                <w:szCs w:val="18"/>
                <w:shd w:fill="D9D9D9" w:color="auto" w:val="clear"/>
              </w:rPr>
              <w:t>期末余额</w:t>
            </w:r>
            <w:r>
              <w:rPr>
                <w:rFonts w:ascii="宋体" w:hAnsi="宋体" w:cs="宋体" w:eastAsia="宋体" w:hint="default"/>
                <w:sz w:val="18"/>
                <w:szCs w:val="18"/>
              </w:rPr>
            </w:r>
          </w:p>
        </w:tc>
      </w:tr>
      <w:tr>
        <w:trPr>
          <w:trHeight w:val="2332" w:hRule="exact"/>
        </w:trPr>
        <w:tc>
          <w:tcPr>
            <w:tcW w:w="8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4" w:lineRule="auto" w:before="110"/>
              <w:ind w:left="11" w:right="72"/>
              <w:jc w:val="both"/>
              <w:rPr>
                <w:rFonts w:ascii="宋体" w:hAnsi="宋体" w:cs="宋体" w:eastAsia="宋体" w:hint="default"/>
                <w:sz w:val="18"/>
                <w:szCs w:val="18"/>
              </w:rPr>
            </w:pPr>
            <w:r>
              <w:rPr>
                <w:rFonts w:ascii="宋体" w:hAnsi="宋体" w:cs="宋体" w:eastAsia="宋体" w:hint="default"/>
                <w:sz w:val="18"/>
                <w:szCs w:val="18"/>
              </w:rPr>
              <w:t>北京神州 泰岳软件 股份有限 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年度第一 期中期票 据</w:t>
            </w:r>
          </w:p>
        </w:tc>
        <w:tc>
          <w:tcPr>
            <w:tcW w:w="893" w:type="dxa"/>
            <w:tcBorders>
              <w:top w:val="single" w:sz="50" w:space="0" w:color="D9D9D9"/>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300,000,00</w:t>
            </w:r>
          </w:p>
          <w:p>
            <w:pPr>
              <w:pStyle w:val="TableParagraph"/>
              <w:spacing w:line="240" w:lineRule="auto" w:before="105"/>
              <w:ind w:left="534" w:right="0"/>
              <w:jc w:val="left"/>
              <w:rPr>
                <w:rFonts w:ascii="Times New Roman" w:hAnsi="Times New Roman" w:cs="Times New Roman" w:eastAsia="Times New Roman" w:hint="default"/>
                <w:sz w:val="18"/>
                <w:szCs w:val="18"/>
              </w:rPr>
            </w:pPr>
            <w:r>
              <w:rPr>
                <w:rFonts w:ascii="Times New Roman"/>
                <w:sz w:val="18"/>
              </w:rPr>
              <w:t>0.00</w:t>
            </w:r>
          </w:p>
        </w:tc>
        <w:tc>
          <w:tcPr>
            <w:tcW w:w="882" w:type="dxa"/>
            <w:tcBorders>
              <w:top w:val="single" w:sz="50"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1"/>
              <w:jc w:val="center"/>
              <w:rPr>
                <w:rFonts w:ascii="Times New Roman" w:hAnsi="Times New Roman" w:cs="Times New Roman" w:eastAsia="Times New Roman" w:hint="default"/>
                <w:sz w:val="18"/>
                <w:szCs w:val="18"/>
              </w:rPr>
            </w:pPr>
            <w:r>
              <w:rPr>
                <w:rFonts w:ascii="Times New Roman"/>
                <w:sz w:val="18"/>
              </w:rPr>
              <w:t>2016/11/24</w:t>
            </w:r>
          </w:p>
        </w:tc>
        <w:tc>
          <w:tcPr>
            <w:tcW w:w="881" w:type="dxa"/>
            <w:tcBorders>
              <w:top w:val="single" w:sz="50"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81" w:type="dxa"/>
            <w:tcBorders>
              <w:top w:val="single" w:sz="50"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297,300,00</w:t>
            </w:r>
          </w:p>
          <w:p>
            <w:pPr>
              <w:pStyle w:val="TableParagraph"/>
              <w:spacing w:line="240" w:lineRule="auto" w:before="105"/>
              <w:ind w:left="534" w:right="0"/>
              <w:jc w:val="left"/>
              <w:rPr>
                <w:rFonts w:ascii="Times New Roman" w:hAnsi="Times New Roman" w:cs="Times New Roman" w:eastAsia="Times New Roman" w:hint="default"/>
                <w:sz w:val="18"/>
                <w:szCs w:val="18"/>
              </w:rPr>
            </w:pPr>
            <w:r>
              <w:rPr>
                <w:rFonts w:ascii="Times New Roman"/>
                <w:sz w:val="18"/>
              </w:rPr>
              <w:t>0.00</w:t>
            </w:r>
          </w:p>
        </w:tc>
        <w:tc>
          <w:tcPr>
            <w:tcW w:w="882" w:type="dxa"/>
            <w:tcBorders>
              <w:top w:val="single" w:sz="50"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9" w:right="0"/>
              <w:jc w:val="left"/>
              <w:rPr>
                <w:rFonts w:ascii="Times New Roman" w:hAnsi="Times New Roman" w:cs="Times New Roman" w:eastAsia="Times New Roman" w:hint="default"/>
                <w:sz w:val="18"/>
                <w:szCs w:val="18"/>
              </w:rPr>
            </w:pPr>
            <w:r>
              <w:rPr>
                <w:rFonts w:ascii="Times New Roman"/>
                <w:sz w:val="18"/>
              </w:rPr>
              <w:t>297,375,43</w:t>
            </w:r>
          </w:p>
          <w:p>
            <w:pPr>
              <w:pStyle w:val="TableParagraph"/>
              <w:spacing w:line="240" w:lineRule="auto" w:before="105"/>
              <w:ind w:left="535" w:right="0"/>
              <w:jc w:val="left"/>
              <w:rPr>
                <w:rFonts w:ascii="Times New Roman" w:hAnsi="Times New Roman" w:cs="Times New Roman" w:eastAsia="Times New Roman" w:hint="default"/>
                <w:sz w:val="18"/>
                <w:szCs w:val="18"/>
              </w:rPr>
            </w:pPr>
            <w:r>
              <w:rPr>
                <w:rFonts w:ascii="Times New Roman"/>
                <w:sz w:val="18"/>
              </w:rPr>
              <w:t>3.30</w:t>
            </w:r>
          </w:p>
        </w:tc>
        <w:tc>
          <w:tcPr>
            <w:tcW w:w="881" w:type="dxa"/>
            <w:tcBorders>
              <w:top w:val="single" w:sz="50" w:space="0" w:color="D9D9D9"/>
              <w:left w:val="single" w:sz="4" w:space="0" w:color="000000"/>
              <w:bottom w:val="single" w:sz="4" w:space="0" w:color="000000"/>
              <w:right w:val="single" w:sz="9" w:space="0" w:color="D9D9D9"/>
            </w:tcBorders>
          </w:tcPr>
          <w:p>
            <w:pPr/>
          </w:p>
        </w:tc>
        <w:tc>
          <w:tcPr>
            <w:tcW w:w="881" w:type="dxa"/>
            <w:tcBorders>
              <w:top w:val="single" w:sz="4" w:space="0" w:color="000000"/>
              <w:left w:val="single" w:sz="9" w:space="0" w:color="D9D9D9"/>
              <w:bottom w:val="single" w:sz="4" w:space="0" w:color="000000"/>
              <w:right w:val="single" w:sz="9" w:space="0" w:color="D9D9D9"/>
            </w:tcBorders>
          </w:tcPr>
          <w:p>
            <w:pPr/>
          </w:p>
        </w:tc>
        <w:tc>
          <w:tcPr>
            <w:tcW w:w="881" w:type="dxa"/>
            <w:tcBorders>
              <w:top w:val="single" w:sz="4" w:space="0" w:color="000000"/>
              <w:left w:val="single" w:sz="9" w:space="0" w:color="D9D9D9"/>
              <w:bottom w:val="single" w:sz="4" w:space="0" w:color="000000"/>
              <w:right w:val="single" w:sz="9" w:space="0" w:color="D9D9D9"/>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right="13"/>
              <w:jc w:val="right"/>
              <w:rPr>
                <w:rFonts w:ascii="Times New Roman" w:hAnsi="Times New Roman" w:cs="Times New Roman" w:eastAsia="Times New Roman" w:hint="default"/>
                <w:sz w:val="18"/>
                <w:szCs w:val="18"/>
              </w:rPr>
            </w:pPr>
            <w:r>
              <w:rPr>
                <w:rFonts w:ascii="Times New Roman"/>
                <w:sz w:val="18"/>
              </w:rPr>
              <w:t>826,139.42</w:t>
            </w:r>
          </w:p>
        </w:tc>
        <w:tc>
          <w:tcPr>
            <w:tcW w:w="881" w:type="dxa"/>
            <w:tcBorders>
              <w:top w:val="single" w:sz="50" w:space="0" w:color="D9D9D9"/>
              <w:left w:val="single" w:sz="9" w:space="0" w:color="D9D9D9"/>
              <w:bottom w:val="single" w:sz="4" w:space="0" w:color="000000"/>
              <w:right w:val="single" w:sz="4" w:space="0" w:color="000000"/>
            </w:tcBorders>
          </w:tcPr>
          <w:p>
            <w:pPr/>
          </w:p>
        </w:tc>
        <w:tc>
          <w:tcPr>
            <w:tcW w:w="881" w:type="dxa"/>
            <w:tcBorders>
              <w:top w:val="single" w:sz="50" w:space="0" w:color="D9D9D9"/>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8" w:right="0"/>
              <w:jc w:val="left"/>
              <w:rPr>
                <w:rFonts w:ascii="Times New Roman" w:hAnsi="Times New Roman" w:cs="Times New Roman" w:eastAsia="Times New Roman" w:hint="default"/>
                <w:sz w:val="18"/>
                <w:szCs w:val="18"/>
              </w:rPr>
            </w:pPr>
            <w:r>
              <w:rPr>
                <w:rFonts w:ascii="Times New Roman"/>
                <w:sz w:val="18"/>
              </w:rPr>
              <w:t>298,201,57</w:t>
            </w:r>
          </w:p>
          <w:p>
            <w:pPr>
              <w:pStyle w:val="TableParagraph"/>
              <w:spacing w:line="240" w:lineRule="auto" w:before="105"/>
              <w:ind w:left="533" w:right="0"/>
              <w:jc w:val="left"/>
              <w:rPr>
                <w:rFonts w:ascii="Times New Roman" w:hAnsi="Times New Roman" w:cs="Times New Roman" w:eastAsia="Times New Roman" w:hint="default"/>
                <w:sz w:val="18"/>
                <w:szCs w:val="18"/>
              </w:rPr>
            </w:pPr>
            <w:r>
              <w:rPr>
                <w:rFonts w:ascii="Times New Roman"/>
                <w:sz w:val="18"/>
              </w:rPr>
              <w:t>2.72</w:t>
            </w:r>
          </w:p>
        </w:tc>
      </w:tr>
      <w:tr>
        <w:trPr>
          <w:trHeight w:val="716" w:hRule="exact"/>
        </w:trPr>
        <w:tc>
          <w:tcPr>
            <w:tcW w:w="8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8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0" w:right="0"/>
              <w:jc w:val="center"/>
              <w:rPr>
                <w:rFonts w:ascii="Times New Roman" w:hAnsi="Times New Roman" w:cs="Times New Roman" w:eastAsia="Times New Roman" w:hint="default"/>
                <w:sz w:val="18"/>
                <w:szCs w:val="18"/>
              </w:rPr>
            </w:pPr>
            <w:r>
              <w:rPr>
                <w:rFonts w:ascii="Times New Roman"/>
                <w:sz w:val="18"/>
              </w:rPr>
              <w:t>--</w:t>
            </w:r>
          </w:p>
        </w:tc>
        <w:tc>
          <w:tcPr>
            <w:tcW w:w="8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 w:right="0"/>
              <w:jc w:val="left"/>
              <w:rPr>
                <w:rFonts w:ascii="Times New Roman" w:hAnsi="Times New Roman" w:cs="Times New Roman" w:eastAsia="Times New Roman" w:hint="default"/>
                <w:sz w:val="18"/>
                <w:szCs w:val="18"/>
              </w:rPr>
            </w:pPr>
            <w:r>
              <w:rPr>
                <w:rFonts w:ascii="Times New Roman"/>
                <w:sz w:val="18"/>
              </w:rPr>
              <w:t>297,300,00</w:t>
            </w:r>
          </w:p>
          <w:p>
            <w:pPr>
              <w:pStyle w:val="TableParagraph"/>
              <w:spacing w:line="240" w:lineRule="auto" w:before="105"/>
              <w:ind w:left="534" w:right="0"/>
              <w:jc w:val="left"/>
              <w:rPr>
                <w:rFonts w:ascii="Times New Roman" w:hAnsi="Times New Roman" w:cs="Times New Roman" w:eastAsia="Times New Roman" w:hint="default"/>
                <w:sz w:val="18"/>
                <w:szCs w:val="18"/>
              </w:rPr>
            </w:pPr>
            <w:r>
              <w:rPr>
                <w:rFonts w:ascii="Times New Roman"/>
                <w:sz w:val="18"/>
              </w:rPr>
              <w:t>0.00</w:t>
            </w:r>
          </w:p>
        </w:tc>
        <w:tc>
          <w:tcPr>
            <w:tcW w:w="8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9" w:right="0"/>
              <w:jc w:val="left"/>
              <w:rPr>
                <w:rFonts w:ascii="Times New Roman" w:hAnsi="Times New Roman" w:cs="Times New Roman" w:eastAsia="Times New Roman" w:hint="default"/>
                <w:sz w:val="18"/>
                <w:szCs w:val="18"/>
              </w:rPr>
            </w:pPr>
            <w:r>
              <w:rPr>
                <w:rFonts w:ascii="Times New Roman"/>
                <w:sz w:val="18"/>
              </w:rPr>
              <w:t>297,375,43</w:t>
            </w:r>
          </w:p>
          <w:p>
            <w:pPr>
              <w:pStyle w:val="TableParagraph"/>
              <w:spacing w:line="240" w:lineRule="auto" w:before="105"/>
              <w:ind w:left="535" w:right="0"/>
              <w:jc w:val="left"/>
              <w:rPr>
                <w:rFonts w:ascii="Times New Roman" w:hAnsi="Times New Roman" w:cs="Times New Roman" w:eastAsia="Times New Roman" w:hint="default"/>
                <w:sz w:val="18"/>
                <w:szCs w:val="18"/>
              </w:rPr>
            </w:pPr>
            <w:r>
              <w:rPr>
                <w:rFonts w:ascii="Times New Roman"/>
                <w:sz w:val="18"/>
              </w:rPr>
              <w:t>3.30</w:t>
            </w:r>
          </w:p>
        </w:tc>
        <w:tc>
          <w:tcPr>
            <w:tcW w:w="881" w:type="dxa"/>
            <w:tcBorders>
              <w:top w:val="single" w:sz="4" w:space="0" w:color="000000"/>
              <w:left w:val="single" w:sz="4" w:space="0" w:color="000000"/>
              <w:bottom w:val="single" w:sz="4" w:space="0" w:color="000000"/>
              <w:right w:val="single" w:sz="4" w:space="0" w:color="000000"/>
            </w:tcBorders>
          </w:tcPr>
          <w:p>
            <w:pPr/>
          </w:p>
        </w:tc>
        <w:tc>
          <w:tcPr>
            <w:tcW w:w="881" w:type="dxa"/>
            <w:tcBorders>
              <w:top w:val="single" w:sz="4" w:space="0" w:color="000000"/>
              <w:left w:val="single" w:sz="4" w:space="0" w:color="000000"/>
              <w:bottom w:val="single" w:sz="4" w:space="0" w:color="000000"/>
              <w:right w:val="single" w:sz="4" w:space="0" w:color="000000"/>
            </w:tcBorders>
          </w:tcPr>
          <w:p>
            <w:pP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826,139.42</w:t>
            </w:r>
          </w:p>
        </w:tc>
        <w:tc>
          <w:tcPr>
            <w:tcW w:w="881" w:type="dxa"/>
            <w:tcBorders>
              <w:top w:val="single" w:sz="4" w:space="0" w:color="000000"/>
              <w:left w:val="single" w:sz="4" w:space="0" w:color="000000"/>
              <w:bottom w:val="single" w:sz="4" w:space="0" w:color="000000"/>
              <w:right w:val="single" w:sz="4" w:space="0" w:color="000000"/>
            </w:tcBorders>
          </w:tcPr>
          <w:p>
            <w:pP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8" w:right="0"/>
              <w:jc w:val="left"/>
              <w:rPr>
                <w:rFonts w:ascii="Times New Roman" w:hAnsi="Times New Roman" w:cs="Times New Roman" w:eastAsia="Times New Roman" w:hint="default"/>
                <w:sz w:val="18"/>
                <w:szCs w:val="18"/>
              </w:rPr>
            </w:pPr>
            <w:r>
              <w:rPr>
                <w:rFonts w:ascii="Times New Roman"/>
                <w:sz w:val="18"/>
              </w:rPr>
              <w:t>298,201,57</w:t>
            </w:r>
          </w:p>
          <w:p>
            <w:pPr>
              <w:pStyle w:val="TableParagraph"/>
              <w:spacing w:line="240" w:lineRule="auto" w:before="105"/>
              <w:ind w:left="533" w:right="0"/>
              <w:jc w:val="left"/>
              <w:rPr>
                <w:rFonts w:ascii="Times New Roman" w:hAnsi="Times New Roman" w:cs="Times New Roman" w:eastAsia="Times New Roman" w:hint="default"/>
                <w:sz w:val="18"/>
                <w:szCs w:val="18"/>
              </w:rPr>
            </w:pPr>
            <w:r>
              <w:rPr>
                <w:rFonts w:ascii="Times New Roman"/>
                <w:sz w:val="18"/>
              </w:rPr>
              <w:t>2.72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7、长期应付款" w:id="321"/>
      <w:bookmarkEnd w:id="321"/>
      <w:r>
        <w:rPr>
          <w:b w:val="0"/>
          <w:bCs w:val="0"/>
        </w:rPr>
      </w:r>
      <w:r>
        <w:rPr>
          <w:rFonts w:ascii="Times New Roman" w:hAnsi="Times New Roman" w:cs="Times New Roman" w:eastAsia="Times New Roman" w:hint="default"/>
        </w:rPr>
        <w:t>47</w:t>
      </w:r>
      <w:r>
        <w:rPr/>
        <w:t>、长期应付款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按款项性质列示长期应付款" w:id="322"/>
      <w:bookmarkEnd w:id="322"/>
      <w:r>
        <w:rPr>
          <w:b w:val="0"/>
          <w:bCs w:val="0"/>
        </w:rPr>
      </w:r>
      <w:r>
        <w:rPr/>
        <w:t>（</w:t>
      </w:r>
      <w:r>
        <w:rPr>
          <w:rFonts w:ascii="Times New Roman" w:hAnsi="Times New Roman" w:cs="Times New Roman" w:eastAsia="Times New Roman" w:hint="default"/>
        </w:rPr>
        <w:t>1</w:t>
      </w:r>
      <w:r>
        <w:rPr/>
        <w:t>）按款项性质列示长期应付款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应付中期票据融资费用</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900,000.00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8、长期应付职工薪酬" w:id="323"/>
      <w:bookmarkEnd w:id="323"/>
      <w:r>
        <w:rPr>
          <w:b w:val="0"/>
          <w:bCs w:val="0"/>
        </w:rPr>
      </w:r>
      <w:r>
        <w:rPr>
          <w:rFonts w:ascii="Times New Roman" w:hAnsi="Times New Roman" w:cs="Times New Roman" w:eastAsia="Times New Roman" w:hint="default"/>
        </w:rPr>
        <w:t>48</w:t>
      </w:r>
      <w:r>
        <w:rPr/>
        <w:t>、长期应付职工薪酬</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49、专项应付款" w:id="324"/>
      <w:bookmarkEnd w:id="324"/>
      <w:r>
        <w:rPr>
          <w:b w:val="0"/>
          <w:bCs w:val="0"/>
        </w:rPr>
      </w:r>
      <w:r>
        <w:rPr>
          <w:rFonts w:ascii="Times New Roman" w:hAnsi="Times New Roman" w:cs="Times New Roman" w:eastAsia="Times New Roman" w:hint="default"/>
        </w:rPr>
        <w:t>49</w:t>
      </w:r>
      <w:r>
        <w:rPr/>
        <w:t>、专项应付款</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94"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50、预计负债" w:id="325"/>
      <w:bookmarkEnd w:id="325"/>
      <w:r>
        <w:rPr>
          <w:b w:val="0"/>
          <w:bCs w:val="0"/>
        </w:rPr>
      </w:r>
      <w:r>
        <w:rPr>
          <w:rFonts w:ascii="Times New Roman" w:hAnsi="Times New Roman" w:cs="Times New Roman" w:eastAsia="Times New Roman" w:hint="default"/>
        </w:rPr>
        <w:t>50</w:t>
      </w:r>
      <w:r>
        <w:rPr/>
        <w:t>、预计负债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2366"/>
        <w:gridCol w:w="2408"/>
        <w:gridCol w:w="2392"/>
        <w:gridCol w:w="2392"/>
      </w:tblGrid>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产品质量保证</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19,147,291.50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17,773,113.14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产品质量保证金</w:t>
            </w:r>
          </w:p>
        </w:tc>
      </w:tr>
      <w:tr>
        <w:trPr>
          <w:trHeight w:val="403" w:hRule="exact"/>
        </w:trPr>
        <w:tc>
          <w:tcPr>
            <w:tcW w:w="2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0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19,147,291.50</w:t>
            </w:r>
          </w:p>
        </w:tc>
        <w:tc>
          <w:tcPr>
            <w:tcW w:w="239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pacing w:val="-1"/>
                <w:sz w:val="18"/>
              </w:rPr>
              <w:t>17,773,113.14</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1、递延收益" w:id="326"/>
      <w:bookmarkEnd w:id="326"/>
      <w:r>
        <w:rPr>
          <w:b w:val="0"/>
          <w:bCs w:val="0"/>
        </w:rPr>
      </w:r>
      <w:r>
        <w:rPr>
          <w:rFonts w:ascii="Times New Roman" w:hAnsi="Times New Roman" w:cs="Times New Roman" w:eastAsia="Times New Roman" w:hint="default"/>
        </w:rPr>
        <w:t>51</w:t>
      </w:r>
      <w:r>
        <w:rPr/>
        <w:t>、递延收益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7,870,453.82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58,930.00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5,923,417.18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2,005,966.64</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管理费收入</w:t>
            </w:r>
          </w:p>
        </w:tc>
        <w:tc>
          <w:tcPr>
            <w:tcW w:w="159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1,160,319.64</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1,160,319.64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预收管理费</w:t>
            </w:r>
          </w:p>
        </w:tc>
      </w:tr>
      <w:tr>
        <w:trPr>
          <w:trHeight w:val="402"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9,030,773.46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58,930.00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7,083,736.82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2,005,966.64</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134" w:right="0"/>
        <w:jc w:val="left"/>
      </w:pPr>
      <w:r>
        <w:rPr/>
        <w:t>涉及政府补助的项目：</w:t>
      </w:r>
    </w:p>
    <w:p>
      <w:pPr>
        <w:pStyle w:val="BodyText"/>
        <w:spacing w:line="240" w:lineRule="auto" w:before="117"/>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5"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6" w:right="74"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5" w:right="76"/>
              <w:jc w:val="center"/>
              <w:rPr>
                <w:rFonts w:ascii="宋体" w:hAnsi="宋体" w:cs="宋体" w:eastAsia="宋体" w:hint="default"/>
                <w:sz w:val="18"/>
                <w:szCs w:val="18"/>
              </w:rPr>
            </w:pPr>
            <w:r>
              <w:rPr>
                <w:rFonts w:ascii="宋体" w:hAnsi="宋体" w:cs="宋体" w:eastAsia="宋体" w:hint="default"/>
                <w:sz w:val="18"/>
                <w:szCs w:val="18"/>
              </w:rPr>
              <w:t>本期计入营 业外收入金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5" w:right="77"/>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3"/>
              <w:ind w:left="22" w:right="129"/>
              <w:jc w:val="both"/>
              <w:rPr>
                <w:rFonts w:ascii="宋体" w:hAnsi="宋体" w:cs="宋体" w:eastAsia="宋体" w:hint="default"/>
                <w:sz w:val="18"/>
                <w:szCs w:val="18"/>
              </w:rPr>
            </w:pPr>
            <w:r>
              <w:rPr>
                <w:rFonts w:ascii="宋体" w:hAnsi="宋体" w:cs="宋体" w:eastAsia="宋体" w:hint="default"/>
                <w:sz w:val="18"/>
                <w:szCs w:val="18"/>
              </w:rPr>
              <w:t>农作物信息 与气象服务 智能联动综 合管理平台</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37,333.36</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242,666.64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29"/>
              <w:jc w:val="both"/>
              <w:rPr>
                <w:rFonts w:ascii="宋体" w:hAnsi="宋体" w:cs="宋体" w:eastAsia="宋体" w:hint="default"/>
                <w:sz w:val="18"/>
                <w:szCs w:val="18"/>
              </w:rPr>
            </w:pPr>
            <w:r>
              <w:rPr>
                <w:rFonts w:ascii="宋体" w:hAnsi="宋体" w:cs="宋体" w:eastAsia="宋体" w:hint="default"/>
                <w:sz w:val="18"/>
                <w:szCs w:val="18"/>
              </w:rPr>
              <w:t>重庆农信涉 及信息垂直 搜索引擎云 平台升级改 造（注）</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349,963.74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-349,963.74</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29"/>
              <w:jc w:val="both"/>
              <w:rPr>
                <w:rFonts w:ascii="宋体" w:hAnsi="宋体" w:cs="宋体" w:eastAsia="宋体" w:hint="default"/>
                <w:sz w:val="18"/>
                <w:szCs w:val="18"/>
              </w:rPr>
            </w:pPr>
            <w:r>
              <w:rPr>
                <w:rFonts w:ascii="宋体" w:hAnsi="宋体" w:cs="宋体" w:eastAsia="宋体" w:hint="default"/>
                <w:sz w:val="18"/>
                <w:szCs w:val="18"/>
              </w:rPr>
              <w:t>基于复杂信 息系统的大 数据智能运 维分析与管 理平台</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4,024,720.08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4,024,720.08</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22" w:right="129"/>
              <w:jc w:val="both"/>
              <w:rPr>
                <w:rFonts w:ascii="宋体" w:hAnsi="宋体" w:cs="宋体" w:eastAsia="宋体" w:hint="default"/>
                <w:sz w:val="18"/>
                <w:szCs w:val="18"/>
              </w:rPr>
            </w:pPr>
            <w:r>
              <w:rPr>
                <w:rFonts w:ascii="宋体" w:hAnsi="宋体" w:cs="宋体" w:eastAsia="宋体" w:hint="default"/>
                <w:sz w:val="18"/>
                <w:szCs w:val="18"/>
              </w:rPr>
              <w:t>面向移动互 联网的网络 协同及融合 体系与关键 技术研究</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1,080,400.00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1,080,400.00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74"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29"/>
              <w:jc w:val="left"/>
              <w:rPr>
                <w:rFonts w:ascii="宋体" w:hAnsi="宋体" w:cs="宋体" w:eastAsia="宋体" w:hint="default"/>
                <w:sz w:val="18"/>
                <w:szCs w:val="18"/>
              </w:rPr>
            </w:pPr>
            <w:r>
              <w:rPr>
                <w:rFonts w:ascii="宋体" w:hAnsi="宋体" w:cs="宋体" w:eastAsia="宋体" w:hint="default"/>
                <w:sz w:val="18"/>
                <w:szCs w:val="18"/>
              </w:rPr>
              <w:t>煤矿典型动 力灾害风险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96,370.00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10" w:right="0"/>
              <w:jc w:val="left"/>
              <w:rPr>
                <w:rFonts w:ascii="Times New Roman" w:hAnsi="Times New Roman" w:cs="Times New Roman" w:eastAsia="Times New Roman" w:hint="default"/>
                <w:sz w:val="18"/>
                <w:szCs w:val="18"/>
              </w:rPr>
            </w:pPr>
            <w:r>
              <w:rPr>
                <w:rFonts w:ascii="Times New Roman"/>
                <w:sz w:val="18"/>
              </w:rPr>
              <w:t>58,930.00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155,300.00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986"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10"/>
              <w:ind w:left="22" w:right="129"/>
              <w:jc w:val="both"/>
              <w:rPr>
                <w:rFonts w:ascii="宋体" w:hAnsi="宋体" w:cs="宋体" w:eastAsia="宋体" w:hint="default"/>
                <w:sz w:val="18"/>
                <w:szCs w:val="18"/>
              </w:rPr>
            </w:pPr>
            <w:r>
              <w:rPr>
                <w:rFonts w:ascii="宋体" w:hAnsi="宋体" w:cs="宋体" w:eastAsia="宋体" w:hint="default"/>
                <w:sz w:val="18"/>
                <w:szCs w:val="18"/>
              </w:rPr>
              <w:t>判识及监控 预警技术研 究</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固定资产装 修补贴</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电动汽车智 能交互系统 研制及产业 化</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414,000.00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216,000.00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198,000.00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面向精确定 位与移动通 信的智慧线 设备研制</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7,870,453.82</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10" w:right="0"/>
              <w:jc w:val="left"/>
              <w:rPr>
                <w:rFonts w:ascii="Times New Roman" w:hAnsi="Times New Roman" w:cs="Times New Roman" w:eastAsia="Times New Roman" w:hint="default"/>
                <w:sz w:val="18"/>
                <w:szCs w:val="18"/>
              </w:rPr>
            </w:pPr>
            <w:r>
              <w:rPr>
                <w:rFonts w:ascii="Times New Roman"/>
                <w:sz w:val="18"/>
              </w:rPr>
              <w:t>58,930.00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5,573,453.44</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9" w:right="0"/>
              <w:jc w:val="left"/>
              <w:rPr>
                <w:rFonts w:ascii="Times New Roman" w:hAnsi="Times New Roman" w:cs="Times New Roman" w:eastAsia="Times New Roman" w:hint="default"/>
                <w:sz w:val="18"/>
                <w:szCs w:val="18"/>
              </w:rPr>
            </w:pPr>
            <w:r>
              <w:rPr>
                <w:rFonts w:ascii="Times New Roman"/>
                <w:sz w:val="18"/>
              </w:rPr>
              <w:t>-349,963.74</w:t>
            </w:r>
          </w:p>
        </w:tc>
        <w:tc>
          <w:tcPr>
            <w:tcW w:w="1062"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2,005,966.64</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07" w:lineRule="auto" w:before="10"/>
        <w:ind w:right="1130"/>
        <w:jc w:val="both"/>
      </w:pPr>
      <w:r>
        <w:rPr>
          <w:spacing w:val="-1"/>
        </w:rPr>
        <w:t>注：根据重庆市财政局、重庆市发展和改革委员会、重庆市经济和信息化委员会渝财产业</w:t>
      </w:r>
      <w:r>
        <w:rPr>
          <w:rFonts w:ascii="Times New Roman" w:hAnsi="Times New Roman" w:cs="Times New Roman" w:eastAsia="Times New Roman" w:hint="default"/>
          <w:spacing w:val="-1"/>
        </w:rPr>
        <w:t>[2017]68</w:t>
      </w:r>
      <w:r>
        <w:rPr>
          <w:spacing w:val="-1"/>
        </w:rPr>
        <w:t>号文件《关于收回</w:t>
      </w:r>
      <w:r>
        <w:rPr>
          <w:rFonts w:ascii="Times New Roman" w:hAnsi="Times New Roman" w:cs="Times New Roman" w:eastAsia="Times New Roman" w:hint="default"/>
          <w:spacing w:val="-1"/>
        </w:rPr>
        <w:t>2012</w:t>
      </w:r>
      <w:r>
        <w:rPr>
          <w:spacing w:val="-1"/>
        </w:rPr>
        <w:t>年</w:t>
      </w:r>
      <w:r>
        <w:rPr>
          <w:spacing w:val="-53"/>
        </w:rPr>
        <w:t> </w:t>
      </w:r>
      <w:r>
        <w:rPr>
          <w:spacing w:val="-2"/>
        </w:rPr>
        <w:t>电子信息产业振兴和技术改造项目（第一批）部分资金的通知》，本期将涉农信息垂直搜索引擎云平台升级改造项目已拨付</w:t>
      </w:r>
      <w:r>
        <w:rPr>
          <w:spacing w:val="-66"/>
        </w:rPr>
        <w:t> </w:t>
      </w:r>
      <w:r>
        <w:rPr>
          <w:spacing w:val="-66"/>
        </w:rPr>
      </w:r>
      <w:r>
        <w:rPr/>
        <w:t>的财政资金共计</w:t>
      </w:r>
      <w:r>
        <w:rPr>
          <w:rFonts w:ascii="Times New Roman" w:hAnsi="Times New Roman" w:cs="Times New Roman" w:eastAsia="Times New Roman" w:hint="default"/>
        </w:rPr>
        <w:t>92</w:t>
      </w:r>
      <w:r>
        <w:rPr/>
        <w:t>万元全额退回重庆市财政局</w:t>
      </w:r>
      <w:r>
        <w:rPr>
          <w:rFonts w:ascii="Times New Roman" w:hAnsi="Times New Roman" w:cs="Times New Roman" w:eastAsia="Times New Roman" w:hint="default"/>
        </w:rPr>
        <w:t>22000000000227100019</w:t>
      </w:r>
      <w:r>
        <w:rPr/>
        <w:t>账户，将以前年度已确认营业外收入</w:t>
      </w:r>
      <w:r>
        <w:rPr>
          <w:rFonts w:ascii="Times New Roman" w:hAnsi="Times New Roman" w:cs="Times New Roman" w:eastAsia="Times New Roman" w:hint="default"/>
        </w:rPr>
        <w:t>570,036.26</w:t>
      </w:r>
      <w:r>
        <w:rPr/>
        <w:t>元冲减 本期其他收益，递延收益余额</w:t>
      </w:r>
      <w:r>
        <w:rPr>
          <w:rFonts w:ascii="Times New Roman" w:hAnsi="Times New Roman" w:cs="Times New Roman" w:eastAsia="Times New Roman" w:hint="default"/>
        </w:rPr>
        <w:t>349,963.74</w:t>
      </w:r>
      <w:r>
        <w:rPr/>
        <w:t>元一并返还重庆财政局。</w:t>
      </w:r>
    </w:p>
    <w:p>
      <w:pPr>
        <w:spacing w:line="240" w:lineRule="auto" w:before="8"/>
        <w:rPr>
          <w:rFonts w:ascii="宋体" w:hAnsi="宋体" w:cs="宋体" w:eastAsia="宋体" w:hint="default"/>
          <w:sz w:val="21"/>
          <w:szCs w:val="21"/>
        </w:rPr>
      </w:pPr>
    </w:p>
    <w:p>
      <w:pPr>
        <w:pStyle w:val="Heading3"/>
        <w:spacing w:line="240" w:lineRule="auto"/>
        <w:ind w:left="1133" w:right="0"/>
        <w:jc w:val="both"/>
        <w:rPr>
          <w:b w:val="0"/>
          <w:bCs w:val="0"/>
        </w:rPr>
      </w:pPr>
      <w:bookmarkStart w:name="52、其他非流动负债" w:id="327"/>
      <w:bookmarkEnd w:id="327"/>
      <w:r>
        <w:rPr>
          <w:b w:val="0"/>
          <w:bCs w:val="0"/>
        </w:rPr>
      </w:r>
      <w:r>
        <w:rPr>
          <w:rFonts w:ascii="Times New Roman" w:hAnsi="Times New Roman" w:cs="Times New Roman" w:eastAsia="Times New Roman" w:hint="default"/>
        </w:rPr>
        <w:t>52</w:t>
      </w:r>
      <w:r>
        <w:rPr/>
        <w:t>、其他非流动负债</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left="1133" w:right="0"/>
        <w:jc w:val="both"/>
        <w:rPr>
          <w:b w:val="0"/>
          <w:bCs w:val="0"/>
        </w:rPr>
      </w:pPr>
      <w:bookmarkStart w:name="53、股本" w:id="328"/>
      <w:bookmarkEnd w:id="328"/>
      <w:r>
        <w:rPr>
          <w:b w:val="0"/>
          <w:bCs w:val="0"/>
        </w:rPr>
      </w:r>
      <w:r>
        <w:rPr>
          <w:rFonts w:ascii="Times New Roman" w:hAnsi="Times New Roman" w:cs="Times New Roman" w:eastAsia="Times New Roman" w:hint="default"/>
        </w:rPr>
        <w:t>53</w:t>
      </w:r>
      <w:r>
        <w:rPr/>
        <w:t>、股本</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630" w:right="1130"/>
        <w:jc w:val="right"/>
      </w:pPr>
      <w:r>
        <w:rPr/>
        <w:t>单位：元</w:t>
      </w:r>
    </w:p>
    <w:p>
      <w:pPr>
        <w:spacing w:line="240" w:lineRule="auto" w:before="0"/>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184"/>
        <w:gridCol w:w="1196"/>
        <w:gridCol w:w="1196"/>
        <w:gridCol w:w="1197"/>
        <w:gridCol w:w="1195"/>
        <w:gridCol w:w="1197"/>
        <w:gridCol w:w="1196"/>
        <w:gridCol w:w="1195"/>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tcBorders>
              <w:top w:val="single" w:sz="4" w:space="0" w:color="000000"/>
              <w:left w:val="single" w:sz="4" w:space="0" w:color="000000"/>
              <w:bottom w:val="nil" w:sz="6" w:space="0" w:color="auto"/>
              <w:right w:val="single" w:sz="4" w:space="0" w:color="000000"/>
            </w:tcBorders>
            <w:shd w:val="clear" w:color="auto" w:fill="D2D2D2"/>
          </w:tcPr>
          <w:p>
            <w:pPr/>
          </w:p>
        </w:tc>
        <w:tc>
          <w:tcPr>
            <w:tcW w:w="5982"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6"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2" w:type="dxa"/>
            <w:gridSpan w:val="5"/>
            <w:vMerge/>
            <w:tcBorders>
              <w:left w:val="single" w:sz="4" w:space="0" w:color="000000"/>
              <w:bottom w:val="single" w:sz="4" w:space="0" w:color="000000"/>
              <w:right w:val="single" w:sz="4" w:space="0" w:color="000000"/>
            </w:tcBorders>
            <w:shd w:val="clear" w:color="auto" w:fill="D2D2D2"/>
          </w:tcPr>
          <w:p>
            <w:pPr/>
          </w:p>
        </w:tc>
        <w:tc>
          <w:tcPr>
            <w:tcW w:w="119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162"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10" w:space="0" w:color="D2D2D2"/>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1,961,091,984.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c>
          <w:tcPr>
            <w:tcW w:w="1196" w:type="dxa"/>
            <w:vMerge w:val="restart"/>
            <w:tcBorders>
              <w:top w:val="single" w:sz="4" w:space="0" w:color="000000"/>
              <w:left w:val="single" w:sz="4" w:space="0" w:color="000000"/>
              <w:right w:val="single" w:sz="4" w:space="0" w:color="000000"/>
            </w:tcBorders>
          </w:tcPr>
          <w:p>
            <w:pPr/>
          </w:p>
        </w:tc>
        <w:tc>
          <w:tcPr>
            <w:tcW w:w="1197" w:type="dxa"/>
            <w:vMerge w:val="restart"/>
            <w:tcBorders>
              <w:top w:val="single" w:sz="4" w:space="0" w:color="000000"/>
              <w:left w:val="single" w:sz="4" w:space="0" w:color="000000"/>
              <w:right w:val="single" w:sz="4" w:space="0" w:color="000000"/>
            </w:tcBorders>
          </w:tcPr>
          <w:p>
            <w:pPr/>
          </w:p>
        </w:tc>
        <w:tc>
          <w:tcPr>
            <w:tcW w:w="1195" w:type="dxa"/>
            <w:vMerge w:val="restart"/>
            <w:tcBorders>
              <w:top w:val="single" w:sz="4" w:space="0" w:color="000000"/>
              <w:left w:val="single" w:sz="4" w:space="0" w:color="000000"/>
              <w:right w:val="single" w:sz="4" w:space="0" w:color="000000"/>
            </w:tcBorders>
          </w:tcPr>
          <w:p>
            <w:pPr/>
          </w:p>
        </w:tc>
        <w:tc>
          <w:tcPr>
            <w:tcW w:w="1197" w:type="dxa"/>
            <w:vMerge w:val="restart"/>
            <w:tcBorders>
              <w:top w:val="single" w:sz="4" w:space="0" w:color="000000"/>
              <w:left w:val="single" w:sz="4" w:space="0" w:color="000000"/>
              <w:right w:val="single" w:sz="4" w:space="0" w:color="000000"/>
            </w:tcBorders>
          </w:tcPr>
          <w:p>
            <w:pPr/>
          </w:p>
        </w:tc>
        <w:tc>
          <w:tcPr>
            <w:tcW w:w="1196" w:type="dxa"/>
            <w:vMerge w:val="restart"/>
            <w:tcBorders>
              <w:top w:val="single" w:sz="4" w:space="0" w:color="000000"/>
              <w:left w:val="single" w:sz="4" w:space="0" w:color="000000"/>
              <w:right w:val="single" w:sz="4" w:space="0" w:color="000000"/>
            </w:tcBorders>
          </w:tcPr>
          <w:p>
            <w:pPr/>
          </w:p>
        </w:tc>
        <w:tc>
          <w:tcPr>
            <w:tcW w:w="1195" w:type="dxa"/>
            <w:vMerge w:val="restart"/>
            <w:tcBorders>
              <w:top w:val="single" w:sz="4" w:space="0" w:color="000000"/>
              <w:left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1,961,091,984.</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w:t>
            </w:r>
          </w:p>
        </w:tc>
      </w:tr>
      <w:tr>
        <w:trPr>
          <w:trHeight w:val="391" w:hRule="exact"/>
        </w:trPr>
        <w:tc>
          <w:tcPr>
            <w:tcW w:w="1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vMerge/>
            <w:tcBorders>
              <w:left w:val="single" w:sz="10" w:space="0" w:color="D2D2D2"/>
              <w:right w:val="single" w:sz="4" w:space="0" w:color="000000"/>
            </w:tcBorders>
          </w:tcPr>
          <w:p>
            <w:pPr/>
          </w:p>
        </w:tc>
        <w:tc>
          <w:tcPr>
            <w:tcW w:w="1196" w:type="dxa"/>
            <w:vMerge/>
            <w:tcBorders>
              <w:left w:val="single" w:sz="4" w:space="0" w:color="000000"/>
              <w:right w:val="single" w:sz="4" w:space="0" w:color="000000"/>
            </w:tcBorders>
          </w:tcPr>
          <w:p>
            <w:pPr/>
          </w:p>
        </w:tc>
        <w:tc>
          <w:tcPr>
            <w:tcW w:w="1197"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c>
          <w:tcPr>
            <w:tcW w:w="1197" w:type="dxa"/>
            <w:vMerge/>
            <w:tcBorders>
              <w:left w:val="single" w:sz="4" w:space="0" w:color="000000"/>
              <w:right w:val="single" w:sz="4" w:space="0" w:color="000000"/>
            </w:tcBorders>
          </w:tcPr>
          <w:p>
            <w:pPr/>
          </w:p>
        </w:tc>
        <w:tc>
          <w:tcPr>
            <w:tcW w:w="1196" w:type="dxa"/>
            <w:vMerge/>
            <w:tcBorders>
              <w:left w:val="single" w:sz="4" w:space="0" w:color="000000"/>
              <w:right w:val="single" w:sz="4" w:space="0" w:color="000000"/>
            </w:tcBorders>
          </w:tcPr>
          <w:p>
            <w:pPr/>
          </w:p>
        </w:tc>
        <w:tc>
          <w:tcPr>
            <w:tcW w:w="1195" w:type="dxa"/>
            <w:vMerge/>
            <w:tcBorders>
              <w:left w:val="single" w:sz="4" w:space="0" w:color="000000"/>
              <w:right w:val="single" w:sz="4" w:space="0" w:color="000000"/>
            </w:tcBorders>
          </w:tcPr>
          <w:p>
            <w:pPr/>
          </w:p>
        </w:tc>
      </w:tr>
      <w:tr>
        <w:trPr>
          <w:trHeight w:val="162"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10" w:space="0" w:color="D2D2D2"/>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7"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c>
          <w:tcPr>
            <w:tcW w:w="1197" w:type="dxa"/>
            <w:vMerge/>
            <w:tcBorders>
              <w:left w:val="single" w:sz="4" w:space="0" w:color="000000"/>
              <w:bottom w:val="single" w:sz="4" w:space="0" w:color="000000"/>
              <w:right w:val="single" w:sz="4" w:space="0" w:color="000000"/>
            </w:tcBorders>
          </w:tcPr>
          <w:p>
            <w:pPr/>
          </w:p>
        </w:tc>
        <w:tc>
          <w:tcPr>
            <w:tcW w:w="1196" w:type="dxa"/>
            <w:vMerge/>
            <w:tcBorders>
              <w:left w:val="single" w:sz="4" w:space="0" w:color="000000"/>
              <w:bottom w:val="single" w:sz="4" w:space="0" w:color="000000"/>
              <w:right w:val="single" w:sz="4" w:space="0" w:color="000000"/>
            </w:tcBorders>
          </w:tcPr>
          <w:p>
            <w:pPr/>
          </w:p>
        </w:tc>
        <w:tc>
          <w:tcPr>
            <w:tcW w:w="1195" w:type="dxa"/>
            <w:vMerge/>
            <w:tcBorders>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4、其他权益工具" w:id="329"/>
      <w:bookmarkEnd w:id="329"/>
      <w:r>
        <w:rPr>
          <w:b w:val="0"/>
          <w:bCs w:val="0"/>
        </w:rPr>
      </w:r>
      <w:r>
        <w:rPr>
          <w:rFonts w:ascii="Times New Roman" w:hAnsi="Times New Roman" w:cs="Times New Roman" w:eastAsia="Times New Roman" w:hint="default"/>
        </w:rPr>
        <w:t>54</w:t>
      </w:r>
      <w:r>
        <w:rPr/>
        <w:t>、其他权益工具</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55、资本公积" w:id="330"/>
      <w:bookmarkEnd w:id="330"/>
      <w:r>
        <w:rPr>
          <w:b w:val="0"/>
          <w:bCs w:val="0"/>
        </w:rPr>
      </w:r>
      <w:r>
        <w:rPr>
          <w:rFonts w:ascii="Times New Roman" w:hAnsi="Times New Roman" w:cs="Times New Roman" w:eastAsia="Times New Roman" w:hint="default"/>
        </w:rPr>
        <w:t>55</w:t>
      </w:r>
      <w:r>
        <w:rPr/>
        <w:t>、资本公积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54"/>
              <w:jc w:val="center"/>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759" w:right="0"/>
              <w:jc w:val="left"/>
              <w:rPr>
                <w:rFonts w:ascii="Times New Roman" w:hAnsi="Times New Roman" w:cs="Times New Roman" w:eastAsia="Times New Roman" w:hint="default"/>
                <w:sz w:val="18"/>
                <w:szCs w:val="18"/>
              </w:rPr>
            </w:pPr>
            <w:r>
              <w:rPr>
                <w:rFonts w:ascii="Times New Roman"/>
                <w:sz w:val="18"/>
              </w:rPr>
              <w:t>365,092,332.18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46" w:right="0"/>
              <w:jc w:val="left"/>
              <w:rPr>
                <w:rFonts w:ascii="Times New Roman" w:hAnsi="Times New Roman" w:cs="Times New Roman" w:eastAsia="Times New Roman" w:hint="default"/>
                <w:sz w:val="18"/>
                <w:szCs w:val="18"/>
              </w:rPr>
            </w:pPr>
            <w:r>
              <w:rPr>
                <w:rFonts w:ascii="Times New Roman"/>
                <w:sz w:val="18"/>
              </w:rPr>
              <w:t>31,860,998.38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35" w:right="0"/>
              <w:jc w:val="left"/>
              <w:rPr>
                <w:rFonts w:ascii="Times New Roman" w:hAnsi="Times New Roman" w:cs="Times New Roman" w:eastAsia="Times New Roman" w:hint="default"/>
                <w:sz w:val="18"/>
                <w:szCs w:val="18"/>
              </w:rPr>
            </w:pPr>
            <w:r>
              <w:rPr>
                <w:rFonts w:ascii="Times New Roman"/>
                <w:sz w:val="18"/>
              </w:rPr>
              <w:t>1,177,443.86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56" w:right="0"/>
              <w:jc w:val="left"/>
              <w:rPr>
                <w:rFonts w:ascii="Times New Roman" w:hAnsi="Times New Roman" w:cs="Times New Roman" w:eastAsia="Times New Roman" w:hint="default"/>
                <w:sz w:val="18"/>
                <w:szCs w:val="18"/>
              </w:rPr>
            </w:pPr>
            <w:r>
              <w:rPr>
                <w:rFonts w:ascii="Times New Roman"/>
                <w:sz w:val="18"/>
              </w:rPr>
              <w:t>395,775,886.70</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12,738,479.56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18,741,370.78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31,479,850.34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377,830,811.74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50,602,369.16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5" w:right="0"/>
              <w:jc w:val="left"/>
              <w:rPr>
                <w:rFonts w:ascii="Times New Roman" w:hAnsi="Times New Roman" w:cs="Times New Roman" w:eastAsia="Times New Roman" w:hint="default"/>
                <w:sz w:val="18"/>
                <w:szCs w:val="18"/>
              </w:rPr>
            </w:pPr>
            <w:r>
              <w:rPr>
                <w:rFonts w:ascii="Times New Roman"/>
                <w:sz w:val="18"/>
              </w:rPr>
              <w:t>1,177,443.86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427,255,737.04</w:t>
            </w:r>
          </w:p>
        </w:tc>
      </w:tr>
    </w:tbl>
    <w:p>
      <w:pPr>
        <w:pStyle w:val="Heading4"/>
        <w:spacing w:line="240" w:lineRule="auto" w:before="88"/>
        <w:ind w:right="0"/>
        <w:jc w:val="left"/>
        <w:rPr>
          <w:b w:val="0"/>
          <w:bCs w:val="0"/>
        </w:rPr>
      </w:pPr>
      <w:r>
        <w:rPr>
          <w:rFonts w:ascii="Times New Roman" w:hAnsi="Times New Roman" w:cs="Times New Roman" w:eastAsia="Times New Roman" w:hint="default"/>
        </w:rPr>
        <w:t>1</w:t>
      </w:r>
      <w:r>
        <w:rPr/>
        <w:t>、股本溢价本期变动为：</w:t>
      </w:r>
      <w:r>
        <w:rPr>
          <w:b w:val="0"/>
          <w:bCs w:val="0"/>
        </w:rPr>
      </w:r>
    </w:p>
    <w:p>
      <w:pPr>
        <w:spacing w:line="240" w:lineRule="auto" w:before="10"/>
        <w:rPr>
          <w:rFonts w:ascii="宋体" w:hAnsi="宋体" w:cs="宋体" w:eastAsia="宋体" w:hint="default"/>
          <w:b/>
          <w:bCs/>
          <w:sz w:val="16"/>
          <w:szCs w:val="16"/>
        </w:rPr>
      </w:pPr>
    </w:p>
    <w:p>
      <w:pPr>
        <w:pStyle w:val="BodyText"/>
        <w:spacing w:line="451" w:lineRule="auto"/>
        <w:ind w:left="1134" w:right="1129" w:firstLine="360"/>
        <w:jc w:val="both"/>
      </w:pPr>
      <w:r>
        <w:rPr/>
        <w:t>（</w:t>
      </w:r>
      <w:r>
        <w:rPr>
          <w:rFonts w:ascii="Times New Roman" w:hAnsi="Times New Roman" w:cs="Times New Roman" w:eastAsia="Times New Roman" w:hint="default"/>
        </w:rPr>
        <w:t>1</w:t>
      </w:r>
      <w:r>
        <w:rPr/>
        <w:t>）报告期内，由于北京神州祥升软件有限公司</w:t>
      </w:r>
      <w:r>
        <w:rPr>
          <w:rFonts w:ascii="Times New Roman" w:hAnsi="Times New Roman" w:cs="Times New Roman" w:eastAsia="Times New Roman" w:hint="default"/>
        </w:rPr>
        <w:t>2016</w:t>
      </w:r>
      <w:r>
        <w:rPr/>
        <w:t>年度未完成利润承诺，冲减应付祥升原股东股权转让款，相应增 加</w:t>
      </w:r>
      <w:r>
        <w:rPr>
          <w:rFonts w:ascii="Times New Roman" w:hAnsi="Times New Roman" w:cs="Times New Roman" w:eastAsia="Times New Roman" w:hint="default"/>
        </w:rPr>
        <w:t>“</w:t>
      </w:r>
      <w:r>
        <w:rPr/>
        <w:t>资本公积</w:t>
      </w:r>
      <w:r>
        <w:rPr>
          <w:rFonts w:ascii="Times New Roman" w:hAnsi="Times New Roman" w:cs="Times New Roman" w:eastAsia="Times New Roman" w:hint="default"/>
        </w:rPr>
        <w:t>-</w:t>
      </w:r>
      <w:r>
        <w:rPr/>
        <w:t>资本溢价</w:t>
      </w:r>
      <w:r>
        <w:rPr>
          <w:rFonts w:ascii="Times New Roman" w:hAnsi="Times New Roman" w:cs="Times New Roman" w:eastAsia="Times New Roman" w:hint="default"/>
        </w:rPr>
        <w:t>”</w:t>
      </w:r>
      <w:r>
        <w:rPr>
          <w:rFonts w:ascii="Times New Roman" w:hAnsi="Times New Roman" w:cs="Times New Roman" w:eastAsia="Times New Roman" w:hint="default"/>
          <w:spacing w:val="-4"/>
        </w:rPr>
        <w:t> </w:t>
      </w:r>
      <w:r>
        <w:rPr>
          <w:rFonts w:ascii="Times New Roman" w:hAnsi="Times New Roman" w:cs="Times New Roman" w:eastAsia="Times New Roman" w:hint="default"/>
        </w:rPr>
        <w:t>31,860,998.38</w:t>
      </w:r>
      <w:r>
        <w:rPr/>
        <w:t>元。</w:t>
      </w:r>
    </w:p>
    <w:p>
      <w:pPr>
        <w:pStyle w:val="BodyText"/>
        <w:spacing w:line="451" w:lineRule="auto" w:before="43"/>
        <w:ind w:left="1134" w:right="1130" w:firstLine="360"/>
        <w:jc w:val="both"/>
      </w:pPr>
      <w:r>
        <w:rPr/>
        <w:t>（</w:t>
      </w:r>
      <w:r>
        <w:rPr>
          <w:rFonts w:ascii="Times New Roman" w:hAnsi="Times New Roman" w:cs="Times New Roman" w:eastAsia="Times New Roman" w:hint="default"/>
        </w:rPr>
        <w:t>2</w:t>
      </w:r>
      <w:r>
        <w:rPr/>
        <w:t>）报告期内，购买子公司苏州短讯神州网络技术有限少数股东拥有的</w:t>
      </w:r>
      <w:r>
        <w:rPr>
          <w:rFonts w:ascii="Times New Roman" w:hAnsi="Times New Roman" w:cs="Times New Roman" w:eastAsia="Times New Roman" w:hint="default"/>
        </w:rPr>
        <w:t>10%</w:t>
      </w:r>
      <w:r>
        <w:rPr/>
        <w:t>股权，因购买少数股权新取得的长期股权 投资与按照新增持股比例计算应享有子公司自购买日或合并日开始持续计算的净资产份额之间的差额，冲减</w:t>
      </w:r>
      <w:r>
        <w:rPr>
          <w:rFonts w:ascii="Times New Roman" w:hAnsi="Times New Roman" w:cs="Times New Roman" w:eastAsia="Times New Roman" w:hint="default"/>
        </w:rPr>
        <w:t>“</w:t>
      </w:r>
      <w:r>
        <w:rPr/>
        <w:t>资本公积</w:t>
      </w:r>
      <w:r>
        <w:rPr>
          <w:rFonts w:ascii="Times New Roman" w:hAnsi="Times New Roman" w:cs="Times New Roman" w:eastAsia="Times New Roman" w:hint="default"/>
        </w:rPr>
        <w:t>—</w:t>
      </w:r>
      <w:r>
        <w:rPr/>
        <w:t>股</w:t>
      </w:r>
      <w:r>
        <w:rPr>
          <w:spacing w:val="-74"/>
        </w:rPr>
        <w:t> </w:t>
      </w:r>
      <w:r>
        <w:rPr/>
        <w:t>本溢价</w:t>
      </w:r>
      <w:r>
        <w:rPr>
          <w:rFonts w:ascii="Times New Roman" w:hAnsi="Times New Roman" w:cs="Times New Roman" w:eastAsia="Times New Roman" w:hint="default"/>
        </w:rPr>
        <w:t>”</w:t>
      </w:r>
      <w:r>
        <w:rPr>
          <w:rFonts w:ascii="Times New Roman" w:hAnsi="Times New Roman" w:cs="Times New Roman" w:eastAsia="Times New Roman" w:hint="default"/>
          <w:spacing w:val="-3"/>
        </w:rPr>
        <w:t> </w:t>
      </w:r>
      <w:r>
        <w:rPr>
          <w:rFonts w:ascii="Times New Roman" w:hAnsi="Times New Roman" w:cs="Times New Roman" w:eastAsia="Times New Roman" w:hint="default"/>
        </w:rPr>
        <w:t>1,177,443.86</w:t>
      </w:r>
      <w:r>
        <w:rPr/>
        <w:t>元。</w:t>
      </w:r>
    </w:p>
    <w:p>
      <w:pPr>
        <w:pStyle w:val="Heading4"/>
        <w:spacing w:line="240" w:lineRule="auto" w:before="43"/>
        <w:ind w:right="0"/>
        <w:jc w:val="left"/>
        <w:rPr>
          <w:b w:val="0"/>
          <w:bCs w:val="0"/>
        </w:rPr>
      </w:pPr>
      <w:r>
        <w:rPr>
          <w:rFonts w:ascii="Times New Roman" w:hAnsi="Times New Roman" w:cs="Times New Roman" w:eastAsia="Times New Roman" w:hint="default"/>
        </w:rPr>
        <w:t>2</w:t>
      </w:r>
      <w:r>
        <w:rPr/>
        <w:t>、其他资本公积本期变动为：</w:t>
      </w:r>
      <w:r>
        <w:rPr>
          <w:b w:val="0"/>
          <w:bCs w:val="0"/>
        </w:rPr>
      </w:r>
    </w:p>
    <w:p>
      <w:pPr>
        <w:spacing w:line="240" w:lineRule="auto" w:before="9"/>
        <w:rPr>
          <w:rFonts w:ascii="宋体" w:hAnsi="宋体" w:cs="宋体" w:eastAsia="宋体" w:hint="default"/>
          <w:b/>
          <w:bCs/>
          <w:sz w:val="16"/>
          <w:szCs w:val="16"/>
        </w:rPr>
      </w:pPr>
    </w:p>
    <w:p>
      <w:pPr>
        <w:pStyle w:val="BodyText"/>
        <w:spacing w:line="451" w:lineRule="auto"/>
        <w:ind w:right="1130" w:firstLine="360"/>
        <w:jc w:val="both"/>
      </w:pPr>
      <w:r>
        <w:rPr>
          <w:spacing w:val="-1"/>
        </w:rPr>
        <w:t>（</w:t>
      </w:r>
      <w:r>
        <w:rPr>
          <w:rFonts w:ascii="Times New Roman" w:hAnsi="Times New Roman" w:cs="Times New Roman" w:eastAsia="Times New Roman" w:hint="default"/>
          <w:spacing w:val="-1"/>
        </w:rPr>
        <w:t>1</w:t>
      </w:r>
      <w:r>
        <w:rPr>
          <w:spacing w:val="-1"/>
        </w:rPr>
        <w:t>）联营企业所有者权益项下除净损益及记入</w:t>
      </w:r>
      <w:r>
        <w:rPr>
          <w:rFonts w:ascii="Times New Roman" w:hAnsi="Times New Roman" w:cs="Times New Roman" w:eastAsia="Times New Roman" w:hint="default"/>
          <w:spacing w:val="-1"/>
        </w:rPr>
        <w:t>“</w:t>
      </w:r>
      <w:r>
        <w:rPr>
          <w:spacing w:val="-1"/>
        </w:rPr>
        <w:t>其他综合收益</w:t>
      </w:r>
      <w:r>
        <w:rPr>
          <w:rFonts w:ascii="Times New Roman" w:hAnsi="Times New Roman" w:cs="Times New Roman" w:eastAsia="Times New Roman" w:hint="default"/>
          <w:spacing w:val="-1"/>
        </w:rPr>
        <w:t>”</w:t>
      </w:r>
      <w:r>
        <w:rPr>
          <w:spacing w:val="-1"/>
        </w:rPr>
        <w:t>以外的所有者权益变动数，公司按持股比例确认</w:t>
      </w:r>
      <w:r>
        <w:rPr>
          <w:rFonts w:ascii="Times New Roman" w:hAnsi="Times New Roman" w:cs="Times New Roman" w:eastAsia="Times New Roman" w:hint="default"/>
          <w:spacing w:val="-1"/>
        </w:rPr>
        <w:t>“</w:t>
      </w:r>
      <w:r>
        <w:rPr>
          <w:spacing w:val="-1"/>
        </w:rPr>
        <w:t>资本公</w:t>
      </w:r>
      <w:r>
        <w:rPr/>
        <w:t> 积</w:t>
      </w:r>
      <w:r>
        <w:rPr>
          <w:rFonts w:ascii="Times New Roman" w:hAnsi="Times New Roman" w:cs="Times New Roman" w:eastAsia="Times New Roman" w:hint="default"/>
        </w:rPr>
        <w:t>-</w:t>
      </w:r>
      <w:r>
        <w:rPr/>
        <w:t>其他资本公积</w:t>
      </w:r>
      <w:r>
        <w:rPr>
          <w:rFonts w:ascii="Times New Roman" w:hAnsi="Times New Roman" w:cs="Times New Roman" w:eastAsia="Times New Roman" w:hint="default"/>
        </w:rPr>
        <w:t>”</w:t>
      </w:r>
      <w:r>
        <w:rPr>
          <w:rFonts w:ascii="Times New Roman" w:hAnsi="Times New Roman" w:cs="Times New Roman" w:eastAsia="Times New Roman" w:hint="default"/>
          <w:spacing w:val="-5"/>
        </w:rPr>
        <w:t> </w:t>
      </w:r>
      <w:r>
        <w:rPr>
          <w:rFonts w:ascii="Times New Roman" w:hAnsi="Times New Roman" w:cs="Times New Roman" w:eastAsia="Times New Roman" w:hint="default"/>
        </w:rPr>
        <w:t>-3,449,151.09</w:t>
      </w:r>
      <w:r>
        <w:rPr/>
        <w:t>元。</w:t>
      </w:r>
    </w:p>
    <w:p>
      <w:pPr>
        <w:pStyle w:val="BodyText"/>
        <w:spacing w:line="451" w:lineRule="auto" w:before="43"/>
        <w:ind w:left="1134" w:right="1131" w:firstLine="360"/>
        <w:jc w:val="both"/>
      </w:pPr>
      <w:r>
        <w:rPr/>
        <w:t>（</w:t>
      </w:r>
      <w:r>
        <w:rPr>
          <w:rFonts w:ascii="Times New Roman" w:hAnsi="Times New Roman" w:cs="Times New Roman" w:eastAsia="Times New Roman" w:hint="default"/>
        </w:rPr>
        <w:t>2</w:t>
      </w:r>
      <w:r>
        <w:rPr/>
        <w:t>）报告期内，子公司奇点新源国际技术开发（北京）有限公司获少数股东溢价增资，增资溢价部分归属于本公司的 份额部分，增加</w:t>
      </w:r>
      <w:r>
        <w:rPr>
          <w:rFonts w:ascii="Times New Roman" w:hAnsi="Times New Roman" w:cs="Times New Roman" w:eastAsia="Times New Roman" w:hint="default"/>
        </w:rPr>
        <w:t>“</w:t>
      </w:r>
      <w:r>
        <w:rPr/>
        <w:t>资本公积</w:t>
      </w:r>
      <w:r>
        <w:rPr>
          <w:rFonts w:ascii="Times New Roman" w:hAnsi="Times New Roman" w:cs="Times New Roman" w:eastAsia="Times New Roman" w:hint="default"/>
        </w:rPr>
        <w:t>-</w:t>
      </w:r>
      <w:r>
        <w:rPr/>
        <w:t>其他资本公积</w:t>
      </w:r>
      <w:r>
        <w:rPr>
          <w:rFonts w:ascii="Times New Roman" w:hAnsi="Times New Roman" w:cs="Times New Roman" w:eastAsia="Times New Roman" w:hint="default"/>
        </w:rPr>
        <w:t>”</w:t>
      </w:r>
      <w:r>
        <w:rPr>
          <w:rFonts w:ascii="Times New Roman" w:hAnsi="Times New Roman" w:cs="Times New Roman" w:eastAsia="Times New Roman" w:hint="default"/>
          <w:spacing w:val="-4"/>
        </w:rPr>
        <w:t> </w:t>
      </w:r>
      <w:r>
        <w:rPr>
          <w:rFonts w:ascii="Times New Roman" w:hAnsi="Times New Roman" w:cs="Times New Roman" w:eastAsia="Times New Roman" w:hint="default"/>
        </w:rPr>
        <w:t>22,190,521.87</w:t>
      </w:r>
      <w:r>
        <w:rPr/>
        <w:t>元。</w:t>
      </w:r>
    </w:p>
    <w:p>
      <w:pPr>
        <w:spacing w:line="240" w:lineRule="auto" w:before="6"/>
        <w:rPr>
          <w:rFonts w:ascii="宋体" w:hAnsi="宋体" w:cs="宋体" w:eastAsia="宋体" w:hint="default"/>
          <w:sz w:val="18"/>
          <w:szCs w:val="18"/>
        </w:rPr>
      </w:pPr>
    </w:p>
    <w:p>
      <w:pPr>
        <w:pStyle w:val="Heading3"/>
        <w:spacing w:line="240" w:lineRule="auto"/>
        <w:ind w:right="0"/>
        <w:jc w:val="left"/>
        <w:rPr>
          <w:b w:val="0"/>
          <w:bCs w:val="0"/>
        </w:rPr>
      </w:pPr>
      <w:bookmarkStart w:name="56、库存股" w:id="331"/>
      <w:bookmarkEnd w:id="331"/>
      <w:r>
        <w:rPr>
          <w:b w:val="0"/>
          <w:bCs w:val="0"/>
        </w:rPr>
      </w:r>
      <w:r>
        <w:rPr>
          <w:rFonts w:ascii="Times New Roman" w:hAnsi="Times New Roman" w:cs="Times New Roman" w:eastAsia="Times New Roman" w:hint="default"/>
        </w:rPr>
        <w:t>56</w:t>
      </w:r>
      <w:r>
        <w:rPr/>
        <w:t>、库存股</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4"/>
          <w:szCs w:val="14"/>
        </w:rPr>
      </w:pPr>
    </w:p>
    <w:p>
      <w:pPr>
        <w:pStyle w:val="Heading3"/>
        <w:spacing w:line="240" w:lineRule="auto"/>
        <w:ind w:left="1133" w:right="0"/>
        <w:jc w:val="left"/>
        <w:rPr>
          <w:b w:val="0"/>
          <w:bCs w:val="0"/>
        </w:rPr>
      </w:pPr>
      <w:bookmarkStart w:name="57、其他综合收益" w:id="332"/>
      <w:bookmarkEnd w:id="332"/>
      <w:r>
        <w:rPr>
          <w:b w:val="0"/>
          <w:bCs w:val="0"/>
        </w:rPr>
      </w:r>
      <w:r>
        <w:rPr>
          <w:rFonts w:ascii="Times New Roman" w:hAnsi="Times New Roman" w:cs="Times New Roman" w:eastAsia="Times New Roman" w:hint="default"/>
        </w:rPr>
        <w:t>57</w:t>
      </w:r>
      <w:r>
        <w:rPr/>
        <w:t>、其他综合收益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2799"/>
        <w:gridCol w:w="1070"/>
        <w:gridCol w:w="935"/>
        <w:gridCol w:w="1152"/>
        <w:gridCol w:w="935"/>
        <w:gridCol w:w="936"/>
        <w:gridCol w:w="935"/>
        <w:gridCol w:w="796"/>
      </w:tblGrid>
      <w:tr>
        <w:trPr>
          <w:trHeight w:val="397" w:hRule="exact"/>
        </w:trPr>
        <w:tc>
          <w:tcPr>
            <w:tcW w:w="2799" w:type="dxa"/>
            <w:vMerge w:val="restart"/>
            <w:tcBorders>
              <w:top w:val="single" w:sz="4" w:space="0" w:color="000000"/>
              <w:left w:val="single" w:sz="4" w:space="0" w:color="000000"/>
              <w:right w:val="single" w:sz="4" w:space="0" w:color="000000"/>
            </w:tcBorders>
            <w:shd w:val="clear" w:color="auto" w:fill="D2D2D2"/>
          </w:tcPr>
          <w:p>
            <w:pPr/>
          </w:p>
        </w:tc>
        <w:tc>
          <w:tcPr>
            <w:tcW w:w="1070" w:type="dxa"/>
            <w:vMerge w:val="restart"/>
            <w:tcBorders>
              <w:top w:val="single" w:sz="4" w:space="0" w:color="000000"/>
              <w:left w:val="single" w:sz="4" w:space="0" w:color="000000"/>
              <w:right w:val="single" w:sz="4" w:space="0" w:color="000000"/>
            </w:tcBorders>
            <w:shd w:val="clear" w:color="auto" w:fill="D2D2D2"/>
          </w:tcPr>
          <w:p>
            <w:pP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
        </w:tc>
      </w:tr>
      <w:tr>
        <w:trPr>
          <w:trHeight w:val="121" w:hRule="exact"/>
        </w:trPr>
        <w:tc>
          <w:tcPr>
            <w:tcW w:w="2799" w:type="dxa"/>
            <w:vMerge/>
            <w:tcBorders>
              <w:left w:val="single" w:sz="4" w:space="0" w:color="000000"/>
              <w:bottom w:val="nil" w:sz="6" w:space="0" w:color="auto"/>
              <w:right w:val="single" w:sz="4" w:space="0" w:color="000000"/>
            </w:tcBorders>
            <w:shd w:val="clear" w:color="auto" w:fill="D2D2D2"/>
          </w:tcPr>
          <w:p>
            <w:pPr/>
          </w:p>
        </w:tc>
        <w:tc>
          <w:tcPr>
            <w:tcW w:w="1070" w:type="dxa"/>
            <w:vMerge/>
            <w:tcBorders>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29"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101" w:right="101"/>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796" w:type="dxa"/>
            <w:vMerge/>
            <w:tcBorders>
              <w:left w:val="single" w:sz="4" w:space="0" w:color="000000"/>
              <w:bottom w:val="nil" w:sz="6" w:space="0" w:color="auto"/>
              <w:right w:val="single" w:sz="4" w:space="0" w:color="000000"/>
            </w:tcBorders>
            <w:shd w:val="clear" w:color="auto" w:fill="D2D2D2"/>
          </w:tcPr>
          <w:p>
            <w:pPr/>
          </w:p>
        </w:tc>
      </w:tr>
      <w:tr>
        <w:trPr>
          <w:trHeight w:val="369"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281" w:right="23"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73"/>
              <w:ind w:left="102"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vMerge/>
            <w:tcBorders>
              <w:left w:val="single" w:sz="4" w:space="0" w:color="000000"/>
              <w:right w:val="single" w:sz="4" w:space="0" w:color="000000"/>
            </w:tcBorders>
            <w:shd w:val="clear" w:color="auto" w:fill="D2D2D2"/>
          </w:tcPr>
          <w:p>
            <w:pPr/>
          </w:p>
        </w:tc>
        <w:tc>
          <w:tcPr>
            <w:tcW w:w="7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left="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8" w:hRule="exact"/>
        </w:trPr>
        <w:tc>
          <w:tcPr>
            <w:tcW w:w="2799" w:type="dxa"/>
            <w:vMerge w:val="restart"/>
            <w:tcBorders>
              <w:top w:val="nil" w:sz="6" w:space="0" w:color="auto"/>
              <w:left w:val="single" w:sz="4" w:space="0" w:color="000000"/>
              <w:right w:val="single" w:sz="4" w:space="0" w:color="000000"/>
            </w:tcBorders>
            <w:shd w:val="clear" w:color="auto" w:fill="D2D2D2"/>
          </w:tcPr>
          <w:p>
            <w:pPr/>
          </w:p>
        </w:tc>
        <w:tc>
          <w:tcPr>
            <w:tcW w:w="1070" w:type="dxa"/>
            <w:vMerge w:val="restart"/>
            <w:tcBorders>
              <w:top w:val="nil" w:sz="6" w:space="0" w:color="auto"/>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bottom w:val="nil" w:sz="6" w:space="0" w:color="auto"/>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796"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799"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76"/>
              <w:jc w:val="left"/>
              <w:rPr>
                <w:rFonts w:ascii="宋体" w:hAnsi="宋体" w:cs="宋体" w:eastAsia="宋体" w:hint="default"/>
                <w:sz w:val="18"/>
                <w:szCs w:val="18"/>
              </w:rPr>
            </w:pPr>
            <w:r>
              <w:rPr>
                <w:rFonts w:ascii="宋体" w:hAnsi="宋体" w:cs="宋体" w:eastAsia="宋体" w:hint="default"/>
                <w:sz w:val="18"/>
                <w:szCs w:val="18"/>
              </w:rPr>
              <w:t>二、以后将重分类进损益的其他综 合收益</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38,807.98</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-3,404,992.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35</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-4,324,981.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89</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919,989.54</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-4,286,17</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3.91</w:t>
            </w:r>
          </w:p>
        </w:tc>
      </w:tr>
      <w:tr>
        <w:trPr>
          <w:trHeight w:val="1026" w:hRule="exact"/>
        </w:trPr>
        <w:tc>
          <w:tcPr>
            <w:tcW w:w="27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76"/>
              <w:jc w:val="both"/>
              <w:rPr>
                <w:rFonts w:ascii="宋体" w:hAnsi="宋体" w:cs="宋体" w:eastAsia="宋体" w:hint="default"/>
                <w:sz w:val="18"/>
                <w:szCs w:val="18"/>
              </w:rPr>
            </w:pPr>
            <w:r>
              <w:rPr>
                <w:rFonts w:ascii="宋体" w:hAnsi="宋体" w:cs="宋体" w:eastAsia="宋体" w:hint="default"/>
                <w:sz w:val="18"/>
                <w:szCs w:val="18"/>
              </w:rPr>
              <w:t>其中：权益法下在被投资单位以后 将重分类进损益的其他综合收益中 享有的份额</w:t>
            </w:r>
          </w:p>
        </w:tc>
        <w:tc>
          <w:tcPr>
            <w:tcW w:w="10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1,888,910.27</w:t>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-9,219,659.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73</w:t>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-9,219,659.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73</w:t>
            </w:r>
          </w:p>
        </w:tc>
        <w:tc>
          <w:tcPr>
            <w:tcW w:w="935"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-7,330,74</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9.46</w:t>
            </w: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-1,850,102.29</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5,814,667.3</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4,894,677.8</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919,989.54</w:t>
            </w: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3,044,575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.55</w:t>
            </w:r>
          </w:p>
        </w:tc>
      </w:tr>
      <w:tr>
        <w:trPr>
          <w:trHeight w:val="392"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r>
        <w:trPr>
          <w:trHeight w:val="161" w:hRule="exact"/>
        </w:trPr>
        <w:tc>
          <w:tcPr>
            <w:tcW w:w="2799" w:type="dxa"/>
            <w:tcBorders>
              <w:top w:val="single" w:sz="4" w:space="0" w:color="000000"/>
              <w:left w:val="single" w:sz="4" w:space="0" w:color="000000"/>
              <w:bottom w:val="nil" w:sz="6" w:space="0" w:color="auto"/>
              <w:right w:val="single" w:sz="4" w:space="0" w:color="000000"/>
            </w:tcBorders>
            <w:shd w:val="clear" w:color="auto" w:fill="D2D2D2"/>
          </w:tcPr>
          <w:p>
            <w:pPr/>
          </w:p>
        </w:tc>
        <w:tc>
          <w:tcPr>
            <w:tcW w:w="1070"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08" w:right="0"/>
              <w:jc w:val="left"/>
              <w:rPr>
                <w:rFonts w:ascii="Times New Roman" w:hAnsi="Times New Roman" w:cs="Times New Roman" w:eastAsia="Times New Roman" w:hint="default"/>
                <w:sz w:val="18"/>
                <w:szCs w:val="18"/>
              </w:rPr>
            </w:pPr>
            <w:r>
              <w:rPr>
                <w:rFonts w:ascii="Times New Roman"/>
                <w:sz w:val="18"/>
              </w:rPr>
              <w:t>38,807.98</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-3,404,992.</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35</w:t>
            </w:r>
          </w:p>
        </w:tc>
        <w:tc>
          <w:tcPr>
            <w:tcW w:w="1152" w:type="dxa"/>
            <w:vMerge w:val="restart"/>
            <w:tcBorders>
              <w:top w:val="single" w:sz="4" w:space="0" w:color="000000"/>
              <w:left w:val="single" w:sz="4" w:space="0" w:color="000000"/>
              <w:right w:val="single" w:sz="4" w:space="0" w:color="000000"/>
            </w:tcBorders>
          </w:tcPr>
          <w:p>
            <w:pPr/>
          </w:p>
        </w:tc>
        <w:tc>
          <w:tcPr>
            <w:tcW w:w="935" w:type="dxa"/>
            <w:vMerge w:val="restart"/>
            <w:tcBorders>
              <w:top w:val="single" w:sz="4" w:space="0" w:color="000000"/>
              <w:left w:val="single" w:sz="4" w:space="0" w:color="000000"/>
              <w:right w:val="single" w:sz="4" w:space="0" w:color="000000"/>
            </w:tcBorders>
          </w:tcPr>
          <w:p>
            <w:pPr/>
          </w:p>
        </w:tc>
        <w:tc>
          <w:tcPr>
            <w:tcW w:w="936"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-4,324,981.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89</w:t>
            </w:r>
          </w:p>
        </w:tc>
        <w:tc>
          <w:tcPr>
            <w:tcW w:w="93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919,989.54</w:t>
            </w:r>
          </w:p>
        </w:tc>
        <w:tc>
          <w:tcPr>
            <w:tcW w:w="796" w:type="dxa"/>
            <w:vMerge w:val="restart"/>
            <w:tcBorders>
              <w:top w:val="single" w:sz="4" w:space="0" w:color="000000"/>
              <w:left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-4,286,17</w:t>
            </w:r>
          </w:p>
          <w:p>
            <w:pPr>
              <w:pStyle w:val="TableParagraph"/>
              <w:spacing w:line="240" w:lineRule="auto" w:before="105"/>
              <w:ind w:left="448" w:right="0"/>
              <w:jc w:val="left"/>
              <w:rPr>
                <w:rFonts w:ascii="Times New Roman" w:hAnsi="Times New Roman" w:cs="Times New Roman" w:eastAsia="Times New Roman" w:hint="default"/>
                <w:sz w:val="18"/>
                <w:szCs w:val="18"/>
              </w:rPr>
            </w:pPr>
            <w:r>
              <w:rPr>
                <w:rFonts w:ascii="Times New Roman"/>
                <w:sz w:val="18"/>
              </w:rPr>
              <w:t>3.91</w:t>
            </w:r>
          </w:p>
        </w:tc>
      </w:tr>
      <w:tr>
        <w:trPr>
          <w:trHeight w:val="392" w:hRule="exact"/>
        </w:trPr>
        <w:tc>
          <w:tcPr>
            <w:tcW w:w="279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1070" w:type="dxa"/>
            <w:vMerge/>
            <w:tcBorders>
              <w:left w:val="single" w:sz="9" w:space="0" w:color="D2D2D2"/>
              <w:right w:val="single" w:sz="4" w:space="0" w:color="000000"/>
            </w:tcBorders>
          </w:tcPr>
          <w:p>
            <w:pPr/>
          </w:p>
        </w:tc>
        <w:tc>
          <w:tcPr>
            <w:tcW w:w="935" w:type="dxa"/>
            <w:vMerge/>
            <w:tcBorders>
              <w:left w:val="single" w:sz="4" w:space="0" w:color="000000"/>
              <w:right w:val="single" w:sz="4" w:space="0" w:color="000000"/>
            </w:tcBorders>
          </w:tcPr>
          <w:p>
            <w:pPr/>
          </w:p>
        </w:tc>
        <w:tc>
          <w:tcPr>
            <w:tcW w:w="1152"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936" w:type="dxa"/>
            <w:vMerge/>
            <w:tcBorders>
              <w:left w:val="single" w:sz="4" w:space="0" w:color="000000"/>
              <w:right w:val="single" w:sz="4" w:space="0" w:color="000000"/>
            </w:tcBorders>
          </w:tcPr>
          <w:p>
            <w:pPr/>
          </w:p>
        </w:tc>
        <w:tc>
          <w:tcPr>
            <w:tcW w:w="935" w:type="dxa"/>
            <w:vMerge/>
            <w:tcBorders>
              <w:left w:val="single" w:sz="4" w:space="0" w:color="000000"/>
              <w:right w:val="single" w:sz="4" w:space="0" w:color="000000"/>
            </w:tcBorders>
          </w:tcPr>
          <w:p>
            <w:pPr/>
          </w:p>
        </w:tc>
        <w:tc>
          <w:tcPr>
            <w:tcW w:w="796" w:type="dxa"/>
            <w:vMerge/>
            <w:tcBorders>
              <w:left w:val="single" w:sz="4" w:space="0" w:color="000000"/>
              <w:right w:val="single" w:sz="4" w:space="0" w:color="000000"/>
            </w:tcBorders>
          </w:tcPr>
          <w:p>
            <w:pPr/>
          </w:p>
        </w:tc>
      </w:tr>
      <w:tr>
        <w:trPr>
          <w:trHeight w:val="161" w:hRule="exact"/>
        </w:trPr>
        <w:tc>
          <w:tcPr>
            <w:tcW w:w="2799" w:type="dxa"/>
            <w:tcBorders>
              <w:top w:val="nil" w:sz="6" w:space="0" w:color="auto"/>
              <w:left w:val="single" w:sz="4" w:space="0" w:color="000000"/>
              <w:bottom w:val="single" w:sz="4" w:space="0" w:color="000000"/>
              <w:right w:val="single" w:sz="4" w:space="0" w:color="000000"/>
            </w:tcBorders>
            <w:shd w:val="clear" w:color="auto" w:fill="D2D2D2"/>
          </w:tcPr>
          <w:p>
            <w:pPr/>
          </w:p>
        </w:tc>
        <w:tc>
          <w:tcPr>
            <w:tcW w:w="1070" w:type="dxa"/>
            <w:vMerge/>
            <w:tcBorders>
              <w:left w:val="single" w:sz="9" w:space="0" w:color="D2D2D2"/>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1152"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936" w:type="dxa"/>
            <w:vMerge/>
            <w:tcBorders>
              <w:left w:val="single" w:sz="4" w:space="0" w:color="000000"/>
              <w:bottom w:val="single" w:sz="4" w:space="0" w:color="000000"/>
              <w:right w:val="single" w:sz="4" w:space="0" w:color="000000"/>
            </w:tcBorders>
          </w:tcPr>
          <w:p>
            <w:pPr/>
          </w:p>
        </w:tc>
        <w:tc>
          <w:tcPr>
            <w:tcW w:w="935" w:type="dxa"/>
            <w:vMerge/>
            <w:tcBorders>
              <w:left w:val="single" w:sz="4" w:space="0" w:color="000000"/>
              <w:bottom w:val="single" w:sz="4" w:space="0" w:color="000000"/>
              <w:right w:val="single" w:sz="4" w:space="0" w:color="000000"/>
            </w:tcBorders>
          </w:tcPr>
          <w:p>
            <w:pPr/>
          </w:p>
        </w:tc>
        <w:tc>
          <w:tcPr>
            <w:tcW w:w="796"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left="0" w:right="8373"/>
        <w:jc w:val="center"/>
        <w:rPr>
          <w:b w:val="0"/>
          <w:bCs w:val="0"/>
        </w:rPr>
      </w:pPr>
      <w:bookmarkStart w:name="58、专项储备" w:id="333"/>
      <w:bookmarkEnd w:id="333"/>
      <w:r>
        <w:rPr>
          <w:b w:val="0"/>
          <w:bCs w:val="0"/>
        </w:rPr>
      </w:r>
      <w:r>
        <w:rPr>
          <w:rFonts w:ascii="Times New Roman" w:hAnsi="Times New Roman" w:cs="Times New Roman" w:eastAsia="Times New Roman" w:hint="default"/>
        </w:rPr>
        <w:t>58</w:t>
      </w:r>
      <w:r>
        <w:rPr/>
        <w:t>、专项储备</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left="0" w:right="8373"/>
        <w:jc w:val="center"/>
        <w:rPr>
          <w:b w:val="0"/>
          <w:bCs w:val="0"/>
        </w:rPr>
      </w:pPr>
      <w:bookmarkStart w:name="59、盈余公积" w:id="334"/>
      <w:bookmarkEnd w:id="334"/>
      <w:r>
        <w:rPr>
          <w:b w:val="0"/>
          <w:bCs w:val="0"/>
        </w:rPr>
      </w:r>
      <w:r>
        <w:rPr>
          <w:rFonts w:ascii="Times New Roman" w:hAnsi="Times New Roman" w:cs="Times New Roman" w:eastAsia="Times New Roman" w:hint="default"/>
        </w:rPr>
        <w:t>59</w:t>
      </w:r>
      <w:r>
        <w:rPr/>
        <w:t>、盈余公积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225,840,997.25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5,452,199.19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231,293,196.44</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225,840,997.25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5,452,199.19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231,293,196.44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0、未分配利润" w:id="335"/>
      <w:bookmarkEnd w:id="335"/>
      <w:r>
        <w:rPr>
          <w:b w:val="0"/>
          <w:bCs w:val="0"/>
        </w:rPr>
      </w:r>
      <w:r>
        <w:rPr>
          <w:rFonts w:ascii="Times New Roman" w:hAnsi="Times New Roman" w:cs="Times New Roman" w:eastAsia="Times New Roman" w:hint="default"/>
        </w:rPr>
        <w:t>60</w:t>
      </w:r>
      <w:r>
        <w:rPr/>
        <w:t>、未分配利润</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2,468,546,635.77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2,084,045,123.13</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2,468,546,635.77</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2,084,045,123.13</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119,550,096.20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507,331,705.29</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5,452,199.19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28,464,088.24</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50,988,352.29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94,366,104.41</w:t>
            </w:r>
          </w:p>
        </w:tc>
      </w:tr>
      <w:tr>
        <w:trPr>
          <w:trHeight w:val="1026" w:hRule="exact"/>
        </w:trPr>
        <w:tc>
          <w:tcPr>
            <w:tcW w:w="37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9" w:firstLine="360"/>
              <w:jc w:val="both"/>
              <w:rPr>
                <w:rFonts w:ascii="宋体" w:hAnsi="宋体" w:cs="宋体" w:eastAsia="宋体" w:hint="default"/>
                <w:sz w:val="18"/>
                <w:szCs w:val="18"/>
              </w:rPr>
            </w:pPr>
            <w:r>
              <w:rPr>
                <w:rFonts w:ascii="宋体" w:hAnsi="宋体" w:cs="宋体" w:eastAsia="宋体" w:hint="default"/>
                <w:sz w:val="18"/>
                <w:szCs w:val="18"/>
              </w:rPr>
              <w:t>子公司收购子公司少数股东股权，溢价部 分冲资本公积，子公司资本公积不够冲减部分 冲减未分配利润</w:t>
            </w:r>
          </w:p>
        </w:tc>
        <w:tc>
          <w:tcPr>
            <w:tcW w:w="2936"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811,684.18</w:t>
            </w:r>
          </w:p>
        </w:tc>
        <w:tc>
          <w:tcPr>
            <w:tcW w:w="291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2,530,844,496.31</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2,468,546,635.77</w:t>
            </w:r>
          </w:p>
        </w:tc>
      </w:tr>
    </w:tbl>
    <w:p>
      <w:pPr>
        <w:pStyle w:val="BodyText"/>
        <w:spacing w:line="240" w:lineRule="auto" w:before="51"/>
        <w:ind w:left="1134" w:right="0"/>
        <w:jc w:val="left"/>
      </w:pPr>
      <w:r>
        <w:rPr/>
        <w:t>调整期初未分配利润明细：</w:t>
      </w:r>
    </w:p>
    <w:p>
      <w:pPr>
        <w:pStyle w:val="BodyText"/>
        <w:spacing w:line="240" w:lineRule="auto" w:before="116"/>
        <w:ind w:left="1134" w:right="0"/>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3"/>
        <w:ind w:right="0"/>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0"/>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0"/>
        <w:jc w:val="left"/>
      </w:pPr>
      <w:r>
        <w:rPr>
          <w:rFonts w:ascii="Times New Roman" w:hAnsi="Times New Roman" w:cs="Times New Roman" w:eastAsia="Times New Roman" w:hint="default"/>
        </w:rPr>
        <w:t>4)</w:t>
      </w:r>
      <w:r>
        <w:rPr/>
        <w:t>、由于同一控制导致的合并范围变更，影响期初未分配利润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3"/>
        <w:ind w:right="0"/>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5"/>
          <w:szCs w:val="25"/>
        </w:rPr>
      </w:pPr>
    </w:p>
    <w:p>
      <w:pPr>
        <w:pStyle w:val="Heading3"/>
        <w:spacing w:line="240" w:lineRule="auto"/>
        <w:ind w:right="0"/>
        <w:jc w:val="left"/>
        <w:rPr>
          <w:b w:val="0"/>
          <w:bCs w:val="0"/>
        </w:rPr>
      </w:pPr>
      <w:bookmarkStart w:name="61、营业收入和营业成本" w:id="336"/>
      <w:bookmarkEnd w:id="336"/>
      <w:r>
        <w:rPr>
          <w:b w:val="0"/>
          <w:bCs w:val="0"/>
        </w:rPr>
      </w:r>
      <w:r>
        <w:rPr>
          <w:rFonts w:ascii="Times New Roman" w:hAnsi="Times New Roman" w:cs="Times New Roman" w:eastAsia="Times New Roman" w:hint="default"/>
        </w:rPr>
        <w:t>61</w:t>
      </w:r>
      <w:r>
        <w:rPr/>
        <w:t>、营业收入和营业成本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01"/>
        <w:gridCol w:w="1917"/>
        <w:gridCol w:w="1914"/>
        <w:gridCol w:w="1914"/>
        <w:gridCol w:w="1914"/>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1"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1"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1"/>
                <w:sz w:val="18"/>
              </w:rPr>
              <w:t>1,995,091,245.00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617,627,604.43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2,900,255,945.89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1,708,651,289.16</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31,407,455.16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4,882,429.22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36,325,984.66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4,679,723.43</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3" w:right="0"/>
              <w:jc w:val="left"/>
              <w:rPr>
                <w:rFonts w:ascii="Times New Roman" w:hAnsi="Times New Roman" w:cs="Times New Roman" w:eastAsia="Times New Roman" w:hint="default"/>
                <w:sz w:val="18"/>
                <w:szCs w:val="18"/>
              </w:rPr>
            </w:pPr>
            <w:r>
              <w:rPr>
                <w:rFonts w:ascii="Times New Roman"/>
                <w:sz w:val="18"/>
              </w:rPr>
              <w:t>2,026,498,700.16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56" w:right="0"/>
              <w:jc w:val="left"/>
              <w:rPr>
                <w:rFonts w:ascii="Times New Roman" w:hAnsi="Times New Roman" w:cs="Times New Roman" w:eastAsia="Times New Roman" w:hint="default"/>
                <w:sz w:val="18"/>
                <w:szCs w:val="18"/>
              </w:rPr>
            </w:pPr>
            <w:r>
              <w:rPr>
                <w:rFonts w:ascii="Times New Roman"/>
                <w:sz w:val="18"/>
              </w:rPr>
              <w:t>622,510,033.65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0" w:right="0"/>
              <w:jc w:val="left"/>
              <w:rPr>
                <w:rFonts w:ascii="Times New Roman" w:hAnsi="Times New Roman" w:cs="Times New Roman" w:eastAsia="Times New Roman" w:hint="default"/>
                <w:sz w:val="18"/>
                <w:szCs w:val="18"/>
              </w:rPr>
            </w:pPr>
            <w:r>
              <w:rPr>
                <w:rFonts w:ascii="Times New Roman"/>
                <w:sz w:val="18"/>
              </w:rPr>
              <w:t>2,936,581,930.55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20" w:right="0"/>
              <w:jc w:val="left"/>
              <w:rPr>
                <w:rFonts w:ascii="Times New Roman" w:hAnsi="Times New Roman" w:cs="Times New Roman" w:eastAsia="Times New Roman" w:hint="default"/>
                <w:sz w:val="18"/>
                <w:szCs w:val="18"/>
              </w:rPr>
            </w:pPr>
            <w:r>
              <w:rPr>
                <w:rFonts w:ascii="Times New Roman"/>
                <w:sz w:val="18"/>
              </w:rPr>
              <w:t>1,713,331,012.59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2、税金及附加" w:id="337"/>
      <w:bookmarkEnd w:id="337"/>
      <w:r>
        <w:rPr>
          <w:b w:val="0"/>
          <w:bCs w:val="0"/>
        </w:rPr>
      </w:r>
      <w:r>
        <w:rPr>
          <w:rFonts w:ascii="Times New Roman" w:hAnsi="Times New Roman" w:cs="Times New Roman" w:eastAsia="Times New Roman" w:hint="default"/>
        </w:rPr>
        <w:t>62</w:t>
      </w:r>
      <w:r>
        <w:rPr/>
        <w:t>、税金及附加</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3,707,024.58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4,024,638.63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2,646,837.08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2,874,063.79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1,737,502.02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2,405,194.76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804,955.69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房产税及土地使用税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6,006,102.79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3,752,022.86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1,817,224.21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1,833,104.07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15,914,690.68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15,693,979.80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3、销售费用" w:id="338"/>
      <w:bookmarkEnd w:id="338"/>
      <w:r>
        <w:rPr>
          <w:b w:val="0"/>
          <w:bCs w:val="0"/>
        </w:rPr>
      </w:r>
      <w:r>
        <w:rPr>
          <w:rFonts w:ascii="Times New Roman" w:hAnsi="Times New Roman" w:cs="Times New Roman" w:eastAsia="Times New Roman" w:hint="default"/>
        </w:rPr>
        <w:t>63</w:t>
      </w:r>
      <w:r>
        <w:rPr/>
        <w:t>、销售费用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90"/>
      </w:tblGrid>
      <w:tr>
        <w:trPr>
          <w:trHeight w:val="401" w:hRule="exact"/>
        </w:trPr>
        <w:tc>
          <w:tcPr>
            <w:tcW w:w="3189"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62,901,848.76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60,249,935.01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128,427.99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278,346.09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14,075,462.83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11,002,708.76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7,692,014.12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6,454,777.71</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运输费、汽车车辆使用费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4,666,062.08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3,239,959.92</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96"/>
              <w:jc w:val="left"/>
              <w:rPr>
                <w:rFonts w:ascii="宋体" w:hAnsi="宋体" w:cs="宋体" w:eastAsia="宋体" w:hint="default"/>
                <w:sz w:val="18"/>
                <w:szCs w:val="18"/>
              </w:rPr>
            </w:pPr>
            <w:r>
              <w:rPr>
                <w:rFonts w:ascii="宋体" w:hAnsi="宋体" w:cs="宋体" w:eastAsia="宋体" w:hint="default"/>
                <w:sz w:val="18"/>
                <w:szCs w:val="18"/>
              </w:rPr>
              <w:t>广告费、展览费、宣传费、样品、样件 拍摄费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353,622,061.90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83,538,492.73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28,880.25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53,847.97</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96"/>
              <w:jc w:val="left"/>
              <w:rPr>
                <w:rFonts w:ascii="宋体" w:hAnsi="宋体" w:cs="宋体" w:eastAsia="宋体" w:hint="default"/>
                <w:sz w:val="18"/>
                <w:szCs w:val="18"/>
              </w:rPr>
            </w:pPr>
            <w:r>
              <w:rPr>
                <w:rFonts w:ascii="宋体" w:hAnsi="宋体" w:cs="宋体" w:eastAsia="宋体" w:hint="default"/>
                <w:sz w:val="18"/>
                <w:szCs w:val="18"/>
              </w:rPr>
              <w:t>办公费、电信费、水电费、通讯费、会 务费、董事会费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7,369,578.99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8,066,422.62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修理费、维修费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852,831.23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509,660.88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预计质保费用</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1,486,741.70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-270,388.54</w:t>
            </w:r>
            <w:r>
              <w:rPr>
                <w:rFonts w:ascii="Times New Roman"/>
                <w:sz w:val="18"/>
              </w:rPr>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3,867,755.49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2,277,407.54</w:t>
            </w:r>
          </w:p>
        </w:tc>
      </w:tr>
      <w:tr>
        <w:trPr>
          <w:trHeight w:val="403"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456,691,665.34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175,401,170.69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4、管理费用" w:id="339"/>
      <w:bookmarkEnd w:id="339"/>
      <w:r>
        <w:rPr>
          <w:b w:val="0"/>
          <w:bCs w:val="0"/>
        </w:rPr>
      </w:r>
      <w:r>
        <w:rPr>
          <w:rFonts w:ascii="Times New Roman" w:hAnsi="Times New Roman" w:cs="Times New Roman" w:eastAsia="Times New Roman" w:hint="default"/>
        </w:rPr>
        <w:t>64</w:t>
      </w:r>
      <w:r>
        <w:rPr/>
        <w:t>、管理费用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201"/>
        <w:gridCol w:w="3179"/>
        <w:gridCol w:w="3179"/>
      </w:tblGrid>
      <w:tr>
        <w:trPr>
          <w:trHeight w:val="402" w:hRule="exact"/>
        </w:trPr>
        <w:tc>
          <w:tcPr>
            <w:tcW w:w="3201"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8"/>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469,451,931.38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424,136,059.53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20,648,144.42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19,770,858.70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51,595,635.92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38,641,820.28</w:t>
            </w:r>
          </w:p>
        </w:tc>
      </w:tr>
      <w:tr>
        <w:trPr>
          <w:trHeight w:val="714"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96"/>
              <w:jc w:val="left"/>
              <w:rPr>
                <w:rFonts w:ascii="宋体" w:hAnsi="宋体" w:cs="宋体" w:eastAsia="宋体" w:hint="default"/>
                <w:sz w:val="18"/>
                <w:szCs w:val="18"/>
              </w:rPr>
            </w:pPr>
            <w:r>
              <w:rPr>
                <w:rFonts w:ascii="宋体" w:hAnsi="宋体" w:cs="宋体" w:eastAsia="宋体" w:hint="default"/>
                <w:sz w:val="18"/>
                <w:szCs w:val="18"/>
              </w:rPr>
              <w:t>办公费、电信费、水电费、通讯费、会 务费、董事会费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20,137,986.77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21,457,895.69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26,592,003.93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22,516,464.72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运输费、汽车车辆使用费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5,138,408.38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4,054,131.65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中介机构费用</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6,112,360.45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5,149,971.65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劳动保护费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4,280.10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16,411.00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21,499,629.61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21,194,598.26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2,696,331.53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1,361,567.89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12,977,029.77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13,133,626.20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修理费、维修费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788,571.86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364,074.49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诉讼费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1,831,410.93</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物料消耗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1,455,157.73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2,826,766.06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咨询及服务费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15,903,587.61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19,317,092.30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低值易耗品摊销</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2,937,602.54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1,641,728.94</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税金</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2,697,426.05</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82,559,229.83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67,493,904.99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检验费</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343,891.94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359,401.90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2,924,420.65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3,260,731.80</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745,597,615.35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669,394,532.10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5、财务费用" w:id="340"/>
      <w:bookmarkEnd w:id="340"/>
      <w:r>
        <w:rPr>
          <w:b w:val="0"/>
          <w:bCs w:val="0"/>
        </w:rPr>
      </w:r>
      <w:r>
        <w:rPr>
          <w:rFonts w:ascii="Times New Roman" w:hAnsi="Times New Roman" w:cs="Times New Roman" w:eastAsia="Times New Roman" w:hint="default"/>
        </w:rPr>
        <w:t>65</w:t>
      </w:r>
      <w:r>
        <w:rPr/>
        <w:t>、财务费用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57,200,271.31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20,934,304.43</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4,554,561.87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4,464,354.98</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14,176,107.59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-8,883,317.29</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现金折扣</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-805,144.65</w:t>
            </w:r>
            <w:r>
              <w:rPr>
                <w:rFonts w:ascii="Times New Roman"/>
                <w:sz w:val="18"/>
              </w:rPr>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-1,606,023.76</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2,818,401.36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2,746,099.72</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68,835,073.74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8,726,708.12</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66、资产减值损失" w:id="341"/>
      <w:bookmarkEnd w:id="341"/>
      <w:r>
        <w:rPr>
          <w:b w:val="0"/>
          <w:bCs w:val="0"/>
        </w:rPr>
      </w:r>
      <w:r>
        <w:rPr>
          <w:rFonts w:ascii="Times New Roman" w:hAnsi="Times New Roman" w:cs="Times New Roman" w:eastAsia="Times New Roman" w:hint="default"/>
        </w:rPr>
        <w:t>66</w:t>
      </w:r>
      <w:r>
        <w:rPr/>
        <w:t>、资产减值损失</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75,490,535.18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63,093,888.26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5,262,255.71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1,907,032.15</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三、无形资产减值损失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4,715,971.38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4,750,162.96</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四、商誉减值损失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2,037,600.00</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92,068,762.27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71,788,683.37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7、公允价值变动收益" w:id="342"/>
      <w:bookmarkEnd w:id="342"/>
      <w:r>
        <w:rPr>
          <w:b w:val="0"/>
          <w:bCs w:val="0"/>
        </w:rPr>
      </w:r>
      <w:r>
        <w:rPr>
          <w:rFonts w:ascii="Times New Roman" w:hAnsi="Times New Roman" w:cs="Times New Roman" w:eastAsia="Times New Roman" w:hint="default"/>
        </w:rPr>
        <w:t>67</w:t>
      </w:r>
      <w:r>
        <w:rPr/>
        <w:t>、公允价值变动收益</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left="1133" w:right="0"/>
        <w:jc w:val="left"/>
        <w:rPr>
          <w:b w:val="0"/>
          <w:bCs w:val="0"/>
        </w:rPr>
      </w:pPr>
      <w:bookmarkStart w:name="68、投资收益" w:id="343"/>
      <w:bookmarkEnd w:id="343"/>
      <w:r>
        <w:rPr>
          <w:b w:val="0"/>
          <w:bCs w:val="0"/>
        </w:rPr>
      </w:r>
      <w:r>
        <w:rPr>
          <w:rFonts w:ascii="Times New Roman" w:hAnsi="Times New Roman" w:cs="Times New Roman" w:eastAsia="Times New Roman" w:hint="default"/>
        </w:rPr>
        <w:t>68</w:t>
      </w:r>
      <w:r>
        <w:rPr/>
        <w:t>、投资收益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460"/>
        <w:gridCol w:w="3191"/>
        <w:gridCol w:w="2918"/>
      </w:tblGrid>
      <w:tr>
        <w:trPr>
          <w:trHeight w:val="401"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-11,164,660.01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2"/>
                <w:sz w:val="18"/>
              </w:rPr>
              <w:t>10,113,511.21</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5,767,898.47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11,951,917.00</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3,401,909.00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3,292,170.00</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57,238,765.38</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684,379.57</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1"/>
                <w:sz w:val="18"/>
                <w:szCs w:val="18"/>
              </w:rPr>
              <w:t>对子公司丧失控制权改用权益法计量，剩余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股权按公允价值重新计量产生的利得</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6,142,117.12</w:t>
            </w:r>
          </w:p>
        </w:tc>
      </w:tr>
      <w:tr>
        <w:trPr>
          <w:trHeight w:val="1026"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z w:val="18"/>
                <w:szCs w:val="18"/>
              </w:rPr>
              <w:t>对子公司丧失控制权转为可供出售金融资 </w:t>
            </w:r>
            <w:r>
              <w:rPr>
                <w:rFonts w:ascii="宋体" w:hAnsi="宋体" w:cs="宋体" w:eastAsia="宋体" w:hint="default"/>
                <w:spacing w:val="-1"/>
                <w:sz w:val="18"/>
                <w:szCs w:val="18"/>
              </w:rPr>
              <w:t>产，剩余股权按公允价值重新计量产生的利</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得</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6,742,631.87</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股份注销确认权益工具形成收益</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166,886,615.94</w:t>
            </w:r>
          </w:p>
        </w:tc>
      </w:tr>
      <w:tr>
        <w:trPr>
          <w:trHeight w:val="1026"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85"/>
              <w:jc w:val="both"/>
              <w:rPr>
                <w:rFonts w:ascii="宋体" w:hAnsi="宋体" w:cs="宋体" w:eastAsia="宋体" w:hint="default"/>
                <w:sz w:val="18"/>
                <w:szCs w:val="18"/>
              </w:rPr>
            </w:pPr>
            <w:r>
              <w:rPr>
                <w:rFonts w:ascii="宋体" w:hAnsi="宋体" w:cs="宋体" w:eastAsia="宋体" w:hint="default"/>
                <w:sz w:val="18"/>
                <w:szCs w:val="18"/>
              </w:rPr>
              <w:t>权益法核算的长期股权投资转可供出售金 融资产持有期间确认的除净损益以外的其 他权益变动转投资收益</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6,183,450.28</w:t>
            </w:r>
          </w:p>
        </w:tc>
      </w:tr>
      <w:tr>
        <w:trPr>
          <w:trHeight w:val="1026"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21"/>
              <w:jc w:val="left"/>
              <w:rPr>
                <w:rFonts w:ascii="宋体" w:hAnsi="宋体" w:cs="宋体" w:eastAsia="宋体" w:hint="default"/>
                <w:sz w:val="18"/>
                <w:szCs w:val="18"/>
              </w:rPr>
            </w:pPr>
            <w:r>
              <w:rPr>
                <w:rFonts w:ascii="宋体" w:hAnsi="宋体" w:cs="宋体" w:eastAsia="宋体" w:hint="default"/>
                <w:spacing w:val="-1"/>
                <w:sz w:val="18"/>
                <w:szCs w:val="18"/>
              </w:rPr>
              <w:t>企业取得子公司、联营企业及合营企业的投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资成本大于取得投资时应享有被投资单位 可辨认净资产公允价值产生的损失</w:t>
            </w:r>
          </w:p>
        </w:tc>
        <w:tc>
          <w:tcPr>
            <w:tcW w:w="3191" w:type="dxa"/>
            <w:tcBorders>
              <w:top w:val="single" w:sz="4" w:space="0" w:color="000000"/>
              <w:left w:val="single" w:sz="4" w:space="0" w:color="000000"/>
              <w:bottom w:val="single" w:sz="4" w:space="0" w:color="000000"/>
              <w:right w:val="single" w:sz="4" w:space="0" w:color="000000"/>
            </w:tcBorders>
          </w:tcPr>
          <w:p>
            <w:pP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-20,800,367.11</w:t>
            </w:r>
          </w:p>
        </w:tc>
      </w:tr>
      <w:tr>
        <w:trPr>
          <w:trHeight w:val="404" w:hRule="exact"/>
        </w:trPr>
        <w:tc>
          <w:tcPr>
            <w:tcW w:w="34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55,243,912.84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191,196,425.88</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9、资产处置收益" w:id="344"/>
      <w:bookmarkEnd w:id="344"/>
      <w:r>
        <w:rPr>
          <w:b w:val="0"/>
          <w:bCs w:val="0"/>
        </w:rPr>
      </w:r>
      <w:r>
        <w:rPr>
          <w:rFonts w:ascii="Times New Roman" w:hAnsi="Times New Roman" w:cs="Times New Roman" w:eastAsia="Times New Roman" w:hint="default"/>
        </w:rPr>
        <w:t>69</w:t>
      </w:r>
      <w:r>
        <w:rPr/>
        <w:t>、资产处置收益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after="0" w:line="240" w:lineRule="auto"/>
        <w:jc w:val="righ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非流动资产处置利得</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6,125,520.23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209,097.37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6,125,520.23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209,097.37</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70、其他收益" w:id="345"/>
      <w:bookmarkEnd w:id="345"/>
      <w:r>
        <w:rPr>
          <w:b w:val="0"/>
          <w:bCs w:val="0"/>
        </w:rPr>
      </w:r>
      <w:r>
        <w:rPr>
          <w:rFonts w:ascii="Times New Roman" w:hAnsi="Times New Roman" w:cs="Times New Roman" w:eastAsia="Times New Roman" w:hint="default"/>
        </w:rPr>
        <w:t>70</w:t>
      </w:r>
      <w:r>
        <w:rPr/>
        <w:t>、其他收益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5388"/>
        <w:gridCol w:w="2092"/>
        <w:gridCol w:w="2090"/>
      </w:tblGrid>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20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0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收到的与资产相关的政府补助</w:t>
            </w:r>
            <w:r>
              <w:rPr>
                <w:rFonts w:ascii="宋体" w:hAnsi="宋体" w:cs="宋体" w:eastAsia="宋体" w:hint="default"/>
                <w:sz w:val="18"/>
                <w:szCs w:val="18"/>
              </w:rPr>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z w:val="18"/>
              </w:rPr>
              <w:t>431,000.00</w:t>
            </w:r>
            <w:r>
              <w:rPr>
                <w:rFonts w:ascii="Times New Roman"/>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其中：电动汽车智能交互系统研制及产业化</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216,000.00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面向精确定位与移动通信的智慧线设备研制</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200,000.00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固定资产装修补贴</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收到的与收益相关的政府补助</w:t>
            </w:r>
            <w:r>
              <w:rPr>
                <w:rFonts w:ascii="宋体" w:hAnsi="宋体" w:cs="宋体" w:eastAsia="宋体" w:hint="default"/>
                <w:sz w:val="18"/>
                <w:szCs w:val="18"/>
              </w:rPr>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5,218,161.18</w:t>
            </w:r>
            <w:r>
              <w:rPr>
                <w:rFonts w:ascii="Times New Roman"/>
                <w:spacing w:val="-1"/>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其中：基于复杂信息系统的大数据智能运维分析与管理平台</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4,024,720.08</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面向移动互联网的网络协同及融合体系与关键技术研究</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1,080,400.00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基于客户价值生命周期智能动态大数据挖掘与分析平台项目</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330,000.00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创新基金项目补助</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180,000.00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中关村科技园区海淀园管理委员会款</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重庆农信涉及信息垂直搜索引擎云平台升级改造（注）</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-570,036.26</w:t>
            </w:r>
            <w:r>
              <w:rPr>
                <w:rFonts w:ascii="Times New Roman"/>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其他零星补贴</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93,077.36</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增值税退税</w:t>
            </w:r>
            <w:r>
              <w:rPr>
                <w:rFonts w:ascii="宋体" w:hAnsi="宋体" w:cs="宋体" w:eastAsia="宋体" w:hint="default"/>
                <w:sz w:val="18"/>
                <w:szCs w:val="18"/>
              </w:rPr>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pacing w:val="-1"/>
                <w:sz w:val="18"/>
              </w:rPr>
              <w:t>13,529,573.61</w:t>
            </w:r>
            <w:r>
              <w:rPr>
                <w:rFonts w:ascii="Times New Roman"/>
                <w:spacing w:val="-1"/>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与知识产权相关的补贴</w:t>
            </w:r>
            <w:r>
              <w:rPr>
                <w:rFonts w:ascii="宋体" w:hAnsi="宋体" w:cs="宋体" w:eastAsia="宋体" w:hint="default"/>
                <w:sz w:val="18"/>
                <w:szCs w:val="18"/>
              </w:rPr>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z w:val="18"/>
              </w:rPr>
              <w:t>587,668.00</w:t>
            </w:r>
            <w:r>
              <w:rPr>
                <w:rFonts w:ascii="Times New Roman"/>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其中：专项资金补贴</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265,000.00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专利资助金</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237,668.00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知识产权补助</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51,800.00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72" w:right="0"/>
              <w:jc w:val="left"/>
              <w:rPr>
                <w:rFonts w:ascii="宋体" w:hAnsi="宋体" w:cs="宋体" w:eastAsia="宋体" w:hint="default"/>
                <w:sz w:val="18"/>
                <w:szCs w:val="18"/>
              </w:rPr>
            </w:pPr>
            <w:r>
              <w:rPr>
                <w:rFonts w:ascii="宋体" w:hAnsi="宋体" w:cs="宋体" w:eastAsia="宋体" w:hint="default"/>
                <w:sz w:val="18"/>
                <w:szCs w:val="18"/>
              </w:rPr>
              <w:t>收到中关村企业信用促进会中介服务资金</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26,200.00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72" w:right="0"/>
              <w:jc w:val="left"/>
              <w:rPr>
                <w:rFonts w:ascii="宋体" w:hAnsi="宋体" w:cs="宋体" w:eastAsia="宋体" w:hint="default"/>
                <w:sz w:val="18"/>
                <w:szCs w:val="18"/>
              </w:rPr>
            </w:pPr>
            <w:r>
              <w:rPr>
                <w:rFonts w:ascii="宋体" w:hAnsi="宋体" w:cs="宋体" w:eastAsia="宋体" w:hint="default"/>
                <w:sz w:val="18"/>
                <w:szCs w:val="18"/>
              </w:rPr>
              <w:t>专利资助费用</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72" w:right="0"/>
              <w:jc w:val="left"/>
              <w:rPr>
                <w:rFonts w:ascii="宋体" w:hAnsi="宋体" w:cs="宋体" w:eastAsia="宋体" w:hint="default"/>
                <w:sz w:val="18"/>
                <w:szCs w:val="18"/>
              </w:rPr>
            </w:pPr>
            <w:r>
              <w:rPr>
                <w:rFonts w:ascii="宋体" w:hAnsi="宋体" w:cs="宋体" w:eastAsia="宋体" w:hint="default"/>
                <w:sz w:val="18"/>
                <w:szCs w:val="18"/>
              </w:rPr>
              <w:t>信用报告专项补贴</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b/>
                <w:bCs/>
                <w:sz w:val="18"/>
                <w:szCs w:val="18"/>
              </w:rPr>
              <w:t>与人力资源相关的补贴</w:t>
            </w:r>
            <w:r>
              <w:rPr>
                <w:rFonts w:ascii="宋体" w:hAnsi="宋体" w:cs="宋体" w:eastAsia="宋体" w:hint="default"/>
                <w:sz w:val="18"/>
                <w:szCs w:val="18"/>
              </w:rPr>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b/>
                <w:sz w:val="18"/>
              </w:rPr>
              <w:t>465,184.24</w:t>
            </w:r>
            <w:r>
              <w:rPr>
                <w:rFonts w:ascii="Times New Roman"/>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其中：残疾人岗位补贴</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401,000.00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大学生社保补助</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41,498.00</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稳岗补贴款</w:t>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22,686.24</w:t>
            </w:r>
          </w:p>
        </w:tc>
        <w:tc>
          <w:tcPr>
            <w:tcW w:w="20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5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276" w:right="0"/>
              <w:jc w:val="left"/>
              <w:rPr>
                <w:rFonts w:ascii="宋体" w:hAnsi="宋体" w:cs="宋体" w:eastAsia="宋体" w:hint="default"/>
                <w:sz w:val="18"/>
                <w:szCs w:val="18"/>
              </w:rPr>
            </w:pPr>
            <w:r>
              <w:rPr>
                <w:rFonts w:ascii="宋体" w:hAnsi="宋体" w:cs="宋体" w:eastAsia="宋体" w:hint="default"/>
                <w:b/>
                <w:bCs/>
                <w:sz w:val="18"/>
                <w:szCs w:val="18"/>
              </w:rPr>
              <w:t>合计</w:t>
            </w:r>
            <w:r>
              <w:rPr>
                <w:rFonts w:ascii="宋体" w:hAnsi="宋体" w:cs="宋体" w:eastAsia="宋体" w:hint="default"/>
                <w:sz w:val="18"/>
                <w:szCs w:val="18"/>
              </w:rPr>
            </w:r>
          </w:p>
        </w:tc>
        <w:tc>
          <w:tcPr>
            <w:tcW w:w="2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1"/>
              <w:jc w:val="right"/>
              <w:rPr>
                <w:rFonts w:ascii="Times New Roman" w:hAnsi="Times New Roman" w:cs="Times New Roman" w:eastAsia="Times New Roman" w:hint="default"/>
                <w:sz w:val="18"/>
                <w:szCs w:val="18"/>
              </w:rPr>
            </w:pPr>
            <w:r>
              <w:rPr>
                <w:rFonts w:ascii="Times New Roman"/>
                <w:b/>
                <w:spacing w:val="-1"/>
                <w:sz w:val="18"/>
              </w:rPr>
              <w:t>20,231,587.03</w:t>
            </w:r>
            <w:r>
              <w:rPr>
                <w:rFonts w:ascii="Times New Roman"/>
                <w:spacing w:val="-1"/>
                <w:sz w:val="18"/>
              </w:rPr>
            </w:r>
          </w:p>
        </w:tc>
        <w:tc>
          <w:tcPr>
            <w:tcW w:w="209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09" w:lineRule="auto" w:before="10"/>
        <w:ind w:right="1131"/>
        <w:jc w:val="both"/>
      </w:pPr>
      <w:r>
        <w:rPr>
          <w:spacing w:val="-1"/>
        </w:rPr>
        <w:t>注：根据重庆市财政局、重庆市发展和改革委员会、重庆市经济和信息化委员会渝财产业</w:t>
      </w:r>
      <w:r>
        <w:rPr>
          <w:rFonts w:ascii="Times New Roman" w:hAnsi="Times New Roman" w:cs="Times New Roman" w:eastAsia="Times New Roman" w:hint="default"/>
          <w:spacing w:val="-1"/>
        </w:rPr>
        <w:t>[2017]68</w:t>
      </w:r>
      <w:r>
        <w:rPr>
          <w:spacing w:val="-1"/>
        </w:rPr>
        <w:t>号文件《关于收回</w:t>
      </w:r>
      <w:r>
        <w:rPr>
          <w:rFonts w:ascii="Times New Roman" w:hAnsi="Times New Roman" w:cs="Times New Roman" w:eastAsia="Times New Roman" w:hint="default"/>
          <w:spacing w:val="-1"/>
        </w:rPr>
        <w:t>2012</w:t>
      </w:r>
      <w:r>
        <w:rPr>
          <w:spacing w:val="-1"/>
        </w:rPr>
        <w:t>年</w:t>
      </w:r>
      <w:r>
        <w:rPr>
          <w:spacing w:val="-53"/>
        </w:rPr>
        <w:t> </w:t>
      </w:r>
      <w:r>
        <w:rPr>
          <w:spacing w:val="-2"/>
        </w:rPr>
        <w:t>电子信息产业振兴和技术改造项目（第一批）部分资金的通知》，本期将涉农信息垂直搜索引擎云平台升级改造项目已拨付</w:t>
      </w:r>
      <w:r>
        <w:rPr>
          <w:spacing w:val="-66"/>
        </w:rPr>
        <w:t> </w:t>
      </w:r>
      <w:r>
        <w:rPr>
          <w:spacing w:val="-66"/>
        </w:rPr>
      </w:r>
      <w:r>
        <w:rPr/>
        <w:t>的财政资金共计</w:t>
      </w:r>
      <w:r>
        <w:rPr>
          <w:rFonts w:ascii="Times New Roman" w:hAnsi="Times New Roman" w:cs="Times New Roman" w:eastAsia="Times New Roman" w:hint="default"/>
        </w:rPr>
        <w:t>92</w:t>
      </w:r>
      <w:r>
        <w:rPr/>
        <w:t>万元全额退回重庆市财政局</w:t>
      </w:r>
      <w:r>
        <w:rPr>
          <w:rFonts w:ascii="Times New Roman" w:hAnsi="Times New Roman" w:cs="Times New Roman" w:eastAsia="Times New Roman" w:hint="default"/>
        </w:rPr>
        <w:t>22000000000227100019</w:t>
      </w:r>
      <w:r>
        <w:rPr/>
        <w:t>账户，将以前年度已确认营业外收入</w:t>
      </w:r>
      <w:r>
        <w:rPr>
          <w:rFonts w:ascii="Times New Roman" w:hAnsi="Times New Roman" w:cs="Times New Roman" w:eastAsia="Times New Roman" w:hint="default"/>
        </w:rPr>
        <w:t>570,036.26</w:t>
      </w:r>
      <w:r>
        <w:rPr/>
        <w:t>元冲减</w:t>
      </w:r>
    </w:p>
    <w:p>
      <w:pPr>
        <w:spacing w:after="0" w:line="309" w:lineRule="auto"/>
        <w:jc w:val="both"/>
        <w:sectPr>
          <w:pgSz w:w="11910" w:h="16840"/>
          <w:pgMar w:header="851" w:footer="979" w:top="1320" w:bottom="1160" w:left="0" w:right="0"/>
        </w:sectPr>
      </w:pPr>
    </w:p>
    <w:p>
      <w:pPr>
        <w:pStyle w:val="BodyText"/>
        <w:spacing w:line="240" w:lineRule="auto" w:before="114"/>
        <w:ind w:left="1134" w:right="0"/>
        <w:jc w:val="left"/>
      </w:pPr>
      <w:r>
        <w:rPr/>
        <w:t>本期其他收益，递延收益余额</w:t>
      </w:r>
      <w:r>
        <w:rPr>
          <w:rFonts w:ascii="Times New Roman" w:hAnsi="Times New Roman" w:cs="Times New Roman" w:eastAsia="Times New Roman" w:hint="default"/>
        </w:rPr>
        <w:t>349,963.74</w:t>
      </w:r>
      <w:r>
        <w:rPr/>
        <w:t>元一并返还重庆财政局。</w:t>
      </w:r>
    </w:p>
    <w:p>
      <w:pPr>
        <w:spacing w:line="240" w:lineRule="auto" w:before="11"/>
        <w:rPr>
          <w:rFonts w:ascii="宋体" w:hAnsi="宋体" w:cs="宋体" w:eastAsia="宋体" w:hint="default"/>
          <w:sz w:val="25"/>
          <w:szCs w:val="25"/>
        </w:rPr>
      </w:pPr>
    </w:p>
    <w:p>
      <w:pPr>
        <w:pStyle w:val="Heading3"/>
        <w:spacing w:line="240" w:lineRule="auto"/>
        <w:ind w:left="1133" w:right="0"/>
        <w:jc w:val="left"/>
        <w:rPr>
          <w:b w:val="0"/>
          <w:bCs w:val="0"/>
        </w:rPr>
      </w:pPr>
      <w:bookmarkStart w:name="71、营业外收入" w:id="346"/>
      <w:bookmarkEnd w:id="346"/>
      <w:r>
        <w:rPr>
          <w:b w:val="0"/>
          <w:bCs w:val="0"/>
        </w:rPr>
      </w:r>
      <w:r>
        <w:rPr>
          <w:rFonts w:ascii="Times New Roman" w:hAnsi="Times New Roman" w:cs="Times New Roman" w:eastAsia="Times New Roman" w:hint="default"/>
        </w:rPr>
        <w:t>71</w:t>
      </w:r>
      <w:r>
        <w:rPr/>
        <w:t>、营业外收入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713"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35,923,566.19</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无需支付的股权转让款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5,833,333.33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5,553,369.98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5,833,333.33</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收到广通原股东赔偿</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4,743,117.94</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4,743,117.94</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无需支付的款项</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2,602,550.94</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2,602,550.94</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144,710.87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90,425.16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144,710.87</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13,323,713.08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41,567,361.33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13,323,713.08</w:t>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计入当期损益的政府补助：</w:t>
      </w:r>
    </w:p>
    <w:p>
      <w:pPr>
        <w:spacing w:line="240" w:lineRule="auto" w:before="6"/>
        <w:rPr>
          <w:rFonts w:ascii="宋体" w:hAnsi="宋体" w:cs="宋体" w:eastAsia="宋体" w:hint="default"/>
          <w:sz w:val="11"/>
          <w:szCs w:val="11"/>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065"/>
        <w:gridCol w:w="1063"/>
        <w:gridCol w:w="1063"/>
        <w:gridCol w:w="1064"/>
        <w:gridCol w:w="1063"/>
        <w:gridCol w:w="1063"/>
        <w:gridCol w:w="1064"/>
        <w:gridCol w:w="1062"/>
        <w:gridCol w:w="1063"/>
      </w:tblGrid>
      <w:tr>
        <w:trPr>
          <w:trHeight w:val="71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68"/>
              <w:jc w:val="right"/>
              <w:rPr>
                <w:rFonts w:ascii="宋体" w:hAnsi="宋体" w:cs="宋体" w:eastAsia="宋体" w:hint="default"/>
                <w:sz w:val="18"/>
                <w:szCs w:val="18"/>
              </w:rPr>
            </w:pPr>
            <w:r>
              <w:rPr>
                <w:rFonts w:ascii="宋体" w:hAnsi="宋体" w:cs="宋体" w:eastAsia="宋体" w:hint="default"/>
                <w:sz w:val="18"/>
                <w:szCs w:val="18"/>
              </w:rPr>
              <w:t>补助项目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5" w:right="77"/>
              <w:jc w:val="left"/>
              <w:rPr>
                <w:rFonts w:ascii="宋体" w:hAnsi="宋体" w:cs="宋体" w:eastAsia="宋体" w:hint="default"/>
                <w:sz w:val="18"/>
                <w:szCs w:val="18"/>
              </w:rPr>
            </w:pPr>
            <w:r>
              <w:rPr>
                <w:rFonts w:ascii="宋体" w:hAnsi="宋体" w:cs="宋体" w:eastAsia="宋体" w:hint="default"/>
                <w:sz w:val="18"/>
                <w:szCs w:val="18"/>
              </w:rPr>
              <w:t>补贴是否影 响当年盈亏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是否特殊补 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5" w:right="76" w:hanging="360"/>
              <w:jc w:val="left"/>
              <w:rPr>
                <w:rFonts w:ascii="宋体" w:hAnsi="宋体" w:cs="宋体" w:eastAsia="宋体" w:hint="default"/>
                <w:sz w:val="18"/>
                <w:szCs w:val="18"/>
              </w:rPr>
            </w:pPr>
            <w:r>
              <w:rPr>
                <w:rFonts w:ascii="宋体" w:hAnsi="宋体" w:cs="宋体" w:eastAsia="宋体" w:hint="default"/>
                <w:sz w:val="18"/>
                <w:szCs w:val="18"/>
              </w:rPr>
              <w:t>本期发生金 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5" w:right="74" w:hanging="360"/>
              <w:jc w:val="left"/>
              <w:rPr>
                <w:rFonts w:ascii="宋体" w:hAnsi="宋体" w:cs="宋体" w:eastAsia="宋体" w:hint="default"/>
                <w:sz w:val="18"/>
                <w:szCs w:val="18"/>
              </w:rPr>
            </w:pPr>
            <w:r>
              <w:rPr>
                <w:rFonts w:ascii="宋体" w:hAnsi="宋体" w:cs="宋体" w:eastAsia="宋体" w:hint="default"/>
                <w:sz w:val="18"/>
                <w:szCs w:val="18"/>
              </w:rPr>
              <w:t>上期发生金 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2" w:right="132"/>
              <w:jc w:val="left"/>
              <w:rPr>
                <w:rFonts w:ascii="宋体" w:hAnsi="宋体" w:cs="宋体" w:eastAsia="宋体" w:hint="default"/>
                <w:sz w:val="18"/>
                <w:szCs w:val="18"/>
              </w:rPr>
            </w:pPr>
            <w:r>
              <w:rPr>
                <w:rFonts w:ascii="宋体" w:hAnsi="宋体" w:cs="宋体" w:eastAsia="宋体" w:hint="default"/>
                <w:sz w:val="18"/>
                <w:szCs w:val="18"/>
              </w:rPr>
              <w:t>收到增值税 返还</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国税局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13,529,573.6</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17,656,234.2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2" w:right="132"/>
              <w:jc w:val="both"/>
              <w:rPr>
                <w:rFonts w:ascii="宋体" w:hAnsi="宋体" w:cs="宋体" w:eastAsia="宋体" w:hint="default"/>
                <w:sz w:val="18"/>
                <w:szCs w:val="18"/>
              </w:rPr>
            </w:pPr>
            <w:r>
              <w:rPr>
                <w:rFonts w:ascii="宋体" w:hAnsi="宋体" w:cs="宋体" w:eastAsia="宋体" w:hint="default"/>
                <w:sz w:val="18"/>
                <w:szCs w:val="18"/>
              </w:rPr>
              <w:t>退涉农信息 垂直搜索引 擎云平台升 级改造项目 政府补贴款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4"/>
              <w:ind w:left="23" w:right="127"/>
              <w:jc w:val="left"/>
              <w:rPr>
                <w:rFonts w:ascii="宋体" w:hAnsi="宋体" w:cs="宋体" w:eastAsia="宋体" w:hint="default"/>
                <w:sz w:val="18"/>
                <w:szCs w:val="18"/>
              </w:rPr>
            </w:pPr>
            <w:r>
              <w:rPr>
                <w:rFonts w:ascii="宋体" w:hAnsi="宋体" w:cs="宋体" w:eastAsia="宋体" w:hint="default"/>
                <w:sz w:val="18"/>
                <w:szCs w:val="18"/>
              </w:rPr>
              <w:t>重庆市财政 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-570,036.26</w:t>
            </w:r>
            <w:r>
              <w:rPr>
                <w:rFonts w:ascii="Times New Roman"/>
                <w:sz w:val="18"/>
              </w:rPr>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6" w:lineRule="auto"/>
              <w:ind w:left="22" w:right="132"/>
              <w:jc w:val="left"/>
              <w:rPr>
                <w:rFonts w:ascii="宋体" w:hAnsi="宋体" w:cs="宋体" w:eastAsia="宋体" w:hint="default"/>
                <w:sz w:val="18"/>
                <w:szCs w:val="18"/>
              </w:rPr>
            </w:pPr>
            <w:r>
              <w:rPr>
                <w:rFonts w:ascii="宋体" w:hAnsi="宋体" w:cs="宋体" w:eastAsia="宋体" w:hint="default"/>
                <w:sz w:val="18"/>
                <w:szCs w:val="18"/>
              </w:rPr>
              <w:t>残疾人岗位 补贴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3" w:right="127"/>
              <w:jc w:val="both"/>
              <w:rPr>
                <w:rFonts w:ascii="宋体" w:hAnsi="宋体" w:cs="宋体" w:eastAsia="宋体" w:hint="default"/>
                <w:sz w:val="18"/>
                <w:szCs w:val="18"/>
              </w:rPr>
            </w:pPr>
            <w:r>
              <w:rPr>
                <w:rFonts w:ascii="宋体" w:hAnsi="宋体" w:cs="宋体" w:eastAsia="宋体" w:hint="default"/>
                <w:sz w:val="18"/>
                <w:szCs w:val="18"/>
              </w:rPr>
              <w:t>北京市海淀 区残疾人劳 动就业管理 服务所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401,000.00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32"/>
              <w:jc w:val="right"/>
              <w:rPr>
                <w:rFonts w:ascii="宋体" w:hAnsi="宋体" w:cs="宋体" w:eastAsia="宋体" w:hint="default"/>
                <w:sz w:val="18"/>
                <w:szCs w:val="18"/>
              </w:rPr>
            </w:pPr>
            <w:r>
              <w:rPr>
                <w:rFonts w:ascii="宋体" w:hAnsi="宋体" w:cs="宋体" w:eastAsia="宋体" w:hint="default"/>
                <w:sz w:val="18"/>
                <w:szCs w:val="18"/>
              </w:rPr>
              <w:t>专利资助金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3" w:right="0"/>
              <w:jc w:val="left"/>
              <w:rPr>
                <w:rFonts w:ascii="宋体" w:hAnsi="宋体" w:cs="宋体" w:eastAsia="宋体" w:hint="default"/>
                <w:sz w:val="18"/>
                <w:szCs w:val="18"/>
              </w:rPr>
            </w:pPr>
            <w:r>
              <w:rPr>
                <w:rFonts w:ascii="宋体" w:hAnsi="宋体" w:cs="宋体" w:eastAsia="宋体" w:hint="default"/>
                <w:sz w:val="18"/>
                <w:szCs w:val="18"/>
              </w:rPr>
              <w:t>国际知识产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13" w:space="0" w:color="FFFFFF"/>
            </w:tcBorders>
          </w:tcPr>
          <w:p>
            <w:pPr>
              <w:pStyle w:val="TableParagraph"/>
              <w:spacing w:line="240" w:lineRule="auto" w:before="71"/>
              <w:ind w:left="22" w:right="-61"/>
              <w:jc w:val="center"/>
              <w:rPr>
                <w:rFonts w:ascii="宋体" w:hAnsi="宋体" w:cs="宋体" w:eastAsia="宋体" w:hint="default"/>
                <w:sz w:val="18"/>
                <w:szCs w:val="18"/>
              </w:rPr>
            </w:pPr>
            <w:r>
              <w:rPr>
                <w:rFonts w:ascii="宋体" w:hAnsi="宋体" w:cs="宋体" w:eastAsia="宋体" w:hint="default"/>
                <w:sz w:val="18"/>
                <w:szCs w:val="18"/>
              </w:rPr>
              <w:t>因研究开发、</w:t>
            </w:r>
          </w:p>
        </w:tc>
        <w:tc>
          <w:tcPr>
            <w:tcW w:w="1063"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237,668.00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065"/>
        <w:gridCol w:w="1063"/>
        <w:gridCol w:w="1063"/>
        <w:gridCol w:w="1064"/>
        <w:gridCol w:w="1063"/>
        <w:gridCol w:w="1063"/>
        <w:gridCol w:w="1064"/>
        <w:gridCol w:w="1062"/>
        <w:gridCol w:w="1063"/>
      </w:tblGrid>
      <w:tr>
        <w:trPr>
          <w:trHeight w:val="9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权局专利局</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both"/>
              <w:rPr>
                <w:rFonts w:ascii="宋体" w:hAnsi="宋体" w:cs="宋体" w:eastAsia="宋体" w:hint="default"/>
                <w:sz w:val="18"/>
                <w:szCs w:val="18"/>
              </w:rPr>
            </w:pPr>
            <w:r>
              <w:rPr>
                <w:rFonts w:ascii="宋体" w:hAnsi="宋体" w:cs="宋体" w:eastAsia="宋体" w:hint="default"/>
                <w:sz w:val="18"/>
                <w:szCs w:val="18"/>
              </w:rPr>
              <w:t>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2"/>
              <w:jc w:val="left"/>
              <w:rPr>
                <w:rFonts w:ascii="宋体" w:hAnsi="宋体" w:cs="宋体" w:eastAsia="宋体" w:hint="default"/>
                <w:sz w:val="18"/>
                <w:szCs w:val="18"/>
              </w:rPr>
            </w:pPr>
            <w:r>
              <w:rPr>
                <w:rFonts w:ascii="宋体" w:hAnsi="宋体" w:cs="宋体" w:eastAsia="宋体" w:hint="default"/>
                <w:sz w:val="18"/>
                <w:szCs w:val="18"/>
              </w:rPr>
              <w:t>专项资金补 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首都知识产 权服务业协 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5pt;mso-position-horizontal-relative:char;mso-position-vertical-relative:line" coordorigin="0,0" coordsize="1054,469">
                  <v:group style="position:absolute;left:0;top:0;width:1054;height:469" coordorigin="0,0" coordsize="1054,469">
                    <v:shape style="position:absolute;left:0;top:0;width:1054;height:469" coordorigin="0,0" coordsize="1054,469"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265,000.00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22" w:right="132"/>
              <w:jc w:val="left"/>
              <w:rPr>
                <w:rFonts w:ascii="宋体" w:hAnsi="宋体" w:cs="宋体" w:eastAsia="宋体" w:hint="default"/>
                <w:sz w:val="18"/>
                <w:szCs w:val="18"/>
              </w:rPr>
            </w:pPr>
            <w:r>
              <w:rPr>
                <w:rFonts w:ascii="宋体" w:hAnsi="宋体" w:cs="宋体" w:eastAsia="宋体" w:hint="default"/>
                <w:sz w:val="18"/>
                <w:szCs w:val="18"/>
              </w:rPr>
              <w:t>大学生社保 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宁波市鄞州 区高桥镇政 府</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z w:val="18"/>
              </w:rPr>
              <w:t>41,498.00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32"/>
              <w:jc w:val="left"/>
              <w:rPr>
                <w:rFonts w:ascii="宋体" w:hAnsi="宋体" w:cs="宋体" w:eastAsia="宋体" w:hint="default"/>
                <w:sz w:val="18"/>
                <w:szCs w:val="18"/>
              </w:rPr>
            </w:pPr>
            <w:r>
              <w:rPr>
                <w:rFonts w:ascii="宋体" w:hAnsi="宋体" w:cs="宋体" w:eastAsia="宋体" w:hint="default"/>
                <w:sz w:val="18"/>
                <w:szCs w:val="18"/>
              </w:rPr>
              <w:t>知识产权补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3" w:right="127"/>
              <w:jc w:val="left"/>
              <w:rPr>
                <w:rFonts w:ascii="宋体" w:hAnsi="宋体" w:cs="宋体" w:eastAsia="宋体" w:hint="default"/>
                <w:sz w:val="18"/>
                <w:szCs w:val="18"/>
              </w:rPr>
            </w:pPr>
            <w:r>
              <w:rPr>
                <w:rFonts w:ascii="宋体" w:hAnsi="宋体" w:cs="宋体" w:eastAsia="宋体" w:hint="default"/>
                <w:sz w:val="18"/>
                <w:szCs w:val="18"/>
              </w:rPr>
              <w:t>重庆两江新 区财政</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51,800.00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2" w:right="132"/>
              <w:jc w:val="left"/>
              <w:rPr>
                <w:rFonts w:ascii="宋体" w:hAnsi="宋体" w:cs="宋体" w:eastAsia="宋体" w:hint="default"/>
                <w:sz w:val="18"/>
                <w:szCs w:val="18"/>
              </w:rPr>
            </w:pPr>
            <w:r>
              <w:rPr>
                <w:rFonts w:ascii="宋体" w:hAnsi="宋体" w:cs="宋体" w:eastAsia="宋体" w:hint="default"/>
                <w:sz w:val="18"/>
                <w:szCs w:val="18"/>
              </w:rPr>
              <w:t>专利资助费 用</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3" w:right="127"/>
              <w:jc w:val="left"/>
              <w:rPr>
                <w:rFonts w:ascii="宋体" w:hAnsi="宋体" w:cs="宋体" w:eastAsia="宋体" w:hint="default"/>
                <w:sz w:val="18"/>
                <w:szCs w:val="18"/>
              </w:rPr>
            </w:pPr>
            <w:r>
              <w:rPr>
                <w:rFonts w:ascii="宋体" w:hAnsi="宋体" w:cs="宋体" w:eastAsia="宋体" w:hint="default"/>
                <w:sz w:val="18"/>
                <w:szCs w:val="18"/>
              </w:rPr>
              <w:t>重庆市知识 产权局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9" w:lineRule="auto" w:before="156"/>
              <w:ind w:left="22" w:right="86"/>
              <w:jc w:val="both"/>
              <w:rPr>
                <w:rFonts w:ascii="宋体" w:hAnsi="宋体" w:cs="宋体" w:eastAsia="宋体" w:hint="default"/>
                <w:sz w:val="18"/>
                <w:szCs w:val="18"/>
              </w:rPr>
            </w:pPr>
            <w:r>
              <w:rPr>
                <w:rFonts w:ascii="宋体" w:hAnsi="宋体" w:cs="宋体" w:eastAsia="宋体" w:hint="default"/>
                <w:sz w:val="18"/>
                <w:szCs w:val="18"/>
              </w:rPr>
              <w:t>高桥镇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2016 </w:t>
            </w:r>
            <w:r>
              <w:rPr>
                <w:rFonts w:ascii="宋体" w:hAnsi="宋体" w:cs="宋体" w:eastAsia="宋体" w:hint="default"/>
                <w:sz w:val="18"/>
                <w:szCs w:val="18"/>
              </w:rPr>
              <w:t>年工业政策 兑现补助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127"/>
              <w:jc w:val="both"/>
              <w:rPr>
                <w:rFonts w:ascii="宋体" w:hAnsi="宋体" w:cs="宋体" w:eastAsia="宋体" w:hint="default"/>
                <w:sz w:val="18"/>
                <w:szCs w:val="18"/>
              </w:rPr>
            </w:pPr>
            <w:r>
              <w:rPr>
                <w:rFonts w:ascii="宋体" w:hAnsi="宋体" w:cs="宋体" w:eastAsia="宋体" w:hint="default"/>
                <w:sz w:val="18"/>
                <w:szCs w:val="18"/>
              </w:rPr>
              <w:t>宁波市鄞州 区高桥镇政 府</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奖励</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32"/>
              <w:jc w:val="left"/>
              <w:rPr>
                <w:rFonts w:ascii="宋体" w:hAnsi="宋体" w:cs="宋体" w:eastAsia="宋体" w:hint="default"/>
                <w:sz w:val="18"/>
                <w:szCs w:val="18"/>
              </w:rPr>
            </w:pPr>
            <w:r>
              <w:rPr>
                <w:rFonts w:ascii="宋体" w:hAnsi="宋体" w:cs="宋体" w:eastAsia="宋体" w:hint="default"/>
                <w:sz w:val="18"/>
                <w:szCs w:val="18"/>
              </w:rPr>
              <w:t>稳增促调专 项资金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3" w:right="127"/>
              <w:jc w:val="both"/>
              <w:rPr>
                <w:rFonts w:ascii="宋体" w:hAnsi="宋体" w:cs="宋体" w:eastAsia="宋体" w:hint="default"/>
                <w:sz w:val="18"/>
                <w:szCs w:val="18"/>
              </w:rPr>
            </w:pPr>
            <w:r>
              <w:rPr>
                <w:rFonts w:ascii="宋体" w:hAnsi="宋体" w:cs="宋体" w:eastAsia="宋体" w:hint="default"/>
                <w:sz w:val="18"/>
                <w:szCs w:val="18"/>
              </w:rPr>
              <w:t>宁波市鄞州 区高桥镇政 府</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10,534.00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专项补助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27"/>
              <w:jc w:val="both"/>
              <w:rPr>
                <w:rFonts w:ascii="宋体" w:hAnsi="宋体" w:cs="宋体" w:eastAsia="宋体" w:hint="default"/>
                <w:sz w:val="18"/>
                <w:szCs w:val="18"/>
              </w:rPr>
            </w:pPr>
            <w:r>
              <w:rPr>
                <w:rFonts w:ascii="宋体" w:hAnsi="宋体" w:cs="宋体" w:eastAsia="宋体" w:hint="default"/>
                <w:sz w:val="18"/>
                <w:szCs w:val="18"/>
              </w:rPr>
              <w:t>宁波市鄞州 区高桥镇政 府</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22"/>
              <w:jc w:val="both"/>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065"/>
        <w:gridCol w:w="1063"/>
        <w:gridCol w:w="1063"/>
        <w:gridCol w:w="1064"/>
        <w:gridCol w:w="1063"/>
        <w:gridCol w:w="1063"/>
        <w:gridCol w:w="1064"/>
        <w:gridCol w:w="1062"/>
        <w:gridCol w:w="1063"/>
      </w:tblGrid>
      <w:tr>
        <w:trPr>
          <w:trHeight w:val="129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2"/>
              <w:jc w:val="left"/>
              <w:rPr>
                <w:rFonts w:ascii="宋体" w:hAnsi="宋体" w:cs="宋体" w:eastAsia="宋体" w:hint="default"/>
                <w:sz w:val="18"/>
                <w:szCs w:val="18"/>
              </w:rPr>
            </w:pP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2"/>
              <w:jc w:val="left"/>
              <w:rPr>
                <w:rFonts w:ascii="宋体" w:hAnsi="宋体" w:cs="宋体" w:eastAsia="宋体" w:hint="default"/>
                <w:sz w:val="18"/>
                <w:szCs w:val="18"/>
              </w:rPr>
            </w:pPr>
            <w:r>
              <w:rPr>
                <w:rFonts w:ascii="宋体" w:hAnsi="宋体" w:cs="宋体" w:eastAsia="宋体" w:hint="default"/>
                <w:sz w:val="18"/>
                <w:szCs w:val="18"/>
              </w:rPr>
              <w:t>标准化实施 专项资金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中关村科技 园区海淀园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5pt;mso-position-horizontal-relative:char;mso-position-vertical-relative:line" coordorigin="0,0" coordsize="1054,469">
                  <v:group style="position:absolute;left:0;top:0;width:1054;height:469" coordorigin="0,0" coordsize="1054,469">
                    <v:shape style="position:absolute;left:0;top:0;width:1054;height:469" coordorigin="0,0" coordsize="1054,469"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80,000.00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稳岗补贴款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3" w:right="127"/>
              <w:jc w:val="both"/>
              <w:rPr>
                <w:rFonts w:ascii="宋体" w:hAnsi="宋体" w:cs="宋体" w:eastAsia="宋体" w:hint="default"/>
                <w:sz w:val="18"/>
                <w:szCs w:val="18"/>
              </w:rPr>
            </w:pPr>
            <w:r>
              <w:rPr>
                <w:rFonts w:ascii="宋体" w:hAnsi="宋体" w:cs="宋体" w:eastAsia="宋体" w:hint="default"/>
                <w:sz w:val="18"/>
                <w:szCs w:val="18"/>
              </w:rPr>
              <w:t>北京市海淀 区社会报销 基金管理中 心</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22,686.24</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132"/>
              <w:jc w:val="left"/>
              <w:rPr>
                <w:rFonts w:ascii="宋体" w:hAnsi="宋体" w:cs="宋体" w:eastAsia="宋体" w:hint="default"/>
                <w:sz w:val="18"/>
                <w:szCs w:val="18"/>
              </w:rPr>
            </w:pPr>
            <w:r>
              <w:rPr>
                <w:rFonts w:ascii="宋体" w:hAnsi="宋体" w:cs="宋体" w:eastAsia="宋体" w:hint="default"/>
                <w:sz w:val="18"/>
                <w:szCs w:val="18"/>
              </w:rPr>
              <w:t>信用报告专 项补贴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中关村科技 园区海淀园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962"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面向移动互 联网的网络 协同及融合 体系与关键 技术术研究 项目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中央财政</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pict>
                <v:group style="width:52.7pt;height:39.050pt;mso-position-horizontal-relative:char;mso-position-vertical-relative:line" coordorigin="0,0" coordsize="1054,781">
                  <v:group style="position:absolute;left:0;top:0;width:1054;height:781" coordorigin="0,0" coordsize="1054,781">
                    <v:shape style="position:absolute;left:0;top:0;width:1054;height:781" coordorigin="0,0" coordsize="1054,781" path="m0,780l1054,780,1054,0,0,0,0,780xe" filled="true" fillcolor="#ffffff" stroked="false">
                      <v:path arrowok="t"/>
                      <v:fill type="solid"/>
                    </v:shape>
                  </v:group>
                </v:group>
              </w:pict>
            </w:r>
            <w:r>
              <w:rPr>
                <w:rFonts w:ascii="Times New Roman" w:hAnsi="Times New Roman" w:cs="Times New Roman" w:eastAsia="Times New Roman" w:hint="default"/>
                <w:position w:val="-1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1,080,400.00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基于客户价 值生命周期 智能动态大 数据挖掘与 分析平台所 属专项名称 科技型中小 企业促进</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北京高技术 创业服务中 心</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1"/>
              <w:jc w:val="right"/>
              <w:rPr>
                <w:rFonts w:ascii="Times New Roman" w:hAnsi="Times New Roman" w:cs="Times New Roman" w:eastAsia="Times New Roman" w:hint="default"/>
                <w:sz w:val="18"/>
                <w:szCs w:val="18"/>
              </w:rPr>
            </w:pPr>
            <w:r>
              <w:rPr>
                <w:rFonts w:ascii="Times New Roman"/>
                <w:sz w:val="18"/>
              </w:rPr>
              <w:t>330,000.00</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2" w:lineRule="auto" w:before="105"/>
              <w:ind w:left="22" w:right="86"/>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年科技 型中小企业 促进专项立 项收拨款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23" w:right="127"/>
              <w:jc w:val="left"/>
              <w:rPr>
                <w:rFonts w:ascii="宋体" w:hAnsi="宋体" w:cs="宋体" w:eastAsia="宋体" w:hint="default"/>
                <w:sz w:val="18"/>
                <w:szCs w:val="18"/>
              </w:rPr>
            </w:pPr>
            <w:r>
              <w:rPr>
                <w:rFonts w:ascii="宋体" w:hAnsi="宋体" w:cs="宋体" w:eastAsia="宋体" w:hint="default"/>
                <w:sz w:val="18"/>
                <w:szCs w:val="18"/>
              </w:rPr>
              <w:t>北京市科学 技术委员会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33,402.89</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6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91"/>
              <w:ind w:left="22" w:right="330"/>
              <w:jc w:val="left"/>
              <w:rPr>
                <w:rFonts w:ascii="Times New Roman" w:hAnsi="Times New Roman" w:cs="Times New Roman" w:eastAsia="Times New Roman" w:hint="default"/>
                <w:sz w:val="18"/>
                <w:szCs w:val="18"/>
              </w:rPr>
            </w:pPr>
            <w:r>
              <w:rPr>
                <w:rFonts w:ascii="Times New Roman"/>
                <w:sz w:val="18"/>
              </w:rPr>
              <w:t>Paid</w:t>
            </w:r>
            <w:r>
              <w:rPr>
                <w:rFonts w:ascii="Times New Roman"/>
                <w:w w:val="99"/>
                <w:sz w:val="18"/>
              </w:rPr>
              <w:t> </w:t>
            </w:r>
            <w:r>
              <w:rPr>
                <w:rFonts w:ascii="Times New Roman"/>
                <w:sz w:val="18"/>
              </w:rPr>
              <w:t>Childcare</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sz w:val="18"/>
              </w:rPr>
              <w:t>Government</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left"/>
              <w:rPr>
                <w:rFonts w:ascii="宋体" w:hAnsi="宋体" w:cs="宋体" w:eastAsia="宋体" w:hint="default"/>
                <w:sz w:val="18"/>
                <w:szCs w:val="18"/>
              </w:rPr>
            </w:pPr>
            <w:r>
              <w:rPr>
                <w:rFonts w:ascii="宋体" w:hAnsi="宋体" w:cs="宋体" w:eastAsia="宋体" w:hint="default"/>
                <w:sz w:val="18"/>
                <w:szCs w:val="18"/>
              </w:rPr>
              <w:t>因承担国家 为保障某种</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19,140.47</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065"/>
        <w:gridCol w:w="1063"/>
        <w:gridCol w:w="1063"/>
        <w:gridCol w:w="1064"/>
        <w:gridCol w:w="1063"/>
        <w:gridCol w:w="1063"/>
        <w:gridCol w:w="1064"/>
        <w:gridCol w:w="1062"/>
        <w:gridCol w:w="1063"/>
      </w:tblGrid>
      <w:tr>
        <w:trPr>
          <w:trHeight w:val="1923"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sz w:val="18"/>
              </w:rPr>
              <w:t>Leave</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9"/>
              <w:jc w:val="both"/>
              <w:rPr>
                <w:rFonts w:ascii="宋体" w:hAnsi="宋体" w:cs="宋体" w:eastAsia="宋体" w:hint="default"/>
                <w:sz w:val="18"/>
                <w:szCs w:val="18"/>
              </w:rPr>
            </w:pPr>
            <w:r>
              <w:rPr>
                <w:rFonts w:ascii="宋体" w:hAnsi="宋体" w:cs="宋体" w:eastAsia="宋体" w:hint="default"/>
                <w:sz w:val="18"/>
                <w:szCs w:val="18"/>
              </w:rPr>
              <w:t>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962"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收到中关村 科技园区海 淀园管理委 员会专利商 用化专项资 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3" w:right="127"/>
              <w:jc w:val="both"/>
              <w:rPr>
                <w:rFonts w:ascii="宋体" w:hAnsi="宋体" w:cs="宋体" w:eastAsia="宋体" w:hint="default"/>
                <w:sz w:val="18"/>
                <w:szCs w:val="18"/>
              </w:rPr>
            </w:pPr>
            <w:r>
              <w:rPr>
                <w:rFonts w:ascii="宋体" w:hAnsi="宋体" w:cs="宋体" w:eastAsia="宋体" w:hint="default"/>
                <w:sz w:val="18"/>
                <w:szCs w:val="18"/>
              </w:rPr>
              <w:t>中关村科技 园区海淀园 管理委员会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5"/>
                <w:sz w:val="20"/>
                <w:szCs w:val="20"/>
              </w:rPr>
              <w:pict>
                <v:group style="width:52.7pt;height:39pt;mso-position-horizontal-relative:char;mso-position-vertical-relative:line" coordorigin="0,0" coordsize="1054,780">
                  <v:group style="position:absolute;left:0;top:0;width:1054;height:780" coordorigin="0,0" coordsize="1054,780">
                    <v:shape style="position:absolute;left:0;top:0;width:1054;height:780" coordorigin="0,0" coordsize="1054,780" path="m0,780l1054,780,1054,0,0,0,0,780xe" filled="true" fillcolor="#ffffff" stroked="false">
                      <v:path arrowok="t"/>
                      <v:fill type="solid"/>
                    </v:shape>
                  </v:group>
                </v:group>
              </w:pict>
            </w:r>
            <w:r>
              <w:rPr>
                <w:rFonts w:ascii="Times New Roman" w:hAnsi="Times New Roman" w:cs="Times New Roman" w:eastAsia="Times New Roman" w:hint="default"/>
                <w:position w:val="-1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89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收到北京市 科学技术委 员会科技服 务业专项补 </w:t>
            </w:r>
            <w:r>
              <w:rPr>
                <w:rFonts w:ascii="宋体" w:hAnsi="宋体" w:cs="宋体" w:eastAsia="宋体" w:hint="default"/>
                <w:spacing w:val="-12"/>
                <w:sz w:val="18"/>
                <w:szCs w:val="18"/>
              </w:rPr>
              <w:t>贴（大数据智</w:t>
            </w:r>
            <w:r>
              <w:rPr>
                <w:rFonts w:ascii="宋体" w:hAnsi="宋体" w:cs="宋体" w:eastAsia="宋体" w:hint="default"/>
                <w:sz w:val="18"/>
                <w:szCs w:val="18"/>
              </w:rPr>
              <w:t> 能监控与运 维平台研发 及产业化项 目）</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8"/>
              <w:ind w:left="23" w:right="127"/>
              <w:jc w:val="left"/>
              <w:rPr>
                <w:rFonts w:ascii="宋体" w:hAnsi="宋体" w:cs="宋体" w:eastAsia="宋体" w:hint="default"/>
                <w:sz w:val="18"/>
                <w:szCs w:val="18"/>
              </w:rPr>
            </w:pPr>
            <w:r>
              <w:rPr>
                <w:rFonts w:ascii="宋体" w:hAnsi="宋体" w:cs="宋体" w:eastAsia="宋体" w:hint="default"/>
                <w:sz w:val="18"/>
                <w:szCs w:val="18"/>
              </w:rPr>
              <w:t>北京市科学 技术委员会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2" w:right="21"/>
              <w:jc w:val="left"/>
              <w:rPr>
                <w:rFonts w:ascii="宋体" w:hAnsi="宋体" w:cs="宋体" w:eastAsia="宋体" w:hint="default"/>
                <w:sz w:val="18"/>
                <w:szCs w:val="18"/>
              </w:rPr>
            </w:pPr>
            <w:r>
              <w:rPr>
                <w:rFonts w:ascii="宋体" w:hAnsi="宋体" w:cs="宋体" w:eastAsia="宋体" w:hint="default"/>
                <w:sz w:val="18"/>
                <w:szCs w:val="18"/>
              </w:rPr>
              <w:t>收到北京市 海淀区商务 委员会资金 </w:t>
            </w:r>
            <w:r>
              <w:rPr>
                <w:rFonts w:ascii="宋体" w:hAnsi="宋体" w:cs="宋体" w:eastAsia="宋体" w:hint="default"/>
                <w:spacing w:val="-12"/>
                <w:sz w:val="18"/>
                <w:szCs w:val="18"/>
              </w:rPr>
              <w:t>补贴（北京市</w:t>
            </w:r>
            <w:r>
              <w:rPr>
                <w:rFonts w:ascii="宋体" w:hAnsi="宋体" w:cs="宋体" w:eastAsia="宋体" w:hint="default"/>
                <w:sz w:val="18"/>
                <w:szCs w:val="18"/>
              </w:rPr>
              <w:t> 总部企业奖 励）</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3" w:right="127"/>
              <w:jc w:val="both"/>
              <w:rPr>
                <w:rFonts w:ascii="宋体" w:hAnsi="宋体" w:cs="宋体" w:eastAsia="宋体" w:hint="default"/>
                <w:sz w:val="18"/>
                <w:szCs w:val="18"/>
              </w:rPr>
            </w:pPr>
            <w:r>
              <w:rPr>
                <w:rFonts w:ascii="宋体" w:hAnsi="宋体" w:cs="宋体" w:eastAsia="宋体" w:hint="default"/>
                <w:sz w:val="18"/>
                <w:szCs w:val="18"/>
              </w:rPr>
              <w:t>北京市海淀 区商务委员 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460,800.00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132"/>
              <w:jc w:val="both"/>
              <w:rPr>
                <w:rFonts w:ascii="宋体" w:hAnsi="宋体" w:cs="宋体" w:eastAsia="宋体" w:hint="default"/>
                <w:sz w:val="18"/>
                <w:szCs w:val="18"/>
              </w:rPr>
            </w:pPr>
            <w:r>
              <w:rPr>
                <w:rFonts w:ascii="宋体" w:hAnsi="宋体" w:cs="宋体" w:eastAsia="宋体" w:hint="default"/>
                <w:sz w:val="18"/>
                <w:szCs w:val="18"/>
              </w:rPr>
              <w:t>收到北京市 国有文化资 产监督管理 办公室文创 产业资金补 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3" w:right="127"/>
              <w:jc w:val="both"/>
              <w:rPr>
                <w:rFonts w:ascii="宋体" w:hAnsi="宋体" w:cs="宋体" w:eastAsia="宋体" w:hint="default"/>
                <w:sz w:val="18"/>
                <w:szCs w:val="18"/>
              </w:rPr>
            </w:pPr>
            <w:r>
              <w:rPr>
                <w:rFonts w:ascii="宋体" w:hAnsi="宋体" w:cs="宋体" w:eastAsia="宋体" w:hint="default"/>
                <w:sz w:val="18"/>
                <w:szCs w:val="18"/>
              </w:rPr>
              <w:t>北京市国有 文化资产监 督管理办公 室</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2" w:lineRule="auto"/>
              <w:ind w:left="22" w:right="86"/>
              <w:jc w:val="left"/>
              <w:rPr>
                <w:rFonts w:ascii="宋体" w:hAnsi="宋体" w:cs="宋体" w:eastAsia="宋体" w:hint="default"/>
                <w:sz w:val="18"/>
                <w:szCs w:val="18"/>
              </w:rPr>
            </w:pPr>
            <w:r>
              <w:rPr>
                <w:rFonts w:ascii="宋体" w:hAnsi="宋体" w:cs="宋体" w:eastAsia="宋体" w:hint="default"/>
                <w:sz w:val="18"/>
                <w:szCs w:val="18"/>
              </w:rPr>
              <w:t>收重庆两江 财政局区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年个税 返还补贴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9"/>
              <w:ind w:left="23" w:right="127"/>
              <w:jc w:val="left"/>
              <w:rPr>
                <w:rFonts w:ascii="宋体" w:hAnsi="宋体" w:cs="宋体" w:eastAsia="宋体" w:hint="default"/>
                <w:sz w:val="18"/>
                <w:szCs w:val="18"/>
              </w:rPr>
            </w:pPr>
            <w:r>
              <w:rPr>
                <w:rFonts w:ascii="宋体" w:hAnsi="宋体" w:cs="宋体" w:eastAsia="宋体" w:hint="default"/>
                <w:sz w:val="18"/>
                <w:szCs w:val="18"/>
              </w:rPr>
              <w:t>重庆两江财 政局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178,989.67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065"/>
        <w:gridCol w:w="1063"/>
        <w:gridCol w:w="1063"/>
        <w:gridCol w:w="1064"/>
        <w:gridCol w:w="1063"/>
        <w:gridCol w:w="1063"/>
        <w:gridCol w:w="1064"/>
        <w:gridCol w:w="1062"/>
        <w:gridCol w:w="1063"/>
      </w:tblGrid>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2" w:lineRule="auto"/>
              <w:ind w:left="22" w:right="86"/>
              <w:jc w:val="both"/>
              <w:rPr>
                <w:rFonts w:ascii="宋体" w:hAnsi="宋体" w:cs="宋体" w:eastAsia="宋体" w:hint="default"/>
                <w:sz w:val="18"/>
                <w:szCs w:val="18"/>
              </w:rPr>
            </w:pPr>
            <w:r>
              <w:rPr>
                <w:rFonts w:ascii="宋体" w:hAnsi="宋体" w:cs="宋体" w:eastAsia="宋体" w:hint="default"/>
                <w:sz w:val="18"/>
                <w:szCs w:val="18"/>
              </w:rPr>
              <w:t>收到鄞州区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年度稳 增促调专项 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3" w:right="127"/>
              <w:jc w:val="both"/>
              <w:rPr>
                <w:rFonts w:ascii="宋体" w:hAnsi="宋体" w:cs="宋体" w:eastAsia="宋体" w:hint="default"/>
                <w:sz w:val="18"/>
                <w:szCs w:val="18"/>
              </w:rPr>
            </w:pPr>
            <w:r>
              <w:rPr>
                <w:rFonts w:ascii="宋体" w:hAnsi="宋体" w:cs="宋体" w:eastAsia="宋体" w:hint="default"/>
                <w:sz w:val="18"/>
                <w:szCs w:val="18"/>
              </w:rPr>
              <w:t>宁波望春工 业园区管理 委员会零余 额账户</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49,785.00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9"/>
              <w:ind w:left="22" w:right="132"/>
              <w:jc w:val="left"/>
              <w:rPr>
                <w:rFonts w:ascii="宋体" w:hAnsi="宋体" w:cs="宋体" w:eastAsia="宋体" w:hint="default"/>
                <w:sz w:val="18"/>
                <w:szCs w:val="18"/>
              </w:rPr>
            </w:pPr>
            <w:r>
              <w:rPr>
                <w:rFonts w:ascii="宋体" w:hAnsi="宋体" w:cs="宋体" w:eastAsia="宋体" w:hint="default"/>
                <w:sz w:val="18"/>
                <w:szCs w:val="18"/>
              </w:rPr>
              <w:t>大学生社保 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23" w:right="127"/>
              <w:jc w:val="both"/>
              <w:rPr>
                <w:rFonts w:ascii="宋体" w:hAnsi="宋体" w:cs="宋体" w:eastAsia="宋体" w:hint="default"/>
                <w:sz w:val="18"/>
                <w:szCs w:val="18"/>
              </w:rPr>
            </w:pPr>
            <w:r>
              <w:rPr>
                <w:rFonts w:ascii="宋体" w:hAnsi="宋体" w:cs="宋体" w:eastAsia="宋体" w:hint="default"/>
                <w:sz w:val="18"/>
                <w:szCs w:val="18"/>
              </w:rPr>
              <w:t>宁波市鄞州 区高桥镇财 政审计办公 室非税资金 专户</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16,617.00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8"/>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收到中关村 企业信用促 进会中介服 务资金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left"/>
              <w:rPr>
                <w:rFonts w:ascii="宋体" w:hAnsi="宋体" w:cs="宋体" w:eastAsia="宋体" w:hint="default"/>
                <w:sz w:val="18"/>
                <w:szCs w:val="18"/>
              </w:rPr>
            </w:pPr>
            <w:r>
              <w:rPr>
                <w:rFonts w:ascii="宋体" w:hAnsi="宋体" w:cs="宋体" w:eastAsia="宋体" w:hint="default"/>
                <w:sz w:val="18"/>
                <w:szCs w:val="18"/>
              </w:rPr>
              <w:t>中关村企业 信用促进会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26,200.00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25,000.00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27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32"/>
              <w:jc w:val="both"/>
              <w:rPr>
                <w:rFonts w:ascii="宋体" w:hAnsi="宋体" w:cs="宋体" w:eastAsia="宋体" w:hint="default"/>
                <w:sz w:val="18"/>
                <w:szCs w:val="18"/>
              </w:rPr>
            </w:pPr>
            <w:r>
              <w:rPr>
                <w:rFonts w:ascii="宋体" w:hAnsi="宋体" w:cs="宋体" w:eastAsia="宋体" w:hint="default"/>
                <w:sz w:val="18"/>
                <w:szCs w:val="18"/>
              </w:rPr>
              <w:t>收北京市商 务委员会外 经贸发展专 项资金补贴 款</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23" w:right="127"/>
              <w:jc w:val="left"/>
              <w:rPr>
                <w:rFonts w:ascii="宋体" w:hAnsi="宋体" w:cs="宋体" w:eastAsia="宋体" w:hint="default"/>
                <w:sz w:val="18"/>
                <w:szCs w:val="18"/>
              </w:rPr>
            </w:pPr>
            <w:r>
              <w:rPr>
                <w:rFonts w:ascii="宋体" w:hAnsi="宋体" w:cs="宋体" w:eastAsia="宋体" w:hint="default"/>
                <w:sz w:val="18"/>
                <w:szCs w:val="18"/>
              </w:rPr>
              <w:t>北京市商务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因从事国家 鼓励和扶持 </w:t>
            </w:r>
            <w:r>
              <w:rPr>
                <w:rFonts w:ascii="宋体" w:hAnsi="宋体" w:cs="宋体" w:eastAsia="宋体" w:hint="default"/>
                <w:spacing w:val="-13"/>
                <w:sz w:val="18"/>
                <w:szCs w:val="18"/>
              </w:rPr>
              <w:t>特定行业、产</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业而获得的 </w:t>
            </w:r>
            <w:r>
              <w:rPr>
                <w:rFonts w:ascii="宋体" w:hAnsi="宋体" w:cs="宋体" w:eastAsia="宋体" w:hint="default"/>
                <w:spacing w:val="-13"/>
                <w:sz w:val="18"/>
                <w:szCs w:val="18"/>
              </w:rPr>
              <w:t>补助（按国家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级政策规定 依法取得）</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15,540.00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32"/>
              <w:jc w:val="both"/>
              <w:rPr>
                <w:rFonts w:ascii="宋体" w:hAnsi="宋体" w:cs="宋体" w:eastAsia="宋体" w:hint="default"/>
                <w:sz w:val="18"/>
                <w:szCs w:val="18"/>
              </w:rPr>
            </w:pPr>
            <w:r>
              <w:rPr>
                <w:rFonts w:ascii="宋体" w:hAnsi="宋体" w:cs="宋体" w:eastAsia="宋体" w:hint="default"/>
                <w:sz w:val="18"/>
                <w:szCs w:val="18"/>
              </w:rPr>
              <w:t>收重庆知识 产权局专利 补贴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left"/>
              <w:rPr>
                <w:rFonts w:ascii="宋体" w:hAnsi="宋体" w:cs="宋体" w:eastAsia="宋体" w:hint="default"/>
                <w:sz w:val="18"/>
                <w:szCs w:val="18"/>
              </w:rPr>
            </w:pPr>
            <w:r>
              <w:rPr>
                <w:rFonts w:ascii="宋体" w:hAnsi="宋体" w:cs="宋体" w:eastAsia="宋体" w:hint="default"/>
                <w:sz w:val="18"/>
                <w:szCs w:val="18"/>
              </w:rPr>
              <w:t>重庆知识产 权局</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基于复杂信 息系统的大 数据智能运 维分析与管 理平台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both"/>
              <w:rPr>
                <w:rFonts w:ascii="宋体" w:hAnsi="宋体" w:cs="宋体" w:eastAsia="宋体" w:hint="default"/>
                <w:sz w:val="18"/>
                <w:szCs w:val="18"/>
              </w:rPr>
            </w:pPr>
            <w:r>
              <w:rPr>
                <w:rFonts w:ascii="宋体" w:hAnsi="宋体" w:cs="宋体" w:eastAsia="宋体" w:hint="default"/>
                <w:sz w:val="18"/>
                <w:szCs w:val="18"/>
              </w:rPr>
              <w:t>北京市发展 和改革委员 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4,024,720.08</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7,097,335.48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基于服务引 擎的复杂信 息系统一体 化智能运维 平台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3" w:right="127"/>
              <w:jc w:val="both"/>
              <w:rPr>
                <w:rFonts w:ascii="宋体" w:hAnsi="宋体" w:cs="宋体" w:eastAsia="宋体" w:hint="default"/>
                <w:sz w:val="18"/>
                <w:szCs w:val="18"/>
              </w:rPr>
            </w:pPr>
            <w:r>
              <w:rPr>
                <w:rFonts w:ascii="宋体" w:hAnsi="宋体" w:cs="宋体" w:eastAsia="宋体" w:hint="default"/>
                <w:sz w:val="18"/>
                <w:szCs w:val="18"/>
              </w:rPr>
              <w:t>中华人民共 和国国家发 展和改革委 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pt;mso-position-horizontal-relative:char;mso-position-vertical-relative:line" coordorigin="0,0" coordsize="1054,624">
                  <v:group style="position:absolute;left:0;top:0;width:1054;height:624" coordorigin="0,0" coordsize="1054,624">
                    <v:shape style="position:absolute;left:0;top:0;width:1054;height:624" coordorigin="0,0" coordsize="1054,624"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5,556,504.66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32"/>
              <w:jc w:val="left"/>
              <w:rPr>
                <w:rFonts w:ascii="宋体" w:hAnsi="宋体" w:cs="宋体" w:eastAsia="宋体" w:hint="default"/>
                <w:sz w:val="18"/>
                <w:szCs w:val="18"/>
              </w:rPr>
            </w:pPr>
            <w:r>
              <w:rPr>
                <w:rFonts w:ascii="宋体" w:hAnsi="宋体" w:cs="宋体" w:eastAsia="宋体" w:hint="default"/>
                <w:sz w:val="18"/>
                <w:szCs w:val="18"/>
              </w:rPr>
              <w:t>安全管控平 台</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23" w:right="127"/>
              <w:jc w:val="both"/>
              <w:rPr>
                <w:rFonts w:ascii="宋体" w:hAnsi="宋体" w:cs="宋体" w:eastAsia="宋体" w:hint="default"/>
                <w:sz w:val="18"/>
                <w:szCs w:val="18"/>
              </w:rPr>
            </w:pPr>
            <w:r>
              <w:rPr>
                <w:rFonts w:ascii="宋体" w:hAnsi="宋体" w:cs="宋体" w:eastAsia="宋体" w:hint="default"/>
                <w:sz w:val="18"/>
                <w:szCs w:val="18"/>
              </w:rPr>
              <w:t>北京市经济 和信息化委 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5pt;mso-position-horizontal-relative:char;mso-position-vertical-relative:line" coordorigin="0,0" coordsize="1054,469">
                  <v:group style="position:absolute;left:0;top:0;width:1054;height:469" coordorigin="0,0" coordsize="1054,469">
                    <v:shape style="position:absolute;left:0;top:0;width:1054;height:469" coordorigin="0,0" coordsize="1054,469"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2,361,085.10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065"/>
        <w:gridCol w:w="1063"/>
        <w:gridCol w:w="1063"/>
        <w:gridCol w:w="1064"/>
        <w:gridCol w:w="1063"/>
        <w:gridCol w:w="1063"/>
        <w:gridCol w:w="1064"/>
        <w:gridCol w:w="1062"/>
        <w:gridCol w:w="1063"/>
      </w:tblGrid>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国际知识产 权局专利局 北京代办处 专利资助金</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3" w:right="127"/>
              <w:jc w:val="both"/>
              <w:rPr>
                <w:rFonts w:ascii="宋体" w:hAnsi="宋体" w:cs="宋体" w:eastAsia="宋体" w:hint="default"/>
                <w:sz w:val="18"/>
                <w:szCs w:val="18"/>
              </w:rPr>
            </w:pPr>
            <w:r>
              <w:rPr>
                <w:rFonts w:ascii="宋体" w:hAnsi="宋体" w:cs="宋体" w:eastAsia="宋体" w:hint="default"/>
                <w:sz w:val="18"/>
                <w:szCs w:val="18"/>
              </w:rPr>
              <w:t>国家知识产 权局专利局 北京代办处</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35,000.00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面向移动互 联网的网络 协同及融合 体系与关键 技术研究</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both"/>
              <w:rPr>
                <w:rFonts w:ascii="宋体" w:hAnsi="宋体" w:cs="宋体" w:eastAsia="宋体" w:hint="default"/>
                <w:sz w:val="18"/>
                <w:szCs w:val="18"/>
              </w:rPr>
            </w:pPr>
            <w:r>
              <w:rPr>
                <w:rFonts w:ascii="宋体" w:hAnsi="宋体" w:cs="宋体" w:eastAsia="宋体" w:hint="default"/>
                <w:sz w:val="18"/>
                <w:szCs w:val="18"/>
              </w:rPr>
              <w:t>北京市发展 和改革委员 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624"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1"/>
                <w:sz w:val="20"/>
                <w:szCs w:val="20"/>
              </w:rPr>
              <w:pict>
                <v:group style="width:52.7pt;height:31.25pt;mso-position-horizontal-relative:char;mso-position-vertical-relative:line" coordorigin="0,0" coordsize="1054,625">
                  <v:group style="position:absolute;left:0;top:0;width:1054;height:625" coordorigin="0,0" coordsize="1054,625">
                    <v:shape style="position:absolute;left:0;top:0;width:1054;height:625" coordorigin="0,0" coordsize="1054,625" path="m0,624l1054,624,1054,0,0,0,0,624xe" filled="true" fillcolor="#ffffff" stroked="false">
                      <v:path arrowok="t"/>
                      <v:fill type="solid"/>
                    </v:shape>
                  </v:group>
                </v:group>
              </w:pict>
            </w:r>
            <w:r>
              <w:rPr>
                <w:rFonts w:ascii="Times New Roman" w:hAnsi="Times New Roman" w:cs="Times New Roman" w:eastAsia="Times New Roman" w:hint="default"/>
                <w:position w:val="-11"/>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高桥镇补助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高桥镇政府</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287,602.00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650"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2" w:lineRule="auto"/>
              <w:ind w:left="22" w:right="86"/>
              <w:jc w:val="both"/>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年度鄞 州区总部经 济发展专项 资金补助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鄞州区政府</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因符合地方 政府招商引 资等地方性 扶持政策而 获得的补助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2586"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60"/>
              <w:ind w:left="22" w:right="132"/>
              <w:jc w:val="left"/>
              <w:rPr>
                <w:rFonts w:ascii="宋体" w:hAnsi="宋体" w:cs="宋体" w:eastAsia="宋体" w:hint="default"/>
                <w:sz w:val="18"/>
                <w:szCs w:val="18"/>
              </w:rPr>
            </w:pPr>
            <w:r>
              <w:rPr>
                <w:rFonts w:ascii="宋体" w:hAnsi="宋体" w:cs="宋体" w:eastAsia="宋体" w:hint="default"/>
                <w:sz w:val="18"/>
                <w:szCs w:val="18"/>
              </w:rPr>
              <w:t>大学生社保 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60"/>
              <w:ind w:left="23" w:right="127"/>
              <w:jc w:val="left"/>
              <w:rPr>
                <w:rFonts w:ascii="宋体" w:hAnsi="宋体" w:cs="宋体" w:eastAsia="宋体" w:hint="default"/>
                <w:sz w:val="18"/>
                <w:szCs w:val="18"/>
              </w:rPr>
            </w:pPr>
            <w:r>
              <w:rPr>
                <w:rFonts w:ascii="宋体" w:hAnsi="宋体" w:cs="宋体" w:eastAsia="宋体" w:hint="default"/>
                <w:sz w:val="18"/>
                <w:szCs w:val="18"/>
              </w:rPr>
              <w:t>北京市教育 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9"/>
              <w:jc w:val="both"/>
              <w:rPr>
                <w:rFonts w:ascii="宋体" w:hAnsi="宋体" w:cs="宋体" w:eastAsia="宋体" w:hint="default"/>
                <w:sz w:val="18"/>
                <w:szCs w:val="18"/>
              </w:rPr>
            </w:pPr>
            <w:r>
              <w:rPr>
                <w:rFonts w:ascii="宋体" w:hAnsi="宋体" w:cs="宋体" w:eastAsia="宋体" w:hint="default"/>
                <w:sz w:val="18"/>
                <w:szCs w:val="18"/>
              </w:rPr>
              <w:t>因承担国家 为保障某种 公用事业或 社会必要产 品供应或价 格控制职能 而获得的补 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20"/>
              <w:jc w:val="right"/>
              <w:rPr>
                <w:rFonts w:ascii="Times New Roman" w:hAnsi="Times New Roman" w:cs="Times New Roman" w:eastAsia="Times New Roman" w:hint="default"/>
                <w:sz w:val="18"/>
                <w:szCs w:val="18"/>
              </w:rPr>
            </w:pPr>
            <w:r>
              <w:rPr>
                <w:rFonts w:ascii="Times New Roman"/>
                <w:sz w:val="18"/>
              </w:rPr>
              <w:t>41,073.00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9"/>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2" w:right="132"/>
              <w:jc w:val="left"/>
              <w:rPr>
                <w:rFonts w:ascii="宋体" w:hAnsi="宋体" w:cs="宋体" w:eastAsia="宋体" w:hint="default"/>
                <w:sz w:val="18"/>
                <w:szCs w:val="18"/>
              </w:rPr>
            </w:pPr>
            <w:r>
              <w:rPr>
                <w:rFonts w:ascii="宋体" w:hAnsi="宋体" w:cs="宋体" w:eastAsia="宋体" w:hint="default"/>
                <w:sz w:val="18"/>
                <w:szCs w:val="18"/>
              </w:rPr>
              <w:t>固定资产装 修补贴</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left"/>
              <w:rPr>
                <w:rFonts w:ascii="宋体" w:hAnsi="宋体" w:cs="宋体" w:eastAsia="宋体" w:hint="default"/>
                <w:sz w:val="18"/>
                <w:szCs w:val="18"/>
              </w:rPr>
            </w:pPr>
            <w:r>
              <w:rPr>
                <w:rFonts w:ascii="宋体" w:hAnsi="宋体" w:cs="宋体" w:eastAsia="宋体" w:hint="default"/>
                <w:sz w:val="18"/>
                <w:szCs w:val="18"/>
              </w:rPr>
              <w:t>宁波市鄞州 区潘火街道</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15,000.00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15,000.00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电动汽车智 能交互系统 研制及产业 化</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left"/>
              <w:rPr>
                <w:rFonts w:ascii="宋体" w:hAnsi="宋体" w:cs="宋体" w:eastAsia="宋体" w:hint="default"/>
                <w:sz w:val="18"/>
                <w:szCs w:val="18"/>
              </w:rPr>
            </w:pPr>
            <w:r>
              <w:rPr>
                <w:rFonts w:ascii="宋体" w:hAnsi="宋体" w:cs="宋体" w:eastAsia="宋体" w:hint="default"/>
                <w:sz w:val="18"/>
                <w:szCs w:val="18"/>
              </w:rPr>
              <w:t>北京市科学 技术委员会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216,000.00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216,000.00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1338"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32"/>
              <w:jc w:val="both"/>
              <w:rPr>
                <w:rFonts w:ascii="宋体" w:hAnsi="宋体" w:cs="宋体" w:eastAsia="宋体" w:hint="default"/>
                <w:sz w:val="18"/>
                <w:szCs w:val="18"/>
              </w:rPr>
            </w:pPr>
            <w:r>
              <w:rPr>
                <w:rFonts w:ascii="宋体" w:hAnsi="宋体" w:cs="宋体" w:eastAsia="宋体" w:hint="default"/>
                <w:sz w:val="18"/>
                <w:szCs w:val="18"/>
              </w:rPr>
              <w:t>面向精确定 位与移动通 信的智慧线 设备研制</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23" w:right="127"/>
              <w:jc w:val="left"/>
              <w:rPr>
                <w:rFonts w:ascii="宋体" w:hAnsi="宋体" w:cs="宋体" w:eastAsia="宋体" w:hint="default"/>
                <w:sz w:val="18"/>
                <w:szCs w:val="18"/>
              </w:rPr>
            </w:pPr>
            <w:r>
              <w:rPr>
                <w:rFonts w:ascii="宋体" w:hAnsi="宋体" w:cs="宋体" w:eastAsia="宋体" w:hint="default"/>
                <w:sz w:val="18"/>
                <w:szCs w:val="18"/>
              </w:rPr>
              <w:t>北京市科学 技术委员会</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因研究开发、 技术更新及 改造等获得 的补助</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468"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8"/>
                <w:sz w:val="20"/>
                <w:szCs w:val="20"/>
              </w:rPr>
              <w:pict>
                <v:group style="width:52.7pt;height:23.4pt;mso-position-horizontal-relative:char;mso-position-vertical-relative:line" coordorigin="0,0" coordsize="1054,468">
                  <v:group style="position:absolute;left:0;top:0;width:1054;height:468" coordorigin="0,0" coordsize="1054,468">
                    <v:shape style="position:absolute;left:0;top:0;width:1054;height:468" coordorigin="0,0" coordsize="1054,468" path="m0,468l1054,468,1054,0,0,0,0,468xe" filled="true" fillcolor="#ffffff" stroked="false">
                      <v:path arrowok="t"/>
                      <v:fill type="solid"/>
                    </v:shape>
                  </v:group>
                </v:group>
              </w:pict>
            </w:r>
            <w:r>
              <w:rPr>
                <w:rFonts w:ascii="Times New Roman" w:hAnsi="Times New Roman" w:cs="Times New Roman" w:eastAsia="Times New Roman" w:hint="default"/>
                <w:position w:val="-8"/>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z w:val="18"/>
              </w:rPr>
              <w:t>200,000.00</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z w:val="18"/>
              </w:rPr>
              <w:t>200,000.00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0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20,231,587.0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35,923,566.1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134" w:right="0"/>
        <w:jc w:val="left"/>
      </w:pPr>
      <w:r>
        <w:rPr/>
        <w:t>注：本年与资产相关和与收益相关的政府补助均计入</w:t>
      </w:r>
      <w:r>
        <w:rPr>
          <w:rFonts w:ascii="Times New Roman" w:hAnsi="Times New Roman" w:cs="Times New Roman" w:eastAsia="Times New Roman" w:hint="default"/>
        </w:rPr>
        <w:t>“</w:t>
      </w:r>
      <w:r>
        <w:rPr/>
        <w:t>其他收益</w:t>
      </w:r>
      <w:r>
        <w:rPr>
          <w:rFonts w:ascii="Times New Roman" w:hAnsi="Times New Roman" w:cs="Times New Roman" w:eastAsia="Times New Roman" w:hint="default"/>
        </w:rPr>
        <w:t>”</w:t>
      </w:r>
      <w:r>
        <w:rPr/>
        <w:t>科目。</w:t>
      </w:r>
    </w:p>
    <w:p>
      <w:pPr>
        <w:spacing w:after="0" w:line="240" w:lineRule="auto"/>
        <w:jc w:val="left"/>
        <w:sectPr>
          <w:footerReference w:type="default" r:id="rId57"/>
          <w:pgSz w:w="11910" w:h="16840"/>
          <w:pgMar w:footer="979" w:header="851" w:top="1320" w:bottom="1160" w:left="0" w:right="0"/>
          <w:pgNumType w:start="196"/>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72、营业外支出" w:id="347"/>
      <w:bookmarkEnd w:id="347"/>
      <w:r>
        <w:rPr>
          <w:b w:val="0"/>
          <w:bCs w:val="0"/>
        </w:rPr>
      </w:r>
      <w:r>
        <w:rPr>
          <w:rFonts w:ascii="Times New Roman" w:hAnsi="Times New Roman" w:cs="Times New Roman" w:eastAsia="Times New Roman" w:hint="default"/>
        </w:rPr>
        <w:t>72</w:t>
      </w:r>
      <w:r>
        <w:rPr/>
        <w:t>、营业外支出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0"/>
        <w:gridCol w:w="2396"/>
        <w:gridCol w:w="2392"/>
        <w:gridCol w:w="2392"/>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208,793.98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18,604,432.94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208,793.98</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425,199.01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289,831.76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425,199.01</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633,992.99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18,894,264.70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633,992.99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3、所得税费用" w:id="348"/>
      <w:bookmarkEnd w:id="348"/>
      <w:r>
        <w:rPr>
          <w:b w:val="0"/>
          <w:bCs w:val="0"/>
        </w:rPr>
      </w:r>
      <w:r>
        <w:rPr>
          <w:rFonts w:ascii="Times New Roman" w:hAnsi="Times New Roman" w:cs="Times New Roman" w:eastAsia="Times New Roman" w:hint="default"/>
        </w:rPr>
        <w:t>73</w:t>
      </w:r>
      <w:r>
        <w:rPr/>
        <w:t>、所得税费用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所得税费用表" w:id="349"/>
      <w:bookmarkEnd w:id="349"/>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33,569,602.78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23,448,271.72</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-11,455,895.06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3,817,118.28</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22,113,707.72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27,265,390.00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会计利润与所得税费用调整过程" w:id="350"/>
      <w:bookmarkEnd w:id="350"/>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119,171,599.32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17,875,739.88</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-35,303,974.15</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-12,615,987.72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非应税收入的影响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8,238,132.36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12,115,009.33</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53,651.37</w:t>
            </w:r>
          </w:p>
        </w:tc>
      </w:tr>
      <w:tr>
        <w:trPr>
          <w:trHeight w:val="71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31,751,136.65</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22,113,707.72</w:t>
            </w:r>
          </w:p>
        </w:tc>
      </w:tr>
    </w:tbl>
    <w:p>
      <w:pPr>
        <w:spacing w:line="240" w:lineRule="auto" w:before="2"/>
        <w:rPr>
          <w:rFonts w:ascii="宋体" w:hAnsi="宋体" w:cs="宋体" w:eastAsia="宋体" w:hint="default"/>
          <w:sz w:val="19"/>
          <w:szCs w:val="19"/>
        </w:rPr>
      </w:pPr>
    </w:p>
    <w:p>
      <w:pPr>
        <w:pStyle w:val="Heading3"/>
        <w:spacing w:line="240" w:lineRule="auto" w:before="35"/>
        <w:ind w:left="0" w:right="7951"/>
        <w:jc w:val="center"/>
        <w:rPr>
          <w:b w:val="0"/>
          <w:bCs w:val="0"/>
        </w:rPr>
      </w:pPr>
      <w:bookmarkStart w:name="74、其他综合收益" w:id="351"/>
      <w:bookmarkEnd w:id="351"/>
      <w:r>
        <w:rPr>
          <w:b w:val="0"/>
          <w:bCs w:val="0"/>
        </w:rPr>
      </w:r>
      <w:r>
        <w:rPr>
          <w:rFonts w:ascii="Times New Roman" w:hAnsi="Times New Roman" w:cs="Times New Roman" w:eastAsia="Times New Roman" w:hint="default"/>
        </w:rPr>
        <w:t>74</w:t>
      </w:r>
      <w:r>
        <w:rPr/>
        <w:t>、其他综合收益</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0" w:right="7791"/>
        <w:jc w:val="center"/>
      </w:pPr>
      <w:r>
        <w:rPr/>
        <w:t>详见附注</w:t>
      </w:r>
      <w:r>
        <w:rPr>
          <w:spacing w:val="-46"/>
        </w:rPr>
        <w:t> </w:t>
      </w:r>
      <w:r>
        <w:rPr>
          <w:rFonts w:ascii="Times New Roman" w:hAnsi="Times New Roman" w:cs="Times New Roman" w:eastAsia="Times New Roman" w:hint="default"/>
        </w:rPr>
        <w:t>57</w:t>
      </w:r>
      <w:r>
        <w:rPr/>
        <w:t>。</w:t>
      </w:r>
    </w:p>
    <w:p>
      <w:pPr>
        <w:spacing w:after="0" w:line="240" w:lineRule="auto"/>
        <w:jc w:val="cente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75、现金流量表项目" w:id="352"/>
      <w:bookmarkEnd w:id="352"/>
      <w:r>
        <w:rPr>
          <w:b w:val="0"/>
          <w:bCs w:val="0"/>
        </w:rPr>
      </w:r>
      <w:r>
        <w:rPr>
          <w:rFonts w:ascii="Times New Roman" w:hAnsi="Times New Roman" w:cs="Times New Roman" w:eastAsia="Times New Roman" w:hint="default"/>
        </w:rPr>
        <w:t>75</w:t>
      </w:r>
      <w:r>
        <w:rPr/>
        <w:t>、现金流量表项目</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33" w:right="0"/>
        <w:jc w:val="left"/>
        <w:rPr>
          <w:b w:val="0"/>
          <w:bCs w:val="0"/>
        </w:rPr>
      </w:pPr>
      <w:bookmarkStart w:name="（1）收到的其他与经营活动有关的现金" w:id="353"/>
      <w:bookmarkEnd w:id="353"/>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收到各项政府补助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1"/>
              <w:jc w:val="right"/>
              <w:rPr>
                <w:rFonts w:ascii="Times New Roman" w:hAnsi="Times New Roman" w:cs="Times New Roman" w:eastAsia="Times New Roman" w:hint="default"/>
                <w:sz w:val="18"/>
                <w:szCs w:val="18"/>
              </w:rPr>
            </w:pPr>
            <w:r>
              <w:rPr>
                <w:rFonts w:ascii="Times New Roman"/>
                <w:spacing w:val="-1"/>
                <w:sz w:val="18"/>
              </w:rPr>
              <w:t>1,757,526.24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3,197,776.67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1"/>
              <w:jc w:val="right"/>
              <w:rPr>
                <w:rFonts w:ascii="Times New Roman" w:hAnsi="Times New Roman" w:cs="Times New Roman" w:eastAsia="Times New Roman" w:hint="default"/>
                <w:sz w:val="18"/>
                <w:szCs w:val="18"/>
              </w:rPr>
            </w:pPr>
            <w:r>
              <w:rPr>
                <w:rFonts w:ascii="Times New Roman"/>
                <w:spacing w:val="-1"/>
                <w:sz w:val="18"/>
              </w:rPr>
              <w:t>4,554,561.87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4,464,354.98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收到的押金、保证金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1"/>
              <w:jc w:val="right"/>
              <w:rPr>
                <w:rFonts w:ascii="Times New Roman" w:hAnsi="Times New Roman" w:cs="Times New Roman" w:eastAsia="Times New Roman" w:hint="default"/>
                <w:sz w:val="18"/>
                <w:szCs w:val="18"/>
              </w:rPr>
            </w:pPr>
            <w:r>
              <w:rPr>
                <w:rFonts w:ascii="Times New Roman"/>
                <w:spacing w:val="-1"/>
                <w:sz w:val="18"/>
              </w:rPr>
              <w:t>34,256,438.99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29,054,324.21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收到个人备用金归还</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1"/>
              <w:jc w:val="right"/>
              <w:rPr>
                <w:rFonts w:ascii="Times New Roman" w:hAnsi="Times New Roman" w:cs="Times New Roman" w:eastAsia="Times New Roman" w:hint="default"/>
                <w:sz w:val="18"/>
                <w:szCs w:val="18"/>
              </w:rPr>
            </w:pPr>
            <w:r>
              <w:rPr>
                <w:rFonts w:ascii="Times New Roman"/>
                <w:spacing w:val="-1"/>
                <w:sz w:val="18"/>
              </w:rPr>
              <w:t>14,732,980.79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12,882,406.06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收到往来款及零星现金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1"/>
              <w:jc w:val="right"/>
              <w:rPr>
                <w:rFonts w:ascii="Times New Roman" w:hAnsi="Times New Roman" w:cs="Times New Roman" w:eastAsia="Times New Roman" w:hint="default"/>
                <w:sz w:val="18"/>
                <w:szCs w:val="18"/>
              </w:rPr>
            </w:pPr>
            <w:r>
              <w:rPr>
                <w:rFonts w:ascii="Times New Roman"/>
                <w:spacing w:val="-1"/>
                <w:sz w:val="18"/>
              </w:rPr>
              <w:t>33,077,915.40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35,619,691.69</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1"/>
              <w:jc w:val="right"/>
              <w:rPr>
                <w:rFonts w:ascii="Times New Roman" w:hAnsi="Times New Roman" w:cs="Times New Roman" w:eastAsia="Times New Roman" w:hint="default"/>
                <w:sz w:val="18"/>
                <w:szCs w:val="18"/>
              </w:rPr>
            </w:pPr>
            <w:r>
              <w:rPr>
                <w:rFonts w:ascii="Times New Roman"/>
                <w:spacing w:val="-1"/>
                <w:sz w:val="18"/>
              </w:rPr>
              <w:t>88,379,423.29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20"/>
              <w:jc w:val="right"/>
              <w:rPr>
                <w:rFonts w:ascii="Times New Roman" w:hAnsi="Times New Roman" w:cs="Times New Roman" w:eastAsia="Times New Roman" w:hint="default"/>
                <w:sz w:val="18"/>
                <w:szCs w:val="18"/>
              </w:rPr>
            </w:pPr>
            <w:r>
              <w:rPr>
                <w:rFonts w:ascii="Times New Roman"/>
                <w:spacing w:val="-1"/>
                <w:sz w:val="18"/>
              </w:rPr>
              <w:t>85,218,553.61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支付的其他与经营活动有关的现金" w:id="354"/>
      <w:bookmarkEnd w:id="354"/>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93"/>
              <w:jc w:val="left"/>
              <w:rPr>
                <w:rFonts w:ascii="宋体" w:hAnsi="宋体" w:cs="宋体" w:eastAsia="宋体" w:hint="default"/>
                <w:sz w:val="18"/>
                <w:szCs w:val="18"/>
              </w:rPr>
            </w:pPr>
            <w:r>
              <w:rPr>
                <w:rFonts w:ascii="宋体" w:hAnsi="宋体" w:cs="宋体" w:eastAsia="宋体" w:hint="default"/>
                <w:sz w:val="18"/>
                <w:szCs w:val="18"/>
              </w:rPr>
              <w:t>支付游戏推广费、办公、差旅、房租、 招待等费用及往来款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548,715,051.85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262,913,113.29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支付的押金、保证金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47,065,481.84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31,406,760.82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595,780,533.69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294,319,874.11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收到的其他与投资活动有关的现金" w:id="355"/>
      <w:bookmarkEnd w:id="355"/>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4）支付的其他与投资活动有关的现金" w:id="356"/>
      <w:bookmarkEnd w:id="356"/>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5）收到的其他与筹资活动有关的现金" w:id="357"/>
      <w:bookmarkEnd w:id="357"/>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收回保证金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4,764,268.47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15,644,783.37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代收股票期权个税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4,832,190.74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代收股票转让个税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56,917,231.98</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61,681,500.45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20,476,974.11</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r>
        <w:rPr/>
        <w:pict>
          <v:group style="position:absolute;margin-left:223.339996pt;margin-top:683.589966pt;width:151.25pt;height:40.85pt;mso-position-horizontal-relative:page;mso-position-vertical-relative:page;z-index:-1191928" coordorigin="4467,13672" coordsize="3025,817">
            <v:group style="position:absolute;left:4478;top:13683;width:2;height:392" coordorigin="4478,13683" coordsize="2,392">
              <v:shape style="position:absolute;left:4478;top:13683;width:2;height:392" coordorigin="4478,13683" coordsize="0,392" path="m4478,13683l4478,14075e" filled="false" stroked="true" strokeweight="1.140pt" strokecolor="#ffffff">
                <v:path arrowok="t"/>
              </v:shape>
            </v:group>
            <v:group style="position:absolute;left:4490;top:13683;width:3002;height:392" coordorigin="4490,13683" coordsize="3002,392">
              <v:shape style="position:absolute;left:4490;top:13683;width:3002;height:392" coordorigin="4490,13683" coordsize="3002,392" path="m4490,14075l7491,14075,7491,13683,4490,13683,4490,14075xe" filled="true" fillcolor="#ffffff" stroked="false">
                <v:path arrowok="t"/>
                <v:fill type="solid"/>
              </v:shape>
            </v:group>
            <v:group style="position:absolute;left:4478;top:14086;width:2;height:392" coordorigin="4478,14086" coordsize="2,392">
              <v:shape style="position:absolute;left:4478;top:14086;width:2;height:392" coordorigin="4478,14086" coordsize="0,392" path="m4478,14086l4478,14477e" filled="false" stroked="true" strokeweight="1.140pt" strokecolor="#ffffff">
                <v:path arrowok="t"/>
              </v:shape>
            </v:group>
            <v:group style="position:absolute;left:4490;top:14086;width:3002;height:392" coordorigin="4490,14086" coordsize="3002,392">
              <v:shape style="position:absolute;left:4490;top:14086;width:3002;height:392" coordorigin="4490,14086" coordsize="3002,392" path="m4490,14477l7491,14477,7491,14086,4490,14086,4490,14477xe" filled="true" fillcolor="#ffffff" stroked="false">
                <v:path arrowok="t"/>
                <v:fill type="solid"/>
              </v:shape>
            </v:group>
            <w10:wrap type="none"/>
          </v:group>
        </w:pict>
      </w: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6）支付的其他与筹资活动有关的现金" w:id="358"/>
      <w:bookmarkEnd w:id="358"/>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支付保证金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809,857.53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187,575.00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限制性股票退款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7,798,680.37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代付股票期权个税</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14,658,620.90</w:t>
            </w:r>
          </w:p>
        </w:tc>
      </w:tr>
      <w:tr>
        <w:trPr>
          <w:trHeight w:val="714"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93"/>
              <w:jc w:val="left"/>
              <w:rPr>
                <w:rFonts w:ascii="宋体" w:hAnsi="宋体" w:cs="宋体" w:eastAsia="宋体" w:hint="default"/>
                <w:sz w:val="18"/>
                <w:szCs w:val="18"/>
              </w:rPr>
            </w:pPr>
            <w:r>
              <w:rPr>
                <w:rFonts w:ascii="宋体" w:hAnsi="宋体" w:cs="宋体" w:eastAsia="宋体" w:hint="default"/>
                <w:sz w:val="18"/>
                <w:szCs w:val="18"/>
              </w:rPr>
              <w:t>付以前年度已纳入合并范围的子公司原 股东股权收购款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133,579,133.80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92,824,963.36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短期融资券费用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1,415,094.34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1,415,094.34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支付信用卡保证金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2,139,106.05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335,765.00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存放境外的受限外币货币资金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1,628,112.94</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代付股票转让个税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56,917,231.98</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196,488,536.64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117,220,698.97</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6、现金流量表补充资料" w:id="359"/>
      <w:bookmarkEnd w:id="359"/>
      <w:r>
        <w:rPr>
          <w:b w:val="0"/>
          <w:bCs w:val="0"/>
        </w:rPr>
      </w:r>
      <w:r>
        <w:rPr>
          <w:rFonts w:ascii="Times New Roman" w:hAnsi="Times New Roman" w:cs="Times New Roman" w:eastAsia="Times New Roman" w:hint="default"/>
        </w:rPr>
        <w:t>76</w:t>
      </w:r>
      <w:r>
        <w:rPr/>
        <w:t>、现金流量表补充资料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现金流量表补充资料" w:id="360"/>
      <w:bookmarkEnd w:id="360"/>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305"/>
        <w:gridCol w:w="3069"/>
        <w:gridCol w:w="3184"/>
      </w:tblGrid>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97,057,891.60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469,059,073.76</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92,068,762.27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71,788,683.37</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 物资产折旧</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27,501,559.59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25,179,226.58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51,595,635.92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38,641,820.28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19,591,408.80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14,371,092.69</w:t>
            </w: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41"/>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 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-6,046,248.78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18,230,409.08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208,793.98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164,926.49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62,407,711.70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19,738,515.25</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-55,243,912.84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-191,196,425.88</w:t>
            </w:r>
          </w:p>
        </w:tc>
      </w:tr>
      <w:tr>
        <w:trPr>
          <w:trHeight w:val="403"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递延所得税资产减少（增加以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tabs>
                <w:tab w:pos="1929" w:val="left" w:leader="none"/>
              </w:tabs>
              <w:spacing w:line="240" w:lineRule="auto" w:before="52"/>
              <w:ind w:left="-124" w:right="20"/>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pacing w:val="-1"/>
                <w:sz w:val="18"/>
                <w:szCs w:val="18"/>
              </w:rPr>
              <w:t>-10,579,167.51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5,332,763.39</w:t>
            </w:r>
          </w:p>
        </w:tc>
      </w:tr>
      <w:tr>
        <w:trPr>
          <w:trHeight w:val="401"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3"/>
                <w:sz w:val="18"/>
                <w:szCs w:val="18"/>
              </w:rPr>
              <w:t>递延所得税负债增加（减少以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tabs>
                <w:tab w:pos="2154" w:val="left" w:leader="none"/>
              </w:tabs>
              <w:spacing w:line="240" w:lineRule="auto" w:before="52"/>
              <w:ind w:left="-124" w:right="20"/>
              <w:jc w:val="right"/>
              <w:rPr>
                <w:rFonts w:ascii="Times New Roman" w:hAnsi="Times New Roman" w:cs="Times New Roman" w:eastAsia="Times New Roman" w:hint="default"/>
                <w:sz w:val="18"/>
                <w:szCs w:val="18"/>
              </w:rPr>
            </w:pPr>
            <w:r>
              <w:rPr>
                <w:rFonts w:ascii="宋体" w:hAnsi="宋体" w:cs="宋体" w:eastAsia="宋体" w:hint="default"/>
                <w:sz w:val="18"/>
                <w:szCs w:val="18"/>
              </w:rPr>
              <w:t>）</w:t>
              <w:tab/>
            </w:r>
            <w:r>
              <w:rPr>
                <w:rFonts w:ascii="Times New Roman" w:hAnsi="Times New Roman" w:cs="Times New Roman" w:eastAsia="Times New Roman" w:hint="default"/>
                <w:sz w:val="18"/>
                <w:szCs w:val="18"/>
              </w:rPr>
              <w:t>-876,727.55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-1,515,645.11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95,410,611.45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20,394,021.88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1"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85,604,643.62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-355,168,327.75</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40" w:type="dxa"/>
        <w:tblLayout w:type="fixed"/>
        <w:tblCellMar>
          <w:top w:w="0" w:type="dxa"/>
          <w:left w:w="0" w:type="dxa"/>
          <w:bottom w:w="0" w:type="dxa"/>
          <w:right w:w="0" w:type="dxa"/>
        </w:tblCellMar>
        <w:tblLook w:val="01E0"/>
      </w:tblPr>
      <w:tblGrid>
        <w:gridCol w:w="3305"/>
        <w:gridCol w:w="3069"/>
        <w:gridCol w:w="3184"/>
      </w:tblGrid>
      <w:tr>
        <w:trPr>
          <w:trHeight w:val="36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069" w:type="dxa"/>
            <w:tcBorders>
              <w:top w:val="single" w:sz="4" w:space="0" w:color="000000"/>
              <w:left w:val="single" w:sz="13" w:space="0" w:color="D2D2D2"/>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61"/>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75,286,910.42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-45,413,250.99</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6,676,929.63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1,684,494.51</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540,664,802.30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91,291,377.55</w:t>
            </w:r>
          </w:p>
        </w:tc>
      </w:tr>
      <w:tr>
        <w:trPr>
          <w:trHeight w:val="161" w:hRule="exact"/>
        </w:trPr>
        <w:tc>
          <w:tcPr>
            <w:tcW w:w="3305" w:type="dxa"/>
            <w:vMerge w:val="restart"/>
            <w:tcBorders>
              <w:top w:val="single" w:sz="4" w:space="0" w:color="000000"/>
              <w:left w:val="single" w:sz="4" w:space="0" w:color="000000"/>
              <w:right w:val="single" w:sz="4" w:space="0" w:color="000000"/>
            </w:tcBorders>
            <w:shd w:val="clear" w:color="auto" w:fill="D2D2D2"/>
          </w:tcPr>
          <w:p>
            <w:pPr>
              <w:pStyle w:val="TableParagraph"/>
              <w:spacing w:line="300" w:lineRule="auto" w:before="51"/>
              <w:ind w:left="11" w:right="131"/>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 动：</w:t>
            </w:r>
          </w:p>
        </w:tc>
        <w:tc>
          <w:tcPr>
            <w:tcW w:w="3069"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2" w:hRule="exact"/>
        </w:trPr>
        <w:tc>
          <w:tcPr>
            <w:tcW w:w="3305" w:type="dxa"/>
            <w:vMerge/>
            <w:tcBorders>
              <w:left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475"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161" w:hRule="exact"/>
        </w:trPr>
        <w:tc>
          <w:tcPr>
            <w:tcW w:w="3305" w:type="dxa"/>
            <w:vMerge/>
            <w:tcBorders>
              <w:left w:val="single" w:sz="4" w:space="0" w:color="000000"/>
              <w:bottom w:val="single" w:sz="4" w:space="0" w:color="000000"/>
              <w:right w:val="single" w:sz="4" w:space="0" w:color="000000"/>
            </w:tcBorders>
            <w:shd w:val="clear" w:color="auto" w:fill="D2D2D2"/>
          </w:tcPr>
          <w:p>
            <w:pPr/>
          </w:p>
        </w:tc>
        <w:tc>
          <w:tcPr>
            <w:tcW w:w="3069" w:type="dxa"/>
            <w:tcBorders>
              <w:top w:val="nil" w:sz="6" w:space="0" w:color="auto"/>
              <w:left w:val="single" w:sz="4" w:space="0" w:color="000000"/>
              <w:bottom w:val="single" w:sz="4" w:space="0" w:color="000000"/>
              <w:right w:val="single" w:sz="4" w:space="0" w:color="000000"/>
            </w:tcBorders>
            <w:shd w:val="clear" w:color="auto" w:fill="D2D2D2"/>
          </w:tcPr>
          <w:p>
            <w:pPr/>
          </w:p>
        </w:tc>
        <w:tc>
          <w:tcPr>
            <w:tcW w:w="318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475" w:right="0"/>
              <w:jc w:val="left"/>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526" w:right="0"/>
              <w:jc w:val="left"/>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681,871,871.18</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-65,675,449.01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161,238,732.74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本期收到的处置子公司的现金净额" w:id="361"/>
      <w:bookmarkEnd w:id="361"/>
      <w:r>
        <w:rPr>
          <w:b w:val="0"/>
          <w:bCs w:val="0"/>
        </w:rPr>
      </w:r>
      <w:r>
        <w:rPr/>
        <w:t>（</w:t>
      </w:r>
      <w:r>
        <w:rPr>
          <w:rFonts w:ascii="Times New Roman" w:hAnsi="Times New Roman" w:cs="Times New Roman" w:eastAsia="Times New Roman" w:hint="default"/>
        </w:rPr>
        <w:t>2</w:t>
      </w:r>
      <w:r>
        <w:rPr/>
        <w:t>）本期收到的处置子公司的现金净额</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989"/>
        <w:gridCol w:w="4580"/>
      </w:tblGrid>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本期处置子公司于本期收到的现金或现金等价物</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750,000.00</w:t>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750,000.00</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减：丧失控制权日子公司持有的现金及现金等价物</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40,483.15</w:t>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40,483.15</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加：以前期间处置子公司于本期收到的现金或现金等价物</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4,566,280.00</w:t>
            </w:r>
          </w:p>
        </w:tc>
      </w:tr>
      <w:tr>
        <w:trPr>
          <w:trHeight w:val="401"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4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4,566,280.00</w:t>
            </w:r>
          </w:p>
        </w:tc>
      </w:tr>
      <w:tr>
        <w:trPr>
          <w:trHeight w:val="403"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处置子公司收到的现金净额</w:t>
            </w:r>
          </w:p>
        </w:tc>
        <w:tc>
          <w:tcPr>
            <w:tcW w:w="458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5,275,796.85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现金和现金等价物的构成" w:id="362"/>
      <w:bookmarkEnd w:id="362"/>
      <w:r>
        <w:rPr>
          <w:b w:val="0"/>
          <w:bCs w:val="0"/>
        </w:rPr>
      </w:r>
      <w:r>
        <w:rPr/>
        <w:t>（</w:t>
      </w:r>
      <w:r>
        <w:rPr>
          <w:rFonts w:ascii="Times New Roman" w:hAnsi="Times New Roman" w:cs="Times New Roman" w:eastAsia="Times New Roman" w:hint="default"/>
        </w:rPr>
        <w:t>3</w:t>
      </w:r>
      <w:r>
        <w:rPr/>
        <w:t>）现金和现金等价物的构成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292,546.51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223,504.83</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769,229,369.15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835,613,748.62</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7,913,239.25</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7,273,350.47</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二、期末现金及现金等价物余额</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777,435,154.91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843,110,603.92</w:t>
            </w:r>
          </w:p>
        </w:tc>
      </w:tr>
    </w:tbl>
    <w:p>
      <w:pPr>
        <w:spacing w:after="0" w:line="240" w:lineRule="auto"/>
        <w:jc w:val="right"/>
        <w:rPr>
          <w:rFonts w:ascii="Times New Roman" w:hAnsi="Times New Roman" w:cs="Times New Roman" w:eastAsia="Times New Roman" w:hint="default"/>
          <w:sz w:val="18"/>
          <w:szCs w:val="18"/>
        </w:rPr>
        <w:sectPr>
          <w:footerReference w:type="default" r:id="rId58"/>
          <w:pgSz w:w="11910" w:h="16840"/>
          <w:pgMar w:footer="979" w:header="851"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77、所有者权益变动表项目注释" w:id="363"/>
      <w:bookmarkEnd w:id="363"/>
      <w:r>
        <w:rPr>
          <w:b w:val="0"/>
          <w:bCs w:val="0"/>
        </w:rPr>
      </w:r>
      <w:r>
        <w:rPr>
          <w:rFonts w:ascii="Times New Roman" w:hAnsi="Times New Roman" w:cs="Times New Roman" w:eastAsia="Times New Roman" w:hint="default"/>
        </w:rPr>
        <w:t>77</w:t>
      </w:r>
      <w:r>
        <w:rPr/>
        <w:t>、所有者权益变动表项目注释</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left="1133" w:right="0"/>
        <w:jc w:val="left"/>
        <w:rPr>
          <w:b w:val="0"/>
          <w:bCs w:val="0"/>
        </w:rPr>
      </w:pPr>
      <w:bookmarkStart w:name="78、所有权或使用权受到限制的资产" w:id="364"/>
      <w:bookmarkEnd w:id="364"/>
      <w:r>
        <w:rPr>
          <w:b w:val="0"/>
          <w:bCs w:val="0"/>
        </w:rPr>
      </w:r>
      <w:r>
        <w:rPr>
          <w:rFonts w:ascii="Times New Roman" w:hAnsi="Times New Roman" w:cs="Times New Roman" w:eastAsia="Times New Roman" w:hint="default"/>
        </w:rPr>
        <w:t>78</w:t>
      </w:r>
      <w:r>
        <w:rPr/>
        <w:t>、所有权或使用权受到限制的资产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23"/>
        <w:gridCol w:w="1986"/>
        <w:gridCol w:w="5648"/>
      </w:tblGrid>
      <w:tr>
        <w:trPr>
          <w:trHeight w:val="402" w:hRule="exact"/>
        </w:trPr>
        <w:tc>
          <w:tcPr>
            <w:tcW w:w="1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9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5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5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1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98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12,052,170.49</w:t>
            </w:r>
          </w:p>
        </w:tc>
        <w:tc>
          <w:tcPr>
            <w:tcW w:w="56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保函保证金、境外信用卡保证金、支付宝保证金等</w:t>
            </w:r>
          </w:p>
        </w:tc>
      </w:tr>
      <w:tr>
        <w:trPr>
          <w:trHeight w:val="403" w:hRule="exact"/>
        </w:trPr>
        <w:tc>
          <w:tcPr>
            <w:tcW w:w="1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6"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2"/>
              <w:ind w:right="10"/>
              <w:jc w:val="right"/>
              <w:rPr>
                <w:rFonts w:ascii="Times New Roman" w:hAnsi="Times New Roman" w:cs="Times New Roman" w:eastAsia="Times New Roman" w:hint="default"/>
                <w:sz w:val="18"/>
                <w:szCs w:val="18"/>
              </w:rPr>
            </w:pPr>
            <w:r>
              <w:rPr>
                <w:rFonts w:ascii="Times New Roman"/>
                <w:spacing w:val="-1"/>
                <w:sz w:val="18"/>
              </w:rPr>
              <w:t>12,052,170.49</w:t>
            </w:r>
          </w:p>
        </w:tc>
        <w:tc>
          <w:tcPr>
            <w:tcW w:w="56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9、外币货币性项目" w:id="365"/>
      <w:bookmarkEnd w:id="365"/>
      <w:r>
        <w:rPr>
          <w:b w:val="0"/>
          <w:bCs w:val="0"/>
        </w:rPr>
      </w:r>
      <w:r>
        <w:rPr>
          <w:rFonts w:ascii="Times New Roman" w:hAnsi="Times New Roman" w:cs="Times New Roman" w:eastAsia="Times New Roman" w:hint="default"/>
        </w:rPr>
        <w:t>79</w:t>
      </w:r>
      <w:r>
        <w:rPr/>
        <w:t>、外币货币性项目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外币货币性项目" w:id="366"/>
      <w:bookmarkEnd w:id="366"/>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484"/>
        <w:gridCol w:w="2305"/>
        <w:gridCol w:w="2391"/>
        <w:gridCol w:w="2389"/>
      </w:tblGrid>
      <w:tr>
        <w:trPr>
          <w:trHeight w:val="403" w:hRule="exact"/>
        </w:trPr>
        <w:tc>
          <w:tcPr>
            <w:tcW w:w="2484"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2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5" w:type="dxa"/>
            <w:tcBorders>
              <w:top w:val="single" w:sz="4" w:space="0" w:color="000000"/>
              <w:left w:val="single" w:sz="9" w:space="0" w:color="D9D9D9"/>
              <w:bottom w:val="single" w:sz="4" w:space="0" w:color="000000"/>
              <w:right w:val="single" w:sz="4" w:space="0" w:color="000000"/>
            </w:tcBorders>
            <w:shd w:val="clear" w:color="auto" w:fill="D2D2D2"/>
          </w:tcPr>
          <w:p>
            <w:pPr>
              <w:pStyle w:val="TableParagraph"/>
              <w:spacing w:line="240" w:lineRule="auto" w:before="52"/>
              <w:ind w:left="606"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1" w:hRule="exact"/>
        </w:trPr>
        <w:tc>
          <w:tcPr>
            <w:tcW w:w="2484"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05" w:type="dxa"/>
            <w:tcBorders>
              <w:top w:val="single" w:sz="4" w:space="0" w:color="000000"/>
              <w:left w:val="single" w:sz="9" w:space="0" w:color="D9D9D9"/>
              <w:bottom w:val="single" w:sz="4" w:space="0" w:color="000000"/>
              <w:right w:val="single" w:sz="4" w:space="0" w:color="000000"/>
            </w:tcBorders>
            <w:shd w:val="clear" w:color="auto" w:fill="D2D2D2"/>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148,579,059.53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20,605,511.98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6.5342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134,640,536.38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10,333.51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7.8023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80,625.15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10,246,386.59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0.8359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8,564,954.55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345,331.95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4.8831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1,686,290.45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新台币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3,484,395.00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0.2200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766,566.90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271,630,166.00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0.0061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1,656,944.01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1,503,808,012.00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0.0003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432,671.13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3,740,127.70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0.2001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748,399.55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加币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398.28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5.2009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2,071.41</w:t>
            </w:r>
          </w:p>
        </w:tc>
      </w:tr>
      <w:tr>
        <w:trPr>
          <w:trHeight w:val="402" w:hRule="exact"/>
        </w:trPr>
        <w:tc>
          <w:tcPr>
            <w:tcW w:w="2484"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5" w:type="dxa"/>
            <w:tcBorders>
              <w:top w:val="single" w:sz="4" w:space="0" w:color="000000"/>
              <w:left w:val="single" w:sz="9" w:space="0" w:color="D9D9D9"/>
              <w:bottom w:val="single" w:sz="4" w:space="0" w:color="000000"/>
              <w:right w:val="single" w:sz="4" w:space="0" w:color="000000"/>
            </w:tcBorders>
            <w:shd w:val="clear" w:color="auto" w:fill="D2D2D2"/>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57,402,814.94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8,609,762.07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6.5342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56,257,907.32</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262,114.66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0.8359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219,101.64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189,593.90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4.8831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925,805.97</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新台币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2,514.62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0.2200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553.22</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left="3"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4,726,869.31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162,638.11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6.5342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1,062,709.94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4,203,236.30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0.8359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3,513,485.22</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18,584.44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4.8831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90,749.68</w:t>
            </w:r>
          </w:p>
        </w:tc>
      </w:tr>
      <w:tr>
        <w:trPr>
          <w:trHeight w:val="403"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63"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184,920.88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0.2001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37,002.67</w:t>
            </w:r>
          </w:p>
        </w:tc>
      </w:tr>
    </w:tbl>
    <w:p>
      <w:pPr>
        <w:spacing w:after="0" w:line="240" w:lineRule="auto"/>
        <w:jc w:val="right"/>
        <w:rPr>
          <w:rFonts w:ascii="Times New Roman" w:hAnsi="Times New Roman" w:cs="Times New Roman" w:eastAsia="Times New Roman" w:hint="default"/>
          <w:sz w:val="18"/>
          <w:szCs w:val="18"/>
        </w:rPr>
        <w:sectPr>
          <w:footerReference w:type="default" r:id="rId59"/>
          <w:pgSz w:w="11910" w:h="16840"/>
          <w:pgMar w:footer="979" w:header="851" w:top="1320" w:bottom="1160" w:left="0" w:right="0"/>
          <w:pgNumType w:start="201"/>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9" w:type="dxa"/>
        <w:tblLayout w:type="fixed"/>
        <w:tblCellMar>
          <w:top w:w="0" w:type="dxa"/>
          <w:left w:w="0" w:type="dxa"/>
          <w:bottom w:w="0" w:type="dxa"/>
          <w:right w:w="0" w:type="dxa"/>
        </w:tblCellMar>
        <w:tblLook w:val="01E0"/>
      </w:tblPr>
      <w:tblGrid>
        <w:gridCol w:w="2484"/>
        <w:gridCol w:w="2305"/>
        <w:gridCol w:w="2391"/>
        <w:gridCol w:w="2389"/>
      </w:tblGrid>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新台币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104,190.00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22,921.80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left="1086" w:right="0"/>
              <w:jc w:val="left"/>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29" w:right="0"/>
              <w:jc w:val="left"/>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67,840,150.98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8,358,070.71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54,613,305.63</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8,763,347.53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0.8359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7,325,282.20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190"/>
              <w:jc w:val="righ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107,151.31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4.8831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523,230.56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292,309,990.89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0.0061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1,783,090.94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新台币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481,020.51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105,824.51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left="1086" w:right="0"/>
              <w:jc w:val="left"/>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29" w:right="0"/>
              <w:jc w:val="left"/>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1,744,708.56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19,186.77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6.5342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125,370.19</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184,255.48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0.8359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154,019.16</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190"/>
              <w:jc w:val="right"/>
              <w:rPr>
                <w:rFonts w:ascii="宋体" w:hAnsi="宋体" w:cs="宋体" w:eastAsia="宋体" w:hint="default"/>
                <w:sz w:val="18"/>
                <w:szCs w:val="18"/>
              </w:rPr>
            </w:pPr>
            <w:r>
              <w:rPr>
                <w:rFonts w:ascii="宋体" w:hAnsi="宋体" w:cs="宋体" w:eastAsia="宋体" w:hint="default"/>
                <w:sz w:val="18"/>
                <w:szCs w:val="18"/>
              </w:rPr>
              <w:t>新加坡币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139,162.11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4.8831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679,542.50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越南盾</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54,482,688.00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0.0003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15,675.60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泰铢</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3,740,127.70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0.2001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748,399.55</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韩元</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2,626,998.00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0.0061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16,024.69</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新台币</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25,804.00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0.2200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5,676.88</w:t>
            </w:r>
          </w:p>
        </w:tc>
      </w:tr>
    </w:tbl>
    <w:p>
      <w:pPr>
        <w:spacing w:line="240" w:lineRule="auto" w:before="2"/>
        <w:rPr>
          <w:rFonts w:ascii="宋体" w:hAnsi="宋体" w:cs="宋体" w:eastAsia="宋体" w:hint="default"/>
          <w:sz w:val="19"/>
          <w:szCs w:val="19"/>
        </w:rPr>
      </w:pPr>
    </w:p>
    <w:p>
      <w:pPr>
        <w:pStyle w:val="Heading3"/>
        <w:spacing w:line="259" w:lineRule="auto" w:before="35"/>
        <w:ind w:right="0"/>
        <w:jc w:val="left"/>
        <w:rPr>
          <w:b w:val="0"/>
          <w:bCs w:val="0"/>
        </w:rPr>
      </w:pPr>
      <w:bookmarkStart w:name="（2）境外经营实体说明，包括对于重要的境外经营实体，应披露其境外主要经营地、记账" w:id="367"/>
      <w:bookmarkEnd w:id="367"/>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10"/>
        <w:rPr>
          <w:rFonts w:ascii="宋体" w:hAnsi="宋体" w:cs="宋体" w:eastAsia="宋体" w:hint="default"/>
          <w:b/>
          <w:bCs/>
          <w:sz w:val="25"/>
          <w:szCs w:val="25"/>
        </w:rPr>
      </w:pPr>
    </w:p>
    <w:p>
      <w:pPr>
        <w:pStyle w:val="Heading3"/>
        <w:spacing w:line="240" w:lineRule="auto"/>
        <w:ind w:right="0"/>
        <w:jc w:val="left"/>
        <w:rPr>
          <w:b w:val="0"/>
          <w:bCs w:val="0"/>
        </w:rPr>
      </w:pPr>
      <w:bookmarkStart w:name="80、套期" w:id="368"/>
      <w:bookmarkEnd w:id="368"/>
      <w:r>
        <w:rPr>
          <w:b w:val="0"/>
          <w:bCs w:val="0"/>
        </w:rPr>
      </w:r>
      <w:r>
        <w:rPr>
          <w:rFonts w:ascii="Times New Roman" w:hAnsi="Times New Roman" w:cs="Times New Roman" w:eastAsia="Times New Roman" w:hint="default"/>
        </w:rPr>
        <w:t>80</w:t>
      </w:r>
      <w:r>
        <w:rPr/>
        <w:t>、套期</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81、其他" w:id="369"/>
      <w:bookmarkEnd w:id="369"/>
      <w:r>
        <w:rPr>
          <w:b w:val="0"/>
          <w:bCs w:val="0"/>
        </w:rPr>
      </w:r>
      <w:r>
        <w:rPr>
          <w:rFonts w:ascii="Times New Roman" w:hAnsi="Times New Roman" w:cs="Times New Roman" w:eastAsia="Times New Roman" w:hint="default"/>
        </w:rPr>
        <w:t>81</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八、合并范围的变更" w:id="370"/>
      <w:bookmarkEnd w:id="370"/>
      <w:r>
        <w:rPr>
          <w:b w:val="0"/>
          <w:bCs w:val="0"/>
        </w:rPr>
      </w:r>
      <w:r>
        <w:rPr/>
        <w:t>八、合并范围的变更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非同一控制下企业合并" w:id="371"/>
      <w:bookmarkEnd w:id="371"/>
      <w:r>
        <w:rPr>
          <w:b w:val="0"/>
          <w:bCs w:val="0"/>
        </w:rPr>
      </w:r>
      <w:r>
        <w:rPr>
          <w:rFonts w:ascii="Times New Roman" w:hAnsi="Times New Roman" w:cs="Times New Roman" w:eastAsia="Times New Roman" w:hint="default"/>
        </w:rPr>
        <w:t>1</w:t>
      </w:r>
      <w:r>
        <w:rPr/>
        <w:t>、非同一控制下企业合并</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left="1133" w:right="0"/>
        <w:jc w:val="left"/>
        <w:rPr>
          <w:b w:val="0"/>
          <w:bCs w:val="0"/>
        </w:rPr>
      </w:pPr>
      <w:bookmarkStart w:name="2、同一控制下企业合并" w:id="372"/>
      <w:bookmarkEnd w:id="372"/>
      <w:r>
        <w:rPr>
          <w:b w:val="0"/>
          <w:bCs w:val="0"/>
        </w:rPr>
      </w:r>
      <w:r>
        <w:rPr>
          <w:rFonts w:ascii="Times New Roman" w:hAnsi="Times New Roman" w:cs="Times New Roman" w:eastAsia="Times New Roman" w:hint="default"/>
        </w:rPr>
        <w:t>2</w:t>
      </w:r>
      <w:r>
        <w:rPr/>
        <w:t>、同一控制下企业合并</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3、反向购买" w:id="373"/>
      <w:bookmarkEnd w:id="373"/>
      <w:r>
        <w:rPr>
          <w:b w:val="0"/>
          <w:bCs w:val="0"/>
        </w:rPr>
      </w:r>
      <w:r>
        <w:rPr>
          <w:rFonts w:ascii="Times New Roman" w:hAnsi="Times New Roman" w:cs="Times New Roman" w:eastAsia="Times New Roman" w:hint="default"/>
        </w:rPr>
        <w:t>3</w:t>
      </w:r>
      <w:r>
        <w:rPr/>
        <w:t>、反向购买</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4、处置子公司" w:id="374"/>
      <w:bookmarkEnd w:id="374"/>
      <w:r>
        <w:rPr>
          <w:b w:val="0"/>
          <w:bCs w:val="0"/>
        </w:rPr>
      </w:r>
      <w:r>
        <w:rPr>
          <w:rFonts w:ascii="Times New Roman" w:hAnsi="Times New Roman" w:cs="Times New Roman" w:eastAsia="Times New Roman" w:hint="default"/>
        </w:rPr>
        <w:t>4</w:t>
      </w:r>
      <w:r>
        <w:rPr/>
        <w:t>、处置子公司</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51" w:footer="979" w:top="1320" w:bottom="1160" w:left="0" w:right="0"/>
        </w:sectPr>
      </w:pPr>
    </w:p>
    <w:p>
      <w:pPr>
        <w:pStyle w:val="BodyText"/>
        <w:spacing w:line="240" w:lineRule="auto" w:before="44"/>
        <w:ind w:left="1134" w:right="-20"/>
        <w:jc w:val="left"/>
      </w:pPr>
      <w:r>
        <w:rPr/>
        <w:t>是否存在单次处置对子公司投资即丧失控制权的情形</w:t>
      </w:r>
    </w:p>
    <w:p>
      <w:pPr>
        <w:spacing w:before="116"/>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是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113" w:right="1112"/>
        <w:jc w:val="center"/>
      </w:pPr>
      <w:r>
        <w:rPr/>
        <w:t>单位： 元</w:t>
      </w:r>
    </w:p>
    <w:p>
      <w:pPr>
        <w:spacing w:after="0" w:line="240" w:lineRule="auto"/>
        <w:jc w:val="center"/>
        <w:sectPr>
          <w:type w:val="continuous"/>
          <w:pgSz w:w="11910" w:h="16840"/>
          <w:pgMar w:top="280" w:bottom="280" w:left="0" w:right="0"/>
          <w:cols w:num="2" w:equalWidth="0">
            <w:col w:w="5275" w:space="3555"/>
            <w:col w:w="3080"/>
          </w:cols>
        </w:sectPr>
      </w:pP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36"/>
        <w:gridCol w:w="737"/>
        <w:gridCol w:w="736"/>
        <w:gridCol w:w="736"/>
        <w:gridCol w:w="734"/>
        <w:gridCol w:w="736"/>
        <w:gridCol w:w="734"/>
        <w:gridCol w:w="736"/>
        <w:gridCol w:w="737"/>
        <w:gridCol w:w="736"/>
        <w:gridCol w:w="736"/>
        <w:gridCol w:w="737"/>
        <w:gridCol w:w="736"/>
      </w:tblGrid>
      <w:tr>
        <w:trPr>
          <w:trHeight w:val="3834" w:hRule="exact"/>
        </w:trPr>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93" w:right="91"/>
              <w:jc w:val="left"/>
              <w:rPr>
                <w:rFonts w:ascii="宋体" w:hAnsi="宋体" w:cs="宋体" w:eastAsia="宋体" w:hint="default"/>
                <w:sz w:val="18"/>
                <w:szCs w:val="18"/>
              </w:rPr>
            </w:pPr>
            <w:r>
              <w:rPr>
                <w:rFonts w:ascii="宋体" w:hAnsi="宋体" w:cs="宋体" w:eastAsia="宋体" w:hint="default"/>
                <w:sz w:val="18"/>
                <w:szCs w:val="18"/>
              </w:rPr>
              <w:t>股权处 置价款</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92" w:right="91"/>
              <w:jc w:val="left"/>
              <w:rPr>
                <w:rFonts w:ascii="宋体" w:hAnsi="宋体" w:cs="宋体" w:eastAsia="宋体" w:hint="default"/>
                <w:sz w:val="18"/>
                <w:szCs w:val="18"/>
              </w:rPr>
            </w:pPr>
            <w:r>
              <w:rPr>
                <w:rFonts w:ascii="宋体" w:hAnsi="宋体" w:cs="宋体" w:eastAsia="宋体" w:hint="default"/>
                <w:sz w:val="18"/>
                <w:szCs w:val="18"/>
              </w:rPr>
              <w:t>股权处 置比例</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319" w:lineRule="auto"/>
              <w:ind w:left="92" w:right="91"/>
              <w:jc w:val="left"/>
              <w:rPr>
                <w:rFonts w:ascii="宋体" w:hAnsi="宋体" w:cs="宋体" w:eastAsia="宋体" w:hint="default"/>
                <w:sz w:val="18"/>
                <w:szCs w:val="18"/>
              </w:rPr>
            </w:pPr>
            <w:r>
              <w:rPr>
                <w:rFonts w:ascii="宋体" w:hAnsi="宋体" w:cs="宋体" w:eastAsia="宋体" w:hint="default"/>
                <w:sz w:val="18"/>
                <w:szCs w:val="18"/>
              </w:rPr>
              <w:t>股权处 置方式</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319" w:lineRule="auto"/>
              <w:ind w:left="92" w:right="90"/>
              <w:jc w:val="both"/>
              <w:rPr>
                <w:rFonts w:ascii="宋体" w:hAnsi="宋体" w:cs="宋体" w:eastAsia="宋体" w:hint="default"/>
                <w:sz w:val="18"/>
                <w:szCs w:val="18"/>
              </w:rPr>
            </w:pPr>
            <w:r>
              <w:rPr>
                <w:rFonts w:ascii="宋体" w:hAnsi="宋体" w:cs="宋体" w:eastAsia="宋体" w:hint="default"/>
                <w:sz w:val="18"/>
                <w:szCs w:val="18"/>
              </w:rPr>
              <w:t>丧失控 制权的 时点</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1"/>
              <w:ind w:left="92" w:right="91"/>
              <w:jc w:val="both"/>
              <w:rPr>
                <w:rFonts w:ascii="宋体" w:hAnsi="宋体" w:cs="宋体" w:eastAsia="宋体" w:hint="default"/>
                <w:sz w:val="18"/>
                <w:szCs w:val="18"/>
              </w:rPr>
            </w:pPr>
            <w:r>
              <w:rPr>
                <w:rFonts w:ascii="宋体" w:hAnsi="宋体" w:cs="宋体" w:eastAsia="宋体" w:hint="default"/>
                <w:sz w:val="18"/>
                <w:szCs w:val="18"/>
              </w:rPr>
              <w:t>丧失控 制权时 点的确 定依据</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0"/>
              <w:jc w:val="center"/>
              <w:rPr>
                <w:rFonts w:ascii="宋体" w:hAnsi="宋体" w:cs="宋体" w:eastAsia="宋体" w:hint="default"/>
                <w:sz w:val="18"/>
                <w:szCs w:val="18"/>
              </w:rPr>
            </w:pPr>
            <w:r>
              <w:rPr>
                <w:rFonts w:ascii="宋体" w:hAnsi="宋体" w:cs="宋体" w:eastAsia="宋体" w:hint="default"/>
                <w:sz w:val="18"/>
                <w:szCs w:val="18"/>
              </w:rPr>
              <w:t>处置价 款与处 置投资 对应的 合并财 务报表 层面享 有该子 公司净 资产份 额的差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19" w:lineRule="auto"/>
              <w:ind w:left="92" w:right="91"/>
              <w:jc w:val="both"/>
              <w:rPr>
                <w:rFonts w:ascii="宋体" w:hAnsi="宋体" w:cs="宋体" w:eastAsia="宋体" w:hint="default"/>
                <w:sz w:val="18"/>
                <w:szCs w:val="18"/>
              </w:rPr>
            </w:pPr>
            <w:r>
              <w:rPr>
                <w:rFonts w:ascii="宋体" w:hAnsi="宋体" w:cs="宋体" w:eastAsia="宋体" w:hint="default"/>
                <w:sz w:val="18"/>
                <w:szCs w:val="18"/>
              </w:rPr>
              <w:t>丧失控 制权之 日剩余 股权的 比例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9"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账面价 值</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9" w:lineRule="auto"/>
              <w:ind w:left="92" w:right="93"/>
              <w:jc w:val="center"/>
              <w:rPr>
                <w:rFonts w:ascii="宋体" w:hAnsi="宋体" w:cs="宋体" w:eastAsia="宋体" w:hint="default"/>
                <w:sz w:val="18"/>
                <w:szCs w:val="18"/>
              </w:rPr>
            </w:pPr>
            <w:r>
              <w:rPr>
                <w:rFonts w:ascii="宋体" w:hAnsi="宋体" w:cs="宋体" w:eastAsia="宋体" w:hint="default"/>
                <w:sz w:val="18"/>
                <w:szCs w:val="18"/>
              </w:rPr>
              <w:t>丧失控 制权之 日剩余 股权的 公允价 值</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92" w:right="91"/>
              <w:jc w:val="center"/>
              <w:rPr>
                <w:rFonts w:ascii="宋体" w:hAnsi="宋体" w:cs="宋体" w:eastAsia="宋体" w:hint="default"/>
                <w:sz w:val="18"/>
                <w:szCs w:val="18"/>
              </w:rPr>
            </w:pPr>
            <w:r>
              <w:rPr>
                <w:rFonts w:ascii="宋体" w:hAnsi="宋体" w:cs="宋体" w:eastAsia="宋体" w:hint="default"/>
                <w:sz w:val="18"/>
                <w:szCs w:val="18"/>
              </w:rPr>
              <w:t>按照公 允价值 重新计 量剩余 股权产 生的利 得或损 失</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93" w:right="91"/>
              <w:jc w:val="center"/>
              <w:rPr>
                <w:rFonts w:ascii="宋体" w:hAnsi="宋体" w:cs="宋体" w:eastAsia="宋体" w:hint="default"/>
                <w:sz w:val="18"/>
                <w:szCs w:val="18"/>
              </w:rPr>
            </w:pPr>
            <w:r>
              <w:rPr>
                <w:rFonts w:ascii="宋体" w:hAnsi="宋体" w:cs="宋体" w:eastAsia="宋体" w:hint="default"/>
                <w:sz w:val="18"/>
                <w:szCs w:val="18"/>
              </w:rPr>
              <w:t>丧失控 制权之 日剩余 股权公 允价值 的确定 方法及 主要假 设</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92" w:right="91"/>
              <w:jc w:val="both"/>
              <w:rPr>
                <w:rFonts w:ascii="宋体" w:hAnsi="宋体" w:cs="宋体" w:eastAsia="宋体" w:hint="default"/>
                <w:sz w:val="18"/>
                <w:szCs w:val="18"/>
              </w:rPr>
            </w:pPr>
            <w:r>
              <w:rPr>
                <w:rFonts w:ascii="宋体" w:hAnsi="宋体" w:cs="宋体" w:eastAsia="宋体" w:hint="default"/>
                <w:sz w:val="18"/>
                <w:szCs w:val="18"/>
              </w:rPr>
              <w:t>与原子 公司股 权投资 相关的 其他综 合收益 转入投 资损益 的金额</w:t>
            </w:r>
          </w:p>
        </w:tc>
      </w:tr>
      <w:tr>
        <w:trPr>
          <w:trHeight w:val="1338" w:hRule="exact"/>
        </w:trPr>
        <w:tc>
          <w:tcPr>
            <w:tcW w:w="7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61"/>
              <w:jc w:val="both"/>
              <w:rPr>
                <w:rFonts w:ascii="宋体" w:hAnsi="宋体" w:cs="宋体" w:eastAsia="宋体" w:hint="default"/>
                <w:sz w:val="18"/>
                <w:szCs w:val="18"/>
              </w:rPr>
            </w:pPr>
            <w:r>
              <w:rPr>
                <w:rFonts w:ascii="宋体" w:hAnsi="宋体" w:cs="宋体" w:eastAsia="宋体" w:hint="default"/>
                <w:sz w:val="18"/>
                <w:szCs w:val="18"/>
              </w:rPr>
              <w:t>重庆泰 岳优才 科技有 限公司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75.00%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转让</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161"/>
              <w:jc w:val="both"/>
              <w:rPr>
                <w:rFonts w:ascii="宋体" w:hAnsi="宋体" w:cs="宋体" w:eastAsia="宋体" w:hint="default"/>
                <w:sz w:val="18"/>
                <w:szCs w:val="18"/>
              </w:rPr>
            </w:pPr>
            <w:r>
              <w:rPr>
                <w:rFonts w:ascii="宋体" w:hAnsi="宋体" w:cs="宋体" w:eastAsia="宋体" w:hint="default"/>
                <w:sz w:val="18"/>
                <w:szCs w:val="18"/>
              </w:rPr>
              <w:t>不再持 有该公 司股权</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1" w:right="0"/>
              <w:jc w:val="left"/>
              <w:rPr>
                <w:rFonts w:ascii="Times New Roman" w:hAnsi="Times New Roman" w:cs="Times New Roman" w:eastAsia="Times New Roman" w:hint="default"/>
                <w:sz w:val="18"/>
                <w:szCs w:val="18"/>
              </w:rPr>
            </w:pPr>
            <w:r>
              <w:rPr>
                <w:rFonts w:ascii="Times New Roman"/>
                <w:sz w:val="18"/>
              </w:rPr>
              <w:t>5,767,89</w:t>
            </w:r>
          </w:p>
          <w:p>
            <w:pPr>
              <w:pStyle w:val="TableParagraph"/>
              <w:spacing w:line="240" w:lineRule="auto" w:before="106"/>
              <w:ind w:left="387" w:right="0"/>
              <w:jc w:val="left"/>
              <w:rPr>
                <w:rFonts w:ascii="Times New Roman" w:hAnsi="Times New Roman" w:cs="Times New Roman" w:eastAsia="Times New Roman" w:hint="default"/>
                <w:sz w:val="18"/>
                <w:szCs w:val="18"/>
              </w:rPr>
            </w:pPr>
            <w:r>
              <w:rPr>
                <w:rFonts w:ascii="Times New Roman"/>
                <w:sz w:val="18"/>
              </w:rPr>
              <w:t>8.47</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134" w:right="0"/>
        <w:jc w:val="left"/>
      </w:pPr>
      <w:r>
        <w:rPr/>
        <w:t>是否存在通过多次交易分步处置对子公司投资且在本期丧失控制权的情形</w:t>
      </w:r>
    </w:p>
    <w:p>
      <w:pPr>
        <w:spacing w:before="117"/>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是 </w:t>
      </w: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否</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left="1133" w:right="0"/>
        <w:jc w:val="left"/>
        <w:rPr>
          <w:b w:val="0"/>
          <w:bCs w:val="0"/>
        </w:rPr>
      </w:pPr>
      <w:bookmarkStart w:name="5、其他原因的合并范围变动" w:id="375"/>
      <w:bookmarkEnd w:id="375"/>
      <w:r>
        <w:rPr>
          <w:b w:val="0"/>
          <w:bCs w:val="0"/>
        </w:rPr>
      </w:r>
      <w:r>
        <w:rPr>
          <w:rFonts w:ascii="Times New Roman" w:hAnsi="Times New Roman" w:cs="Times New Roman" w:eastAsia="Times New Roman" w:hint="default"/>
        </w:rPr>
        <w:t>5</w:t>
      </w:r>
      <w:r>
        <w:rPr/>
        <w:t>、其他原因的合并范围变动</w:t>
      </w:r>
      <w:r>
        <w:rPr>
          <w:b w:val="0"/>
          <w:bCs w:val="0"/>
        </w:rPr>
      </w:r>
    </w:p>
    <w:p>
      <w:pPr>
        <w:spacing w:line="240" w:lineRule="auto" w:before="7"/>
        <w:rPr>
          <w:rFonts w:ascii="宋体" w:hAnsi="宋体" w:cs="宋体" w:eastAsia="宋体" w:hint="default"/>
          <w:b/>
          <w:bCs/>
          <w:sz w:val="32"/>
          <w:szCs w:val="32"/>
        </w:rPr>
      </w:pPr>
    </w:p>
    <w:p>
      <w:pPr>
        <w:pStyle w:val="Heading4"/>
        <w:spacing w:line="240" w:lineRule="auto"/>
        <w:ind w:right="0"/>
        <w:jc w:val="left"/>
        <w:rPr>
          <w:b w:val="0"/>
          <w:bCs w:val="0"/>
        </w:rPr>
      </w:pPr>
      <w:r>
        <w:rPr>
          <w:rFonts w:ascii="Times New Roman" w:hAnsi="Times New Roman" w:cs="Times New Roman" w:eastAsia="Times New Roman" w:hint="default"/>
        </w:rPr>
        <w:t>1</w:t>
      </w:r>
      <w:r>
        <w:rPr/>
        <w:t>、本期因新设纳入合并范围明细如下</w:t>
      </w:r>
      <w:r>
        <w:rPr>
          <w:b w:val="0"/>
          <w:bCs w:val="0"/>
        </w:rPr>
      </w:r>
    </w:p>
    <w:p>
      <w:pPr>
        <w:spacing w:line="240" w:lineRule="auto" w:before="5"/>
        <w:rPr>
          <w:rFonts w:ascii="宋体" w:hAnsi="宋体" w:cs="宋体" w:eastAsia="宋体" w:hint="default"/>
          <w:b/>
          <w:bCs/>
          <w:sz w:val="10"/>
          <w:szCs w:val="10"/>
        </w:rPr>
      </w:pPr>
    </w:p>
    <w:tbl>
      <w:tblPr>
        <w:tblW w:w="0" w:type="auto"/>
        <w:jc w:val="left"/>
        <w:tblInd w:w="1131" w:type="dxa"/>
        <w:tblLayout w:type="fixed"/>
        <w:tblCellMar>
          <w:top w:w="0" w:type="dxa"/>
          <w:left w:w="0" w:type="dxa"/>
          <w:bottom w:w="0" w:type="dxa"/>
          <w:right w:w="0" w:type="dxa"/>
        </w:tblCellMar>
        <w:tblLook w:val="01E0"/>
      </w:tblPr>
      <w:tblGrid>
        <w:gridCol w:w="3771"/>
        <w:gridCol w:w="1535"/>
        <w:gridCol w:w="2178"/>
        <w:gridCol w:w="2172"/>
      </w:tblGrid>
      <w:tr>
        <w:trPr>
          <w:trHeight w:val="337"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left="1248" w:right="0"/>
              <w:jc w:val="left"/>
              <w:rPr>
                <w:rFonts w:ascii="宋体" w:hAnsi="宋体" w:cs="宋体" w:eastAsia="宋体" w:hint="default"/>
                <w:sz w:val="18"/>
                <w:szCs w:val="18"/>
              </w:rPr>
            </w:pPr>
            <w:r>
              <w:rPr>
                <w:rFonts w:ascii="宋体" w:hAnsi="宋体" w:cs="宋体" w:eastAsia="宋体" w:hint="default"/>
                <w:sz w:val="18"/>
                <w:szCs w:val="18"/>
              </w:rPr>
              <w:t>新设子公司名称</w:t>
            </w:r>
          </w:p>
        </w:tc>
        <w:tc>
          <w:tcPr>
            <w:tcW w:w="15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级次</w:t>
            </w:r>
          </w:p>
        </w:tc>
        <w:tc>
          <w:tcPr>
            <w:tcW w:w="21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17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表决权比例（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北京神州泰核物联网技术有限公司</w:t>
            </w:r>
          </w:p>
        </w:tc>
        <w:tc>
          <w:tcPr>
            <w:tcW w:w="153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217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75</w:t>
            </w:r>
          </w:p>
        </w:tc>
        <w:tc>
          <w:tcPr>
            <w:tcW w:w="217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北京泰岳睿安科技有限公司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北京慧联神州科技有限公司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北京神州智核信息技术有限公司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75</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横琴神州泰奇互动科技有限公司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55</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55</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安徽省泰岳祥升软件有限公司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北京泰岳阳光科技有限公司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二级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北京小漫科技有限公司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r>
        <w:trPr>
          <w:trHeight w:val="342" w:hRule="exact"/>
        </w:trPr>
        <w:tc>
          <w:tcPr>
            <w:tcW w:w="37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神州泰岳（香港）发展有限公司</w:t>
            </w:r>
          </w:p>
        </w:tc>
        <w:tc>
          <w:tcPr>
            <w:tcW w:w="1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三级</w:t>
            </w:r>
          </w:p>
        </w:tc>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w:t>
            </w:r>
          </w:p>
        </w:tc>
        <w:tc>
          <w:tcPr>
            <w:tcW w:w="21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280" w:bottom="28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6"/>
          <w:szCs w:val="6"/>
        </w:rPr>
      </w:pPr>
    </w:p>
    <w:p>
      <w:pPr>
        <w:pStyle w:val="Heading4"/>
        <w:spacing w:line="240" w:lineRule="auto" w:before="44"/>
        <w:ind w:right="0"/>
        <w:jc w:val="left"/>
        <w:rPr>
          <w:b w:val="0"/>
          <w:bCs w:val="0"/>
        </w:rPr>
      </w:pPr>
      <w:r>
        <w:rPr>
          <w:rFonts w:ascii="Times New Roman" w:hAnsi="Times New Roman" w:cs="Times New Roman" w:eastAsia="Times New Roman" w:hint="default"/>
        </w:rPr>
        <w:t>2</w:t>
      </w:r>
      <w:r>
        <w:rPr/>
        <w:t>、公司本年因清算减少三级子公司北京觉莲软件有限公司。</w:t>
      </w:r>
      <w:r>
        <w:rPr>
          <w:b w:val="0"/>
          <w:bCs w:val="0"/>
        </w:rPr>
      </w:r>
    </w:p>
    <w:p>
      <w:pPr>
        <w:spacing w:line="240" w:lineRule="auto" w:before="0"/>
        <w:rPr>
          <w:rFonts w:ascii="宋体" w:hAnsi="宋体" w:cs="宋体" w:eastAsia="宋体" w:hint="default"/>
          <w:b/>
          <w:bCs/>
          <w:sz w:val="18"/>
          <w:szCs w:val="18"/>
        </w:rPr>
      </w:pPr>
    </w:p>
    <w:p>
      <w:pPr>
        <w:spacing w:line="240" w:lineRule="auto" w:before="11"/>
        <w:rPr>
          <w:rFonts w:ascii="宋体" w:hAnsi="宋体" w:cs="宋体" w:eastAsia="宋体" w:hint="default"/>
          <w:b/>
          <w:bCs/>
          <w:sz w:val="13"/>
          <w:szCs w:val="13"/>
        </w:rPr>
      </w:pPr>
    </w:p>
    <w:p>
      <w:pPr>
        <w:pStyle w:val="Heading3"/>
        <w:spacing w:line="240" w:lineRule="auto"/>
        <w:ind w:left="1133" w:right="0"/>
        <w:jc w:val="left"/>
        <w:rPr>
          <w:b w:val="0"/>
          <w:bCs w:val="0"/>
        </w:rPr>
      </w:pPr>
      <w:bookmarkStart w:name="6、其他" w:id="376"/>
      <w:bookmarkEnd w:id="376"/>
      <w:r>
        <w:rPr>
          <w:b w:val="0"/>
          <w:bCs w:val="0"/>
        </w:rPr>
      </w:r>
      <w:r>
        <w:rPr>
          <w:rFonts w:ascii="Times New Roman" w:hAnsi="Times New Roman" w:cs="Times New Roman" w:eastAsia="Times New Roman" w:hint="default"/>
        </w:rPr>
        <w:t>6</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九、在其他主体中的权益" w:id="377"/>
      <w:bookmarkEnd w:id="377"/>
      <w:r>
        <w:rPr>
          <w:b w:val="0"/>
          <w:bCs w:val="0"/>
        </w:rPr>
      </w:r>
      <w:r>
        <w:rPr/>
        <w:t>九、在其他主体中的权益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在子公司中的权益" w:id="378"/>
      <w:bookmarkEnd w:id="378"/>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企业集团的构成" w:id="379"/>
      <w:bookmarkEnd w:id="379"/>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371"/>
        <w:gridCol w:w="1367"/>
        <w:gridCol w:w="1367"/>
        <w:gridCol w:w="1367"/>
        <w:gridCol w:w="1367"/>
        <w:gridCol w:w="1367"/>
        <w:gridCol w:w="1366"/>
      </w:tblGrid>
      <w:tr>
        <w:trPr>
          <w:trHeight w:val="402" w:hRule="exact"/>
        </w:trPr>
        <w:tc>
          <w:tcPr>
            <w:tcW w:w="137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1" w:hRule="exact"/>
        </w:trPr>
        <w:tc>
          <w:tcPr>
            <w:tcW w:w="1371" w:type="dxa"/>
            <w:vMerge/>
            <w:tcBorders>
              <w:left w:val="single" w:sz="4" w:space="0" w:color="000000"/>
              <w:bottom w:val="single" w:sz="4" w:space="0" w:color="000000"/>
              <w:right w:val="single" w:sz="4" w:space="0" w:color="000000"/>
            </w:tcBorders>
            <w:shd w:val="clear" w:color="auto" w:fill="D9D9D9"/>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北京新媒传信科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北京互联时代通 讯科技有限公司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重庆新媒农信科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3"/>
              <w:ind w:left="22" w:right="78"/>
              <w:jc w:val="left"/>
              <w:rPr>
                <w:rFonts w:ascii="宋体" w:hAnsi="宋体" w:cs="宋体" w:eastAsia="宋体" w:hint="default"/>
                <w:sz w:val="18"/>
                <w:szCs w:val="18"/>
              </w:rPr>
            </w:pPr>
            <w:r>
              <w:rPr>
                <w:rFonts w:ascii="宋体" w:hAnsi="宋体" w:cs="宋体" w:eastAsia="宋体" w:hint="default"/>
                <w:sz w:val="18"/>
                <w:szCs w:val="18"/>
              </w:rPr>
              <w:t>重庆新媒亿网科 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重庆新迈峰科技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重庆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both"/>
              <w:rPr>
                <w:rFonts w:ascii="宋体" w:hAnsi="宋体" w:cs="宋体" w:eastAsia="宋体" w:hint="default"/>
                <w:sz w:val="18"/>
                <w:szCs w:val="18"/>
              </w:rPr>
            </w:pPr>
            <w:r>
              <w:rPr>
                <w:rFonts w:ascii="宋体" w:hAnsi="宋体" w:cs="宋体" w:eastAsia="宋体" w:hint="default"/>
                <w:sz w:val="18"/>
                <w:szCs w:val="18"/>
              </w:rPr>
              <w:t>北京神州泰岳信 息安全技术有限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北京神州泰岳系 统集成有限公司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北京融聚世界网 络科技有限公司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宁波普天通信技 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78"/>
              <w:jc w:val="left"/>
              <w:rPr>
                <w:rFonts w:ascii="宋体" w:hAnsi="宋体" w:cs="宋体" w:eastAsia="宋体" w:hint="default"/>
                <w:sz w:val="18"/>
                <w:szCs w:val="18"/>
              </w:rPr>
            </w:pPr>
            <w:r>
              <w:rPr>
                <w:rFonts w:ascii="宋体" w:hAnsi="宋体" w:cs="宋体" w:eastAsia="宋体" w:hint="default"/>
                <w:sz w:val="18"/>
                <w:szCs w:val="18"/>
              </w:rPr>
              <w:t>宁波移畅通信设 备有限公司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22" w:right="76"/>
              <w:jc w:val="left"/>
              <w:rPr>
                <w:rFonts w:ascii="宋体" w:hAnsi="宋体" w:cs="宋体" w:eastAsia="宋体" w:hint="default"/>
                <w:sz w:val="18"/>
                <w:szCs w:val="18"/>
              </w:rPr>
            </w:pPr>
            <w:r>
              <w:rPr>
                <w:rFonts w:ascii="宋体" w:hAnsi="宋体" w:cs="宋体" w:eastAsia="宋体" w:hint="default"/>
                <w:sz w:val="18"/>
                <w:szCs w:val="18"/>
              </w:rPr>
              <w:t>宁波金信通讯技 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5"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71"/>
              <w:ind w:left="22" w:right="78"/>
              <w:jc w:val="left"/>
              <w:rPr>
                <w:rFonts w:ascii="宋体" w:hAnsi="宋体" w:cs="宋体" w:eastAsia="宋体" w:hint="default"/>
                <w:sz w:val="18"/>
                <w:szCs w:val="18"/>
              </w:rPr>
            </w:pPr>
            <w:r>
              <w:rPr>
                <w:rFonts w:ascii="宋体" w:hAnsi="宋体" w:cs="宋体" w:eastAsia="宋体" w:hint="default"/>
                <w:sz w:val="18"/>
                <w:szCs w:val="18"/>
              </w:rPr>
              <w:t>宁波普天通信技 术（香港）有限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bl>
    <w:p>
      <w:pPr>
        <w:spacing w:after="0" w:line="316"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36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379" w:type="dxa"/>
            <w:tcBorders>
              <w:top w:val="single" w:sz="4" w:space="0" w:color="000000"/>
              <w:left w:val="single" w:sz="13" w:space="0" w:color="D9D9D9"/>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宁波普金通信设 备有限公司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宁波神州泰岳锐 智信息科技有限 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宁波高新区捷远 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宁波</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奇点新源国际技 术开发（北京） 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69.88%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北京神州泰岳智 能数据技术有限 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00"/>
              <w:jc w:val="left"/>
              <w:rPr>
                <w:rFonts w:ascii="宋体" w:hAnsi="宋体" w:cs="宋体" w:eastAsia="宋体" w:hint="default"/>
                <w:sz w:val="18"/>
                <w:szCs w:val="18"/>
              </w:rPr>
            </w:pPr>
            <w:r>
              <w:rPr>
                <w:rFonts w:ascii="宋体" w:hAnsi="宋体" w:cs="宋体" w:eastAsia="宋体" w:hint="default"/>
                <w:spacing w:val="-5"/>
                <w:sz w:val="18"/>
                <w:szCs w:val="18"/>
              </w:rPr>
              <w:t>神州泰岳（香港</w:t>
            </w:r>
            <w:r>
              <w:rPr>
                <w:rFonts w:ascii="宋体" w:hAnsi="宋体" w:cs="宋体" w:eastAsia="宋体" w:hint="default"/>
                <w:sz w:val="18"/>
                <w:szCs w:val="18"/>
              </w:rPr>
              <w:t> 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196" w:lineRule="exact"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2" w:right="0"/>
              <w:jc w:val="left"/>
              <w:rPr>
                <w:rFonts w:ascii="宋体" w:hAnsi="宋体" w:cs="宋体" w:eastAsia="宋体" w:hint="default"/>
                <w:sz w:val="18"/>
                <w:szCs w:val="18"/>
              </w:rPr>
            </w:pPr>
            <w:r>
              <w:rPr>
                <w:rFonts w:ascii="宋体" w:hAnsi="宋体" w:cs="宋体" w:eastAsia="宋体" w:hint="default"/>
                <w:sz w:val="18"/>
                <w:szCs w:val="18"/>
              </w:rPr>
              <w:t>香港</w:t>
            </w:r>
          </w:p>
          <w:p>
            <w:pPr>
              <w:pStyle w:val="TableParagraph"/>
              <w:spacing w:line="559" w:lineRule="exact"/>
              <w:ind w:right="-38"/>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pict>
                <v:group style="width:67.9pt;height:28pt;mso-position-horizontal-relative:char;mso-position-vertical-relative:line" coordorigin="0,0" coordsize="1358,560">
                  <v:group style="position:absolute;left:0;top:0;width:1358;height:156" coordorigin="0,0" coordsize="1358,156">
                    <v:shape style="position:absolute;left:0;top:0;width:1358;height:156" coordorigin="0,0" coordsize="1358,156" path="m0,156l1357,156,1357,0,0,0,0,156xe" filled="true" fillcolor="#ffffff" stroked="false">
                      <v:path arrowok="t"/>
                      <v:fill type="solid"/>
                    </v:shape>
                  </v:group>
                  <v:group style="position:absolute;left:11;top:156;width:2;height:393" coordorigin="11,156" coordsize="2,393">
                    <v:shape style="position:absolute;left:11;top:156;width:2;height:393" coordorigin="11,156" coordsize="0,393" path="m11,156l11,548e" filled="false" stroked="true" strokeweight="1.140pt" strokecolor="#ffffff">
                      <v:path arrowok="t"/>
                    </v:shape>
                  </v:group>
                  <v:group style="position:absolute;left:23;top:156;width:1311;height:393" coordorigin="23,156" coordsize="1311,393">
                    <v:shape style="position:absolute;left:23;top:156;width:1311;height:393" coordorigin="23,156" coordsize="1311,393" path="m23,548l1333,548,1333,156,23,156,23,548xe" filled="true" fillcolor="#ffffff" stroked="false">
                      <v:path arrowok="t"/>
                      <v:fill type="solid"/>
                    </v:shape>
                  </v:group>
                </v:group>
              </w:pict>
            </w:r>
            <w:r>
              <w:rPr>
                <w:rFonts w:ascii="Times New Roman" w:hAnsi="Times New Roman" w:cs="Times New Roman" w:eastAsia="Times New Roman" w:hint="default"/>
                <w:position w:val="-10"/>
                <w:sz w:val="20"/>
                <w:szCs w:val="20"/>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259"/>
              <w:jc w:val="left"/>
              <w:rPr>
                <w:rFonts w:ascii="Times New Roman" w:hAnsi="Times New Roman" w:cs="Times New Roman" w:eastAsia="Times New Roman" w:hint="default"/>
                <w:sz w:val="18"/>
                <w:szCs w:val="18"/>
              </w:rPr>
            </w:pPr>
            <w:r>
              <w:rPr>
                <w:rFonts w:ascii="Times New Roman"/>
                <w:sz w:val="18"/>
              </w:rPr>
              <w:t>Bridge Minds</w:t>
            </w:r>
            <w:r>
              <w:rPr>
                <w:rFonts w:ascii="Times New Roman"/>
                <w:w w:val="99"/>
                <w:sz w:val="18"/>
              </w:rPr>
              <w:t> </w:t>
            </w:r>
            <w:r>
              <w:rPr>
                <w:rFonts w:ascii="Times New Roman"/>
                <w:sz w:val="18"/>
              </w:rPr>
              <w:t>Consulting</w:t>
            </w:r>
            <w:r>
              <w:rPr>
                <w:rFonts w:ascii="Times New Roman"/>
                <w:spacing w:val="-1"/>
                <w:sz w:val="18"/>
              </w:rPr>
              <w:t> </w:t>
            </w:r>
            <w:r>
              <w:rPr>
                <w:rFonts w:ascii="Times New Roman"/>
                <w:sz w:val="18"/>
              </w:rPr>
              <w:t>Pte</w:t>
            </w:r>
            <w:r>
              <w:rPr>
                <w:rFonts w:ascii="Times New Roman"/>
                <w:w w:val="99"/>
                <w:sz w:val="18"/>
              </w:rPr>
              <w:t> </w:t>
            </w:r>
            <w:r>
              <w:rPr>
                <w:rFonts w:ascii="Times New Roman"/>
                <w:sz w:val="18"/>
              </w:rPr>
              <w:t>Ltd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962"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96"/>
              <w:jc w:val="left"/>
              <w:rPr>
                <w:rFonts w:ascii="Times New Roman" w:hAnsi="Times New Roman" w:cs="Times New Roman" w:eastAsia="Times New Roman" w:hint="default"/>
                <w:sz w:val="18"/>
                <w:szCs w:val="18"/>
              </w:rPr>
            </w:pPr>
            <w:r>
              <w:rPr>
                <w:rFonts w:ascii="Times New Roman"/>
                <w:sz w:val="18"/>
              </w:rPr>
              <w:t>RED</w:t>
            </w:r>
            <w:r>
              <w:rPr>
                <w:rFonts w:ascii="Times New Roman"/>
                <w:spacing w:val="-4"/>
                <w:sz w:val="18"/>
              </w:rPr>
              <w:t> </w:t>
            </w:r>
            <w:r>
              <w:rPr>
                <w:rFonts w:ascii="Times New Roman"/>
                <w:sz w:val="18"/>
              </w:rPr>
              <w:t>TRUST</w:t>
            </w:r>
            <w:r>
              <w:rPr>
                <w:rFonts w:ascii="Times New Roman"/>
                <w:w w:val="99"/>
                <w:sz w:val="18"/>
              </w:rPr>
              <w:t> </w:t>
            </w:r>
            <w:r>
              <w:rPr>
                <w:rFonts w:ascii="Times New Roman"/>
                <w:spacing w:val="-3"/>
                <w:sz w:val="18"/>
              </w:rPr>
              <w:t>SOFTWARE</w:t>
            </w:r>
            <w:r>
              <w:rPr>
                <w:rFonts w:ascii="Times New Roman"/>
                <w:sz w:val="18"/>
              </w:rPr>
              <w:t> AND </w:t>
            </w:r>
            <w:r>
              <w:rPr>
                <w:rFonts w:ascii="Times New Roman"/>
                <w:spacing w:val="-3"/>
                <w:sz w:val="18"/>
              </w:rPr>
              <w:t>SERVICE</w:t>
            </w:r>
            <w:r>
              <w:rPr>
                <w:rFonts w:ascii="Times New Roman"/>
                <w:spacing w:val="-41"/>
                <w:sz w:val="18"/>
              </w:rPr>
              <w:t> </w:t>
            </w:r>
            <w:r>
              <w:rPr>
                <w:rFonts w:ascii="Times New Roman"/>
                <w:spacing w:val="-41"/>
                <w:sz w:val="18"/>
              </w:rPr>
            </w:r>
            <w:r>
              <w:rPr>
                <w:rFonts w:ascii="Times New Roman"/>
                <w:sz w:val="18"/>
              </w:rPr>
              <w:t>TECHNOLOGY</w:t>
            </w:r>
            <w:r>
              <w:rPr>
                <w:rFonts w:ascii="Times New Roman"/>
                <w:w w:val="99"/>
                <w:sz w:val="18"/>
              </w:rPr>
              <w:t> </w:t>
            </w:r>
            <w:r>
              <w:rPr>
                <w:rFonts w:ascii="Times New Roman"/>
                <w:spacing w:val="-3"/>
                <w:sz w:val="18"/>
              </w:rPr>
              <w:t>COMPANY</w:t>
            </w:r>
            <w:r>
              <w:rPr>
                <w:rFonts w:ascii="Times New Roman"/>
                <w:spacing w:val="-43"/>
                <w:sz w:val="18"/>
              </w:rPr>
              <w:t> </w:t>
            </w:r>
            <w:r>
              <w:rPr>
                <w:rFonts w:ascii="Times New Roman"/>
                <w:spacing w:val="-43"/>
                <w:sz w:val="18"/>
              </w:rPr>
            </w:r>
            <w:r>
              <w:rPr>
                <w:rFonts w:ascii="Times New Roman"/>
                <w:sz w:val="18"/>
              </w:rPr>
              <w:t>LIMITED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越南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越南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189"/>
              <w:jc w:val="left"/>
              <w:rPr>
                <w:rFonts w:ascii="Times New Roman" w:hAnsi="Times New Roman" w:cs="Times New Roman" w:eastAsia="Times New Roman" w:hint="default"/>
                <w:sz w:val="18"/>
                <w:szCs w:val="18"/>
              </w:rPr>
            </w:pPr>
            <w:r>
              <w:rPr>
                <w:rFonts w:ascii="Times New Roman"/>
                <w:sz w:val="18"/>
              </w:rPr>
              <w:t>Ultrapower</w:t>
            </w:r>
            <w:r>
              <w:rPr>
                <w:rFonts w:ascii="Times New Roman"/>
                <w:spacing w:val="-1"/>
                <w:sz w:val="18"/>
              </w:rPr>
              <w:t> </w:t>
            </w:r>
            <w:r>
              <w:rPr>
                <w:rFonts w:ascii="Times New Roman"/>
                <w:sz w:val="18"/>
              </w:rPr>
              <w:t>360</w:t>
            </w:r>
            <w:r>
              <w:rPr>
                <w:rFonts w:ascii="Times New Roman"/>
                <w:w w:val="99"/>
                <w:sz w:val="18"/>
              </w:rPr>
              <w:t> </w:t>
            </w:r>
            <w:r>
              <w:rPr>
                <w:rFonts w:ascii="Times New Roman"/>
                <w:sz w:val="18"/>
              </w:rPr>
              <w:t>PTE </w:t>
            </w:r>
            <w:r>
              <w:rPr>
                <w:rFonts w:ascii="Times New Roman"/>
                <w:spacing w:val="-6"/>
                <w:sz w:val="18"/>
              </w:rPr>
              <w:t>LTD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91"/>
              <w:ind w:left="22" w:right="31"/>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Uqsoft</w:t>
            </w:r>
            <w:r>
              <w:rPr>
                <w:rFonts w:ascii="Times New Roman" w:hAnsi="Times New Roman" w:cs="Times New Roman" w:eastAsia="Times New Roman" w:hint="default"/>
                <w:spacing w:val="-3"/>
                <w:sz w:val="18"/>
                <w:szCs w:val="18"/>
              </w:rPr>
              <w:t> </w:t>
            </w:r>
            <w:r>
              <w:rPr>
                <w:rFonts w:ascii="Times New Roman" w:hAnsi="Times New Roman" w:cs="Times New Roman" w:eastAsia="Times New Roman" w:hint="default"/>
                <w:sz w:val="18"/>
                <w:szCs w:val="18"/>
              </w:rPr>
              <w:t>(Thailand)</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Co.</w:t>
            </w:r>
            <w:r>
              <w:rPr>
                <w:rFonts w:ascii="宋体" w:hAnsi="宋体" w:cs="宋体" w:eastAsia="宋体" w:hint="default"/>
                <w:sz w:val="18"/>
                <w:szCs w:val="18"/>
              </w:rPr>
              <w:t>，</w:t>
            </w:r>
            <w:r>
              <w:rPr>
                <w:rFonts w:ascii="宋体" w:hAnsi="宋体" w:cs="宋体" w:eastAsia="宋体" w:hint="default"/>
                <w:spacing w:val="-4"/>
                <w:sz w:val="18"/>
                <w:szCs w:val="18"/>
              </w:rPr>
              <w:t> </w:t>
            </w:r>
            <w:r>
              <w:rPr>
                <w:rFonts w:ascii="Times New Roman" w:hAnsi="Times New Roman" w:cs="Times New Roman" w:eastAsia="Times New Roman" w:hint="default"/>
                <w:sz w:val="18"/>
                <w:szCs w:val="18"/>
              </w:rPr>
              <w:t>Ltd.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曼谷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曼谷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226"/>
              <w:jc w:val="left"/>
              <w:rPr>
                <w:rFonts w:ascii="Times New Roman" w:hAnsi="Times New Roman" w:cs="Times New Roman" w:eastAsia="Times New Roman" w:hint="default"/>
                <w:sz w:val="18"/>
                <w:szCs w:val="18"/>
              </w:rPr>
            </w:pPr>
            <w:r>
              <w:rPr>
                <w:rFonts w:ascii="Times New Roman"/>
                <w:sz w:val="18"/>
              </w:rPr>
              <w:t>UQSOFT</w:t>
            </w:r>
            <w:r>
              <w:rPr>
                <w:rFonts w:ascii="Times New Roman"/>
                <w:w w:val="99"/>
                <w:sz w:val="18"/>
              </w:rPr>
              <w:t> </w:t>
            </w:r>
            <w:r>
              <w:rPr>
                <w:rFonts w:ascii="Times New Roman"/>
                <w:sz w:val="18"/>
              </w:rPr>
              <w:t>(RUSSIA)</w:t>
            </w:r>
            <w:r>
              <w:rPr>
                <w:rFonts w:ascii="Times New Roman"/>
                <w:spacing w:val="-3"/>
                <w:sz w:val="18"/>
              </w:rPr>
              <w:t> </w:t>
            </w:r>
            <w:r>
              <w:rPr>
                <w:rFonts w:ascii="Times New Roman"/>
                <w:sz w:val="18"/>
              </w:rPr>
              <w:t>CO.</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俄罗斯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俄罗斯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475"/>
              <w:jc w:val="left"/>
              <w:rPr>
                <w:rFonts w:ascii="Times New Roman" w:hAnsi="Times New Roman" w:cs="Times New Roman" w:eastAsia="Times New Roman" w:hint="default"/>
                <w:sz w:val="18"/>
                <w:szCs w:val="18"/>
              </w:rPr>
            </w:pPr>
            <w:r>
              <w:rPr>
                <w:rFonts w:ascii="Times New Roman"/>
                <w:sz w:val="18"/>
              </w:rPr>
              <w:t>UQ</w:t>
            </w:r>
            <w:r>
              <w:rPr>
                <w:rFonts w:ascii="Times New Roman"/>
                <w:spacing w:val="-1"/>
                <w:sz w:val="18"/>
              </w:rPr>
              <w:t> </w:t>
            </w:r>
            <w:r>
              <w:rPr>
                <w:rFonts w:ascii="Times New Roman"/>
                <w:sz w:val="18"/>
              </w:rPr>
              <w:t>soft</w:t>
            </w:r>
            <w:r>
              <w:rPr>
                <w:rFonts w:ascii="Times New Roman"/>
                <w:w w:val="99"/>
                <w:sz w:val="18"/>
              </w:rPr>
              <w:t> </w:t>
            </w:r>
            <w:r>
              <w:rPr>
                <w:rFonts w:ascii="Times New Roman"/>
                <w:sz w:val="18"/>
              </w:rPr>
              <w:t>(Singapore)</w:t>
            </w:r>
            <w:r>
              <w:rPr>
                <w:rFonts w:ascii="Times New Roman"/>
                <w:w w:val="99"/>
                <w:sz w:val="18"/>
              </w:rPr>
              <w:t> </w:t>
            </w:r>
            <w:r>
              <w:rPr>
                <w:rFonts w:ascii="Times New Roman"/>
                <w:sz w:val="18"/>
              </w:rPr>
              <w:t>Pte.Ltd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249"/>
              <w:jc w:val="left"/>
              <w:rPr>
                <w:rFonts w:ascii="Times New Roman" w:hAnsi="Times New Roman" w:cs="Times New Roman" w:eastAsia="Times New Roman" w:hint="default"/>
                <w:sz w:val="18"/>
                <w:szCs w:val="18"/>
              </w:rPr>
            </w:pPr>
            <w:r>
              <w:rPr>
                <w:rFonts w:ascii="Times New Roman"/>
                <w:sz w:val="18"/>
              </w:rPr>
              <w:t>Uqsoft</w:t>
            </w:r>
            <w:r>
              <w:rPr>
                <w:rFonts w:ascii="Times New Roman"/>
                <w:spacing w:val="-1"/>
                <w:sz w:val="18"/>
              </w:rPr>
              <w:t> </w:t>
            </w:r>
            <w:r>
              <w:rPr>
                <w:rFonts w:ascii="Times New Roman"/>
                <w:sz w:val="18"/>
              </w:rPr>
              <w:t>(Hong</w:t>
            </w:r>
            <w:r>
              <w:rPr>
                <w:rFonts w:ascii="Times New Roman"/>
                <w:w w:val="99"/>
                <w:sz w:val="18"/>
              </w:rPr>
              <w:t> </w:t>
            </w:r>
            <w:r>
              <w:rPr>
                <w:rFonts w:ascii="Times New Roman"/>
                <w:sz w:val="18"/>
              </w:rPr>
              <w:t>Kong) Limited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北京泰岳智桥信 息技术有限公司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北京神州泰奇互 动科技有限公司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30"/>
              <w:jc w:val="left"/>
              <w:rPr>
                <w:rFonts w:ascii="Times New Roman" w:hAnsi="Times New Roman" w:cs="Times New Roman" w:eastAsia="Times New Roman" w:hint="default"/>
                <w:sz w:val="18"/>
                <w:szCs w:val="18"/>
              </w:rPr>
            </w:pPr>
            <w:r>
              <w:rPr>
                <w:rFonts w:ascii="Times New Roman"/>
                <w:sz w:val="18"/>
              </w:rPr>
              <w:t>UQSOFT</w:t>
            </w:r>
            <w:r>
              <w:rPr>
                <w:rFonts w:ascii="Times New Roman"/>
                <w:w w:val="99"/>
                <w:sz w:val="18"/>
              </w:rPr>
              <w:t> </w:t>
            </w:r>
            <w:r>
              <w:rPr>
                <w:rFonts w:ascii="Times New Roman"/>
                <w:sz w:val="18"/>
              </w:rPr>
              <w:t>YUHAN</w:t>
            </w:r>
            <w:r>
              <w:rPr>
                <w:rFonts w:ascii="Times New Roman"/>
                <w:spacing w:val="-3"/>
                <w:sz w:val="18"/>
              </w:rPr>
              <w:t> </w:t>
            </w:r>
            <w:r>
              <w:rPr>
                <w:rFonts w:ascii="Times New Roman"/>
                <w:sz w:val="18"/>
              </w:rPr>
              <w:t>HOESA</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韩国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韩国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天津壳木软件有 限责任公司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北京壳木软件有 限责任公司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27"/>
              <w:jc w:val="left"/>
              <w:rPr>
                <w:rFonts w:ascii="Times New Roman" w:hAnsi="Times New Roman" w:cs="Times New Roman" w:eastAsia="Times New Roman" w:hint="default"/>
                <w:sz w:val="18"/>
                <w:szCs w:val="18"/>
              </w:rPr>
            </w:pPr>
            <w:r>
              <w:rPr>
                <w:rFonts w:ascii="Times New Roman"/>
                <w:sz w:val="18"/>
              </w:rPr>
              <w:t>CAMEL</w:t>
            </w:r>
            <w:r>
              <w:rPr>
                <w:rFonts w:ascii="Times New Roman"/>
                <w:spacing w:val="-7"/>
                <w:sz w:val="18"/>
              </w:rPr>
              <w:t> </w:t>
            </w:r>
            <w:r>
              <w:rPr>
                <w:rFonts w:ascii="Times New Roman"/>
                <w:sz w:val="18"/>
              </w:rPr>
              <w:t>GAMES</w:t>
            </w:r>
            <w:r>
              <w:rPr>
                <w:rFonts w:ascii="Times New Roman"/>
                <w:w w:val="99"/>
                <w:sz w:val="18"/>
              </w:rPr>
              <w:t> </w:t>
            </w:r>
            <w:r>
              <w:rPr>
                <w:rFonts w:ascii="Times New Roman"/>
                <w:sz w:val="18"/>
              </w:rPr>
              <w:t>LIMITED</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北京骆骆软件科 技有限责任公司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霍尔果斯小小橙 软件开发有限责 任公司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霍尔果斯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霍尔果斯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27"/>
              <w:jc w:val="left"/>
              <w:rPr>
                <w:rFonts w:ascii="Times New Roman" w:hAnsi="Times New Roman" w:cs="Times New Roman" w:eastAsia="Times New Roman" w:hint="default"/>
                <w:sz w:val="18"/>
                <w:szCs w:val="18"/>
              </w:rPr>
            </w:pPr>
            <w:r>
              <w:rPr>
                <w:rFonts w:ascii="Times New Roman"/>
                <w:sz w:val="18"/>
              </w:rPr>
              <w:t>CAMEL</w:t>
            </w:r>
            <w:r>
              <w:rPr>
                <w:rFonts w:ascii="Times New Roman"/>
                <w:spacing w:val="-7"/>
                <w:sz w:val="18"/>
              </w:rPr>
              <w:t> </w:t>
            </w:r>
            <w:r>
              <w:rPr>
                <w:rFonts w:ascii="Times New Roman"/>
                <w:sz w:val="18"/>
              </w:rPr>
              <w:t>GAMES</w:t>
            </w:r>
            <w:r>
              <w:rPr>
                <w:rFonts w:ascii="Times New Roman"/>
                <w:w w:val="99"/>
                <w:sz w:val="18"/>
              </w:rPr>
              <w:t> </w:t>
            </w:r>
            <w:r>
              <w:rPr>
                <w:rFonts w:ascii="Times New Roman"/>
                <w:sz w:val="18"/>
              </w:rPr>
              <w:t>INC.</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美国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天津安纳西科技 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北京安纳西科技 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北京安纳西互娱 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霍尔果斯于艺网 络科技有限公司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霍尔果斯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霍尔果斯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天津泰岳小漫科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天津</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北京小漫科技有 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0"/>
              <w:jc w:val="left"/>
              <w:rPr>
                <w:rFonts w:ascii="宋体" w:hAnsi="宋体" w:cs="宋体" w:eastAsia="宋体" w:hint="default"/>
                <w:sz w:val="18"/>
                <w:szCs w:val="18"/>
              </w:rPr>
            </w:pPr>
            <w:r>
              <w:rPr>
                <w:rFonts w:ascii="宋体" w:hAnsi="宋体" w:cs="宋体" w:eastAsia="宋体" w:hint="default"/>
                <w:spacing w:val="-5"/>
                <w:sz w:val="18"/>
                <w:szCs w:val="18"/>
              </w:rPr>
              <w:t>泰岳小漫（香港</w:t>
            </w:r>
            <w:r>
              <w:rPr>
                <w:rFonts w:ascii="宋体" w:hAnsi="宋体" w:cs="宋体" w:eastAsia="宋体" w:hint="default"/>
                <w:sz w:val="18"/>
                <w:szCs w:val="18"/>
              </w:rPr>
              <w:t> 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196" w:lineRule="exact"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2" w:right="0"/>
              <w:jc w:val="left"/>
              <w:rPr>
                <w:rFonts w:ascii="宋体" w:hAnsi="宋体" w:cs="宋体" w:eastAsia="宋体" w:hint="default"/>
                <w:sz w:val="18"/>
                <w:szCs w:val="18"/>
              </w:rPr>
            </w:pPr>
            <w:r>
              <w:rPr>
                <w:rFonts w:ascii="宋体" w:hAnsi="宋体" w:cs="宋体" w:eastAsia="宋体" w:hint="default"/>
                <w:sz w:val="18"/>
                <w:szCs w:val="18"/>
              </w:rPr>
              <w:t>香港</w:t>
            </w:r>
          </w:p>
          <w:p>
            <w:pPr>
              <w:pStyle w:val="TableParagraph"/>
              <w:spacing w:line="559" w:lineRule="exact"/>
              <w:ind w:right="-38"/>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pict>
                <v:group style="width:67.9pt;height:28pt;mso-position-horizontal-relative:char;mso-position-vertical-relative:line" coordorigin="0,0" coordsize="1358,560">
                  <v:group style="position:absolute;left:0;top:0;width:1358;height:156" coordorigin="0,0" coordsize="1358,156">
                    <v:shape style="position:absolute;left:0;top:0;width:1358;height:156" coordorigin="0,0" coordsize="1358,156" path="m0,156l1357,156,1357,0,0,0,0,156xe" filled="true" fillcolor="#ffffff" stroked="false">
                      <v:path arrowok="t"/>
                      <v:fill type="solid"/>
                    </v:shape>
                  </v:group>
                  <v:group style="position:absolute;left:11;top:156;width:2;height:393" coordorigin="11,156" coordsize="2,393">
                    <v:shape style="position:absolute;left:11;top:156;width:2;height:393" coordorigin="11,156" coordsize="0,393" path="m11,156l11,548e" filled="false" stroked="true" strokeweight="1.140pt" strokecolor="#ffffff">
                      <v:path arrowok="t"/>
                    </v:shape>
                  </v:group>
                  <v:group style="position:absolute;left:23;top:156;width:1311;height:393" coordorigin="23,156" coordsize="1311,393">
                    <v:shape style="position:absolute;left:23;top:156;width:1311;height:393" coordorigin="23,156" coordsize="1311,393" path="m23,548l1333,548,1333,156,23,156,23,548xe" filled="true" fillcolor="#ffffff" stroked="false">
                      <v:path arrowok="t"/>
                      <v:fill type="solid"/>
                    </v:shape>
                  </v:group>
                </v:group>
              </w:pict>
            </w:r>
            <w:r>
              <w:rPr>
                <w:rFonts w:ascii="Times New Roman" w:hAnsi="Times New Roman" w:cs="Times New Roman" w:eastAsia="Times New Roman" w:hint="default"/>
                <w:position w:val="-10"/>
                <w:sz w:val="20"/>
                <w:szCs w:val="20"/>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北京广通神州网 络技术有限公司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广州短讯神州网 络技术有限公司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苏州短讯神州网 络技术有限公司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苏州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北京神州祥升软 件有限公司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北京浩宇纵横科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r>
        <w:rPr/>
        <w:pict>
          <v:shape style="position:absolute;margin-left:92.343002pt;margin-top:72.47998pt;width:101.1pt;height:15.6pt;mso-position-horizontal-relative:page;mso-position-vertical-relative:page;z-index:-1191688" type="#_x0000_t202" filled="false" stroked="false">
            <v:textbox inset="0,0,0,0">
              <w:txbxContent>
                <w:p>
                  <w:pPr>
                    <w:pStyle w:val="BodyText"/>
                    <w:spacing w:line="240" w:lineRule="auto" w:before="51"/>
                    <w:ind w:left="0" w:right="0"/>
                    <w:jc w:val="left"/>
                  </w:pPr>
                  <w:r>
                    <w:rPr/>
                    <w:t>（北京）</w:t>
                  </w:r>
                </w:p>
              </w:txbxContent>
            </v:textbox>
            <w10:wrap type="none"/>
          </v:shape>
        </w:pict>
      </w:r>
    </w:p>
    <w:tbl>
      <w:tblPr>
        <w:tblW w:w="0" w:type="auto"/>
        <w:jc w:val="left"/>
        <w:tblInd w:w="1129" w:type="dxa"/>
        <w:tblLayout w:type="fixed"/>
        <w:tblCellMar>
          <w:top w:w="0" w:type="dxa"/>
          <w:left w:w="0" w:type="dxa"/>
          <w:bottom w:w="0" w:type="dxa"/>
          <w:right w:w="0" w:type="dxa"/>
        </w:tblCellMar>
        <w:tblLook w:val="01E0"/>
      </w:tblPr>
      <w:tblGrid>
        <w:gridCol w:w="1360"/>
        <w:gridCol w:w="1379"/>
        <w:gridCol w:w="1367"/>
        <w:gridCol w:w="1367"/>
        <w:gridCol w:w="1367"/>
        <w:gridCol w:w="1367"/>
        <w:gridCol w:w="1366"/>
      </w:tblGrid>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中科鼎富 科技发展有限公 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312"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
                <w:sz w:val="20"/>
                <w:szCs w:val="20"/>
              </w:rPr>
              <w:pict>
                <v:group style="width:67.9pt;height:15.6pt;mso-position-horizontal-relative:char;mso-position-vertical-relative:line" coordorigin="0,0" coordsize="1358,312">
                  <v:group style="position:absolute;left:0;top:0;width:1358;height:312" coordorigin="0,0" coordsize="1358,312">
                    <v:shape style="position:absolute;left:0;top:0;width:1358;height:312" coordorigin="0,0" coordsize="1358,312" path="m0,312l1357,312,1357,0,0,0,0,312xe" filled="true" fillcolor="#ffffff" stroked="false">
                      <v:path arrowok="t"/>
                      <v:fill type="solid"/>
                    </v:shape>
                  </v:group>
                </v:group>
              </w:pict>
            </w:r>
            <w:r>
              <w:rPr>
                <w:rFonts w:ascii="Times New Roman" w:hAnsi="Times New Roman" w:cs="Times New Roman" w:eastAsia="Times New Roman" w:hint="default"/>
                <w:position w:val="-5"/>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4"/>
              <w:ind w:right="0"/>
              <w:jc w:val="left"/>
              <w:rPr>
                <w:rFonts w:ascii="Times New Roman" w:hAnsi="Times New Roman" w:cs="Times New Roman" w:eastAsia="Times New Roman" w:hint="default"/>
                <w:sz w:val="28"/>
                <w:szCs w:val="28"/>
              </w:rPr>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上海奔耀信息科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广州市奔耀信息 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广州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北京华泰德丰技 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深圳市前海泰岳 梧桐投资基金管 理有限公司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1026"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both"/>
              <w:rPr>
                <w:rFonts w:ascii="宋体" w:hAnsi="宋体" w:cs="宋体" w:eastAsia="宋体" w:hint="default"/>
                <w:sz w:val="18"/>
                <w:szCs w:val="18"/>
              </w:rPr>
            </w:pPr>
            <w:r>
              <w:rPr>
                <w:rFonts w:ascii="宋体" w:hAnsi="宋体" w:cs="宋体" w:eastAsia="宋体" w:hint="default"/>
                <w:sz w:val="18"/>
                <w:szCs w:val="18"/>
              </w:rPr>
              <w:t>北京神州泰核物 联网技术有限公 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北京泰岳睿安科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北京慧联神州科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北京神州智核信 息技术有限公司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75.00%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横琴神州泰奇互 动科技有限公司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55.00%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安徽省泰岳祥升 软件有限公司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安徽</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北京泰岳阳光科 技有限公司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r>
        <w:trPr>
          <w:trHeight w:val="714" w:hRule="exact"/>
        </w:trPr>
        <w:tc>
          <w:tcPr>
            <w:tcW w:w="13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00"/>
              <w:jc w:val="left"/>
              <w:rPr>
                <w:rFonts w:ascii="宋体" w:hAnsi="宋体" w:cs="宋体" w:eastAsia="宋体" w:hint="default"/>
                <w:sz w:val="18"/>
                <w:szCs w:val="18"/>
              </w:rPr>
            </w:pPr>
            <w:r>
              <w:rPr>
                <w:rFonts w:ascii="宋体" w:hAnsi="宋体" w:cs="宋体" w:eastAsia="宋体" w:hint="default"/>
                <w:spacing w:val="-5"/>
                <w:sz w:val="18"/>
                <w:szCs w:val="18"/>
              </w:rPr>
              <w:t>神州泰岳（香港</w:t>
            </w:r>
            <w:r>
              <w:rPr>
                <w:rFonts w:ascii="宋体" w:hAnsi="宋体" w:cs="宋体" w:eastAsia="宋体" w:hint="default"/>
                <w:sz w:val="18"/>
                <w:szCs w:val="18"/>
              </w:rPr>
              <w:t> 发展有限公司</w:t>
            </w:r>
          </w:p>
        </w:tc>
        <w:tc>
          <w:tcPr>
            <w:tcW w:w="1379" w:type="dxa"/>
            <w:tcBorders>
              <w:top w:val="single" w:sz="4" w:space="0" w:color="000000"/>
              <w:left w:val="single" w:sz="13" w:space="0" w:color="D9D9D9"/>
              <w:bottom w:val="single" w:sz="4" w:space="0" w:color="000000"/>
              <w:right w:val="single" w:sz="4" w:space="0" w:color="000000"/>
            </w:tcBorders>
          </w:tcPr>
          <w:p>
            <w:pPr>
              <w:pStyle w:val="TableParagraph"/>
              <w:spacing w:line="196" w:lineRule="exact" w:before="51"/>
              <w:ind w:left="-124"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22" w:right="0"/>
              <w:jc w:val="left"/>
              <w:rPr>
                <w:rFonts w:ascii="宋体" w:hAnsi="宋体" w:cs="宋体" w:eastAsia="宋体" w:hint="default"/>
                <w:sz w:val="18"/>
                <w:szCs w:val="18"/>
              </w:rPr>
            </w:pPr>
            <w:r>
              <w:rPr>
                <w:rFonts w:ascii="宋体" w:hAnsi="宋体" w:cs="宋体" w:eastAsia="宋体" w:hint="default"/>
                <w:sz w:val="18"/>
                <w:szCs w:val="18"/>
              </w:rPr>
              <w:t>香港</w:t>
            </w:r>
          </w:p>
          <w:p>
            <w:pPr>
              <w:pStyle w:val="TableParagraph"/>
              <w:spacing w:line="559" w:lineRule="exact"/>
              <w:ind w:right="-38"/>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0"/>
                <w:sz w:val="20"/>
                <w:szCs w:val="20"/>
              </w:rPr>
              <w:pict>
                <v:group style="width:67.9pt;height:28pt;mso-position-horizontal-relative:char;mso-position-vertical-relative:line" coordorigin="0,0" coordsize="1358,560">
                  <v:group style="position:absolute;left:0;top:0;width:1358;height:156" coordorigin="0,0" coordsize="1358,156">
                    <v:shape style="position:absolute;left:0;top:0;width:1358;height:156" coordorigin="0,0" coordsize="1358,156" path="m0,156l1357,156,1357,0,0,0,0,156xe" filled="true" fillcolor="#ffffff" stroked="false">
                      <v:path arrowok="t"/>
                      <v:fill type="solid"/>
                    </v:shape>
                  </v:group>
                  <v:group style="position:absolute;left:11;top:156;width:2;height:393" coordorigin="11,156" coordsize="2,393">
                    <v:shape style="position:absolute;left:11;top:156;width:2;height:393" coordorigin="11,156" coordsize="0,393" path="m11,156l11,548e" filled="false" stroked="true" strokeweight="1.140pt" strokecolor="#ffffff">
                      <v:path arrowok="t"/>
                    </v:shape>
                  </v:group>
                  <v:group style="position:absolute;left:23;top:156;width:1311;height:393" coordorigin="23,156" coordsize="1311,393">
                    <v:shape style="position:absolute;left:23;top:156;width:1311;height:393" coordorigin="23,156" coordsize="1311,393" path="m23,548l1333,548,1333,156,23,156,23,548xe" filled="true" fillcolor="#ffffff" stroked="false">
                      <v:path arrowok="t"/>
                      <v:fill type="solid"/>
                    </v:shape>
                  </v:group>
                </v:group>
              </w:pict>
            </w:r>
            <w:r>
              <w:rPr>
                <w:rFonts w:ascii="Times New Roman" w:hAnsi="Times New Roman" w:cs="Times New Roman" w:eastAsia="Times New Roman" w:hint="default"/>
                <w:position w:val="-10"/>
                <w:sz w:val="20"/>
                <w:szCs w:val="20"/>
              </w:rPr>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计算机应用服务 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设立</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2、在子公司的所有者权益份额发生变化且仍控制子公司的交易" w:id="380"/>
      <w:bookmarkEnd w:id="380"/>
      <w:r>
        <w:rPr>
          <w:b w:val="0"/>
          <w:bCs w:val="0"/>
        </w:rPr>
      </w:r>
      <w:r>
        <w:rPr>
          <w:rFonts w:ascii="Times New Roman" w:hAnsi="Times New Roman" w:cs="Times New Roman" w:eastAsia="Times New Roman" w:hint="default"/>
        </w:rPr>
        <w:t>2</w:t>
      </w:r>
      <w:r>
        <w:rPr/>
        <w:t>、在子公司的所有者权益份额发生变化且仍控制子公司的交易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在子公司所有者权益份额发生变化的情况说明" w:id="381"/>
      <w:bookmarkEnd w:id="381"/>
      <w:r>
        <w:rPr>
          <w:b w:val="0"/>
          <w:bCs w:val="0"/>
        </w:rPr>
      </w:r>
      <w:r>
        <w:rPr/>
        <w:t>（</w:t>
      </w:r>
      <w:r>
        <w:rPr>
          <w:rFonts w:ascii="Times New Roman" w:hAnsi="Times New Roman" w:cs="Times New Roman" w:eastAsia="Times New Roman" w:hint="default"/>
        </w:rPr>
        <w:t>1</w:t>
      </w:r>
      <w:r>
        <w:rPr/>
        <w:t>）在子公司所有者权益份额发生变化的情况说明</w:t>
      </w:r>
      <w:r>
        <w:rPr>
          <w:b w:val="0"/>
          <w:bCs w:val="0"/>
        </w:rPr>
      </w:r>
    </w:p>
    <w:p>
      <w:pPr>
        <w:spacing w:line="240" w:lineRule="auto" w:before="6"/>
        <w:rPr>
          <w:rFonts w:ascii="宋体" w:hAnsi="宋体" w:cs="宋体" w:eastAsia="宋体" w:hint="default"/>
          <w:b/>
          <w:bCs/>
          <w:sz w:val="32"/>
          <w:szCs w:val="32"/>
        </w:rPr>
      </w:pPr>
    </w:p>
    <w:p>
      <w:pPr>
        <w:pStyle w:val="BodyText"/>
        <w:spacing w:line="451" w:lineRule="auto"/>
        <w:ind w:left="1134" w:right="1131" w:firstLine="360"/>
        <w:jc w:val="left"/>
      </w:pPr>
      <w:r>
        <w:rPr/>
        <w:t>（</w:t>
      </w:r>
      <w:r>
        <w:rPr>
          <w:rFonts w:ascii="Times New Roman" w:hAnsi="Times New Roman" w:cs="Times New Roman" w:eastAsia="Times New Roman" w:hint="default"/>
        </w:rPr>
        <w:t>1</w:t>
      </w:r>
      <w:r>
        <w:rPr/>
        <w:t>）报告期内，公司奇点新源国际技术开发（北京）有限公司获少数股东溢价增资，增资溢价部分归属于本公司的份 额部分，增加</w:t>
      </w:r>
      <w:r>
        <w:rPr>
          <w:rFonts w:ascii="Times New Roman" w:hAnsi="Times New Roman" w:cs="Times New Roman" w:eastAsia="Times New Roman" w:hint="default"/>
        </w:rPr>
        <w:t>“</w:t>
      </w:r>
      <w:r>
        <w:rPr/>
        <w:t>资本公积</w:t>
      </w:r>
      <w:r>
        <w:rPr>
          <w:rFonts w:ascii="Times New Roman" w:hAnsi="Times New Roman" w:cs="Times New Roman" w:eastAsia="Times New Roman" w:hint="default"/>
        </w:rPr>
        <w:t>-</w:t>
      </w:r>
      <w:r>
        <w:rPr/>
        <w:t>其他资本公积</w:t>
      </w:r>
      <w:r>
        <w:rPr>
          <w:rFonts w:ascii="Times New Roman" w:hAnsi="Times New Roman" w:cs="Times New Roman" w:eastAsia="Times New Roman" w:hint="default"/>
        </w:rPr>
        <w:t>”</w:t>
      </w:r>
      <w:r>
        <w:rPr>
          <w:rFonts w:ascii="Times New Roman" w:hAnsi="Times New Roman" w:cs="Times New Roman" w:eastAsia="Times New Roman" w:hint="default"/>
          <w:spacing w:val="-1"/>
        </w:rPr>
        <w:t> </w:t>
      </w:r>
      <w:r>
        <w:rPr>
          <w:rFonts w:ascii="Times New Roman" w:hAnsi="Times New Roman" w:cs="Times New Roman" w:eastAsia="Times New Roman" w:hint="default"/>
        </w:rPr>
        <w:t>22,190,521.87</w:t>
      </w:r>
      <w:r>
        <w:rPr/>
        <w:t>元。</w:t>
      </w:r>
    </w:p>
    <w:p>
      <w:pPr>
        <w:pStyle w:val="BodyText"/>
        <w:spacing w:line="451" w:lineRule="auto" w:before="44"/>
        <w:ind w:right="0" w:firstLine="360"/>
        <w:jc w:val="left"/>
      </w:pPr>
      <w:r>
        <w:rPr/>
        <w:t>（</w:t>
      </w:r>
      <w:r>
        <w:rPr>
          <w:rFonts w:ascii="Times New Roman" w:hAnsi="Times New Roman" w:cs="Times New Roman" w:eastAsia="Times New Roman" w:hint="default"/>
        </w:rPr>
        <w:t>2</w:t>
      </w:r>
      <w:r>
        <w:rPr/>
        <w:t>）报告期内，购买子公司苏州短讯神州网络技术有限公司少数股东拥有的</w:t>
      </w:r>
      <w:r>
        <w:rPr>
          <w:rFonts w:ascii="Times New Roman" w:hAnsi="Times New Roman" w:cs="Times New Roman" w:eastAsia="Times New Roman" w:hint="default"/>
        </w:rPr>
        <w:t>10%</w:t>
      </w:r>
      <w:r>
        <w:rPr/>
        <w:t>股权，因购买少数股权新取得的长期 股权投资与按照新增持股比例计算应享有子公司自购买日或合并日开始持续计算的净资产份额之间的差额，冲减</w:t>
      </w:r>
      <w:r>
        <w:rPr>
          <w:rFonts w:ascii="Times New Roman" w:hAnsi="Times New Roman" w:cs="Times New Roman" w:eastAsia="Times New Roman" w:hint="default"/>
        </w:rPr>
        <w:t>“</w:t>
      </w:r>
      <w:r>
        <w:rPr/>
        <w:t>资本公积</w:t>
      </w:r>
    </w:p>
    <w:p>
      <w:pPr>
        <w:spacing w:after="0" w:line="451" w:lineRule="auto"/>
        <w:jc w:val="left"/>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240" w:lineRule="auto" w:before="44"/>
        <w:ind w:left="1134" w:right="0"/>
        <w:jc w:val="left"/>
      </w:pPr>
      <w:r>
        <w:rPr>
          <w:rFonts w:ascii="Times New Roman" w:hAnsi="Times New Roman" w:cs="Times New Roman" w:eastAsia="Times New Roman" w:hint="default"/>
        </w:rPr>
        <w:t>—</w:t>
      </w:r>
      <w:r>
        <w:rPr/>
        <w:t>股本溢价</w:t>
      </w:r>
      <w:r>
        <w:rPr>
          <w:rFonts w:ascii="Times New Roman" w:hAnsi="Times New Roman" w:cs="Times New Roman" w:eastAsia="Times New Roman" w:hint="default"/>
        </w:rPr>
        <w:t>”1,177,443.86</w:t>
      </w:r>
      <w:r>
        <w:rPr/>
        <w:t>元，冲减</w:t>
      </w:r>
      <w:r>
        <w:rPr>
          <w:rFonts w:ascii="Times New Roman" w:hAnsi="Times New Roman" w:cs="Times New Roman" w:eastAsia="Times New Roman" w:hint="default"/>
        </w:rPr>
        <w:t>“</w:t>
      </w:r>
      <w:r>
        <w:rPr/>
        <w:t>未分配利润</w:t>
      </w:r>
      <w:r>
        <w:rPr>
          <w:rFonts w:ascii="Times New Roman" w:hAnsi="Times New Roman" w:cs="Times New Roman" w:eastAsia="Times New Roman" w:hint="default"/>
        </w:rPr>
        <w:t>”811,684.18</w:t>
      </w:r>
      <w:r>
        <w:rPr/>
        <w:t>元。</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3"/>
          <w:szCs w:val="13"/>
        </w:rPr>
      </w:pPr>
    </w:p>
    <w:p>
      <w:pPr>
        <w:pStyle w:val="Heading3"/>
        <w:spacing w:line="240" w:lineRule="auto"/>
        <w:ind w:left="1133" w:right="0"/>
        <w:jc w:val="left"/>
        <w:rPr>
          <w:b w:val="0"/>
          <w:bCs w:val="0"/>
        </w:rPr>
      </w:pPr>
      <w:bookmarkStart w:name="（2）交易对于少数股东权益及归属于母公司所有者权益的影响" w:id="382"/>
      <w:bookmarkEnd w:id="382"/>
      <w:r>
        <w:rPr>
          <w:b w:val="0"/>
          <w:bCs w:val="0"/>
        </w:rPr>
      </w:r>
      <w:r>
        <w:rPr/>
        <w:t>（</w:t>
      </w:r>
      <w:r>
        <w:rPr>
          <w:rFonts w:ascii="Times New Roman" w:hAnsi="Times New Roman" w:cs="Times New Roman" w:eastAsia="Times New Roman" w:hint="default"/>
        </w:rPr>
        <w:t>2</w:t>
      </w:r>
      <w:r>
        <w:rPr/>
        <w:t>）交易对于少数股东权益及归属于母公司所有者权益的影响</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3167"/>
        <w:gridCol w:w="3486"/>
        <w:gridCol w:w="2907"/>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34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24" w:right="0"/>
              <w:jc w:val="left"/>
              <w:rPr>
                <w:rFonts w:ascii="宋体" w:hAnsi="宋体" w:cs="宋体" w:eastAsia="宋体" w:hint="default"/>
                <w:sz w:val="18"/>
                <w:szCs w:val="18"/>
              </w:rPr>
            </w:pPr>
            <w:r>
              <w:rPr>
                <w:rFonts w:ascii="宋体" w:hAnsi="宋体" w:cs="宋体" w:eastAsia="宋体" w:hint="default"/>
                <w:sz w:val="18"/>
                <w:szCs w:val="18"/>
              </w:rPr>
              <w:t>奇点新源国际技术开发（北京）有限公司</w:t>
            </w:r>
          </w:p>
        </w:tc>
        <w:tc>
          <w:tcPr>
            <w:tcW w:w="290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88" w:right="0"/>
              <w:jc w:val="left"/>
              <w:rPr>
                <w:rFonts w:ascii="宋体" w:hAnsi="宋体" w:cs="宋体" w:eastAsia="宋体" w:hint="default"/>
                <w:sz w:val="18"/>
                <w:szCs w:val="18"/>
              </w:rPr>
            </w:pPr>
            <w:r>
              <w:rPr>
                <w:rFonts w:ascii="宋体" w:hAnsi="宋体" w:cs="宋体" w:eastAsia="宋体" w:hint="default"/>
                <w:sz w:val="18"/>
                <w:szCs w:val="18"/>
              </w:rPr>
              <w:t>苏州短讯神州网络技术有限公司</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现金</w:t>
            </w:r>
          </w:p>
        </w:tc>
        <w:tc>
          <w:tcPr>
            <w:tcW w:w="3486" w:type="dxa"/>
            <w:tcBorders>
              <w:top w:val="single" w:sz="4" w:space="0" w:color="000000"/>
              <w:left w:val="single" w:sz="13" w:space="0" w:color="D9D9D9"/>
              <w:bottom w:val="single" w:sz="4" w:space="0" w:color="000000"/>
              <w:right w:val="single" w:sz="4" w:space="0" w:color="000000"/>
            </w:tcBorders>
          </w:tcPr>
          <w:p>
            <w:pP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1,070,000.00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外部股东增资导致本公司权益增加</w:t>
            </w:r>
          </w:p>
        </w:tc>
        <w:tc>
          <w:tcPr>
            <w:tcW w:w="348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18,867,600.00</w:t>
            </w:r>
          </w:p>
        </w:tc>
        <w:tc>
          <w:tcPr>
            <w:tcW w:w="290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购买成本</w:t>
            </w:r>
            <w:r>
              <w:rPr>
                <w:rFonts w:ascii="Times New Roman" w:hAnsi="Times New Roman" w:cs="Times New Roman" w:eastAsia="Times New Roman" w:hint="default"/>
                <w:sz w:val="18"/>
                <w:szCs w:val="18"/>
              </w:rPr>
              <w:t>/</w:t>
            </w:r>
            <w:r>
              <w:rPr>
                <w:rFonts w:ascii="宋体" w:hAnsi="宋体" w:cs="宋体" w:eastAsia="宋体" w:hint="default"/>
                <w:sz w:val="18"/>
                <w:szCs w:val="18"/>
              </w:rPr>
              <w:t>处置对价合计</w:t>
            </w:r>
          </w:p>
        </w:tc>
        <w:tc>
          <w:tcPr>
            <w:tcW w:w="348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18,867,600.00</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1,070,000.00</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2"/>
              <w:ind w:left="11" w:right="33"/>
              <w:jc w:val="left"/>
              <w:rPr>
                <w:rFonts w:ascii="宋体" w:hAnsi="宋体" w:cs="宋体" w:eastAsia="宋体" w:hint="default"/>
                <w:sz w:val="18"/>
                <w:szCs w:val="18"/>
              </w:rPr>
            </w:pPr>
            <w:r>
              <w:rPr>
                <w:rFonts w:ascii="宋体" w:hAnsi="宋体" w:cs="宋体" w:eastAsia="宋体" w:hint="default"/>
                <w:sz w:val="18"/>
                <w:szCs w:val="18"/>
              </w:rPr>
              <w:t>减：按取得</w:t>
            </w:r>
            <w:r>
              <w:rPr>
                <w:rFonts w:ascii="Times New Roman" w:hAnsi="Times New Roman" w:cs="Times New Roman" w:eastAsia="Times New Roman" w:hint="default"/>
                <w:sz w:val="18"/>
                <w:szCs w:val="18"/>
              </w:rPr>
              <w:t>/</w:t>
            </w:r>
            <w:r>
              <w:rPr>
                <w:rFonts w:ascii="宋体" w:hAnsi="宋体" w:cs="宋体" w:eastAsia="宋体" w:hint="default"/>
                <w:sz w:val="18"/>
                <w:szCs w:val="18"/>
              </w:rPr>
              <w:t>处置的股权比例计算的子公 司净资产份额</w:t>
            </w:r>
          </w:p>
        </w:tc>
        <w:tc>
          <w:tcPr>
            <w:tcW w:w="348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-3,322,921.88</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-919,128.04</w:t>
            </w:r>
            <w:r>
              <w:rPr>
                <w:rFonts w:ascii="Times New Roman"/>
                <w:sz w:val="18"/>
              </w:rPr>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差额</w:t>
            </w:r>
          </w:p>
        </w:tc>
        <w:tc>
          <w:tcPr>
            <w:tcW w:w="348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22,190,521.87</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1,989,128.04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其中：调整资本公积</w:t>
            </w:r>
          </w:p>
        </w:tc>
        <w:tc>
          <w:tcPr>
            <w:tcW w:w="348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22,190,521.87</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1,177,443.86</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551" w:right="0"/>
              <w:jc w:val="left"/>
              <w:rPr>
                <w:rFonts w:ascii="宋体" w:hAnsi="宋体" w:cs="宋体" w:eastAsia="宋体" w:hint="default"/>
                <w:sz w:val="18"/>
                <w:szCs w:val="18"/>
              </w:rPr>
            </w:pPr>
            <w:r>
              <w:rPr>
                <w:rFonts w:ascii="宋体" w:hAnsi="宋体" w:cs="宋体" w:eastAsia="宋体" w:hint="default"/>
                <w:sz w:val="18"/>
                <w:szCs w:val="18"/>
              </w:rPr>
              <w:t>调整未分配利润</w:t>
            </w:r>
          </w:p>
        </w:tc>
        <w:tc>
          <w:tcPr>
            <w:tcW w:w="3486" w:type="dxa"/>
            <w:tcBorders>
              <w:top w:val="single" w:sz="4" w:space="0" w:color="000000"/>
              <w:left w:val="single" w:sz="13" w:space="0" w:color="D9D9D9"/>
              <w:bottom w:val="single" w:sz="4" w:space="0" w:color="000000"/>
              <w:right w:val="single" w:sz="4" w:space="0" w:color="000000"/>
            </w:tcBorders>
          </w:tcPr>
          <w:p>
            <w:pP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811,684.18</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在合营安排或联营企业中的权益" w:id="383"/>
      <w:bookmarkEnd w:id="383"/>
      <w:r>
        <w:rPr>
          <w:b w:val="0"/>
          <w:bCs w:val="0"/>
        </w:rPr>
      </w:r>
      <w:r>
        <w:rPr>
          <w:rFonts w:ascii="Times New Roman" w:hAnsi="Times New Roman" w:cs="Times New Roman" w:eastAsia="Times New Roman" w:hint="default"/>
        </w:rPr>
        <w:t>3</w:t>
      </w:r>
      <w:r>
        <w:rPr/>
        <w:t>、在合营安排或联营企业中的权益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重要的合营企业或联营企业" w:id="384"/>
      <w:bookmarkEnd w:id="384"/>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9"/>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1371"/>
        <w:gridCol w:w="1367"/>
        <w:gridCol w:w="1367"/>
        <w:gridCol w:w="1367"/>
        <w:gridCol w:w="1367"/>
        <w:gridCol w:w="1367"/>
        <w:gridCol w:w="1366"/>
      </w:tblGrid>
      <w:tr>
        <w:trPr>
          <w:trHeight w:val="402" w:hRule="exact"/>
        </w:trPr>
        <w:tc>
          <w:tcPr>
            <w:tcW w:w="137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20" w:right="49" w:hanging="270"/>
              <w:jc w:val="left"/>
              <w:rPr>
                <w:rFonts w:ascii="宋体" w:hAnsi="宋体" w:cs="宋体" w:eastAsia="宋体" w:hint="default"/>
                <w:sz w:val="18"/>
                <w:szCs w:val="18"/>
              </w:rPr>
            </w:pPr>
            <w:r>
              <w:rPr>
                <w:rFonts w:ascii="宋体" w:hAnsi="宋体" w:cs="宋体" w:eastAsia="宋体" w:hint="default"/>
                <w:sz w:val="18"/>
                <w:szCs w:val="18"/>
              </w:rPr>
              <w:t>合营企业或联营 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8"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48"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1371" w:type="dxa"/>
            <w:vMerge/>
            <w:tcBorders>
              <w:left w:val="single" w:sz="4" w:space="0" w:color="000000"/>
              <w:bottom w:val="single" w:sz="4" w:space="0" w:color="000000"/>
              <w:right w:val="single" w:sz="4" w:space="0" w:color="000000"/>
            </w:tcBorders>
            <w:shd w:val="clear" w:color="auto" w:fill="D9D9D9"/>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78"/>
              <w:jc w:val="both"/>
              <w:rPr>
                <w:rFonts w:ascii="宋体" w:hAnsi="宋体" w:cs="宋体" w:eastAsia="宋体" w:hint="default"/>
                <w:sz w:val="18"/>
                <w:szCs w:val="18"/>
              </w:rPr>
            </w:pPr>
            <w:r>
              <w:rPr>
                <w:rFonts w:ascii="宋体" w:hAnsi="宋体" w:cs="宋体" w:eastAsia="宋体" w:hint="default"/>
                <w:sz w:val="18"/>
                <w:szCs w:val="18"/>
              </w:rPr>
              <w:t>大连华信计算机 技术股份有限公 司【注】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大连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大连</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8.14%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r>
        <w:trPr>
          <w:trHeight w:val="714" w:hRule="exact"/>
        </w:trPr>
        <w:tc>
          <w:tcPr>
            <w:tcW w:w="13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蓝鸥科技有限公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计算机应用服务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32.00%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w:t>
            </w:r>
          </w:p>
        </w:tc>
      </w:tr>
    </w:tbl>
    <w:p>
      <w:pPr>
        <w:pStyle w:val="BodyText"/>
        <w:spacing w:line="240" w:lineRule="auto" w:before="51"/>
        <w:ind w:left="1134" w:right="0"/>
        <w:jc w:val="left"/>
      </w:pPr>
      <w:r>
        <w:rPr/>
        <w:t>注：本公司系大连华信计算机技术股份有限公司单一第三大股东并派驻了董事，对其具有重大影响。</w:t>
      </w:r>
    </w:p>
    <w:p>
      <w:pPr>
        <w:spacing w:line="240" w:lineRule="auto" w:before="11"/>
        <w:rPr>
          <w:rFonts w:ascii="宋体" w:hAnsi="宋体" w:cs="宋体" w:eastAsia="宋体" w:hint="default"/>
          <w:sz w:val="26"/>
          <w:szCs w:val="26"/>
        </w:rPr>
      </w:pPr>
    </w:p>
    <w:p>
      <w:pPr>
        <w:pStyle w:val="Heading3"/>
        <w:spacing w:line="240" w:lineRule="auto"/>
        <w:ind w:left="1133" w:right="0"/>
        <w:jc w:val="left"/>
        <w:rPr>
          <w:b w:val="0"/>
          <w:bCs w:val="0"/>
        </w:rPr>
      </w:pPr>
      <w:bookmarkStart w:name="（2）重要合营企业的主要财务信息" w:id="385"/>
      <w:bookmarkEnd w:id="385"/>
      <w:r>
        <w:rPr>
          <w:b w:val="0"/>
          <w:bCs w:val="0"/>
        </w:rPr>
      </w:r>
      <w:r>
        <w:rPr/>
        <w:t>（</w:t>
      </w:r>
      <w:r>
        <w:rPr>
          <w:rFonts w:ascii="Times New Roman" w:hAnsi="Times New Roman" w:cs="Times New Roman" w:eastAsia="Times New Roman" w:hint="default"/>
        </w:rPr>
        <w:t>2</w:t>
      </w:r>
      <w:r>
        <w:rPr/>
        <w:t>）重要合营企业的主要财务信息</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3）重要联营企业的主要财务信息" w:id="386"/>
      <w:bookmarkEnd w:id="386"/>
      <w:r>
        <w:rPr>
          <w:b w:val="0"/>
          <w:bCs w:val="0"/>
        </w:rPr>
      </w:r>
      <w:r>
        <w:rPr/>
        <w:t>（</w:t>
      </w:r>
      <w:r>
        <w:rPr>
          <w:rFonts w:ascii="Times New Roman" w:hAnsi="Times New Roman" w:cs="Times New Roman" w:eastAsia="Times New Roman" w:hint="default"/>
        </w:rPr>
        <w:t>3</w:t>
      </w:r>
      <w:r>
        <w:rPr/>
        <w:t>）重要联营企业的主要财务信息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14"/>
        <w:gridCol w:w="1903"/>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6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72"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161" w:hRule="exact"/>
        </w:trPr>
        <w:tc>
          <w:tcPr>
            <w:tcW w:w="1914" w:type="dxa"/>
            <w:tcBorders>
              <w:top w:val="single" w:sz="4" w:space="0" w:color="000000"/>
              <w:left w:val="single" w:sz="4" w:space="0" w:color="000000"/>
              <w:bottom w:val="nil" w:sz="6" w:space="0" w:color="auto"/>
              <w:right w:val="single" w:sz="9" w:space="0" w:color="D9D9D9"/>
            </w:tcBorders>
            <w:shd w:val="clear" w:color="auto" w:fill="D2D2D2"/>
          </w:tcPr>
          <w:p>
            <w:pPr/>
          </w:p>
        </w:tc>
        <w:tc>
          <w:tcPr>
            <w:tcW w:w="1903" w:type="dxa"/>
            <w:vMerge w:val="restart"/>
            <w:tcBorders>
              <w:top w:val="single" w:sz="4" w:space="0" w:color="000000"/>
              <w:left w:val="single" w:sz="9" w:space="0" w:color="D2D2D2"/>
              <w:right w:val="single" w:sz="4" w:space="0" w:color="000000"/>
            </w:tcBorders>
            <w:shd w:val="clear" w:color="auto" w:fill="D9D9D9"/>
          </w:tcPr>
          <w:p>
            <w:pPr>
              <w:pStyle w:val="TableParagraph"/>
              <w:spacing w:line="319" w:lineRule="auto" w:before="51"/>
              <w:ind w:left="483" w:right="51" w:hanging="450"/>
              <w:jc w:val="left"/>
              <w:rPr>
                <w:rFonts w:ascii="宋体" w:hAnsi="宋体" w:cs="宋体" w:eastAsia="宋体" w:hint="default"/>
                <w:sz w:val="18"/>
                <w:szCs w:val="18"/>
              </w:rPr>
            </w:pPr>
            <w:r>
              <w:rPr>
                <w:rFonts w:ascii="宋体" w:hAnsi="宋体" w:cs="宋体" w:eastAsia="宋体" w:hint="default"/>
                <w:sz w:val="18"/>
                <w:szCs w:val="18"/>
              </w:rPr>
              <w:t>大连华信计算机技术股 份有限公司</w:t>
            </w:r>
          </w:p>
        </w:tc>
        <w:tc>
          <w:tcPr>
            <w:tcW w:w="191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蓝鸥科技有限公司</w:t>
            </w:r>
          </w:p>
        </w:tc>
        <w:tc>
          <w:tcPr>
            <w:tcW w:w="1914" w:type="dxa"/>
            <w:vMerge w:val="restart"/>
            <w:tcBorders>
              <w:top w:val="single" w:sz="4" w:space="0" w:color="000000"/>
              <w:left w:val="single" w:sz="4" w:space="0" w:color="000000"/>
              <w:right w:val="single" w:sz="4" w:space="0" w:color="000000"/>
            </w:tcBorders>
            <w:shd w:val="clear" w:color="auto" w:fill="D9D9D9"/>
          </w:tcPr>
          <w:p>
            <w:pPr>
              <w:pStyle w:val="TableParagraph"/>
              <w:spacing w:line="319" w:lineRule="auto" w:before="51"/>
              <w:ind w:left="501" w:right="51" w:hanging="450"/>
              <w:jc w:val="left"/>
              <w:rPr>
                <w:rFonts w:ascii="宋体" w:hAnsi="宋体" w:cs="宋体" w:eastAsia="宋体" w:hint="default"/>
                <w:sz w:val="18"/>
                <w:szCs w:val="18"/>
              </w:rPr>
            </w:pPr>
            <w:r>
              <w:rPr>
                <w:rFonts w:ascii="宋体" w:hAnsi="宋体" w:cs="宋体" w:eastAsia="宋体" w:hint="default"/>
                <w:sz w:val="18"/>
                <w:szCs w:val="18"/>
              </w:rPr>
              <w:t>大连华信计算机技术股 份有限公司</w:t>
            </w:r>
          </w:p>
        </w:tc>
        <w:tc>
          <w:tcPr>
            <w:tcW w:w="191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蓝鸥科技有限公司</w:t>
            </w:r>
          </w:p>
        </w:tc>
      </w:tr>
      <w:tr>
        <w:trPr>
          <w:trHeight w:val="392" w:hRule="exact"/>
        </w:trPr>
        <w:tc>
          <w:tcPr>
            <w:tcW w:w="1914" w:type="dxa"/>
            <w:tcBorders>
              <w:top w:val="nil" w:sz="6" w:space="0" w:color="auto"/>
              <w:left w:val="single" w:sz="4" w:space="0" w:color="000000"/>
              <w:bottom w:val="nil" w:sz="6" w:space="0" w:color="auto"/>
              <w:right w:val="single" w:sz="9" w:space="0" w:color="D9D9D9"/>
            </w:tcBorders>
            <w:shd w:val="clear" w:color="auto" w:fill="D2D2D2"/>
          </w:tcPr>
          <w:p>
            <w:pPr/>
          </w:p>
        </w:tc>
        <w:tc>
          <w:tcPr>
            <w:tcW w:w="1903" w:type="dxa"/>
            <w:vMerge/>
            <w:tcBorders>
              <w:left w:val="single" w:sz="9" w:space="0" w:color="D2D2D2"/>
              <w:right w:val="single" w:sz="4" w:space="0" w:color="000000"/>
            </w:tcBorders>
            <w:shd w:val="clear" w:color="auto" w:fill="D9D9D9"/>
          </w:tcPr>
          <w:p>
            <w:pPr/>
          </w:p>
        </w:tc>
        <w:tc>
          <w:tcPr>
            <w:tcW w:w="1914" w:type="dxa"/>
            <w:vMerge/>
            <w:tcBorders>
              <w:left w:val="single" w:sz="4" w:space="0" w:color="000000"/>
              <w:right w:val="single" w:sz="4" w:space="0" w:color="000000"/>
            </w:tcBorders>
            <w:shd w:val="clear" w:color="auto" w:fill="D9D9D9"/>
          </w:tcPr>
          <w:p>
            <w:pPr/>
          </w:p>
        </w:tc>
        <w:tc>
          <w:tcPr>
            <w:tcW w:w="1914" w:type="dxa"/>
            <w:vMerge/>
            <w:tcBorders>
              <w:left w:val="single" w:sz="4" w:space="0" w:color="000000"/>
              <w:right w:val="single" w:sz="4" w:space="0" w:color="000000"/>
            </w:tcBorders>
            <w:shd w:val="clear" w:color="auto" w:fill="D9D9D9"/>
          </w:tcPr>
          <w:p>
            <w:pPr/>
          </w:p>
        </w:tc>
        <w:tc>
          <w:tcPr>
            <w:tcW w:w="1914" w:type="dxa"/>
            <w:vMerge/>
            <w:tcBorders>
              <w:left w:val="single" w:sz="4" w:space="0" w:color="000000"/>
              <w:right w:val="single" w:sz="4" w:space="0" w:color="000000"/>
            </w:tcBorders>
            <w:shd w:val="clear" w:color="auto" w:fill="D9D9D9"/>
          </w:tcPr>
          <w:p>
            <w:pPr/>
          </w:p>
        </w:tc>
      </w:tr>
      <w:tr>
        <w:trPr>
          <w:trHeight w:val="161" w:hRule="exact"/>
        </w:trPr>
        <w:tc>
          <w:tcPr>
            <w:tcW w:w="1914" w:type="dxa"/>
            <w:tcBorders>
              <w:top w:val="nil" w:sz="6" w:space="0" w:color="auto"/>
              <w:left w:val="single" w:sz="4" w:space="0" w:color="000000"/>
              <w:bottom w:val="single" w:sz="4" w:space="0" w:color="000000"/>
              <w:right w:val="single" w:sz="9" w:space="0" w:color="D9D9D9"/>
            </w:tcBorders>
            <w:shd w:val="clear" w:color="auto" w:fill="D2D2D2"/>
          </w:tcPr>
          <w:p>
            <w:pPr/>
          </w:p>
        </w:tc>
        <w:tc>
          <w:tcPr>
            <w:tcW w:w="1903" w:type="dxa"/>
            <w:vMerge/>
            <w:tcBorders>
              <w:left w:val="single" w:sz="9" w:space="0" w:color="D2D2D2"/>
              <w:bottom w:val="single" w:sz="4" w:space="0" w:color="000000"/>
              <w:right w:val="single" w:sz="4" w:space="0" w:color="000000"/>
            </w:tcBorders>
            <w:shd w:val="clear" w:color="auto" w:fill="D9D9D9"/>
          </w:tcPr>
          <w:p>
            <w:pPr/>
          </w:p>
        </w:tc>
        <w:tc>
          <w:tcPr>
            <w:tcW w:w="1914" w:type="dxa"/>
            <w:vMerge/>
            <w:tcBorders>
              <w:left w:val="single" w:sz="4" w:space="0" w:color="000000"/>
              <w:bottom w:val="single" w:sz="4" w:space="0" w:color="000000"/>
              <w:right w:val="single" w:sz="4" w:space="0" w:color="000000"/>
            </w:tcBorders>
            <w:shd w:val="clear" w:color="auto" w:fill="D9D9D9"/>
          </w:tcPr>
          <w:p>
            <w:pPr/>
          </w:p>
        </w:tc>
        <w:tc>
          <w:tcPr>
            <w:tcW w:w="1914" w:type="dxa"/>
            <w:vMerge/>
            <w:tcBorders>
              <w:left w:val="single" w:sz="4" w:space="0" w:color="000000"/>
              <w:bottom w:val="single" w:sz="4" w:space="0" w:color="000000"/>
              <w:right w:val="single" w:sz="4" w:space="0" w:color="000000"/>
            </w:tcBorders>
            <w:shd w:val="clear" w:color="auto" w:fill="D9D9D9"/>
          </w:tcPr>
          <w:p>
            <w:pPr/>
          </w:p>
        </w:tc>
        <w:tc>
          <w:tcPr>
            <w:tcW w:w="1914" w:type="dxa"/>
            <w:vMerge/>
            <w:tcBorders>
              <w:left w:val="single" w:sz="4" w:space="0" w:color="000000"/>
              <w:bottom w:val="single" w:sz="4" w:space="0" w:color="000000"/>
              <w:right w:val="single" w:sz="4" w:space="0" w:color="000000"/>
            </w:tcBorders>
            <w:shd w:val="clear" w:color="auto" w:fill="D9D9D9"/>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1,255,787,829.90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65,986,441.15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1,387,636,543.63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104,292,619.30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1,177,621,320.64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62,699,280.72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1,206,292,083.73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133,074,170.97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资产合计</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2,433,409,150.54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128,685,721.87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2,593,928,627.36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237,366,790.27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520,214,675.34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31,391,838.03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700,596,268.85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55,480,229.31</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526,976,145.23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655,773,039.48</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1,047,190,820.57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31,391,838.03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1,356,369,308.33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55,480,229.31</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98,097,973.96</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87,320,041.24</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归属于母公司股东权益</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1,288,120,356.01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97,293,883.84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1,150,239,277.79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181,886,560.96</w:t>
            </w:r>
          </w:p>
        </w:tc>
      </w:tr>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1"/>
              <w:jc w:val="left"/>
              <w:rPr>
                <w:rFonts w:ascii="宋体" w:hAnsi="宋体" w:cs="宋体" w:eastAsia="宋体" w:hint="default"/>
                <w:sz w:val="18"/>
                <w:szCs w:val="18"/>
              </w:rPr>
            </w:pPr>
            <w:r>
              <w:rPr>
                <w:rFonts w:ascii="宋体" w:hAnsi="宋体" w:cs="宋体" w:eastAsia="宋体" w:hint="default"/>
                <w:sz w:val="18"/>
                <w:szCs w:val="18"/>
              </w:rPr>
              <w:t>按持股比例计算的净资 产份额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104,904,456.30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31,134,042.83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93,675,486.78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58,203,699.51</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调整事项</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27,846,979.18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82,825,327.88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27,846,979.18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82,825,327.88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商誉</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27,157,906.03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82,825,327.88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27,157,906.03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82,825,327.88</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689,073.15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689,073.15</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1"/>
              <w:jc w:val="left"/>
              <w:rPr>
                <w:rFonts w:ascii="宋体" w:hAnsi="宋体" w:cs="宋体" w:eastAsia="宋体" w:hint="default"/>
                <w:sz w:val="18"/>
                <w:szCs w:val="18"/>
              </w:rPr>
            </w:pPr>
            <w:r>
              <w:rPr>
                <w:rFonts w:ascii="宋体" w:hAnsi="宋体" w:cs="宋体" w:eastAsia="宋体" w:hint="default"/>
                <w:sz w:val="18"/>
                <w:szCs w:val="18"/>
              </w:rPr>
              <w:t>对联营企业权益投资的 账面价值</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132,751,435.48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113,959,370.71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121,522,465.96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141,029,027.39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2,041,113,909.59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54,054,325.42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1,784,203,448.18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111,631,671.24</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189,863,986.52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-65,112,670.08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158,186,845.52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26,501,479.40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-2,500,846.38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-8,120,007.04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3,672,006.02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8,120,007.04</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187,363,140.14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-73,232,677.12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161,858,851.54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34,621,486.44</w:t>
            </w:r>
          </w:p>
        </w:tc>
      </w:tr>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81"/>
              <w:jc w:val="left"/>
              <w:rPr>
                <w:rFonts w:ascii="宋体" w:hAnsi="宋体" w:cs="宋体" w:eastAsia="宋体" w:hint="default"/>
                <w:sz w:val="18"/>
                <w:szCs w:val="18"/>
              </w:rPr>
            </w:pPr>
            <w:r>
              <w:rPr>
                <w:rFonts w:ascii="宋体" w:hAnsi="宋体" w:cs="宋体" w:eastAsia="宋体" w:hint="default"/>
                <w:sz w:val="18"/>
                <w:szCs w:val="18"/>
              </w:rPr>
              <w:t>本年度收到的来自联营 企业的股利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4,500,000.00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4,200,000.00</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不重要的合营企业和联营企业的汇总财务信息" w:id="387"/>
      <w:bookmarkEnd w:id="387"/>
      <w:r>
        <w:rPr>
          <w:b w:val="0"/>
          <w:bCs w:val="0"/>
        </w:rPr>
      </w:r>
      <w:r>
        <w:rPr/>
        <w:t>（</w:t>
      </w:r>
      <w:r>
        <w:rPr>
          <w:rFonts w:ascii="Times New Roman" w:hAnsi="Times New Roman" w:cs="Times New Roman" w:eastAsia="Times New Roman" w:hint="default"/>
        </w:rPr>
        <w:t>4</w:t>
      </w:r>
      <w:r>
        <w:rPr/>
        <w:t>）不重要的合营企业和联营企业的汇总财务信息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0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2"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投资账面价值合计</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58,655,640.91</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71,046,424.58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净利润</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-6,073,991.42</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-12,818,445.95</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其他综合收益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-6,418,792.25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综合收益总额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-12,492,783.67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-12,818,445.95</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5）合营企业或联营企业向本公司转移资金的能力存在重大限制的说明" w:id="388"/>
      <w:bookmarkEnd w:id="388"/>
      <w:r>
        <w:rPr>
          <w:b w:val="0"/>
          <w:bCs w:val="0"/>
        </w:rPr>
      </w:r>
      <w:r>
        <w:rPr/>
        <w:t>（</w:t>
      </w:r>
      <w:r>
        <w:rPr>
          <w:rFonts w:ascii="Times New Roman" w:hAnsi="Times New Roman" w:cs="Times New Roman" w:eastAsia="Times New Roman" w:hint="default"/>
        </w:rPr>
        <w:t>5</w:t>
      </w:r>
      <w:r>
        <w:rPr/>
        <w:t>）合营企业或联营企业向本公司转移资金的能力存在重大限制的说明</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6）合营企业或联营企业发生的超额亏损" w:id="389"/>
      <w:bookmarkEnd w:id="389"/>
      <w:r>
        <w:rPr>
          <w:b w:val="0"/>
          <w:bCs w:val="0"/>
        </w:rPr>
      </w:r>
      <w:r>
        <w:rPr/>
        <w:t>（</w:t>
      </w:r>
      <w:r>
        <w:rPr>
          <w:rFonts w:ascii="Times New Roman" w:hAnsi="Times New Roman" w:cs="Times New Roman" w:eastAsia="Times New Roman" w:hint="default"/>
        </w:rPr>
        <w:t>6</w:t>
      </w:r>
      <w:r>
        <w:rPr/>
        <w:t>）合营企业或联营企业发生的超额亏损</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0"/>
        <w:gridCol w:w="2393"/>
        <w:gridCol w:w="2392"/>
        <w:gridCol w:w="2394"/>
      </w:tblGrid>
      <w:tr>
        <w:trPr>
          <w:trHeight w:val="713" w:hRule="exact"/>
        </w:trPr>
        <w:tc>
          <w:tcPr>
            <w:tcW w:w="2390" w:type="dxa"/>
            <w:tcBorders>
              <w:top w:val="single" w:sz="4" w:space="0" w:color="000000"/>
              <w:left w:val="single" w:sz="4" w:space="0" w:color="000000"/>
              <w:bottom w:val="single" w:sz="4" w:space="0" w:color="000000"/>
              <w:right w:val="single" w:sz="9" w:space="0" w:color="D2D2D2"/>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9"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00" w:right="111" w:hanging="990"/>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50" w:right="21" w:hanging="628"/>
              <w:jc w:val="left"/>
              <w:rPr>
                <w:rFonts w:ascii="宋体" w:hAnsi="宋体" w:cs="宋体" w:eastAsia="宋体" w:hint="default"/>
                <w:sz w:val="18"/>
                <w:szCs w:val="18"/>
              </w:rPr>
            </w:pPr>
            <w:r>
              <w:rPr>
                <w:rFonts w:ascii="宋体" w:hAnsi="宋体" w:cs="宋体" w:eastAsia="宋体" w:hint="default"/>
                <w:sz w:val="18"/>
                <w:szCs w:val="18"/>
              </w:rPr>
              <w:t>本期未确认的损失（或本期分 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02"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95"/>
              <w:jc w:val="left"/>
              <w:rPr>
                <w:rFonts w:ascii="宋体" w:hAnsi="宋体" w:cs="宋体" w:eastAsia="宋体" w:hint="default"/>
                <w:sz w:val="18"/>
                <w:szCs w:val="18"/>
              </w:rPr>
            </w:pPr>
            <w:r>
              <w:rPr>
                <w:rFonts w:ascii="宋体" w:hAnsi="宋体" w:cs="宋体" w:eastAsia="宋体" w:hint="default"/>
                <w:sz w:val="18"/>
                <w:szCs w:val="18"/>
              </w:rPr>
              <w:t>北京神州泰岳教育科技有限 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50" w:right="0"/>
              <w:jc w:val="left"/>
              <w:rPr>
                <w:rFonts w:ascii="Times New Roman" w:hAnsi="Times New Roman" w:cs="Times New Roman" w:eastAsia="Times New Roman" w:hint="default"/>
                <w:sz w:val="18"/>
                <w:szCs w:val="18"/>
              </w:rPr>
            </w:pPr>
            <w:r>
              <w:rPr>
                <w:rFonts w:ascii="Times New Roman"/>
                <w:sz w:val="18"/>
              </w:rPr>
              <w:t>781,832.35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2,637,656.08</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3,419,488.43</w:t>
            </w:r>
          </w:p>
        </w:tc>
      </w:tr>
      <w:tr>
        <w:trPr>
          <w:trHeight w:val="715" w:hRule="exact"/>
        </w:trPr>
        <w:tc>
          <w:tcPr>
            <w:tcW w:w="23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95"/>
              <w:jc w:val="left"/>
              <w:rPr>
                <w:rFonts w:ascii="宋体" w:hAnsi="宋体" w:cs="宋体" w:eastAsia="宋体" w:hint="default"/>
                <w:sz w:val="18"/>
                <w:szCs w:val="18"/>
              </w:rPr>
            </w:pPr>
            <w:r>
              <w:rPr>
                <w:rFonts w:ascii="宋体" w:hAnsi="宋体" w:cs="宋体" w:eastAsia="宋体" w:hint="default"/>
                <w:sz w:val="18"/>
                <w:szCs w:val="18"/>
              </w:rPr>
              <w:t>北京岳海云测信息技术有限 公司</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230,795.12</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230,795.12</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重要的共同经营" w:id="390"/>
      <w:bookmarkEnd w:id="390"/>
      <w:r>
        <w:rPr>
          <w:b w:val="0"/>
          <w:bCs w:val="0"/>
        </w:rPr>
      </w:r>
      <w:r>
        <w:rPr>
          <w:rFonts w:ascii="Times New Roman" w:hAnsi="Times New Roman" w:cs="Times New Roman" w:eastAsia="Times New Roman" w:hint="default"/>
        </w:rPr>
        <w:t>4</w:t>
      </w:r>
      <w:r>
        <w:rPr/>
        <w:t>、重要的共同经营</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5、在未纳入合并财务报表范围的结构化主体中的权益" w:id="391"/>
      <w:bookmarkEnd w:id="391"/>
      <w:r>
        <w:rPr>
          <w:b w:val="0"/>
          <w:bCs w:val="0"/>
        </w:rPr>
      </w:r>
      <w:r>
        <w:rPr>
          <w:rFonts w:ascii="Times New Roman" w:hAnsi="Times New Roman" w:cs="Times New Roman" w:eastAsia="Times New Roman" w:hint="default"/>
        </w:rPr>
        <w:t>5</w:t>
      </w:r>
      <w:r>
        <w:rPr/>
        <w:t>、在未纳入合并财务报表范围的结构化主体中的权益</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6、其他" w:id="392"/>
      <w:bookmarkEnd w:id="392"/>
      <w:r>
        <w:rPr>
          <w:b w:val="0"/>
          <w:bCs w:val="0"/>
        </w:rPr>
      </w:r>
      <w:r>
        <w:rPr>
          <w:rFonts w:ascii="Times New Roman" w:hAnsi="Times New Roman" w:cs="Times New Roman" w:eastAsia="Times New Roman" w:hint="default"/>
        </w:rPr>
        <w:t>6</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十、与金融工具相关的风险" w:id="393"/>
      <w:bookmarkEnd w:id="393"/>
      <w:r>
        <w:rPr>
          <w:b w:val="0"/>
          <w:bCs w:val="0"/>
        </w:rPr>
      </w:r>
      <w:r>
        <w:rPr/>
        <w:t>十、与金融工具相关的风险</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right="1132" w:firstLine="360"/>
        <w:jc w:val="both"/>
      </w:pPr>
      <w:r>
        <w:rPr>
          <w:spacing w:val="-2"/>
        </w:rPr>
        <w:t>本公司在经营过程中面临各种金融风险：信用风险、市场风险和流动性风险。公司董事会全面负责风险管理目标和政策</w:t>
      </w:r>
      <w:r>
        <w:rPr/>
        <w:t> </w:t>
      </w:r>
      <w:r>
        <w:rPr>
          <w:spacing w:val="-2"/>
        </w:rPr>
        <w:t>的确定，并对风险管理目标和政策承担最终责任，但是董事会已授权本公司相关部门设计和实施能确保风险管理目标和政策</w:t>
      </w:r>
      <w:r>
        <w:rPr>
          <w:spacing w:val="-64"/>
        </w:rPr>
        <w:t> </w:t>
      </w:r>
      <w:r>
        <w:rPr>
          <w:spacing w:val="-64"/>
        </w:rPr>
      </w:r>
      <w:r>
        <w:rPr>
          <w:spacing w:val="-2"/>
        </w:rPr>
        <w:t>得以有效执行的程序。董事会通过部门主管递交的报告来审查已执行程序的有效性以及风险管理目标和政策的合理性。本公</w:t>
      </w:r>
      <w:r>
        <w:rPr>
          <w:spacing w:val="-64"/>
        </w:rPr>
        <w:t> </w:t>
      </w:r>
      <w:r>
        <w:rPr>
          <w:spacing w:val="-64"/>
        </w:rPr>
      </w:r>
      <w:r>
        <w:rPr/>
        <w:t>司的内部审计师也会审计风险管理的政策和程序，并且将有关发现汇报给审计委员会。</w:t>
      </w:r>
    </w:p>
    <w:p>
      <w:pPr>
        <w:pStyle w:val="BodyText"/>
        <w:spacing w:line="463" w:lineRule="auto" w:before="54"/>
        <w:ind w:left="1494" w:right="1033"/>
        <w:jc w:val="left"/>
      </w:pPr>
      <w:r>
        <w:rPr/>
        <w:t>本公司风险管理的总体目标是在不过度影响公司竞争力和应变力的情况下，制定尽可能降低风险的风险管理政策。 </w:t>
      </w:r>
      <w:r>
        <w:rPr>
          <w:rFonts w:ascii="Times New Roman" w:hAnsi="Times New Roman" w:cs="Times New Roman" w:eastAsia="Times New Roman" w:hint="default"/>
          <w:b/>
          <w:bCs/>
        </w:rPr>
        <w:t>1</w:t>
      </w:r>
      <w:r>
        <w:rPr>
          <w:rFonts w:ascii="宋体" w:hAnsi="宋体" w:cs="宋体" w:eastAsia="宋体" w:hint="default"/>
          <w:b/>
          <w:bCs/>
        </w:rPr>
        <w:t>、信用风险</w:t>
      </w:r>
      <w:r>
        <w:rPr>
          <w:rFonts w:ascii="宋体" w:hAnsi="宋体" w:cs="宋体" w:eastAsia="宋体" w:hint="default"/>
          <w:b/>
          <w:bCs/>
          <w:w w:val="99"/>
        </w:rPr>
        <w:t> </w:t>
      </w:r>
      <w:r>
        <w:rPr>
          <w:spacing w:val="-4"/>
        </w:rPr>
        <w:t>信用风险是指金融工具的一方不履行义务，造成另一方发生财务损失的风险。本公司主要面临赊销导致的客户信用风险。</w:t>
      </w:r>
    </w:p>
    <w:p>
      <w:pPr>
        <w:pStyle w:val="BodyText"/>
        <w:spacing w:line="477" w:lineRule="auto" w:before="65"/>
        <w:ind w:left="1134" w:right="0"/>
        <w:jc w:val="left"/>
      </w:pPr>
      <w:r>
        <w:rPr>
          <w:spacing w:val="-2"/>
        </w:rPr>
        <w:t>在签订新合同之前，本公司会对新客户的信用风险进行评估，包括外部信用评级和在某些情况下的银行资信证明（当此信息</w:t>
      </w:r>
      <w:r>
        <w:rPr>
          <w:spacing w:val="-66"/>
        </w:rPr>
        <w:t> </w:t>
      </w:r>
      <w:r>
        <w:rPr>
          <w:spacing w:val="-66"/>
        </w:rPr>
      </w:r>
      <w:r>
        <w:rPr/>
        <w:t>可获取时）。公司对每一客户均设置了赊销限额，该限额为无需获得额外批准的最大额度。</w:t>
      </w:r>
    </w:p>
    <w:p>
      <w:pPr>
        <w:spacing w:after="0" w:line="477"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6"/>
          <w:szCs w:val="6"/>
        </w:rPr>
      </w:pPr>
    </w:p>
    <w:p>
      <w:pPr>
        <w:pStyle w:val="BodyText"/>
        <w:spacing w:line="463" w:lineRule="auto" w:before="44"/>
        <w:ind w:right="1128" w:firstLine="360"/>
        <w:jc w:val="both"/>
      </w:pPr>
      <w:r>
        <w:rPr/>
        <w:t>公司通过对已有客户信用评级的季度监控以及应收账款账龄分析的月度审核来确保公司的整体信用风险在可控的范围 </w:t>
      </w:r>
      <w:r>
        <w:rPr>
          <w:spacing w:val="-2"/>
        </w:rPr>
        <w:t>内。在监控客户的信用风险时，按照客户的信用特征对其分组。被评为</w:t>
      </w:r>
      <w:r>
        <w:rPr>
          <w:rFonts w:ascii="Times New Roman" w:hAnsi="Times New Roman" w:cs="Times New Roman" w:eastAsia="Times New Roman" w:hint="default"/>
          <w:spacing w:val="-2"/>
        </w:rPr>
        <w:t>“</w:t>
      </w:r>
      <w:r>
        <w:rPr>
          <w:spacing w:val="-2"/>
        </w:rPr>
        <w:t>高风险</w:t>
      </w:r>
      <w:r>
        <w:rPr>
          <w:rFonts w:ascii="Times New Roman" w:hAnsi="Times New Roman" w:cs="Times New Roman" w:eastAsia="Times New Roman" w:hint="default"/>
          <w:spacing w:val="-2"/>
        </w:rPr>
        <w:t>”</w:t>
      </w:r>
      <w:r>
        <w:rPr>
          <w:spacing w:val="-2"/>
        </w:rPr>
        <w:t>级别的客户会放在受限制客户名单里，并且</w:t>
      </w:r>
      <w:r>
        <w:rPr>
          <w:spacing w:val="-45"/>
        </w:rPr>
        <w:t> </w:t>
      </w:r>
      <w:r>
        <w:rPr>
          <w:spacing w:val="-45"/>
        </w:rPr>
      </w:r>
      <w:r>
        <w:rPr/>
        <w:t>只有在额外批准的前提下，公司才可在未来期间内对其赊销，否则必须要求其提前支付相应款项。</w:t>
      </w:r>
    </w:p>
    <w:p>
      <w:pPr>
        <w:pStyle w:val="BodyText"/>
        <w:spacing w:line="451" w:lineRule="auto" w:before="65"/>
        <w:ind w:left="1494" w:right="1118" w:firstLine="1"/>
        <w:jc w:val="left"/>
      </w:pPr>
      <w:r>
        <w:rPr>
          <w:rFonts w:ascii="Times New Roman" w:hAnsi="Times New Roman" w:cs="Times New Roman" w:eastAsia="Times New Roman" w:hint="default"/>
          <w:b/>
          <w:bCs/>
        </w:rPr>
        <w:t>2</w:t>
      </w:r>
      <w:r>
        <w:rPr>
          <w:rFonts w:ascii="宋体" w:hAnsi="宋体" w:cs="宋体" w:eastAsia="宋体" w:hint="default"/>
          <w:b/>
          <w:bCs/>
        </w:rPr>
        <w:t>、市场风险</w:t>
      </w:r>
      <w:r>
        <w:rPr>
          <w:rFonts w:ascii="宋体" w:hAnsi="宋体" w:cs="宋体" w:eastAsia="宋体" w:hint="default"/>
          <w:b/>
          <w:bCs/>
          <w:w w:val="99"/>
        </w:rPr>
        <w:t> </w:t>
      </w:r>
      <w:r>
        <w:rPr>
          <w:spacing w:val="-2"/>
        </w:rPr>
        <w:t>金融工具的市场风险，是指金融工具的公允价值或未来现金流量因市场价格变动而发生波动的风险，包括汇率风险、利</w:t>
      </w:r>
    </w:p>
    <w:p>
      <w:pPr>
        <w:pStyle w:val="BodyText"/>
        <w:spacing w:line="240" w:lineRule="auto" w:before="74"/>
        <w:ind w:left="1134" w:right="0"/>
        <w:jc w:val="both"/>
      </w:pPr>
      <w:r>
        <w:rPr/>
        <w:t>率风险和其他价格风险。</w:t>
      </w:r>
    </w:p>
    <w:p>
      <w:pPr>
        <w:spacing w:line="240" w:lineRule="auto" w:before="10"/>
        <w:rPr>
          <w:rFonts w:ascii="宋体" w:hAnsi="宋体" w:cs="宋体" w:eastAsia="宋体" w:hint="default"/>
          <w:sz w:val="17"/>
          <w:szCs w:val="17"/>
        </w:rPr>
      </w:pPr>
    </w:p>
    <w:p>
      <w:pPr>
        <w:pStyle w:val="BodyText"/>
        <w:spacing w:line="451" w:lineRule="auto"/>
        <w:ind w:left="1493" w:right="1118"/>
        <w:jc w:val="left"/>
      </w:pPr>
      <w:r>
        <w:rPr/>
        <w:t>（</w:t>
      </w:r>
      <w:r>
        <w:rPr>
          <w:rFonts w:ascii="Times New Roman" w:hAnsi="Times New Roman" w:cs="Times New Roman" w:eastAsia="Times New Roman" w:hint="default"/>
        </w:rPr>
        <w:t>1</w:t>
      </w:r>
      <w:r>
        <w:rPr/>
        <w:t>）利率风险 </w:t>
      </w:r>
      <w:r>
        <w:rPr>
          <w:spacing w:val="-2"/>
        </w:rPr>
        <w:t>利率风险，是指金融工具的公允价值或未来现金流量因市场利率变动而发生波动的风险。本公司面临的利率风险主要来</w:t>
      </w:r>
    </w:p>
    <w:p>
      <w:pPr>
        <w:pStyle w:val="BodyText"/>
        <w:spacing w:line="477" w:lineRule="auto" w:before="74"/>
        <w:ind w:right="1131"/>
        <w:jc w:val="both"/>
      </w:pPr>
      <w:r>
        <w:rPr>
          <w:spacing w:val="-2"/>
        </w:rPr>
        <w:t>源于银行的短期借款及超短期融资券。公司目前的政策是除已发行完毕的中期票据以外，以全部获得基准利率或基准利率适</w:t>
      </w:r>
      <w:r>
        <w:rPr>
          <w:spacing w:val="-64"/>
        </w:rPr>
        <w:t> </w:t>
      </w:r>
      <w:r>
        <w:rPr>
          <w:spacing w:val="-64"/>
        </w:rPr>
      </w:r>
      <w:r>
        <w:rPr>
          <w:spacing w:val="-2"/>
        </w:rPr>
        <w:t>当上浮下浮的银行的短期借款及超短期融资券筹集资金。尽管上述政策不能使本公司完全避免支付的利率超出现行市场利率</w:t>
      </w:r>
      <w:r>
        <w:rPr>
          <w:spacing w:val="-64"/>
        </w:rPr>
        <w:t> </w:t>
      </w:r>
      <w:r>
        <w:rPr>
          <w:spacing w:val="-64"/>
        </w:rPr>
      </w:r>
      <w:r>
        <w:rPr/>
        <w:t>的风险，也不能完全消除与利息支付波动相关的现金流量风险，但是管理层认为该政策实现了这些风险之间的合理平衡。</w:t>
      </w:r>
    </w:p>
    <w:p>
      <w:pPr>
        <w:pStyle w:val="BodyText"/>
        <w:spacing w:line="451" w:lineRule="auto" w:before="54"/>
        <w:ind w:right="1131" w:firstLine="360"/>
        <w:jc w:val="both"/>
      </w:pPr>
      <w:r>
        <w:rPr>
          <w:spacing w:val="-2"/>
        </w:rPr>
        <w:t>于</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日，在其他变量保持不变的情况下，如果以浮动利率计算的借款利率上升或下降</w:t>
      </w:r>
      <w:r>
        <w:rPr>
          <w:rFonts w:ascii="Times New Roman" w:hAnsi="Times New Roman" w:cs="Times New Roman" w:eastAsia="Times New Roman" w:hint="default"/>
          <w:spacing w:val="-2"/>
        </w:rPr>
        <w:t>50</w:t>
      </w:r>
      <w:r>
        <w:rPr>
          <w:spacing w:val="-2"/>
        </w:rPr>
        <w:t>个基点，则本公司的</w:t>
      </w:r>
      <w:r>
        <w:rPr/>
        <w:t> </w:t>
      </w:r>
      <w:r>
        <w:rPr>
          <w:spacing w:val="-1"/>
        </w:rPr>
        <w:t>净利润将减少或增加</w:t>
      </w:r>
      <w:r>
        <w:rPr>
          <w:rFonts w:ascii="Times New Roman" w:hAnsi="Times New Roman" w:cs="Times New Roman" w:eastAsia="Times New Roman" w:hint="default"/>
          <w:spacing w:val="-1"/>
        </w:rPr>
        <w:t>1,807,029.87</w:t>
      </w:r>
      <w:r>
        <w:rPr>
          <w:spacing w:val="-1"/>
        </w:rPr>
        <w:t>元（</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w:t>
      </w:r>
      <w:r>
        <w:rPr>
          <w:rFonts w:ascii="Times New Roman" w:hAnsi="Times New Roman" w:cs="Times New Roman" w:eastAsia="Times New Roman" w:hint="default"/>
          <w:spacing w:val="-1"/>
        </w:rPr>
        <w:t>813,650.11</w:t>
      </w:r>
      <w:r>
        <w:rPr>
          <w:spacing w:val="-1"/>
        </w:rPr>
        <w:t>元）。管理层认为</w:t>
      </w:r>
      <w:r>
        <w:rPr>
          <w:rFonts w:ascii="Times New Roman" w:hAnsi="Times New Roman" w:cs="Times New Roman" w:eastAsia="Times New Roman" w:hint="default"/>
          <w:spacing w:val="-1"/>
        </w:rPr>
        <w:t>50</w:t>
      </w:r>
      <w:r>
        <w:rPr>
          <w:spacing w:val="-1"/>
        </w:rPr>
        <w:t>个基点合理反映了下一年度利率可能</w:t>
      </w:r>
      <w:r>
        <w:rPr>
          <w:spacing w:val="-62"/>
        </w:rPr>
        <w:t> </w:t>
      </w:r>
      <w:r>
        <w:rPr/>
        <w:t>发生变动的合理范围。</w:t>
      </w:r>
    </w:p>
    <w:p>
      <w:pPr>
        <w:pStyle w:val="BodyText"/>
        <w:spacing w:line="451" w:lineRule="auto" w:before="74"/>
        <w:ind w:left="1493" w:right="1118"/>
        <w:jc w:val="left"/>
      </w:pPr>
      <w:r>
        <w:rPr/>
        <w:t>（</w:t>
      </w:r>
      <w:r>
        <w:rPr>
          <w:rFonts w:ascii="Times New Roman" w:hAnsi="Times New Roman" w:cs="Times New Roman" w:eastAsia="Times New Roman" w:hint="default"/>
        </w:rPr>
        <w:t>2</w:t>
      </w:r>
      <w:r>
        <w:rPr/>
        <w:t>）汇率风险 </w:t>
      </w:r>
      <w:r>
        <w:rPr>
          <w:spacing w:val="-2"/>
        </w:rPr>
        <w:t>汇率风险，是指金融工具的公允价值或未来现金流量因外汇汇率变动而发生波动的风险。本公司尽可能将外币收入与外</w:t>
      </w:r>
    </w:p>
    <w:p>
      <w:pPr>
        <w:pStyle w:val="BodyText"/>
        <w:spacing w:line="477" w:lineRule="auto" w:before="74"/>
        <w:ind w:left="1493" w:right="0" w:hanging="360"/>
        <w:jc w:val="left"/>
      </w:pPr>
      <w:r>
        <w:rPr/>
        <w:t>币支出相匹配以降低汇率风险，此外本公司未签署任何远期外汇合约或货币互换合约。 </w:t>
      </w:r>
      <w:r>
        <w:rPr>
          <w:spacing w:val="-2"/>
        </w:rPr>
        <w:t>本公司面临的汇率风险主要来源于以美元、港币计价的金融资产和金融负债，外币金融资产和外币金融负债折算成人民</w:t>
      </w:r>
    </w:p>
    <w:p>
      <w:pPr>
        <w:pStyle w:val="BodyText"/>
        <w:spacing w:line="240" w:lineRule="auto" w:before="54"/>
        <w:ind w:right="0"/>
        <w:jc w:val="both"/>
      </w:pPr>
      <w:r>
        <w:rPr/>
        <w:t>币的金额列示如下：</w:t>
      </w:r>
    </w:p>
    <w:p>
      <w:pPr>
        <w:spacing w:line="240" w:lineRule="auto" w:before="10"/>
        <w:rPr>
          <w:rFonts w:ascii="宋体" w:hAnsi="宋体" w:cs="宋体" w:eastAsia="宋体" w:hint="default"/>
          <w:sz w:val="11"/>
          <w:szCs w:val="11"/>
        </w:rPr>
      </w:pPr>
    </w:p>
    <w:tbl>
      <w:tblPr>
        <w:tblW w:w="0" w:type="auto"/>
        <w:jc w:val="left"/>
        <w:tblInd w:w="1129" w:type="dxa"/>
        <w:tblLayout w:type="fixed"/>
        <w:tblCellMar>
          <w:top w:w="0" w:type="dxa"/>
          <w:left w:w="0" w:type="dxa"/>
          <w:bottom w:w="0" w:type="dxa"/>
          <w:right w:w="0" w:type="dxa"/>
        </w:tblCellMar>
        <w:tblLook w:val="01E0"/>
      </w:tblPr>
      <w:tblGrid>
        <w:gridCol w:w="476"/>
        <w:gridCol w:w="533"/>
        <w:gridCol w:w="502"/>
        <w:gridCol w:w="533"/>
        <w:gridCol w:w="479"/>
        <w:gridCol w:w="470"/>
        <w:gridCol w:w="479"/>
        <w:gridCol w:w="471"/>
        <w:gridCol w:w="430"/>
        <w:gridCol w:w="416"/>
        <w:gridCol w:w="533"/>
        <w:gridCol w:w="533"/>
        <w:gridCol w:w="384"/>
        <w:gridCol w:w="503"/>
        <w:gridCol w:w="544"/>
        <w:gridCol w:w="425"/>
        <w:gridCol w:w="443"/>
        <w:gridCol w:w="503"/>
        <w:gridCol w:w="470"/>
        <w:gridCol w:w="533"/>
      </w:tblGrid>
      <w:tr>
        <w:trPr>
          <w:trHeight w:val="326" w:hRule="exact"/>
        </w:trPr>
        <w:tc>
          <w:tcPr>
            <w:tcW w:w="47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4"/>
              <w:ind w:right="0"/>
              <w:jc w:val="left"/>
              <w:rPr>
                <w:rFonts w:ascii="宋体" w:hAnsi="宋体" w:cs="宋体" w:eastAsia="宋体" w:hint="default"/>
                <w:sz w:val="10"/>
                <w:szCs w:val="10"/>
              </w:rPr>
            </w:pPr>
          </w:p>
          <w:p>
            <w:pPr>
              <w:pStyle w:val="TableParagraph"/>
              <w:spacing w:line="240" w:lineRule="auto"/>
              <w:ind w:left="132" w:right="0"/>
              <w:jc w:val="left"/>
              <w:rPr>
                <w:rFonts w:ascii="宋体" w:hAnsi="宋体" w:cs="宋体" w:eastAsia="宋体" w:hint="default"/>
                <w:sz w:val="10"/>
                <w:szCs w:val="10"/>
              </w:rPr>
            </w:pPr>
            <w:r>
              <w:rPr>
                <w:rFonts w:ascii="宋体" w:hAnsi="宋体" w:cs="宋体" w:eastAsia="宋体" w:hint="default"/>
                <w:sz w:val="10"/>
                <w:szCs w:val="10"/>
              </w:rPr>
              <w:t>项目</w:t>
            </w:r>
          </w:p>
        </w:tc>
        <w:tc>
          <w:tcPr>
            <w:tcW w:w="4845" w:type="dxa"/>
            <w:gridSpan w:val="10"/>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right="1"/>
              <w:jc w:val="center"/>
              <w:rPr>
                <w:rFonts w:ascii="宋体" w:hAnsi="宋体" w:cs="宋体" w:eastAsia="宋体" w:hint="default"/>
                <w:sz w:val="10"/>
                <w:szCs w:val="10"/>
              </w:rPr>
            </w:pPr>
            <w:r>
              <w:rPr>
                <w:rFonts w:ascii="宋体" w:hAnsi="宋体" w:cs="宋体" w:eastAsia="宋体" w:hint="default"/>
                <w:sz w:val="10"/>
                <w:szCs w:val="10"/>
              </w:rPr>
              <w:t>期末余额</w:t>
            </w:r>
          </w:p>
        </w:tc>
        <w:tc>
          <w:tcPr>
            <w:tcW w:w="4337"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right="0"/>
              <w:jc w:val="center"/>
              <w:rPr>
                <w:rFonts w:ascii="宋体" w:hAnsi="宋体" w:cs="宋体" w:eastAsia="宋体" w:hint="default"/>
                <w:sz w:val="10"/>
                <w:szCs w:val="10"/>
              </w:rPr>
            </w:pPr>
            <w:r>
              <w:rPr>
                <w:rFonts w:ascii="宋体" w:hAnsi="宋体" w:cs="宋体" w:eastAsia="宋体" w:hint="default"/>
                <w:sz w:val="10"/>
                <w:szCs w:val="10"/>
              </w:rPr>
              <w:t>年初余额</w:t>
            </w:r>
          </w:p>
        </w:tc>
      </w:tr>
      <w:tr>
        <w:trPr>
          <w:trHeight w:val="177" w:hRule="exact"/>
        </w:trPr>
        <w:tc>
          <w:tcPr>
            <w:tcW w:w="476" w:type="dxa"/>
            <w:vMerge/>
            <w:tcBorders>
              <w:left w:val="single" w:sz="4" w:space="0" w:color="000000"/>
              <w:right w:val="single" w:sz="4" w:space="0" w:color="000000"/>
            </w:tcBorders>
            <w:shd w:val="clear" w:color="auto" w:fill="D9D9D9"/>
          </w:tcPr>
          <w:p>
            <w:pPr/>
          </w:p>
        </w:tc>
        <w:tc>
          <w:tcPr>
            <w:tcW w:w="53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161" w:right="0"/>
              <w:jc w:val="left"/>
              <w:rPr>
                <w:rFonts w:ascii="宋体" w:hAnsi="宋体" w:cs="宋体" w:eastAsia="宋体" w:hint="default"/>
                <w:sz w:val="10"/>
                <w:szCs w:val="10"/>
              </w:rPr>
            </w:pPr>
            <w:r>
              <w:rPr>
                <w:rFonts w:ascii="宋体" w:hAnsi="宋体" w:cs="宋体" w:eastAsia="宋体" w:hint="default"/>
                <w:sz w:val="10"/>
                <w:szCs w:val="10"/>
              </w:rPr>
              <w:t>美元</w:t>
            </w:r>
          </w:p>
        </w:tc>
        <w:tc>
          <w:tcPr>
            <w:tcW w:w="50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43"/>
              <w:jc w:val="right"/>
              <w:rPr>
                <w:rFonts w:ascii="宋体" w:hAnsi="宋体" w:cs="宋体" w:eastAsia="宋体" w:hint="default"/>
                <w:sz w:val="10"/>
                <w:szCs w:val="10"/>
              </w:rPr>
            </w:pPr>
            <w:r>
              <w:rPr>
                <w:rFonts w:ascii="宋体" w:hAnsi="宋体" w:cs="宋体" w:eastAsia="宋体" w:hint="default"/>
                <w:w w:val="99"/>
                <w:sz w:val="10"/>
                <w:szCs w:val="10"/>
              </w:rPr>
              <w:t>港</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币</w:t>
            </w:r>
            <w:r>
              <w:rPr>
                <w:rFonts w:ascii="宋体" w:hAnsi="宋体" w:cs="宋体" w:eastAsia="宋体" w:hint="default"/>
                <w:sz w:val="10"/>
                <w:szCs w:val="10"/>
              </w:rPr>
            </w:r>
          </w:p>
        </w:tc>
        <w:tc>
          <w:tcPr>
            <w:tcW w:w="533" w:type="dxa"/>
            <w:vMerge w:val="restart"/>
            <w:tcBorders>
              <w:top w:val="single" w:sz="4" w:space="0" w:color="000000"/>
              <w:left w:val="single" w:sz="4" w:space="0" w:color="000000"/>
              <w:right w:val="single" w:sz="4" w:space="0" w:color="000000"/>
            </w:tcBorders>
            <w:shd w:val="clear" w:color="auto" w:fill="D9D9D9"/>
          </w:tcPr>
          <w:p>
            <w:pPr>
              <w:pStyle w:val="TableParagraph"/>
              <w:spacing w:line="571" w:lineRule="auto" w:before="85"/>
              <w:ind w:left="161" w:right="8" w:firstLine="151"/>
              <w:jc w:val="left"/>
              <w:rPr>
                <w:rFonts w:ascii="宋体" w:hAnsi="宋体" w:cs="宋体" w:eastAsia="宋体" w:hint="default"/>
                <w:sz w:val="10"/>
                <w:szCs w:val="10"/>
              </w:rPr>
            </w:pPr>
            <w:r>
              <w:rPr>
                <w:rFonts w:ascii="宋体" w:hAnsi="宋体" w:cs="宋体" w:eastAsia="宋体" w:hint="default"/>
                <w:sz w:val="10"/>
                <w:szCs w:val="10"/>
              </w:rPr>
              <w:t>新加</w:t>
            </w:r>
            <w:r>
              <w:rPr>
                <w:rFonts w:ascii="宋体" w:hAnsi="宋体" w:cs="宋体" w:eastAsia="宋体" w:hint="default"/>
                <w:w w:val="99"/>
                <w:sz w:val="10"/>
                <w:szCs w:val="10"/>
              </w:rPr>
              <w:t> </w:t>
            </w:r>
            <w:r>
              <w:rPr>
                <w:rFonts w:ascii="宋体" w:hAnsi="宋体" w:cs="宋体" w:eastAsia="宋体" w:hint="default"/>
                <w:sz w:val="10"/>
                <w:szCs w:val="10"/>
              </w:rPr>
              <w:t>坡币</w:t>
            </w:r>
          </w:p>
        </w:tc>
        <w:tc>
          <w:tcPr>
            <w:tcW w:w="47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31"/>
              <w:jc w:val="right"/>
              <w:rPr>
                <w:rFonts w:ascii="宋体" w:hAnsi="宋体" w:cs="宋体" w:eastAsia="宋体" w:hint="default"/>
                <w:sz w:val="10"/>
                <w:szCs w:val="10"/>
              </w:rPr>
            </w:pPr>
            <w:r>
              <w:rPr>
                <w:rFonts w:ascii="宋体" w:hAnsi="宋体" w:cs="宋体" w:eastAsia="宋体" w:hint="default"/>
                <w:w w:val="99"/>
                <w:sz w:val="10"/>
                <w:szCs w:val="10"/>
              </w:rPr>
              <w:t>新</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4" w:right="0"/>
              <w:jc w:val="left"/>
              <w:rPr>
                <w:rFonts w:ascii="宋体" w:hAnsi="宋体" w:cs="宋体" w:eastAsia="宋体" w:hint="default"/>
                <w:sz w:val="10"/>
                <w:szCs w:val="10"/>
              </w:rPr>
            </w:pPr>
            <w:r>
              <w:rPr>
                <w:rFonts w:ascii="宋体" w:hAnsi="宋体" w:cs="宋体" w:eastAsia="宋体" w:hint="default"/>
                <w:sz w:val="10"/>
                <w:szCs w:val="10"/>
              </w:rPr>
              <w:t>台币</w:t>
            </w:r>
          </w:p>
        </w:tc>
        <w:tc>
          <w:tcPr>
            <w:tcW w:w="47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29"/>
              <w:jc w:val="right"/>
              <w:rPr>
                <w:rFonts w:ascii="宋体" w:hAnsi="宋体" w:cs="宋体" w:eastAsia="宋体" w:hint="default"/>
                <w:sz w:val="10"/>
                <w:szCs w:val="10"/>
              </w:rPr>
            </w:pPr>
            <w:r>
              <w:rPr>
                <w:rFonts w:ascii="宋体" w:hAnsi="宋体" w:cs="宋体" w:eastAsia="宋体" w:hint="default"/>
                <w:w w:val="99"/>
                <w:sz w:val="10"/>
                <w:szCs w:val="10"/>
              </w:rPr>
              <w:t>韩</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元</w:t>
            </w:r>
            <w:r>
              <w:rPr>
                <w:rFonts w:ascii="宋体" w:hAnsi="宋体" w:cs="宋体" w:eastAsia="宋体" w:hint="default"/>
                <w:sz w:val="10"/>
                <w:szCs w:val="10"/>
              </w:rPr>
            </w:r>
          </w:p>
        </w:tc>
        <w:tc>
          <w:tcPr>
            <w:tcW w:w="47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32"/>
              <w:jc w:val="right"/>
              <w:rPr>
                <w:rFonts w:ascii="宋体" w:hAnsi="宋体" w:cs="宋体" w:eastAsia="宋体" w:hint="default"/>
                <w:sz w:val="10"/>
                <w:szCs w:val="10"/>
              </w:rPr>
            </w:pPr>
            <w:r>
              <w:rPr>
                <w:rFonts w:ascii="宋体" w:hAnsi="宋体" w:cs="宋体" w:eastAsia="宋体" w:hint="default"/>
                <w:w w:val="99"/>
                <w:sz w:val="10"/>
                <w:szCs w:val="10"/>
              </w:rPr>
              <w:t>越</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33" w:right="0"/>
              <w:jc w:val="left"/>
              <w:rPr>
                <w:rFonts w:ascii="宋体" w:hAnsi="宋体" w:cs="宋体" w:eastAsia="宋体" w:hint="default"/>
                <w:sz w:val="10"/>
                <w:szCs w:val="10"/>
              </w:rPr>
            </w:pPr>
            <w:r>
              <w:rPr>
                <w:rFonts w:ascii="宋体" w:hAnsi="宋体" w:cs="宋体" w:eastAsia="宋体" w:hint="default"/>
                <w:sz w:val="10"/>
                <w:szCs w:val="10"/>
              </w:rPr>
              <w:t>南盾</w:t>
            </w:r>
          </w:p>
        </w:tc>
        <w:tc>
          <w:tcPr>
            <w:tcW w:w="47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29"/>
              <w:jc w:val="right"/>
              <w:rPr>
                <w:rFonts w:ascii="宋体" w:hAnsi="宋体" w:cs="宋体" w:eastAsia="宋体" w:hint="default"/>
                <w:sz w:val="10"/>
                <w:szCs w:val="10"/>
              </w:rPr>
            </w:pPr>
            <w:r>
              <w:rPr>
                <w:rFonts w:ascii="宋体" w:hAnsi="宋体" w:cs="宋体" w:eastAsia="宋体" w:hint="default"/>
                <w:w w:val="99"/>
                <w:sz w:val="10"/>
                <w:szCs w:val="10"/>
              </w:rPr>
              <w:t>泰</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铢</w:t>
            </w:r>
            <w:r>
              <w:rPr>
                <w:rFonts w:ascii="宋体" w:hAnsi="宋体" w:cs="宋体" w:eastAsia="宋体" w:hint="default"/>
                <w:sz w:val="10"/>
                <w:szCs w:val="10"/>
              </w:rPr>
            </w:r>
          </w:p>
        </w:tc>
        <w:tc>
          <w:tcPr>
            <w:tcW w:w="43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7"/>
              <w:jc w:val="right"/>
              <w:rPr>
                <w:rFonts w:ascii="宋体" w:hAnsi="宋体" w:cs="宋体" w:eastAsia="宋体" w:hint="default"/>
                <w:sz w:val="10"/>
                <w:szCs w:val="10"/>
              </w:rPr>
            </w:pPr>
            <w:r>
              <w:rPr>
                <w:rFonts w:ascii="宋体" w:hAnsi="宋体" w:cs="宋体" w:eastAsia="宋体" w:hint="default"/>
                <w:w w:val="99"/>
                <w:sz w:val="10"/>
                <w:szCs w:val="10"/>
              </w:rPr>
              <w:t>欧</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w w:val="99"/>
                <w:sz w:val="10"/>
                <w:szCs w:val="10"/>
              </w:rPr>
              <w:t>元</w:t>
            </w:r>
            <w:r>
              <w:rPr>
                <w:rFonts w:ascii="宋体" w:hAnsi="宋体" w:cs="宋体" w:eastAsia="宋体" w:hint="default"/>
                <w:sz w:val="10"/>
                <w:szCs w:val="10"/>
              </w:rPr>
            </w:r>
          </w:p>
        </w:tc>
        <w:tc>
          <w:tcPr>
            <w:tcW w:w="41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103" w:right="0"/>
              <w:jc w:val="left"/>
              <w:rPr>
                <w:rFonts w:ascii="宋体" w:hAnsi="宋体" w:cs="宋体" w:eastAsia="宋体" w:hint="default"/>
                <w:sz w:val="10"/>
                <w:szCs w:val="10"/>
              </w:rPr>
            </w:pPr>
            <w:r>
              <w:rPr>
                <w:rFonts w:ascii="宋体" w:hAnsi="宋体" w:cs="宋体" w:eastAsia="宋体" w:hint="default"/>
                <w:sz w:val="10"/>
                <w:szCs w:val="10"/>
              </w:rPr>
              <w:t>加币</w:t>
            </w:r>
          </w:p>
        </w:tc>
        <w:tc>
          <w:tcPr>
            <w:tcW w:w="533" w:type="dxa"/>
            <w:tcBorders>
              <w:top w:val="single" w:sz="4" w:space="0" w:color="000000"/>
              <w:left w:val="single" w:sz="4" w:space="0" w:color="000000"/>
              <w:bottom w:val="nil" w:sz="6" w:space="0" w:color="auto"/>
              <w:right w:val="single" w:sz="4" w:space="0" w:color="000000"/>
            </w:tcBorders>
            <w:shd w:val="clear" w:color="auto" w:fill="D9D9D9"/>
          </w:tcPr>
          <w:p>
            <w:pPr/>
          </w:p>
        </w:tc>
        <w:tc>
          <w:tcPr>
            <w:tcW w:w="533" w:type="dxa"/>
            <w:tcBorders>
              <w:top w:val="single" w:sz="4" w:space="0" w:color="000000"/>
              <w:left w:val="single" w:sz="4" w:space="0" w:color="000000"/>
              <w:bottom w:val="nil" w:sz="6" w:space="0" w:color="auto"/>
              <w:right w:val="single" w:sz="4" w:space="0" w:color="000000"/>
            </w:tcBorders>
            <w:shd w:val="clear" w:color="auto" w:fill="D9D9D9"/>
          </w:tcPr>
          <w:p>
            <w:pPr/>
          </w:p>
        </w:tc>
        <w:tc>
          <w:tcPr>
            <w:tcW w:w="38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5"/>
              <w:ind w:right="0"/>
              <w:jc w:val="left"/>
              <w:rPr>
                <w:rFonts w:ascii="宋体" w:hAnsi="宋体" w:cs="宋体" w:eastAsia="宋体" w:hint="default"/>
                <w:sz w:val="10"/>
                <w:szCs w:val="10"/>
              </w:rPr>
            </w:pPr>
          </w:p>
          <w:p>
            <w:pPr>
              <w:pStyle w:val="TableParagraph"/>
              <w:spacing w:line="240" w:lineRule="auto"/>
              <w:ind w:left="87" w:right="0"/>
              <w:jc w:val="left"/>
              <w:rPr>
                <w:rFonts w:ascii="宋体" w:hAnsi="宋体" w:cs="宋体" w:eastAsia="宋体" w:hint="default"/>
                <w:sz w:val="10"/>
                <w:szCs w:val="10"/>
              </w:rPr>
            </w:pPr>
            <w:r>
              <w:rPr>
                <w:rFonts w:ascii="宋体" w:hAnsi="宋体" w:cs="宋体" w:eastAsia="宋体" w:hint="default"/>
                <w:sz w:val="10"/>
                <w:szCs w:val="10"/>
              </w:rPr>
              <w:t>欧元</w:t>
            </w:r>
          </w:p>
        </w:tc>
        <w:tc>
          <w:tcPr>
            <w:tcW w:w="50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43"/>
              <w:jc w:val="right"/>
              <w:rPr>
                <w:rFonts w:ascii="宋体" w:hAnsi="宋体" w:cs="宋体" w:eastAsia="宋体" w:hint="default"/>
                <w:sz w:val="10"/>
                <w:szCs w:val="10"/>
              </w:rPr>
            </w:pPr>
            <w:r>
              <w:rPr>
                <w:rFonts w:ascii="宋体" w:hAnsi="宋体" w:cs="宋体" w:eastAsia="宋体" w:hint="default"/>
                <w:w w:val="99"/>
                <w:sz w:val="10"/>
                <w:szCs w:val="10"/>
              </w:rPr>
              <w:t>港</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币</w:t>
            </w:r>
            <w:r>
              <w:rPr>
                <w:rFonts w:ascii="宋体" w:hAnsi="宋体" w:cs="宋体" w:eastAsia="宋体" w:hint="default"/>
                <w:sz w:val="10"/>
                <w:szCs w:val="10"/>
              </w:rPr>
            </w:r>
          </w:p>
        </w:tc>
        <w:tc>
          <w:tcPr>
            <w:tcW w:w="544" w:type="dxa"/>
            <w:vMerge w:val="restart"/>
            <w:tcBorders>
              <w:top w:val="single" w:sz="4" w:space="0" w:color="000000"/>
              <w:left w:val="single" w:sz="4" w:space="0" w:color="000000"/>
              <w:right w:val="single" w:sz="4" w:space="0" w:color="000000"/>
            </w:tcBorders>
            <w:shd w:val="clear" w:color="auto" w:fill="D9D9D9"/>
          </w:tcPr>
          <w:p>
            <w:pPr>
              <w:pStyle w:val="TableParagraph"/>
              <w:spacing w:line="571" w:lineRule="auto" w:before="85"/>
              <w:ind w:left="166" w:right="14" w:firstLine="151"/>
              <w:jc w:val="left"/>
              <w:rPr>
                <w:rFonts w:ascii="宋体" w:hAnsi="宋体" w:cs="宋体" w:eastAsia="宋体" w:hint="default"/>
                <w:sz w:val="10"/>
                <w:szCs w:val="10"/>
              </w:rPr>
            </w:pPr>
            <w:r>
              <w:rPr>
                <w:rFonts w:ascii="宋体" w:hAnsi="宋体" w:cs="宋体" w:eastAsia="宋体" w:hint="default"/>
                <w:sz w:val="10"/>
                <w:szCs w:val="10"/>
              </w:rPr>
              <w:t>新加</w:t>
            </w:r>
            <w:r>
              <w:rPr>
                <w:rFonts w:ascii="宋体" w:hAnsi="宋体" w:cs="宋体" w:eastAsia="宋体" w:hint="default"/>
                <w:w w:val="99"/>
                <w:sz w:val="10"/>
                <w:szCs w:val="10"/>
              </w:rPr>
              <w:t> </w:t>
            </w:r>
            <w:r>
              <w:rPr>
                <w:rFonts w:ascii="宋体" w:hAnsi="宋体" w:cs="宋体" w:eastAsia="宋体" w:hint="default"/>
                <w:sz w:val="10"/>
                <w:szCs w:val="10"/>
              </w:rPr>
              <w:t>坡币</w:t>
            </w:r>
          </w:p>
        </w:tc>
        <w:tc>
          <w:tcPr>
            <w:tcW w:w="42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107" w:right="0"/>
              <w:jc w:val="left"/>
              <w:rPr>
                <w:rFonts w:ascii="宋体" w:hAnsi="宋体" w:cs="宋体" w:eastAsia="宋体" w:hint="default"/>
                <w:sz w:val="10"/>
                <w:szCs w:val="10"/>
              </w:rPr>
            </w:pPr>
            <w:r>
              <w:rPr>
                <w:rFonts w:ascii="宋体" w:hAnsi="宋体" w:cs="宋体" w:eastAsia="宋体" w:hint="default"/>
                <w:sz w:val="10"/>
                <w:szCs w:val="10"/>
              </w:rPr>
              <w:t>越南盾</w:t>
            </w:r>
          </w:p>
        </w:tc>
        <w:tc>
          <w:tcPr>
            <w:tcW w:w="44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14"/>
              <w:jc w:val="right"/>
              <w:rPr>
                <w:rFonts w:ascii="宋体" w:hAnsi="宋体" w:cs="宋体" w:eastAsia="宋体" w:hint="default"/>
                <w:sz w:val="10"/>
                <w:szCs w:val="10"/>
              </w:rPr>
            </w:pPr>
            <w:r>
              <w:rPr>
                <w:rFonts w:ascii="宋体" w:hAnsi="宋体" w:cs="宋体" w:eastAsia="宋体" w:hint="default"/>
                <w:w w:val="99"/>
                <w:sz w:val="10"/>
                <w:szCs w:val="10"/>
              </w:rPr>
              <w:t>泰</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铢</w:t>
            </w:r>
            <w:r>
              <w:rPr>
                <w:rFonts w:ascii="宋体" w:hAnsi="宋体" w:cs="宋体" w:eastAsia="宋体" w:hint="default"/>
                <w:sz w:val="10"/>
                <w:szCs w:val="10"/>
              </w:rPr>
            </w:r>
          </w:p>
        </w:tc>
        <w:tc>
          <w:tcPr>
            <w:tcW w:w="50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85"/>
              <w:ind w:right="43"/>
              <w:jc w:val="right"/>
              <w:rPr>
                <w:rFonts w:ascii="宋体" w:hAnsi="宋体" w:cs="宋体" w:eastAsia="宋体" w:hint="default"/>
                <w:sz w:val="10"/>
                <w:szCs w:val="10"/>
              </w:rPr>
            </w:pPr>
            <w:r>
              <w:rPr>
                <w:rFonts w:ascii="宋体" w:hAnsi="宋体" w:cs="宋体" w:eastAsia="宋体" w:hint="default"/>
                <w:w w:val="99"/>
                <w:sz w:val="10"/>
                <w:szCs w:val="10"/>
              </w:rPr>
              <w:t>韩</w:t>
            </w:r>
            <w:r>
              <w:rPr>
                <w:rFonts w:ascii="宋体" w:hAnsi="宋体" w:cs="宋体" w:eastAsia="宋体" w:hint="default"/>
                <w:sz w:val="10"/>
                <w:szCs w:val="10"/>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0"/>
                <w:szCs w:val="10"/>
              </w:rPr>
            </w:pPr>
            <w:r>
              <w:rPr>
                <w:rFonts w:ascii="宋体" w:hAnsi="宋体" w:cs="宋体" w:eastAsia="宋体" w:hint="default"/>
                <w:w w:val="99"/>
                <w:sz w:val="10"/>
                <w:szCs w:val="10"/>
              </w:rPr>
              <w:t>元</w:t>
            </w:r>
            <w:r>
              <w:rPr>
                <w:rFonts w:ascii="宋体" w:hAnsi="宋体" w:cs="宋体" w:eastAsia="宋体" w:hint="default"/>
                <w:sz w:val="10"/>
                <w:szCs w:val="10"/>
              </w:rPr>
            </w:r>
          </w:p>
        </w:tc>
        <w:tc>
          <w:tcPr>
            <w:tcW w:w="470" w:type="dxa"/>
            <w:tcBorders>
              <w:top w:val="single" w:sz="4" w:space="0" w:color="000000"/>
              <w:left w:val="single" w:sz="4" w:space="0" w:color="000000"/>
              <w:bottom w:val="nil" w:sz="6" w:space="0" w:color="auto"/>
              <w:right w:val="single" w:sz="4" w:space="0" w:color="000000"/>
            </w:tcBorders>
            <w:shd w:val="clear" w:color="auto" w:fill="D9D9D9"/>
          </w:tcPr>
          <w:p>
            <w:pPr/>
          </w:p>
        </w:tc>
        <w:tc>
          <w:tcPr>
            <w:tcW w:w="533" w:type="dxa"/>
            <w:tcBorders>
              <w:top w:val="single" w:sz="4" w:space="0" w:color="000000"/>
              <w:left w:val="single" w:sz="4" w:space="0" w:color="000000"/>
              <w:bottom w:val="nil" w:sz="6" w:space="0" w:color="auto"/>
              <w:right w:val="single" w:sz="4" w:space="0" w:color="000000"/>
            </w:tcBorders>
            <w:shd w:val="clear" w:color="auto" w:fill="D9D9D9"/>
          </w:tcPr>
          <w:p>
            <w:pPr/>
          </w:p>
        </w:tc>
      </w:tr>
      <w:tr>
        <w:trPr>
          <w:trHeight w:val="482" w:hRule="exact"/>
        </w:trPr>
        <w:tc>
          <w:tcPr>
            <w:tcW w:w="476" w:type="dxa"/>
            <w:vMerge/>
            <w:tcBorders>
              <w:left w:val="single" w:sz="4" w:space="0" w:color="000000"/>
              <w:bottom w:val="single" w:sz="4" w:space="0" w:color="000000"/>
              <w:right w:val="single" w:sz="4" w:space="0" w:color="000000"/>
            </w:tcBorders>
            <w:shd w:val="clear" w:color="auto" w:fill="D9D9D9"/>
          </w:tcPr>
          <w:p>
            <w:pPr/>
          </w:p>
        </w:tc>
        <w:tc>
          <w:tcPr>
            <w:tcW w:w="533" w:type="dxa"/>
            <w:vMerge/>
            <w:tcBorders>
              <w:left w:val="single" w:sz="4" w:space="0" w:color="000000"/>
              <w:bottom w:val="single" w:sz="4" w:space="0" w:color="000000"/>
              <w:right w:val="single" w:sz="4" w:space="0" w:color="000000"/>
            </w:tcBorders>
            <w:shd w:val="clear" w:color="auto" w:fill="D9D9D9"/>
          </w:tcPr>
          <w:p>
            <w:pPr/>
          </w:p>
        </w:tc>
        <w:tc>
          <w:tcPr>
            <w:tcW w:w="502" w:type="dxa"/>
            <w:vMerge/>
            <w:tcBorders>
              <w:left w:val="single" w:sz="4" w:space="0" w:color="000000"/>
              <w:bottom w:val="single" w:sz="4" w:space="0" w:color="000000"/>
              <w:right w:val="single" w:sz="4" w:space="0" w:color="000000"/>
            </w:tcBorders>
            <w:shd w:val="clear" w:color="auto" w:fill="D9D9D9"/>
          </w:tcPr>
          <w:p>
            <w:pPr/>
          </w:p>
        </w:tc>
        <w:tc>
          <w:tcPr>
            <w:tcW w:w="533" w:type="dxa"/>
            <w:vMerge/>
            <w:tcBorders>
              <w:left w:val="single" w:sz="4" w:space="0" w:color="000000"/>
              <w:bottom w:val="single" w:sz="4" w:space="0" w:color="000000"/>
              <w:right w:val="single" w:sz="4" w:space="0" w:color="000000"/>
            </w:tcBorders>
            <w:shd w:val="clear" w:color="auto" w:fill="D9D9D9"/>
          </w:tcPr>
          <w:p>
            <w:pPr/>
          </w:p>
        </w:tc>
        <w:tc>
          <w:tcPr>
            <w:tcW w:w="479" w:type="dxa"/>
            <w:vMerge/>
            <w:tcBorders>
              <w:left w:val="single" w:sz="4" w:space="0" w:color="000000"/>
              <w:bottom w:val="single" w:sz="4" w:space="0" w:color="000000"/>
              <w:right w:val="single" w:sz="4" w:space="0" w:color="000000"/>
            </w:tcBorders>
            <w:shd w:val="clear" w:color="auto" w:fill="D9D9D9"/>
          </w:tcPr>
          <w:p>
            <w:pPr/>
          </w:p>
        </w:tc>
        <w:tc>
          <w:tcPr>
            <w:tcW w:w="470" w:type="dxa"/>
            <w:vMerge/>
            <w:tcBorders>
              <w:left w:val="single" w:sz="4" w:space="0" w:color="000000"/>
              <w:bottom w:val="single" w:sz="4" w:space="0" w:color="000000"/>
              <w:right w:val="single" w:sz="4" w:space="0" w:color="000000"/>
            </w:tcBorders>
            <w:shd w:val="clear" w:color="auto" w:fill="D9D9D9"/>
          </w:tcPr>
          <w:p>
            <w:pPr/>
          </w:p>
        </w:tc>
        <w:tc>
          <w:tcPr>
            <w:tcW w:w="479" w:type="dxa"/>
            <w:vMerge/>
            <w:tcBorders>
              <w:left w:val="single" w:sz="4" w:space="0" w:color="000000"/>
              <w:bottom w:val="single" w:sz="4" w:space="0" w:color="000000"/>
              <w:right w:val="single" w:sz="4" w:space="0" w:color="000000"/>
            </w:tcBorders>
            <w:shd w:val="clear" w:color="auto" w:fill="D9D9D9"/>
          </w:tcPr>
          <w:p>
            <w:pPr/>
          </w:p>
        </w:tc>
        <w:tc>
          <w:tcPr>
            <w:tcW w:w="471" w:type="dxa"/>
            <w:vMerge/>
            <w:tcBorders>
              <w:left w:val="single" w:sz="4" w:space="0" w:color="000000"/>
              <w:bottom w:val="single" w:sz="4" w:space="0" w:color="000000"/>
              <w:right w:val="single" w:sz="4" w:space="0" w:color="000000"/>
            </w:tcBorders>
            <w:shd w:val="clear" w:color="auto" w:fill="D9D9D9"/>
          </w:tcPr>
          <w:p>
            <w:pPr/>
          </w:p>
        </w:tc>
        <w:tc>
          <w:tcPr>
            <w:tcW w:w="430" w:type="dxa"/>
            <w:vMerge/>
            <w:tcBorders>
              <w:left w:val="single" w:sz="4" w:space="0" w:color="000000"/>
              <w:bottom w:val="single" w:sz="4" w:space="0" w:color="000000"/>
              <w:right w:val="single" w:sz="4" w:space="0" w:color="000000"/>
            </w:tcBorders>
            <w:shd w:val="clear" w:color="auto" w:fill="D9D9D9"/>
          </w:tcPr>
          <w:p>
            <w:pPr/>
          </w:p>
        </w:tc>
        <w:tc>
          <w:tcPr>
            <w:tcW w:w="416" w:type="dxa"/>
            <w:vMerge/>
            <w:tcBorders>
              <w:left w:val="single" w:sz="4" w:space="0" w:color="000000"/>
              <w:bottom w:val="single" w:sz="4" w:space="0" w:color="000000"/>
              <w:right w:val="single" w:sz="4" w:space="0" w:color="000000"/>
            </w:tcBorders>
            <w:shd w:val="clear" w:color="auto" w:fill="D9D9D9"/>
          </w:tcPr>
          <w:p>
            <w:pPr/>
          </w:p>
        </w:tc>
        <w:tc>
          <w:tcPr>
            <w:tcW w:w="533"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69"/>
              <w:ind w:left="160" w:right="0"/>
              <w:jc w:val="left"/>
              <w:rPr>
                <w:rFonts w:ascii="宋体" w:hAnsi="宋体" w:cs="宋体" w:eastAsia="宋体" w:hint="default"/>
                <w:sz w:val="10"/>
                <w:szCs w:val="10"/>
              </w:rPr>
            </w:pPr>
            <w:r>
              <w:rPr>
                <w:rFonts w:ascii="宋体" w:hAnsi="宋体" w:cs="宋体" w:eastAsia="宋体" w:hint="default"/>
                <w:sz w:val="10"/>
                <w:szCs w:val="10"/>
              </w:rPr>
              <w:t>合计</w:t>
            </w:r>
          </w:p>
        </w:tc>
        <w:tc>
          <w:tcPr>
            <w:tcW w:w="533"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69"/>
              <w:ind w:left="161" w:right="0"/>
              <w:jc w:val="left"/>
              <w:rPr>
                <w:rFonts w:ascii="宋体" w:hAnsi="宋体" w:cs="宋体" w:eastAsia="宋体" w:hint="default"/>
                <w:sz w:val="10"/>
                <w:szCs w:val="10"/>
              </w:rPr>
            </w:pPr>
            <w:r>
              <w:rPr>
                <w:rFonts w:ascii="宋体" w:hAnsi="宋体" w:cs="宋体" w:eastAsia="宋体" w:hint="default"/>
                <w:sz w:val="10"/>
                <w:szCs w:val="10"/>
              </w:rPr>
              <w:t>美元</w:t>
            </w:r>
          </w:p>
        </w:tc>
        <w:tc>
          <w:tcPr>
            <w:tcW w:w="384" w:type="dxa"/>
            <w:vMerge/>
            <w:tcBorders>
              <w:left w:val="single" w:sz="4" w:space="0" w:color="000000"/>
              <w:bottom w:val="single" w:sz="4" w:space="0" w:color="000000"/>
              <w:right w:val="single" w:sz="4" w:space="0" w:color="000000"/>
            </w:tcBorders>
            <w:shd w:val="clear" w:color="auto" w:fill="D9D9D9"/>
          </w:tcPr>
          <w:p>
            <w:pPr/>
          </w:p>
        </w:tc>
        <w:tc>
          <w:tcPr>
            <w:tcW w:w="503" w:type="dxa"/>
            <w:vMerge/>
            <w:tcBorders>
              <w:left w:val="single" w:sz="4" w:space="0" w:color="000000"/>
              <w:bottom w:val="single" w:sz="4" w:space="0" w:color="000000"/>
              <w:right w:val="single" w:sz="4" w:space="0" w:color="000000"/>
            </w:tcBorders>
            <w:shd w:val="clear" w:color="auto" w:fill="D9D9D9"/>
          </w:tcPr>
          <w:p>
            <w:pPr/>
          </w:p>
        </w:tc>
        <w:tc>
          <w:tcPr>
            <w:tcW w:w="544" w:type="dxa"/>
            <w:vMerge/>
            <w:tcBorders>
              <w:left w:val="single" w:sz="4" w:space="0" w:color="000000"/>
              <w:bottom w:val="single" w:sz="4" w:space="0" w:color="000000"/>
              <w:right w:val="single" w:sz="4" w:space="0" w:color="000000"/>
            </w:tcBorders>
            <w:shd w:val="clear" w:color="auto" w:fill="D9D9D9"/>
          </w:tcPr>
          <w:p>
            <w:pPr/>
          </w:p>
        </w:tc>
        <w:tc>
          <w:tcPr>
            <w:tcW w:w="425" w:type="dxa"/>
            <w:vMerge/>
            <w:tcBorders>
              <w:left w:val="single" w:sz="4" w:space="0" w:color="000000"/>
              <w:bottom w:val="single" w:sz="4" w:space="0" w:color="000000"/>
              <w:right w:val="single" w:sz="4" w:space="0" w:color="000000"/>
            </w:tcBorders>
            <w:shd w:val="clear" w:color="auto" w:fill="D9D9D9"/>
          </w:tcPr>
          <w:p>
            <w:pPr/>
          </w:p>
        </w:tc>
        <w:tc>
          <w:tcPr>
            <w:tcW w:w="443" w:type="dxa"/>
            <w:vMerge/>
            <w:tcBorders>
              <w:left w:val="single" w:sz="4" w:space="0" w:color="000000"/>
              <w:bottom w:val="single" w:sz="4" w:space="0" w:color="000000"/>
              <w:right w:val="single" w:sz="4" w:space="0" w:color="000000"/>
            </w:tcBorders>
            <w:shd w:val="clear" w:color="auto" w:fill="D9D9D9"/>
          </w:tcPr>
          <w:p>
            <w:pPr/>
          </w:p>
        </w:tc>
        <w:tc>
          <w:tcPr>
            <w:tcW w:w="503" w:type="dxa"/>
            <w:vMerge/>
            <w:tcBorders>
              <w:left w:val="single" w:sz="4" w:space="0" w:color="000000"/>
              <w:bottom w:val="single" w:sz="4" w:space="0" w:color="000000"/>
              <w:right w:val="single" w:sz="4" w:space="0" w:color="000000"/>
            </w:tcBorders>
            <w:shd w:val="clear" w:color="auto" w:fill="D9D9D9"/>
          </w:tcPr>
          <w:p>
            <w:pPr/>
          </w:p>
        </w:tc>
        <w:tc>
          <w:tcPr>
            <w:tcW w:w="470"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69"/>
              <w:ind w:right="5"/>
              <w:jc w:val="right"/>
              <w:rPr>
                <w:rFonts w:ascii="宋体" w:hAnsi="宋体" w:cs="宋体" w:eastAsia="宋体" w:hint="default"/>
                <w:sz w:val="10"/>
                <w:szCs w:val="10"/>
              </w:rPr>
            </w:pPr>
            <w:r>
              <w:rPr>
                <w:rFonts w:ascii="宋体" w:hAnsi="宋体" w:cs="宋体" w:eastAsia="宋体" w:hint="default"/>
                <w:w w:val="95"/>
                <w:sz w:val="10"/>
                <w:szCs w:val="10"/>
              </w:rPr>
              <w:t>新台币</w:t>
            </w:r>
            <w:r>
              <w:rPr>
                <w:rFonts w:ascii="宋体" w:hAnsi="宋体" w:cs="宋体" w:eastAsia="宋体" w:hint="default"/>
                <w:sz w:val="10"/>
                <w:szCs w:val="10"/>
              </w:rPr>
            </w:r>
          </w:p>
        </w:tc>
        <w:tc>
          <w:tcPr>
            <w:tcW w:w="533" w:type="dxa"/>
            <w:tcBorders>
              <w:top w:val="nil" w:sz="6" w:space="0" w:color="auto"/>
              <w:left w:val="single" w:sz="4" w:space="0" w:color="000000"/>
              <w:bottom w:val="single" w:sz="4" w:space="0" w:color="000000"/>
              <w:right w:val="single" w:sz="4" w:space="0" w:color="000000"/>
            </w:tcBorders>
            <w:shd w:val="clear" w:color="auto" w:fill="D9D9D9"/>
          </w:tcPr>
          <w:p>
            <w:pPr>
              <w:pStyle w:val="TableParagraph"/>
              <w:spacing w:line="240" w:lineRule="auto" w:before="69"/>
              <w:ind w:right="0"/>
              <w:jc w:val="center"/>
              <w:rPr>
                <w:rFonts w:ascii="宋体" w:hAnsi="宋体" w:cs="宋体" w:eastAsia="宋体" w:hint="default"/>
                <w:sz w:val="10"/>
                <w:szCs w:val="10"/>
              </w:rPr>
            </w:pPr>
            <w:r>
              <w:rPr>
                <w:rFonts w:ascii="宋体" w:hAnsi="宋体" w:cs="宋体" w:eastAsia="宋体" w:hint="default"/>
                <w:sz w:val="10"/>
                <w:szCs w:val="10"/>
              </w:rPr>
              <w:t>合计</w:t>
            </w:r>
          </w:p>
        </w:tc>
      </w:tr>
      <w:tr>
        <w:trPr>
          <w:trHeight w:val="654" w:hRule="exact"/>
        </w:trPr>
        <w:tc>
          <w:tcPr>
            <w:tcW w:w="4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0"/>
              <w:ind w:right="0"/>
              <w:jc w:val="left"/>
              <w:rPr>
                <w:rFonts w:ascii="宋体" w:hAnsi="宋体" w:cs="宋体" w:eastAsia="宋体" w:hint="default"/>
                <w:sz w:val="8"/>
                <w:szCs w:val="8"/>
              </w:rPr>
            </w:pPr>
          </w:p>
          <w:p>
            <w:pPr>
              <w:pStyle w:val="TableParagraph"/>
              <w:spacing w:line="240" w:lineRule="auto"/>
              <w:ind w:right="56"/>
              <w:jc w:val="center"/>
              <w:rPr>
                <w:rFonts w:ascii="宋体" w:hAnsi="宋体" w:cs="宋体" w:eastAsia="宋体" w:hint="default"/>
                <w:sz w:val="10"/>
                <w:szCs w:val="10"/>
              </w:rPr>
            </w:pPr>
            <w:r>
              <w:rPr>
                <w:rFonts w:ascii="宋体" w:hAnsi="宋体" w:cs="宋体" w:eastAsia="宋体" w:hint="default"/>
                <w:sz w:val="10"/>
                <w:szCs w:val="10"/>
              </w:rPr>
              <w:t>货币资金</w:t>
            </w:r>
          </w:p>
        </w:tc>
        <w:tc>
          <w:tcPr>
            <w:tcW w:w="533"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134,640,536</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5"/>
                <w:sz w:val="10"/>
              </w:rPr>
              <w:t>.38</w:t>
            </w:r>
            <w:r>
              <w:rPr>
                <w:rFonts w:ascii="Times New Roman"/>
                <w:sz w:val="10"/>
              </w:rPr>
            </w:r>
          </w:p>
        </w:tc>
        <w:tc>
          <w:tcPr>
            <w:tcW w:w="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8,564,954.5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5</w:t>
            </w:r>
            <w:r>
              <w:rPr>
                <w:rFonts w:ascii="Times New Roman"/>
                <w:sz w:val="10"/>
              </w:rPr>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1,686,290.4</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5</w:t>
            </w:r>
            <w:r>
              <w:rPr>
                <w:rFonts w:ascii="Times New Roman"/>
                <w:sz w:val="10"/>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9" w:right="0"/>
              <w:jc w:val="center"/>
              <w:rPr>
                <w:rFonts w:ascii="Times New Roman" w:hAnsi="Times New Roman" w:cs="Times New Roman" w:eastAsia="Times New Roman" w:hint="default"/>
                <w:sz w:val="10"/>
                <w:szCs w:val="10"/>
              </w:rPr>
            </w:pPr>
            <w:r>
              <w:rPr>
                <w:rFonts w:ascii="Times New Roman"/>
                <w:sz w:val="10"/>
              </w:rPr>
              <w:t>766,566.90</w:t>
            </w:r>
          </w:p>
        </w:tc>
        <w:tc>
          <w:tcPr>
            <w:tcW w:w="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1,656,944.</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01</w:t>
            </w:r>
            <w:r>
              <w:rPr>
                <w:rFonts w:ascii="Times New Roman"/>
                <w:sz w:val="10"/>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3" w:right="0"/>
              <w:jc w:val="left"/>
              <w:rPr>
                <w:rFonts w:ascii="Times New Roman" w:hAnsi="Times New Roman" w:cs="Times New Roman" w:eastAsia="Times New Roman" w:hint="default"/>
                <w:sz w:val="10"/>
                <w:szCs w:val="10"/>
              </w:rPr>
            </w:pPr>
            <w:r>
              <w:rPr>
                <w:rFonts w:ascii="Times New Roman"/>
                <w:sz w:val="10"/>
              </w:rPr>
              <w:t>432,671.13</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748,399.55</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80,625.15</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46" w:right="0"/>
              <w:jc w:val="center"/>
              <w:rPr>
                <w:rFonts w:ascii="Times New Roman" w:hAnsi="Times New Roman" w:cs="Times New Roman" w:eastAsia="Times New Roman" w:hint="default"/>
                <w:sz w:val="10"/>
                <w:szCs w:val="10"/>
              </w:rPr>
            </w:pPr>
            <w:r>
              <w:rPr>
                <w:rFonts w:ascii="Times New Roman"/>
                <w:sz w:val="10"/>
              </w:rPr>
              <w:t>2,071.41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148,579,059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5"/>
                <w:sz w:val="10"/>
              </w:rPr>
              <w:t>.53</w:t>
            </w:r>
            <w:r>
              <w:rPr>
                <w:rFonts w:ascii="Times New Roman"/>
                <w:sz w:val="10"/>
              </w:rPr>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289,468,356</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.01</w:t>
            </w:r>
            <w:r>
              <w:rPr>
                <w:rFonts w:ascii="Times New Roman"/>
                <w:sz w:val="10"/>
              </w:rPr>
            </w:r>
          </w:p>
        </w:tc>
        <w:tc>
          <w:tcPr>
            <w:tcW w:w="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27.21</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14,438,955.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79</w:t>
            </w:r>
            <w:r>
              <w:rPr>
                <w:rFonts w:ascii="Times New Roman"/>
                <w:sz w:val="10"/>
              </w:rPr>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4,542,035.5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7</w:t>
            </w:r>
            <w:r>
              <w:rPr>
                <w:rFonts w:ascii="Times New Roman"/>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460,039.8</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6</w:t>
            </w:r>
            <w:r>
              <w:rPr>
                <w:rFonts w:ascii="Times New Roman"/>
                <w:sz w:val="10"/>
              </w:rPr>
            </w:r>
          </w:p>
        </w:tc>
        <w:tc>
          <w:tcPr>
            <w:tcW w:w="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533,659.0</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7</w:t>
            </w:r>
            <w:r>
              <w:rPr>
                <w:rFonts w:ascii="Times New Roman"/>
                <w:sz w:val="10"/>
              </w:rPr>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12,019,813.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62</w:t>
            </w:r>
            <w:r>
              <w:rPr>
                <w:rFonts w:ascii="Times New Roman"/>
                <w:sz w:val="10"/>
              </w:rPr>
            </w:r>
          </w:p>
        </w:tc>
        <w:tc>
          <w:tcPr>
            <w:tcW w:w="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1,761,729.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10</w:t>
            </w:r>
            <w:r>
              <w:rPr>
                <w:rFonts w:ascii="Times New Roman"/>
                <w:sz w:val="10"/>
              </w:rPr>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323,224,616</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5"/>
                <w:sz w:val="10"/>
              </w:rPr>
              <w:t>.23</w:t>
            </w:r>
            <w:r>
              <w:rPr>
                <w:rFonts w:ascii="Times New Roman"/>
                <w:sz w:val="10"/>
              </w:rPr>
            </w:r>
          </w:p>
        </w:tc>
      </w:tr>
      <w:tr>
        <w:trPr>
          <w:trHeight w:val="654" w:hRule="exact"/>
        </w:trPr>
        <w:tc>
          <w:tcPr>
            <w:tcW w:w="476"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0"/>
              <w:ind w:right="0"/>
              <w:jc w:val="left"/>
              <w:rPr>
                <w:rFonts w:ascii="宋体" w:hAnsi="宋体" w:cs="宋体" w:eastAsia="宋体" w:hint="default"/>
                <w:sz w:val="8"/>
                <w:szCs w:val="8"/>
              </w:rPr>
            </w:pPr>
          </w:p>
          <w:p>
            <w:pPr>
              <w:pStyle w:val="TableParagraph"/>
              <w:spacing w:line="240" w:lineRule="auto"/>
              <w:ind w:right="56"/>
              <w:jc w:val="center"/>
              <w:rPr>
                <w:rFonts w:ascii="宋体" w:hAnsi="宋体" w:cs="宋体" w:eastAsia="宋体" w:hint="default"/>
                <w:sz w:val="10"/>
                <w:szCs w:val="10"/>
              </w:rPr>
            </w:pPr>
            <w:r>
              <w:rPr>
                <w:rFonts w:ascii="宋体" w:hAnsi="宋体" w:cs="宋体" w:eastAsia="宋体" w:hint="default"/>
                <w:sz w:val="10"/>
                <w:szCs w:val="10"/>
              </w:rPr>
              <w:t>应收账款</w:t>
            </w:r>
          </w:p>
        </w:tc>
        <w:tc>
          <w:tcPr>
            <w:tcW w:w="533" w:type="dxa"/>
            <w:tcBorders>
              <w:top w:val="single" w:sz="4" w:space="0" w:color="000000"/>
              <w:left w:val="single" w:sz="6"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56,257,907.</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32</w:t>
            </w:r>
            <w:r>
              <w:rPr>
                <w:rFonts w:ascii="Times New Roman"/>
                <w:sz w:val="10"/>
              </w:rPr>
            </w:r>
          </w:p>
        </w:tc>
        <w:tc>
          <w:tcPr>
            <w:tcW w:w="50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32" w:right="0"/>
              <w:jc w:val="center"/>
              <w:rPr>
                <w:rFonts w:ascii="Times New Roman" w:hAnsi="Times New Roman" w:cs="Times New Roman" w:eastAsia="Times New Roman" w:hint="default"/>
                <w:sz w:val="10"/>
                <w:szCs w:val="10"/>
              </w:rPr>
            </w:pPr>
            <w:r>
              <w:rPr>
                <w:rFonts w:ascii="Times New Roman"/>
                <w:sz w:val="10"/>
              </w:rPr>
              <w:t>219,101.64</w:t>
            </w: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925,805.97</w:t>
            </w:r>
          </w:p>
        </w:tc>
        <w:tc>
          <w:tcPr>
            <w:tcW w:w="47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84" w:right="0"/>
              <w:jc w:val="center"/>
              <w:rPr>
                <w:rFonts w:ascii="Times New Roman" w:hAnsi="Times New Roman" w:cs="Times New Roman" w:eastAsia="Times New Roman" w:hint="default"/>
                <w:sz w:val="10"/>
                <w:szCs w:val="10"/>
              </w:rPr>
            </w:pPr>
            <w:r>
              <w:rPr>
                <w:rFonts w:ascii="Times New Roman"/>
                <w:sz w:val="10"/>
              </w:rPr>
              <w:t>553.22</w:t>
            </w:r>
          </w:p>
        </w:tc>
        <w:tc>
          <w:tcPr>
            <w:tcW w:w="470" w:type="dxa"/>
            <w:tcBorders>
              <w:top w:val="single" w:sz="4" w:space="0" w:color="000000"/>
              <w:left w:val="single" w:sz="4" w:space="0" w:color="000000"/>
              <w:bottom w:val="single" w:sz="4" w:space="0" w:color="FFFFFF"/>
              <w:right w:val="single" w:sz="4" w:space="0" w:color="000000"/>
            </w:tcBorders>
          </w:tcPr>
          <w:p>
            <w:pPr/>
          </w:p>
        </w:tc>
        <w:tc>
          <w:tcPr>
            <w:tcW w:w="479" w:type="dxa"/>
            <w:tcBorders>
              <w:top w:val="single" w:sz="4" w:space="0" w:color="000000"/>
              <w:left w:val="single" w:sz="4" w:space="0" w:color="000000"/>
              <w:bottom w:val="single" w:sz="4" w:space="0" w:color="FFFFFF"/>
              <w:right w:val="single" w:sz="4" w:space="0" w:color="000000"/>
            </w:tcBorders>
          </w:tcPr>
          <w:p>
            <w:pPr/>
          </w:p>
        </w:tc>
        <w:tc>
          <w:tcPr>
            <w:tcW w:w="471" w:type="dxa"/>
            <w:tcBorders>
              <w:top w:val="single" w:sz="4" w:space="0" w:color="000000"/>
              <w:left w:val="single" w:sz="4" w:space="0" w:color="000000"/>
              <w:bottom w:val="single" w:sz="4" w:space="0" w:color="FFFFFF"/>
              <w:right w:val="single" w:sz="4" w:space="0" w:color="000000"/>
            </w:tcBorders>
          </w:tcPr>
          <w:p>
            <w:pPr/>
          </w:p>
        </w:tc>
        <w:tc>
          <w:tcPr>
            <w:tcW w:w="430" w:type="dxa"/>
            <w:tcBorders>
              <w:top w:val="single" w:sz="4" w:space="0" w:color="000000"/>
              <w:left w:val="single" w:sz="4" w:space="0" w:color="000000"/>
              <w:bottom w:val="single" w:sz="4" w:space="0" w:color="FFFFFF"/>
              <w:right w:val="single" w:sz="4" w:space="0" w:color="000000"/>
            </w:tcBorders>
          </w:tcPr>
          <w:p>
            <w:pPr/>
          </w:p>
        </w:tc>
        <w:tc>
          <w:tcPr>
            <w:tcW w:w="416" w:type="dxa"/>
            <w:tcBorders>
              <w:top w:val="single" w:sz="4" w:space="0" w:color="000000"/>
              <w:left w:val="single" w:sz="4" w:space="0" w:color="000000"/>
              <w:bottom w:val="single" w:sz="4" w:space="0" w:color="FFFFFF"/>
              <w:right w:val="single" w:sz="4" w:space="0" w:color="000000"/>
            </w:tcBorders>
          </w:tcPr>
          <w:p>
            <w:pP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57,403,368.</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15</w:t>
            </w:r>
            <w:r>
              <w:rPr>
                <w:rFonts w:ascii="Times New Roman"/>
                <w:sz w:val="10"/>
              </w:rPr>
            </w: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10,300,111.</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64</w:t>
            </w:r>
            <w:r>
              <w:rPr>
                <w:rFonts w:ascii="Times New Roman"/>
                <w:sz w:val="10"/>
              </w:rPr>
            </w:r>
          </w:p>
        </w:tc>
        <w:tc>
          <w:tcPr>
            <w:tcW w:w="384" w:type="dxa"/>
            <w:tcBorders>
              <w:top w:val="single" w:sz="4" w:space="0" w:color="000000"/>
              <w:left w:val="single" w:sz="4" w:space="0" w:color="000000"/>
              <w:bottom w:val="single" w:sz="4" w:space="0" w:color="FFFFFF"/>
              <w:right w:val="single" w:sz="4" w:space="0" w:color="000000"/>
            </w:tcBorders>
          </w:tcPr>
          <w:p>
            <w:pPr/>
          </w:p>
        </w:tc>
        <w:tc>
          <w:tcPr>
            <w:tcW w:w="50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2,019,575.2</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2</w:t>
            </w:r>
            <w:r>
              <w:rPr>
                <w:rFonts w:ascii="Times New Roman"/>
                <w:sz w:val="10"/>
              </w:rPr>
            </w:r>
          </w:p>
        </w:tc>
        <w:tc>
          <w:tcPr>
            <w:tcW w:w="54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6,271,410.7</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6</w:t>
            </w:r>
            <w:r>
              <w:rPr>
                <w:rFonts w:ascii="Times New Roman"/>
                <w:sz w:val="10"/>
              </w:rPr>
            </w:r>
          </w:p>
        </w:tc>
        <w:tc>
          <w:tcPr>
            <w:tcW w:w="425" w:type="dxa"/>
            <w:tcBorders>
              <w:top w:val="single" w:sz="4" w:space="0" w:color="000000"/>
              <w:left w:val="single" w:sz="4" w:space="0" w:color="000000"/>
              <w:bottom w:val="single" w:sz="4" w:space="0" w:color="FFFFFF"/>
              <w:right w:val="single" w:sz="4" w:space="0" w:color="000000"/>
            </w:tcBorders>
          </w:tcPr>
          <w:p>
            <w:pPr/>
          </w:p>
        </w:tc>
        <w:tc>
          <w:tcPr>
            <w:tcW w:w="44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184,364.3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5</w:t>
            </w:r>
            <w:r>
              <w:rPr>
                <w:rFonts w:ascii="Times New Roman"/>
                <w:sz w:val="10"/>
              </w:rPr>
            </w:r>
          </w:p>
        </w:tc>
        <w:tc>
          <w:tcPr>
            <w:tcW w:w="50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939,593.36</w:t>
            </w:r>
          </w:p>
        </w:tc>
        <w:tc>
          <w:tcPr>
            <w:tcW w:w="470" w:type="dxa"/>
            <w:tcBorders>
              <w:top w:val="single" w:sz="4" w:space="0" w:color="000000"/>
              <w:left w:val="single" w:sz="4" w:space="0" w:color="000000"/>
              <w:bottom w:val="single" w:sz="4" w:space="0" w:color="FFFFFF"/>
              <w:right w:val="single" w:sz="4" w:space="0" w:color="000000"/>
            </w:tcBorders>
          </w:tcPr>
          <w:p>
            <w:pP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19,715,055.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33</w:t>
            </w:r>
            <w:r>
              <w:rPr>
                <w:rFonts w:ascii="Times New Roman"/>
                <w:sz w:val="10"/>
              </w:rPr>
            </w:r>
          </w:p>
        </w:tc>
      </w:tr>
      <w:tr>
        <w:trPr>
          <w:trHeight w:val="654" w:hRule="exact"/>
        </w:trPr>
        <w:tc>
          <w:tcPr>
            <w:tcW w:w="476"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571" w:lineRule="auto" w:before="80"/>
              <w:ind w:left="4" w:right="61"/>
              <w:jc w:val="left"/>
              <w:rPr>
                <w:rFonts w:ascii="宋体" w:hAnsi="宋体" w:cs="宋体" w:eastAsia="宋体" w:hint="default"/>
                <w:sz w:val="10"/>
                <w:szCs w:val="10"/>
              </w:rPr>
            </w:pPr>
            <w:r>
              <w:rPr>
                <w:rFonts w:ascii="宋体" w:hAnsi="宋体" w:cs="宋体" w:eastAsia="宋体" w:hint="default"/>
                <w:sz w:val="10"/>
                <w:szCs w:val="10"/>
              </w:rPr>
              <w:t>其他应收</w:t>
            </w:r>
            <w:r>
              <w:rPr>
                <w:rFonts w:ascii="宋体" w:hAnsi="宋体" w:cs="宋体" w:eastAsia="宋体" w:hint="default"/>
                <w:w w:val="99"/>
                <w:sz w:val="10"/>
                <w:szCs w:val="10"/>
              </w:rPr>
              <w:t> </w:t>
            </w:r>
            <w:r>
              <w:rPr>
                <w:rFonts w:ascii="宋体" w:hAnsi="宋体" w:cs="宋体" w:eastAsia="宋体" w:hint="default"/>
                <w:sz w:val="10"/>
                <w:szCs w:val="10"/>
              </w:rPr>
              <w:t>款</w:t>
            </w:r>
          </w:p>
        </w:tc>
        <w:tc>
          <w:tcPr>
            <w:tcW w:w="533" w:type="dxa"/>
            <w:tcBorders>
              <w:top w:val="single" w:sz="4" w:space="0" w:color="FFFFFF"/>
              <w:left w:val="single" w:sz="6"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1,062,709.9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4</w:t>
            </w:r>
            <w:r>
              <w:rPr>
                <w:rFonts w:ascii="Times New Roman"/>
                <w:sz w:val="10"/>
              </w:rPr>
            </w:r>
          </w:p>
        </w:tc>
        <w:tc>
          <w:tcPr>
            <w:tcW w:w="5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3,513,485.2</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2</w:t>
            </w:r>
            <w:r>
              <w:rPr>
                <w:rFonts w:ascii="Times New Roman"/>
                <w:sz w:val="10"/>
              </w:rPr>
            </w: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90,749.68</w:t>
            </w:r>
          </w:p>
        </w:tc>
        <w:tc>
          <w:tcPr>
            <w:tcW w:w="47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59" w:right="0"/>
              <w:jc w:val="center"/>
              <w:rPr>
                <w:rFonts w:ascii="Times New Roman" w:hAnsi="Times New Roman" w:cs="Times New Roman" w:eastAsia="Times New Roman" w:hint="default"/>
                <w:sz w:val="10"/>
                <w:szCs w:val="10"/>
              </w:rPr>
            </w:pPr>
            <w:r>
              <w:rPr>
                <w:rFonts w:ascii="Times New Roman"/>
                <w:sz w:val="10"/>
              </w:rPr>
              <w:t>22,921.80</w:t>
            </w:r>
          </w:p>
        </w:tc>
        <w:tc>
          <w:tcPr>
            <w:tcW w:w="470" w:type="dxa"/>
            <w:tcBorders>
              <w:top w:val="single" w:sz="4" w:space="0" w:color="FFFFFF"/>
              <w:left w:val="single" w:sz="4" w:space="0" w:color="000000"/>
              <w:bottom w:val="single" w:sz="4" w:space="0" w:color="000000"/>
              <w:right w:val="single" w:sz="4" w:space="0" w:color="000000"/>
            </w:tcBorders>
          </w:tcPr>
          <w:p>
            <w:pPr/>
          </w:p>
        </w:tc>
        <w:tc>
          <w:tcPr>
            <w:tcW w:w="479" w:type="dxa"/>
            <w:tcBorders>
              <w:top w:val="single" w:sz="4" w:space="0" w:color="FFFFFF"/>
              <w:left w:val="single" w:sz="4" w:space="0" w:color="000000"/>
              <w:bottom w:val="single" w:sz="4" w:space="0" w:color="000000"/>
              <w:right w:val="single" w:sz="4" w:space="0" w:color="000000"/>
            </w:tcBorders>
          </w:tcPr>
          <w:p>
            <w:pPr/>
          </w:p>
        </w:tc>
        <w:tc>
          <w:tcPr>
            <w:tcW w:w="47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51" w:right="0"/>
              <w:jc w:val="center"/>
              <w:rPr>
                <w:rFonts w:ascii="Times New Roman" w:hAnsi="Times New Roman" w:cs="Times New Roman" w:eastAsia="Times New Roman" w:hint="default"/>
                <w:sz w:val="10"/>
                <w:szCs w:val="10"/>
              </w:rPr>
            </w:pPr>
            <w:r>
              <w:rPr>
                <w:rFonts w:ascii="Times New Roman"/>
                <w:sz w:val="10"/>
              </w:rPr>
              <w:t>37,002.67</w:t>
            </w:r>
          </w:p>
        </w:tc>
        <w:tc>
          <w:tcPr>
            <w:tcW w:w="430" w:type="dxa"/>
            <w:tcBorders>
              <w:top w:val="single" w:sz="4" w:space="0" w:color="FFFFFF"/>
              <w:left w:val="single" w:sz="4" w:space="0" w:color="000000"/>
              <w:bottom w:val="single" w:sz="4" w:space="0" w:color="000000"/>
              <w:right w:val="single" w:sz="4" w:space="0" w:color="000000"/>
            </w:tcBorders>
          </w:tcPr>
          <w:p>
            <w:pPr/>
          </w:p>
        </w:tc>
        <w:tc>
          <w:tcPr>
            <w:tcW w:w="416" w:type="dxa"/>
            <w:tcBorders>
              <w:top w:val="single" w:sz="4" w:space="0" w:color="FFFFFF"/>
              <w:left w:val="single" w:sz="4" w:space="0" w:color="000000"/>
              <w:bottom w:val="single" w:sz="4" w:space="0" w:color="000000"/>
              <w:right w:val="single" w:sz="4" w:space="0" w:color="000000"/>
            </w:tcBorders>
          </w:tcPr>
          <w:p>
            <w:pP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4,726,869.3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1</w:t>
            </w:r>
            <w:r>
              <w:rPr>
                <w:rFonts w:ascii="Times New Roman"/>
                <w:sz w:val="10"/>
              </w:rPr>
            </w:r>
          </w:p>
        </w:tc>
        <w:tc>
          <w:tcPr>
            <w:tcW w:w="533" w:type="dxa"/>
            <w:tcBorders>
              <w:top w:val="single" w:sz="4" w:space="0" w:color="FFFFFF"/>
              <w:left w:val="single" w:sz="4" w:space="0" w:color="000000"/>
              <w:bottom w:val="single" w:sz="4" w:space="0" w:color="000000"/>
              <w:right w:val="single" w:sz="4" w:space="0" w:color="000000"/>
            </w:tcBorders>
          </w:tcPr>
          <w:p>
            <w:pPr/>
          </w:p>
        </w:tc>
        <w:tc>
          <w:tcPr>
            <w:tcW w:w="384" w:type="dxa"/>
            <w:tcBorders>
              <w:top w:val="single" w:sz="4" w:space="0" w:color="FFFFFF"/>
              <w:left w:val="single" w:sz="4" w:space="0" w:color="000000"/>
              <w:bottom w:val="single" w:sz="4" w:space="0" w:color="000000"/>
              <w:right w:val="single" w:sz="4" w:space="0" w:color="000000"/>
            </w:tcBorders>
          </w:tcPr>
          <w:p>
            <w:pPr/>
          </w:p>
        </w:tc>
        <w:tc>
          <w:tcPr>
            <w:tcW w:w="50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3,266,345.4</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7</w:t>
            </w:r>
            <w:r>
              <w:rPr>
                <w:rFonts w:ascii="Times New Roman"/>
                <w:sz w:val="10"/>
              </w:rPr>
            </w:r>
          </w:p>
        </w:tc>
        <w:tc>
          <w:tcPr>
            <w:tcW w:w="5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1,086,404.9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3</w:t>
            </w:r>
            <w:r>
              <w:rPr>
                <w:rFonts w:ascii="Times New Roman"/>
                <w:sz w:val="10"/>
              </w:rPr>
            </w:r>
          </w:p>
        </w:tc>
        <w:tc>
          <w:tcPr>
            <w:tcW w:w="425" w:type="dxa"/>
            <w:tcBorders>
              <w:top w:val="single" w:sz="4" w:space="0" w:color="FFFFFF"/>
              <w:left w:val="single" w:sz="4" w:space="0" w:color="000000"/>
              <w:bottom w:val="single" w:sz="4" w:space="0" w:color="000000"/>
              <w:right w:val="single" w:sz="4" w:space="0" w:color="000000"/>
            </w:tcBorders>
          </w:tcPr>
          <w:p>
            <w:pPr/>
          </w:p>
        </w:tc>
        <w:tc>
          <w:tcPr>
            <w:tcW w:w="44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21" w:right="0"/>
              <w:jc w:val="center"/>
              <w:rPr>
                <w:rFonts w:ascii="Times New Roman" w:hAnsi="Times New Roman" w:cs="Times New Roman" w:eastAsia="Times New Roman" w:hint="default"/>
                <w:sz w:val="10"/>
                <w:szCs w:val="10"/>
              </w:rPr>
            </w:pPr>
            <w:r>
              <w:rPr>
                <w:rFonts w:ascii="Times New Roman"/>
                <w:sz w:val="10"/>
              </w:rPr>
              <w:t>35,245.92</w:t>
            </w:r>
          </w:p>
        </w:tc>
        <w:tc>
          <w:tcPr>
            <w:tcW w:w="50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243,600.00</w:t>
            </w:r>
          </w:p>
        </w:tc>
        <w:tc>
          <w:tcPr>
            <w:tcW w:w="47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45,878.53</w:t>
            </w: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4,677,474.8</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5</w:t>
            </w:r>
            <w:r>
              <w:rPr>
                <w:rFonts w:ascii="Times New Roman"/>
                <w:sz w:val="10"/>
              </w:rPr>
            </w:r>
          </w:p>
        </w:tc>
      </w:tr>
      <w:tr>
        <w:trPr>
          <w:trHeight w:val="654" w:hRule="exact"/>
        </w:trPr>
        <w:tc>
          <w:tcPr>
            <w:tcW w:w="476"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0"/>
              <w:ind w:right="0"/>
              <w:jc w:val="left"/>
              <w:rPr>
                <w:rFonts w:ascii="宋体" w:hAnsi="宋体" w:cs="宋体" w:eastAsia="宋体" w:hint="default"/>
                <w:sz w:val="8"/>
                <w:szCs w:val="8"/>
              </w:rPr>
            </w:pPr>
          </w:p>
          <w:p>
            <w:pPr>
              <w:pStyle w:val="TableParagraph"/>
              <w:spacing w:line="240" w:lineRule="auto"/>
              <w:ind w:right="56"/>
              <w:jc w:val="center"/>
              <w:rPr>
                <w:rFonts w:ascii="宋体" w:hAnsi="宋体" w:cs="宋体" w:eastAsia="宋体" w:hint="default"/>
                <w:sz w:val="10"/>
                <w:szCs w:val="10"/>
              </w:rPr>
            </w:pPr>
            <w:r>
              <w:rPr>
                <w:rFonts w:ascii="宋体" w:hAnsi="宋体" w:cs="宋体" w:eastAsia="宋体" w:hint="default"/>
                <w:sz w:val="10"/>
                <w:szCs w:val="10"/>
              </w:rPr>
              <w:t>应付账款</w:t>
            </w:r>
          </w:p>
        </w:tc>
        <w:tc>
          <w:tcPr>
            <w:tcW w:w="533" w:type="dxa"/>
            <w:tcBorders>
              <w:top w:val="single" w:sz="4" w:space="0" w:color="000000"/>
              <w:left w:val="single" w:sz="6"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54,613,305.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63</w:t>
            </w:r>
            <w:r>
              <w:rPr>
                <w:rFonts w:ascii="Times New Roman"/>
                <w:sz w:val="10"/>
              </w:rPr>
            </w:r>
          </w:p>
        </w:tc>
        <w:tc>
          <w:tcPr>
            <w:tcW w:w="502"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7,325,282.2</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0</w:t>
            </w:r>
            <w:r>
              <w:rPr>
                <w:rFonts w:ascii="Times New Roman"/>
                <w:sz w:val="10"/>
              </w:rPr>
            </w: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523,230.56</w:t>
            </w:r>
          </w:p>
        </w:tc>
        <w:tc>
          <w:tcPr>
            <w:tcW w:w="47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9" w:right="0"/>
              <w:jc w:val="center"/>
              <w:rPr>
                <w:rFonts w:ascii="Times New Roman" w:hAnsi="Times New Roman" w:cs="Times New Roman" w:eastAsia="Times New Roman" w:hint="default"/>
                <w:sz w:val="10"/>
                <w:szCs w:val="10"/>
              </w:rPr>
            </w:pPr>
            <w:r>
              <w:rPr>
                <w:rFonts w:ascii="Times New Roman"/>
                <w:sz w:val="10"/>
              </w:rPr>
              <w:t>105,824.51</w:t>
            </w:r>
          </w:p>
        </w:tc>
        <w:tc>
          <w:tcPr>
            <w:tcW w:w="47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1,783,090.</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94</w:t>
            </w:r>
            <w:r>
              <w:rPr>
                <w:rFonts w:ascii="Times New Roman"/>
                <w:sz w:val="10"/>
              </w:rPr>
            </w:r>
          </w:p>
        </w:tc>
        <w:tc>
          <w:tcPr>
            <w:tcW w:w="479" w:type="dxa"/>
            <w:tcBorders>
              <w:top w:val="single" w:sz="4" w:space="0" w:color="000000"/>
              <w:left w:val="single" w:sz="4" w:space="0" w:color="000000"/>
              <w:bottom w:val="single" w:sz="4" w:space="0" w:color="FFFFFF"/>
              <w:right w:val="single" w:sz="4" w:space="0" w:color="000000"/>
            </w:tcBorders>
          </w:tcPr>
          <w:p>
            <w:pPr/>
          </w:p>
        </w:tc>
        <w:tc>
          <w:tcPr>
            <w:tcW w:w="471" w:type="dxa"/>
            <w:tcBorders>
              <w:top w:val="single" w:sz="4" w:space="0" w:color="000000"/>
              <w:left w:val="single" w:sz="4" w:space="0" w:color="000000"/>
              <w:bottom w:val="single" w:sz="4" w:space="0" w:color="FFFFFF"/>
              <w:right w:val="single" w:sz="4" w:space="0" w:color="000000"/>
            </w:tcBorders>
          </w:tcPr>
          <w:p>
            <w:pPr/>
          </w:p>
        </w:tc>
        <w:tc>
          <w:tcPr>
            <w:tcW w:w="430" w:type="dxa"/>
            <w:tcBorders>
              <w:top w:val="single" w:sz="4" w:space="0" w:color="000000"/>
              <w:left w:val="single" w:sz="4" w:space="0" w:color="000000"/>
              <w:bottom w:val="single" w:sz="4" w:space="0" w:color="FFFFFF"/>
              <w:right w:val="single" w:sz="4" w:space="0" w:color="000000"/>
            </w:tcBorders>
          </w:tcPr>
          <w:p>
            <w:pPr/>
          </w:p>
        </w:tc>
        <w:tc>
          <w:tcPr>
            <w:tcW w:w="416" w:type="dxa"/>
            <w:tcBorders>
              <w:top w:val="single" w:sz="4" w:space="0" w:color="000000"/>
              <w:left w:val="single" w:sz="4" w:space="0" w:color="000000"/>
              <w:bottom w:val="single" w:sz="4" w:space="0" w:color="FFFFFF"/>
              <w:right w:val="single" w:sz="4" w:space="0" w:color="000000"/>
            </w:tcBorders>
          </w:tcPr>
          <w:p>
            <w:pP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64,350,733.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85</w:t>
            </w:r>
            <w:r>
              <w:rPr>
                <w:rFonts w:ascii="Times New Roman"/>
                <w:sz w:val="10"/>
              </w:rPr>
            </w: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13,093,703.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14</w:t>
            </w:r>
            <w:r>
              <w:rPr>
                <w:rFonts w:ascii="Times New Roman"/>
                <w:sz w:val="10"/>
              </w:rPr>
            </w:r>
          </w:p>
        </w:tc>
        <w:tc>
          <w:tcPr>
            <w:tcW w:w="384" w:type="dxa"/>
            <w:tcBorders>
              <w:top w:val="single" w:sz="4" w:space="0" w:color="000000"/>
              <w:left w:val="single" w:sz="4" w:space="0" w:color="000000"/>
              <w:bottom w:val="single" w:sz="4" w:space="0" w:color="FFFFFF"/>
              <w:right w:val="single" w:sz="4" w:space="0" w:color="000000"/>
            </w:tcBorders>
          </w:tcPr>
          <w:p>
            <w:pPr/>
          </w:p>
        </w:tc>
        <w:tc>
          <w:tcPr>
            <w:tcW w:w="50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5,217,797.3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4</w:t>
            </w:r>
            <w:r>
              <w:rPr>
                <w:rFonts w:ascii="Times New Roman"/>
                <w:sz w:val="10"/>
              </w:rPr>
            </w:r>
          </w:p>
        </w:tc>
        <w:tc>
          <w:tcPr>
            <w:tcW w:w="544"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756,662.48</w:t>
            </w:r>
          </w:p>
        </w:tc>
        <w:tc>
          <w:tcPr>
            <w:tcW w:w="425" w:type="dxa"/>
            <w:tcBorders>
              <w:top w:val="single" w:sz="4" w:space="0" w:color="000000"/>
              <w:left w:val="single" w:sz="4" w:space="0" w:color="000000"/>
              <w:bottom w:val="single" w:sz="4" w:space="0" w:color="FFFFFF"/>
              <w:right w:val="single" w:sz="4" w:space="0" w:color="000000"/>
            </w:tcBorders>
          </w:tcPr>
          <w:p>
            <w:pPr/>
          </w:p>
        </w:tc>
        <w:tc>
          <w:tcPr>
            <w:tcW w:w="443" w:type="dxa"/>
            <w:tcBorders>
              <w:top w:val="single" w:sz="4" w:space="0" w:color="000000"/>
              <w:left w:val="single" w:sz="4" w:space="0" w:color="000000"/>
              <w:bottom w:val="single" w:sz="4" w:space="0" w:color="FFFFFF"/>
              <w:right w:val="single" w:sz="4" w:space="0" w:color="000000"/>
            </w:tcBorders>
          </w:tcPr>
          <w:p>
            <w:pPr/>
          </w:p>
        </w:tc>
        <w:tc>
          <w:tcPr>
            <w:tcW w:w="50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3,178,727.0</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4</w:t>
            </w:r>
            <w:r>
              <w:rPr>
                <w:rFonts w:ascii="Times New Roman"/>
                <w:sz w:val="10"/>
              </w:rPr>
            </w:r>
          </w:p>
        </w:tc>
        <w:tc>
          <w:tcPr>
            <w:tcW w:w="470"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276,729.45</w:t>
            </w:r>
          </w:p>
        </w:tc>
        <w:tc>
          <w:tcPr>
            <w:tcW w:w="533"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22,523,619.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45</w:t>
            </w:r>
            <w:r>
              <w:rPr>
                <w:rFonts w:ascii="Times New Roman"/>
                <w:sz w:val="10"/>
              </w:rPr>
            </w:r>
          </w:p>
        </w:tc>
      </w:tr>
      <w:tr>
        <w:trPr>
          <w:trHeight w:val="654" w:hRule="exact"/>
        </w:trPr>
        <w:tc>
          <w:tcPr>
            <w:tcW w:w="476"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571" w:lineRule="auto" w:before="80"/>
              <w:ind w:left="4" w:right="61"/>
              <w:jc w:val="left"/>
              <w:rPr>
                <w:rFonts w:ascii="宋体" w:hAnsi="宋体" w:cs="宋体" w:eastAsia="宋体" w:hint="default"/>
                <w:sz w:val="10"/>
                <w:szCs w:val="10"/>
              </w:rPr>
            </w:pPr>
            <w:r>
              <w:rPr>
                <w:rFonts w:ascii="宋体" w:hAnsi="宋体" w:cs="宋体" w:eastAsia="宋体" w:hint="default"/>
                <w:sz w:val="10"/>
                <w:szCs w:val="10"/>
              </w:rPr>
              <w:t>其他应付</w:t>
            </w:r>
            <w:r>
              <w:rPr>
                <w:rFonts w:ascii="宋体" w:hAnsi="宋体" w:cs="宋体" w:eastAsia="宋体" w:hint="default"/>
                <w:w w:val="99"/>
                <w:sz w:val="10"/>
                <w:szCs w:val="10"/>
              </w:rPr>
              <w:t> </w:t>
            </w:r>
            <w:r>
              <w:rPr>
                <w:rFonts w:ascii="宋体" w:hAnsi="宋体" w:cs="宋体" w:eastAsia="宋体" w:hint="default"/>
                <w:sz w:val="10"/>
                <w:szCs w:val="10"/>
              </w:rPr>
              <w:t>款</w:t>
            </w:r>
          </w:p>
        </w:tc>
        <w:tc>
          <w:tcPr>
            <w:tcW w:w="533" w:type="dxa"/>
            <w:tcBorders>
              <w:top w:val="single" w:sz="4" w:space="0" w:color="FFFFFF"/>
              <w:left w:val="single" w:sz="6"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64" w:right="0"/>
              <w:jc w:val="left"/>
              <w:rPr>
                <w:rFonts w:ascii="Times New Roman" w:hAnsi="Times New Roman" w:cs="Times New Roman" w:eastAsia="Times New Roman" w:hint="default"/>
                <w:sz w:val="10"/>
                <w:szCs w:val="10"/>
              </w:rPr>
            </w:pPr>
            <w:r>
              <w:rPr>
                <w:rFonts w:ascii="Times New Roman"/>
                <w:sz w:val="10"/>
              </w:rPr>
              <w:t>125,370.19</w:t>
            </w:r>
          </w:p>
        </w:tc>
        <w:tc>
          <w:tcPr>
            <w:tcW w:w="502"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32" w:right="0"/>
              <w:jc w:val="center"/>
              <w:rPr>
                <w:rFonts w:ascii="Times New Roman" w:hAnsi="Times New Roman" w:cs="Times New Roman" w:eastAsia="Times New Roman" w:hint="default"/>
                <w:sz w:val="10"/>
                <w:szCs w:val="10"/>
              </w:rPr>
            </w:pPr>
            <w:r>
              <w:rPr>
                <w:rFonts w:ascii="Times New Roman"/>
                <w:sz w:val="10"/>
              </w:rPr>
              <w:t>154,019.16</w:t>
            </w: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679,542.50</w:t>
            </w:r>
          </w:p>
        </w:tc>
        <w:tc>
          <w:tcPr>
            <w:tcW w:w="47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09" w:right="0"/>
              <w:jc w:val="center"/>
              <w:rPr>
                <w:rFonts w:ascii="Times New Roman" w:hAnsi="Times New Roman" w:cs="Times New Roman" w:eastAsia="Times New Roman" w:hint="default"/>
                <w:sz w:val="10"/>
                <w:szCs w:val="10"/>
              </w:rPr>
            </w:pPr>
            <w:r>
              <w:rPr>
                <w:rFonts w:ascii="Times New Roman"/>
                <w:sz w:val="10"/>
              </w:rPr>
              <w:t>5,676.88</w:t>
            </w:r>
          </w:p>
        </w:tc>
        <w:tc>
          <w:tcPr>
            <w:tcW w:w="47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56" w:right="0"/>
              <w:jc w:val="left"/>
              <w:rPr>
                <w:rFonts w:ascii="Times New Roman" w:hAnsi="Times New Roman" w:cs="Times New Roman" w:eastAsia="Times New Roman" w:hint="default"/>
                <w:sz w:val="10"/>
                <w:szCs w:val="10"/>
              </w:rPr>
            </w:pPr>
            <w:r>
              <w:rPr>
                <w:rFonts w:ascii="Times New Roman"/>
                <w:sz w:val="10"/>
              </w:rPr>
              <w:t>16,024.69</w:t>
            </w:r>
          </w:p>
        </w:tc>
        <w:tc>
          <w:tcPr>
            <w:tcW w:w="47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63" w:right="0"/>
              <w:jc w:val="left"/>
              <w:rPr>
                <w:rFonts w:ascii="Times New Roman" w:hAnsi="Times New Roman" w:cs="Times New Roman" w:eastAsia="Times New Roman" w:hint="default"/>
                <w:sz w:val="10"/>
                <w:szCs w:val="10"/>
              </w:rPr>
            </w:pPr>
            <w:r>
              <w:rPr>
                <w:rFonts w:ascii="Times New Roman"/>
                <w:sz w:val="10"/>
              </w:rPr>
              <w:t>15,675.60</w:t>
            </w:r>
          </w:p>
        </w:tc>
        <w:tc>
          <w:tcPr>
            <w:tcW w:w="471"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748,399.55</w:t>
            </w:r>
          </w:p>
        </w:tc>
        <w:tc>
          <w:tcPr>
            <w:tcW w:w="430" w:type="dxa"/>
            <w:tcBorders>
              <w:top w:val="single" w:sz="4" w:space="0" w:color="FFFFFF"/>
              <w:left w:val="single" w:sz="4" w:space="0" w:color="000000"/>
              <w:bottom w:val="single" w:sz="4" w:space="0" w:color="000000"/>
              <w:right w:val="single" w:sz="4" w:space="0" w:color="000000"/>
            </w:tcBorders>
          </w:tcPr>
          <w:p>
            <w:pPr/>
          </w:p>
        </w:tc>
        <w:tc>
          <w:tcPr>
            <w:tcW w:w="416" w:type="dxa"/>
            <w:tcBorders>
              <w:top w:val="single" w:sz="4" w:space="0" w:color="FFFFFF"/>
              <w:left w:val="single" w:sz="4" w:space="0" w:color="000000"/>
              <w:bottom w:val="single" w:sz="4" w:space="0" w:color="000000"/>
              <w:right w:val="single" w:sz="4" w:space="0" w:color="000000"/>
            </w:tcBorders>
          </w:tcPr>
          <w:p>
            <w:pP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1,744,708.5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6</w:t>
            </w:r>
            <w:r>
              <w:rPr>
                <w:rFonts w:ascii="Times New Roman"/>
                <w:sz w:val="10"/>
              </w:rPr>
            </w: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18" w:right="0"/>
              <w:jc w:val="left"/>
              <w:rPr>
                <w:rFonts w:ascii="Times New Roman" w:hAnsi="Times New Roman" w:cs="Times New Roman" w:eastAsia="Times New Roman" w:hint="default"/>
                <w:sz w:val="10"/>
                <w:szCs w:val="10"/>
              </w:rPr>
            </w:pPr>
            <w:r>
              <w:rPr>
                <w:rFonts w:ascii="Times New Roman"/>
                <w:sz w:val="10"/>
              </w:rPr>
              <w:t>14,505.54</w:t>
            </w:r>
          </w:p>
        </w:tc>
        <w:tc>
          <w:tcPr>
            <w:tcW w:w="384" w:type="dxa"/>
            <w:tcBorders>
              <w:top w:val="single" w:sz="4" w:space="0" w:color="FFFFFF"/>
              <w:left w:val="single" w:sz="4" w:space="0" w:color="000000"/>
              <w:bottom w:val="single" w:sz="4" w:space="0" w:color="000000"/>
              <w:right w:val="single" w:sz="4" w:space="0" w:color="000000"/>
            </w:tcBorders>
          </w:tcPr>
          <w:p>
            <w:pPr/>
          </w:p>
        </w:tc>
        <w:tc>
          <w:tcPr>
            <w:tcW w:w="50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38" w:right="0"/>
              <w:jc w:val="left"/>
              <w:rPr>
                <w:rFonts w:ascii="Times New Roman" w:hAnsi="Times New Roman" w:cs="Times New Roman" w:eastAsia="Times New Roman" w:hint="default"/>
                <w:sz w:val="10"/>
                <w:szCs w:val="10"/>
              </w:rPr>
            </w:pPr>
            <w:r>
              <w:rPr>
                <w:rFonts w:ascii="Times New Roman"/>
                <w:sz w:val="10"/>
              </w:rPr>
              <w:t>175,153.94</w:t>
            </w:r>
          </w:p>
        </w:tc>
        <w:tc>
          <w:tcPr>
            <w:tcW w:w="544"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660,597.61</w:t>
            </w:r>
          </w:p>
        </w:tc>
        <w:tc>
          <w:tcPr>
            <w:tcW w:w="42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0" w:right="0"/>
              <w:jc w:val="left"/>
              <w:rPr>
                <w:rFonts w:ascii="Times New Roman" w:hAnsi="Times New Roman" w:cs="Times New Roman" w:eastAsia="Times New Roman" w:hint="default"/>
                <w:sz w:val="10"/>
                <w:szCs w:val="10"/>
              </w:rPr>
            </w:pPr>
            <w:r>
              <w:rPr>
                <w:rFonts w:ascii="Times New Roman"/>
                <w:sz w:val="10"/>
              </w:rPr>
              <w:t>10,518.42</w:t>
            </w:r>
          </w:p>
        </w:tc>
        <w:tc>
          <w:tcPr>
            <w:tcW w:w="44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70" w:right="0"/>
              <w:jc w:val="center"/>
              <w:rPr>
                <w:rFonts w:ascii="Times New Roman" w:hAnsi="Times New Roman" w:cs="Times New Roman" w:eastAsia="Times New Roman" w:hint="default"/>
                <w:sz w:val="10"/>
                <w:szCs w:val="10"/>
              </w:rPr>
            </w:pPr>
            <w:r>
              <w:rPr>
                <w:rFonts w:ascii="Times New Roman"/>
                <w:sz w:val="10"/>
              </w:rPr>
              <w:t>3,467.01</w:t>
            </w:r>
          </w:p>
        </w:tc>
        <w:tc>
          <w:tcPr>
            <w:tcW w:w="50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31,441.90</w:t>
            </w:r>
          </w:p>
        </w:tc>
        <w:tc>
          <w:tcPr>
            <w:tcW w:w="470"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5,513.72</w:t>
            </w:r>
          </w:p>
        </w:tc>
        <w:tc>
          <w:tcPr>
            <w:tcW w:w="533"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61" w:right="0"/>
              <w:jc w:val="center"/>
              <w:rPr>
                <w:rFonts w:ascii="Times New Roman" w:hAnsi="Times New Roman" w:cs="Times New Roman" w:eastAsia="Times New Roman" w:hint="default"/>
                <w:sz w:val="10"/>
                <w:szCs w:val="10"/>
              </w:rPr>
            </w:pPr>
            <w:r>
              <w:rPr>
                <w:rFonts w:ascii="Times New Roman"/>
                <w:sz w:val="10"/>
              </w:rPr>
              <w:t>901,198.14</w:t>
            </w:r>
          </w:p>
        </w:tc>
      </w:tr>
      <w:tr>
        <w:trPr>
          <w:trHeight w:val="654" w:hRule="exact"/>
        </w:trPr>
        <w:tc>
          <w:tcPr>
            <w:tcW w:w="4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0"/>
              <w:ind w:right="0"/>
              <w:jc w:val="left"/>
              <w:rPr>
                <w:rFonts w:ascii="宋体" w:hAnsi="宋体" w:cs="宋体" w:eastAsia="宋体" w:hint="default"/>
                <w:sz w:val="8"/>
                <w:szCs w:val="8"/>
              </w:rPr>
            </w:pPr>
          </w:p>
          <w:p>
            <w:pPr>
              <w:pStyle w:val="TableParagraph"/>
              <w:spacing w:line="240" w:lineRule="auto"/>
              <w:ind w:right="1"/>
              <w:jc w:val="center"/>
              <w:rPr>
                <w:rFonts w:ascii="宋体" w:hAnsi="宋体" w:cs="宋体" w:eastAsia="宋体" w:hint="default"/>
                <w:sz w:val="10"/>
                <w:szCs w:val="10"/>
              </w:rPr>
            </w:pPr>
            <w:r>
              <w:rPr>
                <w:rFonts w:ascii="宋体" w:hAnsi="宋体" w:cs="宋体" w:eastAsia="宋体" w:hint="default"/>
                <w:sz w:val="10"/>
                <w:szCs w:val="10"/>
              </w:rPr>
              <w:t>合计</w:t>
            </w:r>
          </w:p>
        </w:tc>
        <w:tc>
          <w:tcPr>
            <w:tcW w:w="533"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center"/>
              <w:rPr>
                <w:rFonts w:ascii="Times New Roman" w:hAnsi="Times New Roman" w:cs="Times New Roman" w:eastAsia="Times New Roman" w:hint="default"/>
                <w:sz w:val="10"/>
                <w:szCs w:val="10"/>
              </w:rPr>
            </w:pPr>
            <w:r>
              <w:rPr>
                <w:rFonts w:ascii="Times New Roman"/>
                <w:sz w:val="10"/>
              </w:rPr>
              <w:t>246,699,829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center"/>
              <w:rPr>
                <w:rFonts w:ascii="Times New Roman" w:hAnsi="Times New Roman" w:cs="Times New Roman" w:eastAsia="Times New Roman" w:hint="default"/>
                <w:sz w:val="10"/>
                <w:szCs w:val="10"/>
              </w:rPr>
            </w:pPr>
            <w:r>
              <w:rPr>
                <w:rFonts w:ascii="Times New Roman"/>
                <w:sz w:val="10"/>
              </w:rPr>
              <w:t>.46</w:t>
            </w:r>
          </w:p>
        </w:tc>
        <w:tc>
          <w:tcPr>
            <w:tcW w:w="5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19,776,842.</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0"/>
              <w:jc w:val="center"/>
              <w:rPr>
                <w:rFonts w:ascii="Times New Roman" w:hAnsi="Times New Roman" w:cs="Times New Roman" w:eastAsia="Times New Roman" w:hint="default"/>
                <w:sz w:val="10"/>
                <w:szCs w:val="10"/>
              </w:rPr>
            </w:pPr>
            <w:r>
              <w:rPr>
                <w:rFonts w:ascii="Times New Roman"/>
                <w:sz w:val="10"/>
              </w:rPr>
              <w:t>77</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3,905,619.1</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0"/>
              <w:jc w:val="center"/>
              <w:rPr>
                <w:rFonts w:ascii="Times New Roman" w:hAnsi="Times New Roman" w:cs="Times New Roman" w:eastAsia="Times New Roman" w:hint="default"/>
                <w:sz w:val="10"/>
                <w:szCs w:val="10"/>
              </w:rPr>
            </w:pPr>
            <w:r>
              <w:rPr>
                <w:rFonts w:ascii="Times New Roman"/>
                <w:w w:val="99"/>
                <w:sz w:val="10"/>
              </w:rPr>
              <w:t>6</w:t>
            </w:r>
            <w:r>
              <w:rPr>
                <w:rFonts w:ascii="Times New Roman"/>
                <w:sz w:val="10"/>
              </w:rPr>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901,543.31</w:t>
            </w:r>
          </w:p>
        </w:tc>
        <w:tc>
          <w:tcPr>
            <w:tcW w:w="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3,456,059.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0"/>
              <w:jc w:val="center"/>
              <w:rPr>
                <w:rFonts w:ascii="Times New Roman" w:hAnsi="Times New Roman" w:cs="Times New Roman" w:eastAsia="Times New Roman" w:hint="default"/>
                <w:sz w:val="10"/>
                <w:szCs w:val="10"/>
              </w:rPr>
            </w:pPr>
            <w:r>
              <w:rPr>
                <w:rFonts w:ascii="Times New Roman"/>
                <w:sz w:val="10"/>
              </w:rPr>
              <w:t>64</w:t>
            </w:r>
          </w:p>
        </w:tc>
        <w:tc>
          <w:tcPr>
            <w:tcW w:w="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8" w:right="0"/>
              <w:jc w:val="left"/>
              <w:rPr>
                <w:rFonts w:ascii="Times New Roman" w:hAnsi="Times New Roman" w:cs="Times New Roman" w:eastAsia="Times New Roman" w:hint="default"/>
                <w:sz w:val="10"/>
                <w:szCs w:val="10"/>
              </w:rPr>
            </w:pPr>
            <w:r>
              <w:rPr>
                <w:rFonts w:ascii="Times New Roman"/>
                <w:sz w:val="10"/>
              </w:rPr>
              <w:t>448,346.73</w:t>
            </w:r>
          </w:p>
        </w:tc>
        <w:tc>
          <w:tcPr>
            <w:tcW w:w="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0"/>
              <w:jc w:val="center"/>
              <w:rPr>
                <w:rFonts w:ascii="Times New Roman" w:hAnsi="Times New Roman" w:cs="Times New Roman" w:eastAsia="Times New Roman" w:hint="default"/>
                <w:sz w:val="10"/>
                <w:szCs w:val="10"/>
              </w:rPr>
            </w:pPr>
            <w:r>
              <w:rPr>
                <w:rFonts w:ascii="Times New Roman"/>
                <w:sz w:val="10"/>
              </w:rPr>
              <w:t>1,533,801.</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0"/>
              <w:jc w:val="center"/>
              <w:rPr>
                <w:rFonts w:ascii="Times New Roman" w:hAnsi="Times New Roman" w:cs="Times New Roman" w:eastAsia="Times New Roman" w:hint="default"/>
                <w:sz w:val="10"/>
                <w:szCs w:val="10"/>
              </w:rPr>
            </w:pPr>
            <w:r>
              <w:rPr>
                <w:rFonts w:ascii="Times New Roman"/>
                <w:sz w:val="10"/>
              </w:rPr>
              <w:t>77</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8"/>
              <w:jc w:val="right"/>
              <w:rPr>
                <w:rFonts w:ascii="Times New Roman" w:hAnsi="Times New Roman" w:cs="Times New Roman" w:eastAsia="Times New Roman" w:hint="default"/>
                <w:sz w:val="10"/>
                <w:szCs w:val="10"/>
              </w:rPr>
            </w:pPr>
            <w:r>
              <w:rPr>
                <w:rFonts w:ascii="Times New Roman"/>
                <w:spacing w:val="-1"/>
                <w:sz w:val="10"/>
              </w:rPr>
              <w:t>80,625.15</w:t>
            </w:r>
          </w:p>
        </w:tc>
        <w:tc>
          <w:tcPr>
            <w:tcW w:w="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left="1" w:right="0"/>
              <w:jc w:val="center"/>
              <w:rPr>
                <w:rFonts w:ascii="Times New Roman" w:hAnsi="Times New Roman" w:cs="Times New Roman" w:eastAsia="Times New Roman" w:hint="default"/>
                <w:sz w:val="10"/>
                <w:szCs w:val="10"/>
              </w:rPr>
            </w:pPr>
            <w:r>
              <w:rPr>
                <w:rFonts w:ascii="Times New Roman"/>
                <w:sz w:val="10"/>
              </w:rPr>
              <w:t>2,071.41</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276,804,739</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5"/>
                <w:sz w:val="10"/>
              </w:rPr>
              <w:t>.41</w:t>
            </w:r>
            <w:r>
              <w:rPr>
                <w:rFonts w:ascii="Times New Roman"/>
                <w:sz w:val="10"/>
              </w:rPr>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312,876,676</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2"/>
              <w:jc w:val="right"/>
              <w:rPr>
                <w:rFonts w:ascii="Times New Roman" w:hAnsi="Times New Roman" w:cs="Times New Roman" w:eastAsia="Times New Roman" w:hint="default"/>
                <w:sz w:val="10"/>
                <w:szCs w:val="10"/>
              </w:rPr>
            </w:pPr>
            <w:r>
              <w:rPr>
                <w:rFonts w:ascii="Times New Roman"/>
                <w:w w:val="95"/>
                <w:sz w:val="10"/>
              </w:rPr>
              <w:t>.33</w:t>
            </w:r>
            <w:r>
              <w:rPr>
                <w:rFonts w:ascii="Times New Roman"/>
                <w:sz w:val="10"/>
              </w:rPr>
            </w:r>
          </w:p>
        </w:tc>
        <w:tc>
          <w:tcPr>
            <w:tcW w:w="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3"/>
              <w:ind w:right="0"/>
              <w:jc w:val="left"/>
              <w:rPr>
                <w:rFonts w:ascii="宋体" w:hAnsi="宋体" w:cs="宋体" w:eastAsia="宋体" w:hint="default"/>
                <w:sz w:val="10"/>
                <w:szCs w:val="10"/>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27.21</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25,117,827.</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76</w:t>
            </w:r>
            <w:r>
              <w:rPr>
                <w:rFonts w:ascii="Times New Roman"/>
                <w:sz w:val="10"/>
              </w:rPr>
            </w:r>
          </w:p>
        </w:tc>
        <w:tc>
          <w:tcPr>
            <w:tcW w:w="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3"/>
              <w:jc w:val="right"/>
              <w:rPr>
                <w:rFonts w:ascii="Times New Roman" w:hAnsi="Times New Roman" w:cs="Times New Roman" w:eastAsia="Times New Roman" w:hint="default"/>
                <w:sz w:val="10"/>
                <w:szCs w:val="10"/>
              </w:rPr>
            </w:pPr>
            <w:r>
              <w:rPr>
                <w:rFonts w:ascii="Times New Roman"/>
                <w:spacing w:val="-1"/>
                <w:sz w:val="10"/>
              </w:rPr>
              <w:t>13,317,111.</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35</w:t>
            </w:r>
            <w:r>
              <w:rPr>
                <w:rFonts w:ascii="Times New Roman"/>
                <w:sz w:val="10"/>
              </w:rPr>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470,558.2</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9"/>
                <w:sz w:val="10"/>
              </w:rPr>
              <w:t>8</w:t>
            </w:r>
            <w:r>
              <w:rPr>
                <w:rFonts w:ascii="Times New Roman"/>
                <w:sz w:val="10"/>
              </w:rPr>
            </w:r>
          </w:p>
        </w:tc>
        <w:tc>
          <w:tcPr>
            <w:tcW w:w="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756,736.3</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4"/>
              <w:jc w:val="right"/>
              <w:rPr>
                <w:rFonts w:ascii="Times New Roman" w:hAnsi="Times New Roman" w:cs="Times New Roman" w:eastAsia="Times New Roman" w:hint="default"/>
                <w:sz w:val="10"/>
                <w:szCs w:val="10"/>
              </w:rPr>
            </w:pPr>
            <w:r>
              <w:rPr>
                <w:rFonts w:ascii="Times New Roman"/>
                <w:w w:val="99"/>
                <w:sz w:val="10"/>
              </w:rPr>
              <w:t>5</w:t>
            </w:r>
            <w:r>
              <w:rPr>
                <w:rFonts w:ascii="Times New Roman"/>
                <w:sz w:val="10"/>
              </w:rPr>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16,413,175.</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92</w:t>
            </w:r>
            <w:r>
              <w:rPr>
                <w:rFonts w:ascii="Times New Roman"/>
                <w:sz w:val="10"/>
              </w:rPr>
            </w:r>
          </w:p>
        </w:tc>
        <w:tc>
          <w:tcPr>
            <w:tcW w:w="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2"/>
              <w:jc w:val="right"/>
              <w:rPr>
                <w:rFonts w:ascii="Times New Roman" w:hAnsi="Times New Roman" w:cs="Times New Roman" w:eastAsia="Times New Roman" w:hint="default"/>
                <w:sz w:val="10"/>
                <w:szCs w:val="10"/>
              </w:rPr>
            </w:pPr>
            <w:r>
              <w:rPr>
                <w:rFonts w:ascii="Times New Roman"/>
                <w:spacing w:val="-1"/>
                <w:sz w:val="10"/>
              </w:rPr>
              <w:t>2,089,850.</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1"/>
              <w:jc w:val="right"/>
              <w:rPr>
                <w:rFonts w:ascii="Times New Roman" w:hAnsi="Times New Roman" w:cs="Times New Roman" w:eastAsia="Times New Roman" w:hint="default"/>
                <w:sz w:val="10"/>
                <w:szCs w:val="10"/>
              </w:rPr>
            </w:pPr>
            <w:r>
              <w:rPr>
                <w:rFonts w:ascii="Times New Roman"/>
                <w:w w:val="95"/>
                <w:sz w:val="10"/>
              </w:rPr>
              <w:t>80</w:t>
            </w:r>
            <w:r>
              <w:rPr>
                <w:rFonts w:ascii="Times New Roman"/>
                <w:sz w:val="10"/>
              </w:rPr>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8"/>
                <w:szCs w:val="8"/>
              </w:rPr>
            </w:pPr>
          </w:p>
          <w:p>
            <w:pPr>
              <w:pStyle w:val="TableParagraph"/>
              <w:spacing w:line="240" w:lineRule="auto"/>
              <w:ind w:right="4"/>
              <w:jc w:val="right"/>
              <w:rPr>
                <w:rFonts w:ascii="Times New Roman" w:hAnsi="Times New Roman" w:cs="Times New Roman" w:eastAsia="Times New Roman" w:hint="default"/>
                <w:sz w:val="10"/>
                <w:szCs w:val="10"/>
              </w:rPr>
            </w:pPr>
            <w:r>
              <w:rPr>
                <w:rFonts w:ascii="Times New Roman"/>
                <w:spacing w:val="-1"/>
                <w:sz w:val="10"/>
              </w:rPr>
              <w:t>371,041,964</w:t>
            </w:r>
          </w:p>
          <w:p>
            <w:pPr>
              <w:pStyle w:val="TableParagraph"/>
              <w:spacing w:line="240" w:lineRule="auto"/>
              <w:ind w:right="0"/>
              <w:jc w:val="left"/>
              <w:rPr>
                <w:rFonts w:ascii="宋体" w:hAnsi="宋体" w:cs="宋体" w:eastAsia="宋体" w:hint="default"/>
                <w:sz w:val="10"/>
                <w:szCs w:val="10"/>
              </w:rPr>
            </w:pPr>
          </w:p>
          <w:p>
            <w:pPr>
              <w:pStyle w:val="TableParagraph"/>
              <w:spacing w:line="240" w:lineRule="auto" w:before="66"/>
              <w:ind w:right="3"/>
              <w:jc w:val="right"/>
              <w:rPr>
                <w:rFonts w:ascii="Times New Roman" w:hAnsi="Times New Roman" w:cs="Times New Roman" w:eastAsia="Times New Roman" w:hint="default"/>
                <w:sz w:val="10"/>
                <w:szCs w:val="10"/>
              </w:rPr>
            </w:pPr>
            <w:r>
              <w:rPr>
                <w:rFonts w:ascii="Times New Roman"/>
                <w:w w:val="95"/>
                <w:sz w:val="10"/>
              </w:rPr>
              <w:t>.00</w:t>
            </w:r>
            <w:r>
              <w:rPr>
                <w:rFonts w:ascii="Times New Roman"/>
                <w:sz w:val="10"/>
              </w:rPr>
            </w:r>
          </w:p>
        </w:tc>
      </w:tr>
    </w:tbl>
    <w:p>
      <w:pPr>
        <w:spacing w:after="0" w:line="240" w:lineRule="auto"/>
        <w:jc w:val="right"/>
        <w:rPr>
          <w:rFonts w:ascii="Times New Roman" w:hAnsi="Times New Roman" w:cs="Times New Roman" w:eastAsia="Times New Roman" w:hint="default"/>
          <w:sz w:val="10"/>
          <w:szCs w:val="10"/>
        </w:rPr>
        <w:sectPr>
          <w:pgSz w:w="11910" w:h="16840"/>
          <w:pgMar w:header="851" w:footer="979" w:top="1320" w:bottom="1160" w:left="0" w:right="0"/>
        </w:sectPr>
      </w:pPr>
    </w:p>
    <w:p>
      <w:pPr>
        <w:spacing w:line="240" w:lineRule="auto" w:before="4"/>
        <w:rPr>
          <w:rFonts w:ascii="宋体" w:hAnsi="宋体" w:cs="宋体" w:eastAsia="宋体" w:hint="default"/>
          <w:sz w:val="11"/>
          <w:szCs w:val="11"/>
        </w:rPr>
      </w:pPr>
    </w:p>
    <w:p>
      <w:pPr>
        <w:pStyle w:val="BodyText"/>
        <w:spacing w:line="451" w:lineRule="auto" w:before="44"/>
        <w:ind w:right="1131" w:firstLine="360"/>
        <w:jc w:val="both"/>
      </w:pPr>
      <w:r>
        <w:rPr/>
        <w:t>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日，在所有其他变量保持不变的情况下，如果人民币对美元、港币升值或贬值</w:t>
      </w:r>
      <w:r>
        <w:rPr>
          <w:rFonts w:ascii="Times New Roman" w:hAnsi="Times New Roman" w:cs="Times New Roman" w:eastAsia="Times New Roman" w:hint="default"/>
        </w:rPr>
        <w:t>5%</w:t>
      </w:r>
      <w:r>
        <w:rPr/>
        <w:t>，则公司将减少或增 </w:t>
      </w:r>
      <w:r>
        <w:rPr>
          <w:spacing w:val="-1"/>
        </w:rPr>
        <w:t>加净利润</w:t>
      </w:r>
      <w:r>
        <w:rPr>
          <w:rFonts w:ascii="Times New Roman" w:hAnsi="Times New Roman" w:cs="Times New Roman" w:eastAsia="Times New Roman" w:hint="default"/>
          <w:spacing w:val="-1"/>
        </w:rPr>
        <w:t>10,072,055.08</w:t>
      </w:r>
      <w:r>
        <w:rPr>
          <w:spacing w:val="-1"/>
        </w:rPr>
        <w:t>元（</w:t>
      </w:r>
      <w:r>
        <w:rPr>
          <w:rFonts w:ascii="Times New Roman" w:hAnsi="Times New Roman" w:cs="Times New Roman" w:eastAsia="Times New Roman" w:hint="default"/>
          <w:spacing w:val="-1"/>
        </w:rPr>
        <w:t>2016</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w:t>
      </w:r>
      <w:r>
        <w:rPr>
          <w:rFonts w:ascii="Times New Roman" w:hAnsi="Times New Roman" w:cs="Times New Roman" w:eastAsia="Times New Roman" w:hint="default"/>
          <w:spacing w:val="-1"/>
        </w:rPr>
        <w:t>17,148,478.03</w:t>
      </w:r>
      <w:r>
        <w:rPr>
          <w:spacing w:val="-1"/>
        </w:rPr>
        <w:t>元）。管理层认为</w:t>
      </w:r>
      <w:r>
        <w:rPr>
          <w:rFonts w:ascii="Times New Roman" w:hAnsi="Times New Roman" w:cs="Times New Roman" w:eastAsia="Times New Roman" w:hint="default"/>
          <w:spacing w:val="-1"/>
        </w:rPr>
        <w:t>5%</w:t>
      </w:r>
      <w:r>
        <w:rPr>
          <w:spacing w:val="-1"/>
        </w:rPr>
        <w:t>合理反映了下一年度人民币对美元可能发生</w:t>
      </w:r>
      <w:r>
        <w:rPr>
          <w:spacing w:val="-79"/>
        </w:rPr>
        <w:t> </w:t>
      </w:r>
      <w:r>
        <w:rPr>
          <w:spacing w:val="-79"/>
        </w:rPr>
      </w:r>
      <w:r>
        <w:rPr/>
        <w:t>变动的合理范围。</w:t>
      </w:r>
    </w:p>
    <w:p>
      <w:pPr>
        <w:spacing w:line="463" w:lineRule="auto" w:before="74"/>
        <w:ind w:left="1494" w:right="7512"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）其他价格风险 本年公司没有重大的其他价格风险。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、流动性风险</w:t>
      </w:r>
      <w:r>
        <w:rPr>
          <w:rFonts w:ascii="宋体" w:hAnsi="宋体" w:cs="宋体" w:eastAsia="宋体" w:hint="default"/>
          <w:sz w:val="18"/>
          <w:szCs w:val="18"/>
        </w:rPr>
      </w:r>
    </w:p>
    <w:p>
      <w:pPr>
        <w:pStyle w:val="BodyText"/>
        <w:spacing w:line="477" w:lineRule="auto" w:before="33"/>
        <w:ind w:left="1134" w:right="1132" w:firstLine="360"/>
        <w:jc w:val="both"/>
      </w:pPr>
      <w:r>
        <w:rPr>
          <w:spacing w:val="-2"/>
        </w:rPr>
        <w:t>流动性风险，是指企业在履行以交付现金或其他金融资产的方式结算的义务时发生资金短缺的风险。本公司的政策是确</w:t>
      </w:r>
      <w:r>
        <w:rPr/>
        <w:t> </w:t>
      </w:r>
      <w:r>
        <w:rPr>
          <w:spacing w:val="-2"/>
        </w:rPr>
        <w:t>保拥有充足的现金以偿还到期债务。流动性风险由本公司的财务部门集中控制。财务部门通过监控现金余额、可随时变现的</w:t>
      </w:r>
      <w:r>
        <w:rPr>
          <w:spacing w:val="-66"/>
        </w:rPr>
        <w:t> </w:t>
      </w:r>
      <w:r>
        <w:rPr>
          <w:spacing w:val="-66"/>
        </w:rPr>
      </w:r>
      <w:r>
        <w:rPr/>
        <w:t>有价证券以及对未来</w:t>
      </w:r>
      <w:r>
        <w:rPr>
          <w:rFonts w:ascii="Times New Roman" w:hAnsi="Times New Roman" w:cs="Times New Roman" w:eastAsia="Times New Roman" w:hint="default"/>
        </w:rPr>
        <w:t>12</w:t>
      </w:r>
      <w:r>
        <w:rPr/>
        <w:t>个月现金流量的滚动预测，确保公司在所有合理预测的情况下拥有充足的资金偿还债务。</w:t>
      </w:r>
    </w:p>
    <w:p>
      <w:pPr>
        <w:pStyle w:val="BodyText"/>
        <w:spacing w:line="240" w:lineRule="auto" w:before="21"/>
        <w:ind w:left="1493" w:right="0"/>
        <w:jc w:val="left"/>
      </w:pPr>
      <w:r>
        <w:rPr/>
        <w:t>本公司各项金融负债以未折现的合同现金流量按到期日列示如下：</w:t>
      </w:r>
    </w:p>
    <w:p>
      <w:pPr>
        <w:spacing w:line="240" w:lineRule="auto" w:before="5"/>
        <w:rPr>
          <w:rFonts w:ascii="宋体" w:hAnsi="宋体" w:cs="宋体" w:eastAsia="宋体" w:hint="default"/>
          <w:sz w:val="11"/>
          <w:szCs w:val="11"/>
        </w:rPr>
      </w:pPr>
    </w:p>
    <w:tbl>
      <w:tblPr>
        <w:tblW w:w="0" w:type="auto"/>
        <w:jc w:val="left"/>
        <w:tblInd w:w="1126" w:type="dxa"/>
        <w:tblLayout w:type="fixed"/>
        <w:tblCellMar>
          <w:top w:w="0" w:type="dxa"/>
          <w:left w:w="0" w:type="dxa"/>
          <w:bottom w:w="0" w:type="dxa"/>
          <w:right w:w="0" w:type="dxa"/>
        </w:tblCellMar>
        <w:tblLook w:val="01E0"/>
      </w:tblPr>
      <w:tblGrid>
        <w:gridCol w:w="1325"/>
        <w:gridCol w:w="1316"/>
        <w:gridCol w:w="1176"/>
        <w:gridCol w:w="1384"/>
        <w:gridCol w:w="1385"/>
        <w:gridCol w:w="1384"/>
        <w:gridCol w:w="1384"/>
      </w:tblGrid>
      <w:tr>
        <w:trPr>
          <w:trHeight w:val="341" w:hRule="exact"/>
        </w:trPr>
        <w:tc>
          <w:tcPr>
            <w:tcW w:w="1325"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76"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5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47" w:hRule="exact"/>
        </w:trPr>
        <w:tc>
          <w:tcPr>
            <w:tcW w:w="1325" w:type="dxa"/>
            <w:vMerge/>
            <w:tcBorders>
              <w:left w:val="single" w:sz="6" w:space="0" w:color="000000"/>
              <w:bottom w:val="single" w:sz="6" w:space="0" w:color="000000"/>
              <w:right w:val="single" w:sz="6" w:space="0" w:color="000000"/>
            </w:tcBorders>
            <w:shd w:val="clear" w:color="auto" w:fill="D9D9D9"/>
          </w:tcPr>
          <w:p>
            <w:pPr/>
          </w:p>
        </w:tc>
        <w:tc>
          <w:tcPr>
            <w:tcW w:w="131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33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1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年</w:t>
            </w:r>
          </w:p>
        </w:tc>
        <w:tc>
          <w:tcPr>
            <w:tcW w:w="13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37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3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年</w:t>
            </w:r>
          </w:p>
        </w:tc>
        <w:tc>
          <w:tcPr>
            <w:tcW w:w="13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347" w:hRule="exact"/>
        </w:trPr>
        <w:tc>
          <w:tcPr>
            <w:tcW w:w="13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应付款项</w:t>
            </w:r>
          </w:p>
        </w:tc>
        <w:tc>
          <w:tcPr>
            <w:tcW w:w="1316"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523,723,164.84</w:t>
            </w:r>
          </w:p>
        </w:tc>
        <w:tc>
          <w:tcPr>
            <w:tcW w:w="1176" w:type="dxa"/>
            <w:tcBorders>
              <w:top w:val="single" w:sz="10" w:space="0" w:color="000000"/>
              <w:left w:val="single" w:sz="6" w:space="0" w:color="000000"/>
              <w:bottom w:val="single" w:sz="6" w:space="0" w:color="000000"/>
              <w:right w:val="single" w:sz="6" w:space="0" w:color="000000"/>
            </w:tcBorders>
          </w:tcPr>
          <w:p>
            <w:pPr/>
          </w:p>
        </w:tc>
        <w:tc>
          <w:tcPr>
            <w:tcW w:w="138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523,723,164.84</w:t>
            </w:r>
          </w:p>
        </w:tc>
        <w:tc>
          <w:tcPr>
            <w:tcW w:w="1385"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650,174,372.50</w:t>
            </w:r>
          </w:p>
        </w:tc>
        <w:tc>
          <w:tcPr>
            <w:tcW w:w="1384" w:type="dxa"/>
            <w:tcBorders>
              <w:top w:val="single" w:sz="10" w:space="0" w:color="000000"/>
              <w:left w:val="single" w:sz="6" w:space="0" w:color="000000"/>
              <w:bottom w:val="single" w:sz="6" w:space="0" w:color="000000"/>
              <w:right w:val="single" w:sz="6" w:space="0" w:color="000000"/>
            </w:tcBorders>
          </w:tcPr>
          <w:p>
            <w:pPr/>
          </w:p>
        </w:tc>
        <w:tc>
          <w:tcPr>
            <w:tcW w:w="138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55"/>
              <w:ind w:right="1"/>
              <w:jc w:val="right"/>
              <w:rPr>
                <w:rFonts w:ascii="Times New Roman" w:hAnsi="Times New Roman" w:cs="Times New Roman" w:eastAsia="Times New Roman" w:hint="default"/>
                <w:sz w:val="18"/>
                <w:szCs w:val="18"/>
              </w:rPr>
            </w:pPr>
            <w:r>
              <w:rPr>
                <w:rFonts w:ascii="Times New Roman"/>
                <w:spacing w:val="-1"/>
                <w:sz w:val="18"/>
              </w:rPr>
              <w:t>650,174,372.50</w:t>
            </w:r>
          </w:p>
        </w:tc>
      </w:tr>
      <w:tr>
        <w:trPr>
          <w:trHeight w:val="348" w:hRule="exact"/>
        </w:trPr>
        <w:tc>
          <w:tcPr>
            <w:tcW w:w="13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借款及利息</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822,108,666.36</w:t>
            </w:r>
          </w:p>
        </w:tc>
        <w:tc>
          <w:tcPr>
            <w:tcW w:w="1176"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822,108,666.36</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923,160,425.45</w:t>
            </w:r>
          </w:p>
        </w:tc>
        <w:tc>
          <w:tcPr>
            <w:tcW w:w="1384"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923,160,425.45</w:t>
            </w:r>
          </w:p>
        </w:tc>
      </w:tr>
      <w:tr>
        <w:trPr>
          <w:trHeight w:val="659" w:hRule="exact"/>
        </w:trPr>
        <w:tc>
          <w:tcPr>
            <w:tcW w:w="13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20"/>
              <w:ind w:left="2" w:right="46"/>
              <w:jc w:val="left"/>
              <w:rPr>
                <w:rFonts w:ascii="宋体" w:hAnsi="宋体" w:cs="宋体" w:eastAsia="宋体" w:hint="default"/>
                <w:sz w:val="18"/>
                <w:szCs w:val="18"/>
              </w:rPr>
            </w:pPr>
            <w:r>
              <w:rPr>
                <w:rFonts w:ascii="宋体" w:hAnsi="宋体" w:cs="宋体" w:eastAsia="宋体" w:hint="default"/>
                <w:sz w:val="18"/>
                <w:szCs w:val="18"/>
              </w:rPr>
              <w:t>一年内到期的非 流动负债</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1,160,319.52</w:t>
            </w:r>
          </w:p>
        </w:tc>
        <w:tc>
          <w:tcPr>
            <w:tcW w:w="1176"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1,160,319.52</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2,321,106.60</w:t>
            </w:r>
          </w:p>
        </w:tc>
        <w:tc>
          <w:tcPr>
            <w:tcW w:w="1384"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1"/>
              <w:jc w:val="right"/>
              <w:rPr>
                <w:rFonts w:ascii="Times New Roman" w:hAnsi="Times New Roman" w:cs="Times New Roman" w:eastAsia="Times New Roman" w:hint="default"/>
                <w:sz w:val="18"/>
                <w:szCs w:val="18"/>
              </w:rPr>
            </w:pPr>
            <w:r>
              <w:rPr>
                <w:rFonts w:ascii="Times New Roman"/>
                <w:spacing w:val="-1"/>
                <w:sz w:val="18"/>
              </w:rPr>
              <w:t>2,321,106.60</w:t>
            </w:r>
          </w:p>
        </w:tc>
      </w:tr>
      <w:tr>
        <w:trPr>
          <w:trHeight w:val="347" w:hRule="exact"/>
        </w:trPr>
        <w:tc>
          <w:tcPr>
            <w:tcW w:w="13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316" w:type="dxa"/>
            <w:tcBorders>
              <w:top w:val="single" w:sz="6" w:space="0" w:color="000000"/>
              <w:left w:val="single" w:sz="6" w:space="0" w:color="000000"/>
              <w:bottom w:val="single" w:sz="6" w:space="0" w:color="000000"/>
              <w:right w:val="single" w:sz="6" w:space="0" w:color="000000"/>
            </w:tcBorders>
          </w:tcPr>
          <w:p>
            <w:pP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0" w:right="0"/>
              <w:jc w:val="center"/>
              <w:rPr>
                <w:rFonts w:ascii="Times New Roman" w:hAnsi="Times New Roman" w:cs="Times New Roman" w:eastAsia="Times New Roman" w:hint="default"/>
                <w:sz w:val="18"/>
                <w:szCs w:val="18"/>
              </w:rPr>
            </w:pPr>
            <w:r>
              <w:rPr>
                <w:rFonts w:ascii="Times New Roman"/>
                <w:sz w:val="18"/>
              </w:rPr>
              <w:t>298,201,572.72</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298,201,572.72</w:t>
            </w:r>
          </w:p>
        </w:tc>
        <w:tc>
          <w:tcPr>
            <w:tcW w:w="1385" w:type="dxa"/>
            <w:tcBorders>
              <w:top w:val="single" w:sz="6" w:space="0" w:color="000000"/>
              <w:left w:val="single" w:sz="6" w:space="0" w:color="000000"/>
              <w:bottom w:val="single" w:sz="6" w:space="0" w:color="000000"/>
              <w:right w:val="single" w:sz="6" w:space="0" w:color="000000"/>
            </w:tcBorders>
          </w:tcPr>
          <w:p>
            <w:pP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297,375,433.30</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297,375,433.30</w:t>
            </w:r>
          </w:p>
        </w:tc>
      </w:tr>
      <w:tr>
        <w:trPr>
          <w:trHeight w:val="348" w:hRule="exact"/>
        </w:trPr>
        <w:tc>
          <w:tcPr>
            <w:tcW w:w="132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2"/>
              <w:jc w:val="right"/>
              <w:rPr>
                <w:rFonts w:ascii="Times New Roman" w:hAnsi="Times New Roman" w:cs="Times New Roman" w:eastAsia="Times New Roman" w:hint="default"/>
                <w:sz w:val="18"/>
                <w:szCs w:val="18"/>
              </w:rPr>
            </w:pPr>
            <w:r>
              <w:rPr>
                <w:rFonts w:ascii="Times New Roman"/>
                <w:spacing w:val="-1"/>
                <w:sz w:val="18"/>
              </w:rPr>
              <w:t>1,346,992,150.72</w:t>
            </w:r>
          </w:p>
        </w:tc>
        <w:tc>
          <w:tcPr>
            <w:tcW w:w="11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0" w:right="0"/>
              <w:jc w:val="center"/>
              <w:rPr>
                <w:rFonts w:ascii="Times New Roman" w:hAnsi="Times New Roman" w:cs="Times New Roman" w:eastAsia="Times New Roman" w:hint="default"/>
                <w:sz w:val="18"/>
                <w:szCs w:val="18"/>
              </w:rPr>
            </w:pPr>
            <w:r>
              <w:rPr>
                <w:rFonts w:ascii="Times New Roman"/>
                <w:sz w:val="18"/>
              </w:rPr>
              <w:t>298,201,572.72</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1,645,193,723.44</w:t>
            </w:r>
          </w:p>
        </w:tc>
        <w:tc>
          <w:tcPr>
            <w:tcW w:w="13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1,575,655,904.55</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297,375,433.30</w:t>
            </w:r>
          </w:p>
        </w:tc>
        <w:tc>
          <w:tcPr>
            <w:tcW w:w="13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1,873,031,337.85</w:t>
            </w:r>
          </w:p>
        </w:tc>
      </w:tr>
    </w:tbl>
    <w:p>
      <w:pPr>
        <w:spacing w:line="240" w:lineRule="auto" w:before="2"/>
        <w:rPr>
          <w:rFonts w:ascii="宋体" w:hAnsi="宋体" w:cs="宋体" w:eastAsia="宋体" w:hint="default"/>
          <w:sz w:val="18"/>
          <w:szCs w:val="18"/>
        </w:rPr>
      </w:pPr>
    </w:p>
    <w:p>
      <w:pPr>
        <w:pStyle w:val="Heading2"/>
        <w:spacing w:line="240" w:lineRule="auto" w:before="26"/>
        <w:ind w:right="0"/>
        <w:jc w:val="left"/>
        <w:rPr>
          <w:b w:val="0"/>
          <w:bCs w:val="0"/>
        </w:rPr>
      </w:pPr>
      <w:bookmarkStart w:name="十一、公允价值的披露" w:id="394"/>
      <w:bookmarkEnd w:id="394"/>
      <w:r>
        <w:rPr>
          <w:b w:val="0"/>
          <w:bCs w:val="0"/>
        </w:rPr>
      </w:r>
      <w:r>
        <w:rPr/>
        <w:t>十一、公允价值的披露</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十二、关联方及关联交易" w:id="395"/>
      <w:bookmarkEnd w:id="395"/>
      <w:r>
        <w:rPr>
          <w:b w:val="0"/>
          <w:bCs w:val="0"/>
        </w:rPr>
      </w:r>
      <w:r>
        <w:rPr/>
        <w:t>十二、关联方及关联交易</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本企业的母公司情况" w:id="396"/>
      <w:bookmarkEnd w:id="396"/>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9"/>
        <w:rPr>
          <w:rFonts w:ascii="宋体" w:hAnsi="宋体" w:cs="宋体" w:eastAsia="宋体" w:hint="default"/>
          <w:b/>
          <w:bCs/>
          <w:sz w:val="25"/>
          <w:szCs w:val="25"/>
        </w:rPr>
      </w:pPr>
    </w:p>
    <w:tbl>
      <w:tblPr>
        <w:tblW w:w="0" w:type="auto"/>
        <w:jc w:val="left"/>
        <w:tblInd w:w="1101" w:type="dxa"/>
        <w:tblLayout w:type="fixed"/>
        <w:tblCellMar>
          <w:top w:w="0" w:type="dxa"/>
          <w:left w:w="0" w:type="dxa"/>
          <w:bottom w:w="0" w:type="dxa"/>
          <w:right w:w="0" w:type="dxa"/>
        </w:tblCellMar>
        <w:tblLook w:val="01E0"/>
      </w:tblPr>
      <w:tblGrid>
        <w:gridCol w:w="3232"/>
        <w:gridCol w:w="3231"/>
        <w:gridCol w:w="3232"/>
      </w:tblGrid>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母公司名称</w:t>
            </w:r>
          </w:p>
        </w:tc>
        <w:tc>
          <w:tcPr>
            <w:tcW w:w="3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9" w:right="0"/>
              <w:jc w:val="left"/>
              <w:rPr>
                <w:rFonts w:ascii="宋体" w:hAnsi="宋体" w:cs="宋体" w:eastAsia="宋体" w:hint="default"/>
                <w:sz w:val="18"/>
                <w:szCs w:val="18"/>
              </w:rPr>
            </w:pPr>
            <w:r>
              <w:rPr>
                <w:rFonts w:ascii="宋体" w:hAnsi="宋体" w:cs="宋体" w:eastAsia="宋体" w:hint="default"/>
                <w:sz w:val="18"/>
                <w:szCs w:val="18"/>
              </w:rPr>
              <w:t>母公司对本企业的持股比例</w:t>
            </w:r>
          </w:p>
        </w:tc>
        <w:tc>
          <w:tcPr>
            <w:tcW w:w="32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0" w:right="0"/>
              <w:jc w:val="left"/>
              <w:rPr>
                <w:rFonts w:ascii="宋体" w:hAnsi="宋体" w:cs="宋体" w:eastAsia="宋体" w:hint="default"/>
                <w:sz w:val="18"/>
                <w:szCs w:val="18"/>
              </w:rPr>
            </w:pPr>
            <w:r>
              <w:rPr>
                <w:rFonts w:ascii="宋体" w:hAnsi="宋体" w:cs="宋体" w:eastAsia="宋体" w:hint="default"/>
                <w:sz w:val="18"/>
                <w:szCs w:val="18"/>
              </w:rPr>
              <w:t>母公司对本企业的表决权比例</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王宁</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12.28%</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李力</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13.10%</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13.10%</w:t>
            </w:r>
          </w:p>
        </w:tc>
      </w:tr>
      <w:tr>
        <w:trPr>
          <w:trHeight w:val="402" w:hRule="exact"/>
        </w:trPr>
        <w:tc>
          <w:tcPr>
            <w:tcW w:w="323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19.57%</w:t>
            </w:r>
          </w:p>
        </w:tc>
        <w:tc>
          <w:tcPr>
            <w:tcW w:w="32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25.38%</w:t>
            </w:r>
          </w:p>
        </w:tc>
      </w:tr>
    </w:tbl>
    <w:p>
      <w:pPr>
        <w:pStyle w:val="BodyText"/>
        <w:spacing w:line="405" w:lineRule="auto" w:before="74"/>
        <w:ind w:right="4093"/>
        <w:jc w:val="left"/>
      </w:pPr>
      <w:r>
        <w:rPr/>
        <w:t>本企业的母公司情况的说明 本公司的实际控制人为王宁先生、李力先生，签定了一致行动协议，为一致行动人。 本企业最终控制方是是王宁、李力共同控制。</w:t>
      </w:r>
    </w:p>
    <w:p>
      <w:pPr>
        <w:spacing w:after="0" w:line="405"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2、本企业的子公司情况" w:id="397"/>
      <w:bookmarkEnd w:id="397"/>
      <w:r>
        <w:rPr>
          <w:b w:val="0"/>
          <w:bCs w:val="0"/>
        </w:rPr>
      </w:r>
      <w:r>
        <w:rPr>
          <w:rFonts w:ascii="Times New Roman" w:hAnsi="Times New Roman" w:cs="Times New Roman" w:eastAsia="Times New Roman" w:hint="default"/>
        </w:rPr>
        <w:t>2</w:t>
      </w:r>
      <w:r>
        <w:rPr/>
        <w:t>、本企业的子公司情况</w:t>
      </w:r>
      <w:r>
        <w:rPr>
          <w:b w:val="0"/>
          <w:bCs w:val="0"/>
        </w:rPr>
      </w:r>
    </w:p>
    <w:p>
      <w:pPr>
        <w:spacing w:line="240" w:lineRule="auto" w:before="8"/>
        <w:rPr>
          <w:rFonts w:ascii="宋体" w:hAnsi="宋体" w:cs="宋体" w:eastAsia="宋体" w:hint="default"/>
          <w:b/>
          <w:bCs/>
          <w:sz w:val="32"/>
          <w:szCs w:val="32"/>
        </w:rPr>
      </w:pPr>
    </w:p>
    <w:p>
      <w:pPr>
        <w:pStyle w:val="BodyText"/>
        <w:spacing w:line="240" w:lineRule="auto"/>
        <w:ind w:left="1494" w:right="0"/>
        <w:jc w:val="left"/>
      </w:pPr>
      <w:r>
        <w:rPr/>
        <w:t>本企业子公司的情况详见附注九、在其他主体中的权益。</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3、本企业合营和联营企业情况" w:id="398"/>
      <w:bookmarkEnd w:id="398"/>
      <w:r>
        <w:rPr>
          <w:b w:val="0"/>
          <w:bCs w:val="0"/>
        </w:rPr>
      </w:r>
      <w:r>
        <w:rPr>
          <w:rFonts w:ascii="Times New Roman" w:hAnsi="Times New Roman" w:cs="Times New Roman" w:eastAsia="Times New Roman" w:hint="default"/>
        </w:rPr>
        <w:t>3</w:t>
      </w:r>
      <w:r>
        <w:rPr/>
        <w:t>、本企业合营和联营企业情况</w:t>
      </w:r>
      <w:r>
        <w:rPr>
          <w:b w:val="0"/>
          <w:bCs w:val="0"/>
        </w:rPr>
      </w:r>
    </w:p>
    <w:p>
      <w:pPr>
        <w:spacing w:line="240" w:lineRule="auto" w:before="8"/>
        <w:rPr>
          <w:rFonts w:ascii="宋体" w:hAnsi="宋体" w:cs="宋体" w:eastAsia="宋体" w:hint="default"/>
          <w:b/>
          <w:bCs/>
          <w:sz w:val="32"/>
          <w:szCs w:val="32"/>
        </w:rPr>
      </w:pPr>
    </w:p>
    <w:p>
      <w:pPr>
        <w:pStyle w:val="BodyText"/>
        <w:spacing w:line="516" w:lineRule="auto"/>
        <w:ind w:left="1493" w:right="1933"/>
        <w:jc w:val="left"/>
      </w:pPr>
      <w:r>
        <w:rPr/>
        <w:pict>
          <v:shape style="position:absolute;margin-left:56.459999pt;margin-top:46.331711pt;width:479.2pt;height:181.4pt;mso-position-horizontal-relative:page;mso-position-vertical-relative:paragraph;z-index:34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北京神州泰岳教育科技有限公司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蓝鸥科技有限公司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北京神州良品电子商务科技股份有限公司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北京岳海云测信息技术有限公司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宁波泰岳梧桐投资管理有限公司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珠海神州泰岳投资管理有限公司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珠海泰岳梧桐投资管理有限公司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联营企业</w:t>
                        </w:r>
                      </w:p>
                    </w:tc>
                  </w:tr>
                </w:tbl>
                <w:p>
                  <w:pPr/>
                </w:p>
              </w:txbxContent>
            </v:textbox>
            <w10:wrap type="none"/>
          </v:shape>
        </w:pict>
      </w:r>
      <w:r>
        <w:rPr/>
        <w:t>本企业重要的合营或联营企业详见附注九、在其他主体中的权益。 本期与本公司发生关联方交易，或前期与本公司发生关联方交易形成余额的其他合营或联营企业情况如下：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pStyle w:val="Heading3"/>
        <w:spacing w:line="240" w:lineRule="auto" w:before="35"/>
        <w:ind w:right="0"/>
        <w:jc w:val="left"/>
        <w:rPr>
          <w:b w:val="0"/>
          <w:bCs w:val="0"/>
        </w:rPr>
      </w:pPr>
      <w:bookmarkStart w:name="4、其他关联方情况" w:id="399"/>
      <w:bookmarkEnd w:id="399"/>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1"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7"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1026"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8"/>
              <w:jc w:val="both"/>
              <w:rPr>
                <w:rFonts w:ascii="宋体" w:hAnsi="宋体" w:cs="宋体" w:eastAsia="宋体" w:hint="default"/>
                <w:sz w:val="18"/>
                <w:szCs w:val="18"/>
              </w:rPr>
            </w:pPr>
            <w:r>
              <w:rPr>
                <w:rFonts w:ascii="宋体" w:hAnsi="宋体" w:cs="宋体" w:eastAsia="宋体" w:hint="default"/>
                <w:sz w:val="18"/>
                <w:szCs w:val="18"/>
              </w:rPr>
              <w:t>翟一兵、汪铖、罗建北、刘铁民、沈阳、王雪春、黄松浪、 李广刚、丁彦超、郝岩、徐元区、高峰、董越、任杰、梁德 兴、张黔山、艾东、林红、杨凯程</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除实际控制人以外的其他关键管理人员</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联营企业的子公司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北京良业环境技术有限公司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历史关联公司（公司董事担任董事的公司）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Reliance Jio Messaging Services Private</w:t>
            </w:r>
            <w:r>
              <w:rPr>
                <w:rFonts w:ascii="Times New Roman"/>
                <w:spacing w:val="-7"/>
                <w:sz w:val="18"/>
              </w:rPr>
              <w:t> </w:t>
            </w:r>
            <w:r>
              <w:rPr>
                <w:rFonts w:ascii="Times New Roman"/>
                <w:sz w:val="18"/>
              </w:rPr>
              <w:t>Limited</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历史关联公司（控制子公司曾参股的公司）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北京光合起源网络科技有限公司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公司董事担任董事的企业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北京职航创业教育科技有限公司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关联公司的子公司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宁波梅山保税港区泰梧投资管理合伙企业（有限合伙）</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公司董事担任执行事务合伙人委派代表</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北京水泽林投资咨询有限公司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关联公司控股子公司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北京碧水源净水电子商务有限公司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公司董事担任董事的公司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北京善聚投资管理有限公司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公司实际控制人直接控制的公司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重庆泰岳优才科技有限公司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公司董事担任董事的公司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公司高管担任执行董事的公司</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成都斯沃茨科技有限公司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3"/>
          <w:szCs w:val="3"/>
        </w:rPr>
      </w:pPr>
    </w:p>
    <w:tbl>
      <w:tblPr>
        <w:tblW w:w="0" w:type="auto"/>
        <w:jc w:val="left"/>
        <w:tblInd w:w="112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泰岳金服（北京）科技有限公司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公司投资的参股企业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北京中清龙图网络技术有限公司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历史关联公司（原联营企业）</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5、关联交易情况" w:id="400"/>
      <w:bookmarkEnd w:id="400"/>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购销商品、提供和接受劳务的关联交易" w:id="401"/>
      <w:bookmarkEnd w:id="401"/>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34" w:right="0"/>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3"/>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北京岳海云测信息 技术有限公司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424,528.29</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424,528.29</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北京国信安石科技 有限责任公司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接受劳务</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2,334,905.62</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2,334,905.62</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大连华信计算机技 术股份有限公司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软件外包服务</w:t>
            </w:r>
          </w:p>
        </w:tc>
        <w:tc>
          <w:tcPr>
            <w:tcW w:w="1455"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218,299.00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218,299.00</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65"/>
              <w:jc w:val="left"/>
              <w:rPr>
                <w:rFonts w:ascii="宋体" w:hAnsi="宋体" w:cs="宋体" w:eastAsia="宋体" w:hint="default"/>
                <w:sz w:val="18"/>
                <w:szCs w:val="18"/>
              </w:rPr>
            </w:pPr>
            <w:r>
              <w:rPr>
                <w:rFonts w:ascii="宋体" w:hAnsi="宋体" w:cs="宋体" w:eastAsia="宋体" w:hint="default"/>
                <w:sz w:val="18"/>
                <w:szCs w:val="18"/>
              </w:rPr>
              <w:t>北京光合起源网络 科技有限公司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20"/>
              <w:jc w:val="left"/>
              <w:rPr>
                <w:rFonts w:ascii="宋体" w:hAnsi="宋体" w:cs="宋体" w:eastAsia="宋体" w:hint="default"/>
                <w:sz w:val="18"/>
                <w:szCs w:val="18"/>
              </w:rPr>
            </w:pPr>
            <w:r>
              <w:rPr>
                <w:rFonts w:ascii="宋体" w:hAnsi="宋体" w:cs="宋体" w:eastAsia="宋体" w:hint="default"/>
                <w:spacing w:val="-6"/>
                <w:sz w:val="18"/>
                <w:szCs w:val="18"/>
              </w:rPr>
              <w:t>购买版权金、支付</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分成款</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188,334.90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188,334.90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31,591,641.27</w:t>
            </w:r>
          </w:p>
        </w:tc>
      </w:tr>
    </w:tbl>
    <w:p>
      <w:pPr>
        <w:spacing w:line="240" w:lineRule="auto" w:before="6"/>
        <w:rPr>
          <w:rFonts w:ascii="宋体" w:hAnsi="宋体" w:cs="宋体" w:eastAsia="宋体" w:hint="default"/>
          <w:sz w:val="6"/>
          <w:szCs w:val="6"/>
        </w:rPr>
      </w:pPr>
    </w:p>
    <w:p>
      <w:pPr>
        <w:pStyle w:val="BodyText"/>
        <w:spacing w:line="240" w:lineRule="auto" w:before="44"/>
        <w:ind w:left="1134" w:right="0"/>
        <w:jc w:val="left"/>
      </w:pPr>
      <w:r>
        <w:rPr/>
        <w:t>出售商品</w:t>
      </w:r>
      <w:r>
        <w:rPr>
          <w:rFonts w:ascii="Times New Roman" w:hAnsi="Times New Roman" w:cs="Times New Roman" w:eastAsia="Times New Roman" w:hint="default"/>
        </w:rPr>
        <w:t>/</w:t>
      </w:r>
      <w:r>
        <w:rPr/>
        <w:t>提供劳务情况表</w:t>
      </w:r>
    </w:p>
    <w:p>
      <w:pPr>
        <w:spacing w:line="240" w:lineRule="auto" w:before="6"/>
        <w:rPr>
          <w:rFonts w:ascii="宋体" w:hAnsi="宋体" w:cs="宋体" w:eastAsia="宋体" w:hint="default"/>
          <w:sz w:val="10"/>
          <w:szCs w:val="10"/>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978"/>
        <w:gridCol w:w="2198"/>
        <w:gridCol w:w="2198"/>
        <w:gridCol w:w="2196"/>
      </w:tblGrid>
      <w:tr>
        <w:trPr>
          <w:trHeight w:val="401" w:hRule="exact"/>
        </w:trPr>
        <w:tc>
          <w:tcPr>
            <w:tcW w:w="2978"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5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4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43"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2"/>
              <w:ind w:left="22" w:right="24"/>
              <w:jc w:val="left"/>
              <w:rPr>
                <w:rFonts w:ascii="Times New Roman" w:hAnsi="Times New Roman" w:cs="Times New Roman" w:eastAsia="Times New Roman" w:hint="default"/>
                <w:sz w:val="18"/>
                <w:szCs w:val="18"/>
              </w:rPr>
            </w:pPr>
            <w:r>
              <w:rPr>
                <w:rFonts w:ascii="Times New Roman"/>
                <w:sz w:val="18"/>
              </w:rPr>
              <w:t>Reliance Jio Messaging Services</w:t>
            </w:r>
            <w:r>
              <w:rPr>
                <w:rFonts w:ascii="Times New Roman"/>
                <w:spacing w:val="-6"/>
                <w:sz w:val="18"/>
              </w:rPr>
              <w:t> </w:t>
            </w:r>
            <w:r>
              <w:rPr>
                <w:rFonts w:ascii="Times New Roman"/>
                <w:sz w:val="18"/>
              </w:rPr>
              <w:t>Private</w:t>
            </w:r>
            <w:r>
              <w:rPr>
                <w:rFonts w:ascii="Times New Roman"/>
                <w:sz w:val="18"/>
              </w:rPr>
              <w:t> Limited</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技术授权费</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13,293,854.74</w:t>
            </w:r>
          </w:p>
        </w:tc>
        <w:tc>
          <w:tcPr>
            <w:tcW w:w="2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成都斯沃茨科技有限公司</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3,418,803.42</w:t>
            </w:r>
          </w:p>
        </w:tc>
        <w:tc>
          <w:tcPr>
            <w:tcW w:w="2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北京碧水源净水电子商务有限公司</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198" w:type="dxa"/>
            <w:tcBorders>
              <w:top w:val="single" w:sz="4" w:space="0" w:color="000000"/>
              <w:left w:val="single" w:sz="4" w:space="0" w:color="000000"/>
              <w:bottom w:val="single" w:sz="4" w:space="0" w:color="000000"/>
              <w:right w:val="single" w:sz="4" w:space="0" w:color="000000"/>
            </w:tcBorders>
          </w:tcPr>
          <w:p>
            <w:pPr/>
          </w:p>
        </w:tc>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19" w:right="0"/>
              <w:jc w:val="left"/>
              <w:rPr>
                <w:rFonts w:ascii="Times New Roman" w:hAnsi="Times New Roman" w:cs="Times New Roman" w:eastAsia="Times New Roman" w:hint="default"/>
                <w:sz w:val="18"/>
                <w:szCs w:val="18"/>
              </w:rPr>
            </w:pPr>
            <w:r>
              <w:rPr>
                <w:rFonts w:ascii="Times New Roman"/>
                <w:sz w:val="18"/>
              </w:rPr>
              <w:t>2,547,169.79</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大连华信计算机技术股份有限公司</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750,823.00</w:t>
            </w:r>
          </w:p>
        </w:tc>
        <w:tc>
          <w:tcPr>
            <w:tcW w:w="219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北京岳海云测信息技术有限公司</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出售商品</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742,735.04</w:t>
            </w:r>
          </w:p>
        </w:tc>
        <w:tc>
          <w:tcPr>
            <w:tcW w:w="219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9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北京云中融信网络科技有限公司</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出售商品、提供劳务</w:t>
            </w:r>
          </w:p>
        </w:tc>
        <w:tc>
          <w:tcPr>
            <w:tcW w:w="2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934,823.42</w:t>
            </w:r>
          </w:p>
        </w:tc>
        <w:tc>
          <w:tcPr>
            <w:tcW w:w="219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关联租赁情况" w:id="402"/>
      <w:bookmarkEnd w:id="402"/>
      <w:r>
        <w:rPr>
          <w:b w:val="0"/>
          <w:bCs w:val="0"/>
        </w:rPr>
      </w:r>
      <w:r>
        <w:rPr/>
        <w:t>（</w:t>
      </w:r>
      <w:r>
        <w:rPr>
          <w:rFonts w:ascii="Times New Roman" w:hAnsi="Times New Roman" w:cs="Times New Roman" w:eastAsia="Times New Roman" w:hint="default"/>
        </w:rPr>
        <w:t>2</w:t>
      </w:r>
      <w:r>
        <w:rPr/>
        <w:t>）关联租赁情况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34" w:right="0"/>
        <w:jc w:val="left"/>
      </w:pPr>
      <w:r>
        <w:rPr/>
        <w:t>本公司作为出租方：</w:t>
      </w:r>
    </w:p>
    <w:p>
      <w:pPr>
        <w:pStyle w:val="BodyText"/>
        <w:spacing w:line="240" w:lineRule="auto" w:before="116"/>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738"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5" w:right="0"/>
              <w:jc w:val="left"/>
              <w:rPr>
                <w:rFonts w:ascii="Times New Roman" w:hAnsi="Times New Roman" w:cs="Times New Roman" w:eastAsia="Times New Roman" w:hint="default"/>
                <w:sz w:val="18"/>
                <w:szCs w:val="18"/>
              </w:rPr>
            </w:pPr>
            <w:r>
              <w:rPr>
                <w:rFonts w:ascii="Times New Roman"/>
                <w:sz w:val="18"/>
              </w:rPr>
              <w:t>3,409,057.60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6" w:right="0"/>
              <w:jc w:val="left"/>
              <w:rPr>
                <w:rFonts w:ascii="Times New Roman" w:hAnsi="Times New Roman" w:cs="Times New Roman" w:eastAsia="Times New Roman" w:hint="default"/>
                <w:sz w:val="18"/>
                <w:szCs w:val="18"/>
              </w:rPr>
            </w:pPr>
            <w:r>
              <w:rPr>
                <w:rFonts w:ascii="Times New Roman"/>
                <w:sz w:val="18"/>
              </w:rPr>
              <w:t>3,890,132.30</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88"/>
        <w:gridCol w:w="2394"/>
        <w:gridCol w:w="2393"/>
        <w:gridCol w:w="2393"/>
      </w:tblGrid>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北京中清龙图网络技术有限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417,214.26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4,091,493.88</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宁波泰岳梧桐投资管理有限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207,654.41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517,167.25</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北京光合起源网络科技有限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191,250.00</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北京职航创业教育科技有限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101,226.67</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北京神州泰岳教育科技有限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573,203.81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486,662.86</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北京神州良品电子商务科技 股份有限公司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1,327,917.60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1,013,570.11</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珠海泰岳梧桐投资管理有限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112,468.99</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120,557.13</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珠海神州泰岳投资管理有限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214,430.21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401,857.13</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1,245,775.23</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315,733.34</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北京云中融信网络科技有限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1,864,784.76</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1,356,799.98</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2" w:lineRule="auto" w:before="91"/>
              <w:ind w:left="22" w:right="573"/>
              <w:jc w:val="left"/>
              <w:rPr>
                <w:rFonts w:ascii="Times New Roman" w:hAnsi="Times New Roman" w:cs="Times New Roman" w:eastAsia="Times New Roman" w:hint="default"/>
                <w:sz w:val="18"/>
                <w:szCs w:val="18"/>
              </w:rPr>
            </w:pPr>
            <w:r>
              <w:rPr>
                <w:rFonts w:ascii="Times New Roman"/>
                <w:sz w:val="18"/>
              </w:rPr>
              <w:t>Reliance Jio</w:t>
            </w:r>
            <w:r>
              <w:rPr>
                <w:rFonts w:ascii="Times New Roman"/>
                <w:spacing w:val="-3"/>
                <w:sz w:val="18"/>
              </w:rPr>
              <w:t> </w:t>
            </w:r>
            <w:r>
              <w:rPr>
                <w:rFonts w:ascii="Times New Roman"/>
                <w:sz w:val="18"/>
              </w:rPr>
              <w:t>Messaging</w:t>
            </w:r>
            <w:r>
              <w:rPr>
                <w:rFonts w:ascii="Times New Roman"/>
                <w:sz w:val="18"/>
              </w:rPr>
              <w:t> Services Private</w:t>
            </w:r>
            <w:r>
              <w:rPr>
                <w:rFonts w:ascii="Times New Roman"/>
                <w:spacing w:val="-3"/>
                <w:sz w:val="18"/>
              </w:rPr>
              <w:t> </w:t>
            </w:r>
            <w:r>
              <w:rPr>
                <w:rFonts w:ascii="Times New Roman"/>
                <w:sz w:val="18"/>
              </w:rPr>
              <w:t>Limited</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438,095.24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1,757,265.71</w:t>
            </w:r>
          </w:p>
        </w:tc>
      </w:tr>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北京良业环境技术有限公司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4,754,803.10</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698,924.29</w:t>
            </w:r>
          </w:p>
        </w:tc>
      </w:tr>
      <w:tr>
        <w:trPr>
          <w:trHeight w:val="714" w:hRule="exact"/>
        </w:trPr>
        <w:tc>
          <w:tcPr>
            <w:tcW w:w="23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95"/>
              <w:jc w:val="left"/>
              <w:rPr>
                <w:rFonts w:ascii="宋体" w:hAnsi="宋体" w:cs="宋体" w:eastAsia="宋体" w:hint="default"/>
                <w:sz w:val="18"/>
                <w:szCs w:val="18"/>
              </w:rPr>
            </w:pPr>
            <w:r>
              <w:rPr>
                <w:rFonts w:ascii="宋体" w:hAnsi="宋体" w:cs="宋体" w:eastAsia="宋体" w:hint="default"/>
                <w:sz w:val="18"/>
                <w:szCs w:val="18"/>
              </w:rPr>
              <w:t>北京国信安石科技有限责任 公司</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房屋建筑物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560,312.38</w:t>
            </w:r>
          </w:p>
        </w:tc>
        <w:tc>
          <w:tcPr>
            <w:tcW w:w="2393"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关联担保情况" w:id="403"/>
      <w:bookmarkEnd w:id="403"/>
      <w:r>
        <w:rPr>
          <w:b w:val="0"/>
          <w:bCs w:val="0"/>
        </w:rPr>
      </w:r>
      <w:r>
        <w:rPr/>
        <w:t>（</w:t>
      </w:r>
      <w:r>
        <w:rPr>
          <w:rFonts w:ascii="Times New Roman" w:hAnsi="Times New Roman" w:cs="Times New Roman" w:eastAsia="Times New Roman" w:hint="default"/>
        </w:rPr>
        <w:t>3</w:t>
      </w:r>
      <w:r>
        <w:rPr/>
        <w:t>）关联担保情况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1134" w:right="0"/>
        <w:jc w:val="left"/>
      </w:pPr>
      <w:r>
        <w:rPr/>
        <w:t>本公司作为担保方</w:t>
      </w:r>
    </w:p>
    <w:p>
      <w:pPr>
        <w:pStyle w:val="BodyText"/>
        <w:spacing w:line="240" w:lineRule="auto" w:before="117"/>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9" w:space="0" w:color="D2D2D2"/>
            </w:tcBorders>
            <w:shd w:val="clear" w:color="auto" w:fill="D9D9D9"/>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北京神州泰岳系统集成 有限公司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北京新媒传信科技有限 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4）关联方资产转让、债务重组情况" w:id="404"/>
      <w:bookmarkEnd w:id="404"/>
      <w:r>
        <w:rPr>
          <w:b w:val="0"/>
          <w:bCs w:val="0"/>
        </w:rPr>
      </w:r>
      <w:r>
        <w:rPr/>
        <w:t>（</w:t>
      </w:r>
      <w:r>
        <w:rPr>
          <w:rFonts w:ascii="Times New Roman" w:hAnsi="Times New Roman" w:cs="Times New Roman" w:eastAsia="Times New Roman" w:hint="default"/>
        </w:rPr>
        <w:t>4</w:t>
      </w:r>
      <w:r>
        <w:rPr/>
        <w:t>）关联方资产转让、债务重组情况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694"/>
        <w:gridCol w:w="2552"/>
        <w:gridCol w:w="2162"/>
        <w:gridCol w:w="2161"/>
      </w:tblGrid>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29"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25"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1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25"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6" w:type="dxa"/>
        <w:tblLayout w:type="fixed"/>
        <w:tblCellMar>
          <w:top w:w="0" w:type="dxa"/>
          <w:left w:w="0" w:type="dxa"/>
          <w:bottom w:w="0" w:type="dxa"/>
          <w:right w:w="0" w:type="dxa"/>
        </w:tblCellMar>
        <w:tblLook w:val="01E0"/>
      </w:tblPr>
      <w:tblGrid>
        <w:gridCol w:w="2697"/>
        <w:gridCol w:w="2552"/>
        <w:gridCol w:w="2162"/>
        <w:gridCol w:w="2161"/>
      </w:tblGrid>
      <w:tr>
        <w:trPr>
          <w:trHeight w:val="402" w:hRule="exact"/>
        </w:trPr>
        <w:tc>
          <w:tcPr>
            <w:tcW w:w="269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北京国信安石科技有限责任公司</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转让重庆优才股权</w:t>
            </w:r>
          </w:p>
        </w:tc>
        <w:tc>
          <w:tcPr>
            <w:tcW w:w="2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17" w:right="0"/>
              <w:jc w:val="left"/>
              <w:rPr>
                <w:rFonts w:ascii="Times New Roman" w:hAnsi="Times New Roman" w:cs="Times New Roman" w:eastAsia="Times New Roman" w:hint="default"/>
                <w:sz w:val="18"/>
                <w:szCs w:val="18"/>
              </w:rPr>
            </w:pPr>
            <w:r>
              <w:rPr>
                <w:rFonts w:ascii="Times New Roman"/>
                <w:sz w:val="18"/>
              </w:rPr>
              <w:t>750,000.00</w:t>
            </w:r>
          </w:p>
        </w:tc>
        <w:tc>
          <w:tcPr>
            <w:tcW w:w="2161"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关键管理人员报酬" w:id="405"/>
      <w:bookmarkEnd w:id="405"/>
      <w:r>
        <w:rPr>
          <w:b w:val="0"/>
          <w:bCs w:val="0"/>
        </w:rPr>
      </w:r>
      <w:r>
        <w:rPr/>
        <w:t>（</w:t>
      </w:r>
      <w:r>
        <w:rPr>
          <w:rFonts w:ascii="Times New Roman" w:hAnsi="Times New Roman" w:cs="Times New Roman" w:eastAsia="Times New Roman" w:hint="default"/>
        </w:rPr>
        <w:t>5</w:t>
      </w:r>
      <w:r>
        <w:rPr/>
        <w:t>）关键管理人员报酬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关键管理人员薪酬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7,669,300.00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7,590,200.00</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其他关联交易" w:id="406"/>
      <w:bookmarkEnd w:id="406"/>
      <w:r>
        <w:rPr>
          <w:b w:val="0"/>
          <w:bCs w:val="0"/>
        </w:rPr>
      </w:r>
      <w:r>
        <w:rPr/>
        <w:t>（</w:t>
      </w:r>
      <w:r>
        <w:rPr>
          <w:rFonts w:ascii="Times New Roman" w:hAnsi="Times New Roman" w:cs="Times New Roman" w:eastAsia="Times New Roman" w:hint="default"/>
        </w:rPr>
        <w:t>6</w:t>
      </w:r>
      <w:r>
        <w:rPr/>
        <w:t>）其他关联交易</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6、关联方应收应付款项" w:id="407"/>
      <w:bookmarkEnd w:id="407"/>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应收项目" w:id="408"/>
      <w:bookmarkEnd w:id="408"/>
      <w:r>
        <w:rPr>
          <w:b w:val="0"/>
          <w:bCs w:val="0"/>
        </w:rPr>
      </w:r>
      <w:r>
        <w:rPr/>
        <w:t>（</w:t>
      </w:r>
      <w:r>
        <w:rPr>
          <w:rFonts w:ascii="Times New Roman" w:hAnsi="Times New Roman" w:cs="Times New Roman" w:eastAsia="Times New Roman" w:hint="default"/>
        </w:rPr>
        <w:t>1</w:t>
      </w:r>
      <w:r>
        <w:rPr/>
        <w:t>）应收项目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9D9D9"/>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成都斯沃茨科技有 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80,000.00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重庆泰岳优才科技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1,932,000.00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192,600.00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1,920,000.00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96,000.00</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大连华信计算机技 术股份有限公司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1,073,507.56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134,346.52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2,322,684.56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232,268.46</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中信网络科技股份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1,296,795.31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64,839.77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1,010,762.77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50,538.14</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北京中清龙图网络 技术有限公司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26,292.97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2,629.30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63,767.00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3,188.35</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珠海泰岳梧桐投资 管理有限公司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14,417.17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1,441.72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78,164.99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3,908.25</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北京岳海云测信息 技术有限公司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546,000.00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27,300.00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北京裂变科技有限 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1,308,064.00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65,403.20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北京云中融信网络 科技有限公司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1,816,112.00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90,805.60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珠海神州泰岳投资 管理有限公司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21,478.02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1,073.90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宁波泰岳梧桐投资 管理有限公司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27,195.59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1,359.78</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北京良业环境技术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578,201.00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28,910.05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both"/>
              <w:rPr>
                <w:rFonts w:ascii="宋体" w:hAnsi="宋体" w:cs="宋体" w:eastAsia="宋体" w:hint="default"/>
                <w:sz w:val="18"/>
                <w:szCs w:val="18"/>
              </w:rPr>
            </w:pPr>
            <w:r>
              <w:rPr>
                <w:rFonts w:ascii="宋体" w:hAnsi="宋体" w:cs="宋体" w:eastAsia="宋体" w:hint="default"/>
                <w:sz w:val="18"/>
                <w:szCs w:val="18"/>
              </w:rPr>
              <w:t>北京神州良品电子 商务科技股份有限 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70,098.63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3,504.93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北京国信安石科技 有限责任公司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588,328.00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29,416.40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10"/>
                <w:sz w:val="18"/>
                <w:szCs w:val="18"/>
              </w:rPr>
              <w:t>泰岳金服（北京）科</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技有限公司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2,245,471.64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0"/>
              <w:jc w:val="left"/>
              <w:rPr>
                <w:rFonts w:ascii="宋体" w:hAnsi="宋体" w:cs="宋体" w:eastAsia="宋体" w:hint="default"/>
                <w:sz w:val="18"/>
                <w:szCs w:val="18"/>
              </w:rPr>
            </w:pPr>
            <w:r>
              <w:rPr>
                <w:rFonts w:ascii="宋体" w:hAnsi="宋体" w:cs="宋体" w:eastAsia="宋体" w:hint="default"/>
                <w:sz w:val="18"/>
                <w:szCs w:val="18"/>
              </w:rPr>
              <w:t>重庆泰岳优才科技 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5,405,910.76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540,454.08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17" w:right="0"/>
              <w:jc w:val="left"/>
              <w:rPr>
                <w:rFonts w:ascii="Times New Roman" w:hAnsi="Times New Roman" w:cs="Times New Roman" w:eastAsia="Times New Roman" w:hint="default"/>
                <w:sz w:val="18"/>
                <w:szCs w:val="18"/>
              </w:rPr>
            </w:pPr>
            <w:r>
              <w:rPr>
                <w:rFonts w:ascii="Times New Roman"/>
                <w:sz w:val="18"/>
              </w:rPr>
              <w:t>5,403,170.81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52" w:right="0"/>
              <w:jc w:val="left"/>
              <w:rPr>
                <w:rFonts w:ascii="Times New Roman" w:hAnsi="Times New Roman" w:cs="Times New Roman" w:eastAsia="Times New Roman" w:hint="default"/>
                <w:sz w:val="18"/>
                <w:szCs w:val="18"/>
              </w:rPr>
            </w:pPr>
            <w:r>
              <w:rPr>
                <w:rFonts w:ascii="Times New Roman"/>
                <w:sz w:val="18"/>
              </w:rPr>
              <w:t>270,158.54</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应付项目" w:id="409"/>
      <w:bookmarkEnd w:id="409"/>
      <w:r>
        <w:rPr>
          <w:b w:val="0"/>
          <w:bCs w:val="0"/>
        </w:rPr>
      </w:r>
      <w:r>
        <w:rPr/>
        <w:t>（</w:t>
      </w:r>
      <w:r>
        <w:rPr>
          <w:rFonts w:ascii="Times New Roman" w:hAnsi="Times New Roman" w:cs="Times New Roman" w:eastAsia="Times New Roman" w:hint="default"/>
        </w:rPr>
        <w:t>2</w:t>
      </w:r>
      <w:r>
        <w:rPr/>
        <w:t>）应付项目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391"/>
        <w:gridCol w:w="2394"/>
        <w:gridCol w:w="2392"/>
        <w:gridCol w:w="2392"/>
      </w:tblGrid>
      <w:tr>
        <w:trPr>
          <w:trHeight w:val="402" w:hRule="exact"/>
        </w:trPr>
        <w:tc>
          <w:tcPr>
            <w:tcW w:w="2391" w:type="dxa"/>
            <w:tcBorders>
              <w:top w:val="single" w:sz="4" w:space="0" w:color="000000"/>
              <w:left w:val="single" w:sz="4" w:space="0" w:color="000000"/>
              <w:bottom w:val="single" w:sz="4" w:space="0" w:color="000000"/>
              <w:right w:val="single" w:sz="9" w:space="0" w:color="D2D2D2"/>
            </w:tcBorders>
            <w:shd w:val="clear" w:color="auto" w:fill="D9D9D9"/>
          </w:tcPr>
          <w:p>
            <w:pPr>
              <w:pStyle w:val="TableParagraph"/>
              <w:spacing w:line="240" w:lineRule="auto" w:before="51"/>
              <w:ind w:left="6"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大连华信计算机技术股份有 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1,101,275.58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3,101,275.58</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北京光合起源网络科技有限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5,308,338.28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4,597,719.89</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中信网络科技股份有限公司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1,398,940.20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800,000.00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北京中清龙图网络技术有限 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3,650,000.00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北京云中融信网络科技有限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北京良业环境技术有限公司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1,420,484.19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1,420,484.19</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北京裂变科技有限公司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100,000.00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北京神州泰岳良品电子商务 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386,306.65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386,306.65</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1"/>
              <w:ind w:left="23" w:right="578"/>
              <w:jc w:val="left"/>
              <w:rPr>
                <w:rFonts w:ascii="Times New Roman" w:hAnsi="Times New Roman" w:cs="Times New Roman" w:eastAsia="Times New Roman" w:hint="default"/>
                <w:sz w:val="18"/>
                <w:szCs w:val="18"/>
              </w:rPr>
            </w:pPr>
            <w:r>
              <w:rPr>
                <w:rFonts w:ascii="Times New Roman"/>
                <w:sz w:val="18"/>
              </w:rPr>
              <w:t>Reliance Jio</w:t>
            </w:r>
            <w:r>
              <w:rPr>
                <w:rFonts w:ascii="Times New Roman"/>
                <w:spacing w:val="-3"/>
                <w:sz w:val="18"/>
              </w:rPr>
              <w:t> </w:t>
            </w:r>
            <w:r>
              <w:rPr>
                <w:rFonts w:ascii="Times New Roman"/>
                <w:sz w:val="18"/>
              </w:rPr>
              <w:t>Messaging</w:t>
            </w:r>
            <w:r>
              <w:rPr>
                <w:rFonts w:ascii="Times New Roman"/>
                <w:sz w:val="18"/>
              </w:rPr>
              <w:t> Services Private</w:t>
            </w:r>
            <w:r>
              <w:rPr>
                <w:rFonts w:ascii="Times New Roman"/>
                <w:spacing w:val="-3"/>
                <w:sz w:val="18"/>
              </w:rPr>
              <w:t> </w:t>
            </w:r>
            <w:r>
              <w:rPr>
                <w:rFonts w:ascii="Times New Roman"/>
                <w:sz w:val="18"/>
              </w:rPr>
              <w:t>Limited</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460,000.00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珠海泰岳梧桐投资管理有限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45,450.00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45,450.00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珠海神州泰岳投资管理有限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175,500.00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175,500.00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北京神州泰岳教育科技有限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391"/>
        <w:gridCol w:w="2394"/>
        <w:gridCol w:w="2392"/>
        <w:gridCol w:w="2392"/>
      </w:tblGrid>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宁波泰岳梧桐投资管理有限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70,200.00</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北京中清龙图网络技术有限 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517,094.00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992,643.00</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宁波泰岳梧桐投资管理有限 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40,445.44</w:t>
            </w:r>
          </w:p>
        </w:tc>
      </w:tr>
      <w:tr>
        <w:trPr>
          <w:trHeight w:val="402"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北京良业环境技术有限公司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574,642.84</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北京神州泰岳良品电子商务 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35,688.34</w:t>
            </w:r>
          </w:p>
        </w:tc>
      </w:tr>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预收账款</w:t>
            </w: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98"/>
              <w:jc w:val="left"/>
              <w:rPr>
                <w:rFonts w:ascii="宋体" w:hAnsi="宋体" w:cs="宋体" w:eastAsia="宋体" w:hint="default"/>
                <w:sz w:val="18"/>
                <w:szCs w:val="18"/>
              </w:rPr>
            </w:pPr>
            <w:r>
              <w:rPr>
                <w:rFonts w:ascii="宋体" w:hAnsi="宋体" w:cs="宋体" w:eastAsia="宋体" w:hint="default"/>
                <w:sz w:val="18"/>
                <w:szCs w:val="18"/>
              </w:rPr>
              <w:t>珠海神州泰岳投资管理有限 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62,250.01</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7、关联方承诺" w:id="410"/>
      <w:bookmarkEnd w:id="410"/>
      <w:r>
        <w:rPr>
          <w:b w:val="0"/>
          <w:bCs w:val="0"/>
        </w:rPr>
      </w:r>
      <w:r>
        <w:rPr>
          <w:rFonts w:ascii="Times New Roman" w:hAnsi="Times New Roman" w:cs="Times New Roman" w:eastAsia="Times New Roman" w:hint="default"/>
        </w:rPr>
        <w:t>7</w:t>
      </w:r>
      <w:r>
        <w:rPr/>
        <w:t>、关联方承诺</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8、其他" w:id="411"/>
      <w:bookmarkEnd w:id="411"/>
      <w:r>
        <w:rPr>
          <w:b w:val="0"/>
          <w:bCs w:val="0"/>
        </w:rPr>
      </w:r>
      <w:r>
        <w:rPr>
          <w:rFonts w:ascii="Times New Roman" w:hAnsi="Times New Roman" w:cs="Times New Roman" w:eastAsia="Times New Roman" w:hint="default"/>
        </w:rPr>
        <w:t>8</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left="1133" w:right="0"/>
        <w:jc w:val="left"/>
        <w:rPr>
          <w:b w:val="0"/>
          <w:bCs w:val="0"/>
        </w:rPr>
      </w:pPr>
      <w:bookmarkStart w:name="十三、股份支付" w:id="412"/>
      <w:bookmarkEnd w:id="412"/>
      <w:r>
        <w:rPr>
          <w:b w:val="0"/>
          <w:bCs w:val="0"/>
        </w:rPr>
      </w:r>
      <w:r>
        <w:rPr/>
        <w:t>十三、股份支付</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33" w:right="0"/>
        <w:jc w:val="left"/>
        <w:rPr>
          <w:b w:val="0"/>
          <w:bCs w:val="0"/>
        </w:rPr>
      </w:pPr>
      <w:bookmarkStart w:name="1、股份支付总体情况" w:id="413"/>
      <w:bookmarkEnd w:id="413"/>
      <w:r>
        <w:rPr>
          <w:b w:val="0"/>
          <w:bCs w:val="0"/>
        </w:rPr>
      </w:r>
      <w:r>
        <w:rPr>
          <w:rFonts w:ascii="Times New Roman" w:hAnsi="Times New Roman" w:cs="Times New Roman" w:eastAsia="Times New Roman" w:hint="default"/>
        </w:rPr>
        <w:t>1</w:t>
      </w:r>
      <w:r>
        <w:rPr/>
        <w:t>、股份支付总体情况</w:t>
      </w:r>
      <w:r>
        <w:rPr>
          <w:b w:val="0"/>
          <w:bCs w:val="0"/>
        </w:rPr>
      </w:r>
    </w:p>
    <w:p>
      <w:pPr>
        <w:spacing w:line="240" w:lineRule="auto" w:before="8"/>
        <w:rPr>
          <w:rFonts w:ascii="宋体" w:hAnsi="宋体" w:cs="宋体" w:eastAsia="宋体" w:hint="default"/>
          <w:b/>
          <w:bCs/>
          <w:sz w:val="26"/>
          <w:szCs w:val="26"/>
        </w:rPr>
      </w:pPr>
    </w:p>
    <w:p>
      <w:pPr>
        <w:spacing w:before="0"/>
        <w:ind w:left="1133"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以权益结算的股份支付情况" w:id="414"/>
      <w:bookmarkEnd w:id="414"/>
      <w:r>
        <w:rPr>
          <w:b w:val="0"/>
          <w:bCs w:val="0"/>
        </w:rPr>
      </w:r>
      <w:r>
        <w:rPr>
          <w:rFonts w:ascii="Times New Roman" w:hAnsi="Times New Roman" w:cs="Times New Roman" w:eastAsia="Times New Roman" w:hint="default"/>
        </w:rPr>
        <w:t>2</w:t>
      </w:r>
      <w:r>
        <w:rPr/>
        <w:t>、以权益结算的股份支付情况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3、以现金结算的股份支付情况" w:id="415"/>
      <w:bookmarkEnd w:id="415"/>
      <w:r>
        <w:rPr>
          <w:b w:val="0"/>
          <w:bCs w:val="0"/>
        </w:rPr>
      </w:r>
      <w:r>
        <w:rPr>
          <w:rFonts w:ascii="Times New Roman" w:hAnsi="Times New Roman" w:cs="Times New Roman" w:eastAsia="Times New Roman" w:hint="default"/>
        </w:rPr>
        <w:t>3</w:t>
      </w:r>
      <w:r>
        <w:rPr/>
        <w:t>、以现金结算的股份支付情况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4、股份支付的修改、终止情况" w:id="416"/>
      <w:bookmarkEnd w:id="416"/>
      <w:r>
        <w:rPr>
          <w:b w:val="0"/>
          <w:bCs w:val="0"/>
        </w:rPr>
      </w:r>
      <w:r>
        <w:rPr>
          <w:rFonts w:ascii="Times New Roman" w:hAnsi="Times New Roman" w:cs="Times New Roman" w:eastAsia="Times New Roman" w:hint="default"/>
        </w:rPr>
        <w:t>4</w:t>
      </w:r>
      <w:r>
        <w:rPr/>
        <w:t>、股份支付的修改、终止情况</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5、其他" w:id="417"/>
      <w:bookmarkEnd w:id="417"/>
      <w:r>
        <w:rPr>
          <w:b w:val="0"/>
          <w:bCs w:val="0"/>
        </w:rPr>
      </w:r>
      <w:r>
        <w:rPr>
          <w:rFonts w:ascii="Times New Roman" w:hAnsi="Times New Roman" w:cs="Times New Roman" w:eastAsia="Times New Roman" w:hint="default"/>
        </w:rPr>
        <w:t>5</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2"/>
        <w:spacing w:line="240" w:lineRule="auto" w:before="9"/>
        <w:ind w:right="0"/>
        <w:jc w:val="left"/>
        <w:rPr>
          <w:b w:val="0"/>
          <w:bCs w:val="0"/>
        </w:rPr>
      </w:pPr>
      <w:bookmarkStart w:name="十四、承诺及或有事项" w:id="418"/>
      <w:bookmarkEnd w:id="418"/>
      <w:r>
        <w:rPr>
          <w:b w:val="0"/>
          <w:bCs w:val="0"/>
        </w:rPr>
      </w:r>
      <w:r>
        <w:rPr/>
        <w:t>十四、承诺及或有事项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重要承诺事项" w:id="419"/>
      <w:bookmarkEnd w:id="419"/>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8"/>
        <w:rPr>
          <w:rFonts w:ascii="宋体" w:hAnsi="宋体" w:cs="宋体" w:eastAsia="宋体" w:hint="default"/>
          <w:b/>
          <w:bCs/>
          <w:sz w:val="32"/>
          <w:szCs w:val="32"/>
        </w:rPr>
      </w:pPr>
    </w:p>
    <w:p>
      <w:pPr>
        <w:pStyle w:val="BodyText"/>
        <w:spacing w:line="516" w:lineRule="auto"/>
        <w:ind w:left="1494" w:right="4947" w:hanging="360"/>
        <w:jc w:val="left"/>
      </w:pPr>
      <w:r>
        <w:rPr/>
        <w:t>资产负债表日存在的重要承诺 截止</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日止，公司尚未结清的银行保函为</w:t>
      </w:r>
      <w:r>
        <w:rPr>
          <w:rFonts w:ascii="Times New Roman" w:hAnsi="Times New Roman" w:cs="Times New Roman" w:eastAsia="Times New Roman" w:hint="default"/>
        </w:rPr>
        <w:t>7,958,203.28</w:t>
      </w:r>
      <w:r>
        <w:rPr/>
        <w:t>元。</w:t>
      </w:r>
    </w:p>
    <w:p>
      <w:pPr>
        <w:spacing w:line="240" w:lineRule="auto" w:before="4"/>
        <w:rPr>
          <w:rFonts w:ascii="宋体" w:hAnsi="宋体" w:cs="宋体" w:eastAsia="宋体" w:hint="default"/>
          <w:sz w:val="14"/>
          <w:szCs w:val="14"/>
        </w:rPr>
      </w:pPr>
    </w:p>
    <w:p>
      <w:pPr>
        <w:pStyle w:val="Heading3"/>
        <w:spacing w:line="240" w:lineRule="auto"/>
        <w:ind w:left="1133" w:right="0"/>
        <w:jc w:val="left"/>
        <w:rPr>
          <w:b w:val="0"/>
          <w:bCs w:val="0"/>
        </w:rPr>
      </w:pPr>
      <w:bookmarkStart w:name="2、或有事项" w:id="420"/>
      <w:bookmarkEnd w:id="420"/>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left="1133" w:right="0"/>
        <w:jc w:val="left"/>
        <w:rPr>
          <w:b w:val="0"/>
          <w:bCs w:val="0"/>
        </w:rPr>
      </w:pPr>
      <w:bookmarkStart w:name="（1）资产负债表日存在的重要或有事项" w:id="421"/>
      <w:bookmarkEnd w:id="421"/>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right="0"/>
        <w:jc w:val="left"/>
      </w:pPr>
      <w:r>
        <w:rPr/>
        <w:t>未决诉讼：</w:t>
      </w:r>
    </w:p>
    <w:p>
      <w:pPr>
        <w:spacing w:line="240" w:lineRule="auto" w:before="13"/>
        <w:rPr>
          <w:rFonts w:ascii="宋体" w:hAnsi="宋体" w:cs="宋体" w:eastAsia="宋体" w:hint="default"/>
          <w:sz w:val="10"/>
          <w:szCs w:val="10"/>
        </w:rPr>
      </w:pPr>
    </w:p>
    <w:tbl>
      <w:tblPr>
        <w:tblW w:w="0" w:type="auto"/>
        <w:jc w:val="left"/>
        <w:tblInd w:w="1126" w:type="dxa"/>
        <w:tblLayout w:type="fixed"/>
        <w:tblCellMar>
          <w:top w:w="0" w:type="dxa"/>
          <w:left w:w="0" w:type="dxa"/>
          <w:bottom w:w="0" w:type="dxa"/>
          <w:right w:w="0" w:type="dxa"/>
        </w:tblCellMar>
        <w:tblLook w:val="01E0"/>
      </w:tblPr>
      <w:tblGrid>
        <w:gridCol w:w="4268"/>
        <w:gridCol w:w="674"/>
        <w:gridCol w:w="650"/>
        <w:gridCol w:w="896"/>
        <w:gridCol w:w="1586"/>
        <w:gridCol w:w="1584"/>
      </w:tblGrid>
      <w:tr>
        <w:trPr>
          <w:trHeight w:val="664" w:hRule="exact"/>
        </w:trPr>
        <w:tc>
          <w:tcPr>
            <w:tcW w:w="4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3"/>
              <w:ind w:right="1"/>
              <w:jc w:val="center"/>
              <w:rPr>
                <w:rFonts w:ascii="宋体" w:hAnsi="宋体" w:cs="宋体" w:eastAsia="宋体" w:hint="default"/>
                <w:sz w:val="15"/>
                <w:szCs w:val="15"/>
              </w:rPr>
            </w:pPr>
            <w:r>
              <w:rPr>
                <w:rFonts w:ascii="宋体" w:hAnsi="宋体" w:cs="宋体" w:eastAsia="宋体" w:hint="default"/>
                <w:sz w:val="15"/>
                <w:szCs w:val="15"/>
              </w:rPr>
              <w:t>诉讼</w:t>
            </w:r>
            <w:r>
              <w:rPr>
                <w:rFonts w:ascii="Times New Roman" w:hAnsi="Times New Roman" w:cs="Times New Roman" w:eastAsia="Times New Roman" w:hint="default"/>
                <w:sz w:val="15"/>
                <w:szCs w:val="15"/>
              </w:rPr>
              <w:t>(</w:t>
            </w:r>
            <w:r>
              <w:rPr>
                <w:rFonts w:ascii="宋体" w:hAnsi="宋体" w:cs="宋体" w:eastAsia="宋体" w:hint="default"/>
                <w:sz w:val="15"/>
                <w:szCs w:val="15"/>
              </w:rPr>
              <w:t>仲裁</w:t>
            </w:r>
            <w:r>
              <w:rPr>
                <w:rFonts w:ascii="Times New Roman" w:hAnsi="Times New Roman" w:cs="Times New Roman" w:eastAsia="Times New Roman" w:hint="default"/>
                <w:sz w:val="15"/>
                <w:szCs w:val="15"/>
              </w:rPr>
              <w:t>)</w:t>
            </w:r>
            <w:r>
              <w:rPr>
                <w:rFonts w:ascii="宋体" w:hAnsi="宋体" w:cs="宋体" w:eastAsia="宋体" w:hint="default"/>
                <w:sz w:val="15"/>
                <w:szCs w:val="15"/>
              </w:rPr>
              <w:t>基本情况</w:t>
            </w:r>
          </w:p>
        </w:tc>
        <w:tc>
          <w:tcPr>
            <w:tcW w:w="67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3"/>
              <w:ind w:left="29" w:right="0"/>
              <w:jc w:val="left"/>
              <w:rPr>
                <w:rFonts w:ascii="宋体" w:hAnsi="宋体" w:cs="宋体" w:eastAsia="宋体" w:hint="default"/>
                <w:sz w:val="15"/>
                <w:szCs w:val="15"/>
              </w:rPr>
            </w:pPr>
            <w:r>
              <w:rPr>
                <w:rFonts w:ascii="宋体" w:hAnsi="宋体" w:cs="宋体" w:eastAsia="宋体" w:hint="default"/>
                <w:sz w:val="15"/>
                <w:szCs w:val="15"/>
              </w:rPr>
              <w:t>涉案金额</w:t>
            </w:r>
          </w:p>
          <w:p>
            <w:pPr>
              <w:pStyle w:val="TableParagraph"/>
              <w:spacing w:line="240" w:lineRule="auto" w:before="115"/>
              <w:ind w:left="29" w:right="0"/>
              <w:jc w:val="left"/>
              <w:rPr>
                <w:rFonts w:ascii="宋体" w:hAnsi="宋体" w:cs="宋体" w:eastAsia="宋体" w:hint="default"/>
                <w:sz w:val="15"/>
                <w:szCs w:val="15"/>
              </w:rPr>
            </w:pPr>
            <w:r>
              <w:rPr>
                <w:rFonts w:ascii="宋体" w:hAnsi="宋体" w:cs="宋体" w:eastAsia="宋体" w:hint="default"/>
                <w:sz w:val="15"/>
                <w:szCs w:val="15"/>
              </w:rPr>
              <w:t>（万元）</w:t>
            </w:r>
          </w:p>
        </w:tc>
        <w:tc>
          <w:tcPr>
            <w:tcW w:w="65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81" w:lineRule="auto" w:before="43"/>
              <w:ind w:left="17" w:right="17"/>
              <w:jc w:val="left"/>
              <w:rPr>
                <w:rFonts w:ascii="宋体" w:hAnsi="宋体" w:cs="宋体" w:eastAsia="宋体" w:hint="default"/>
                <w:sz w:val="15"/>
                <w:szCs w:val="15"/>
              </w:rPr>
            </w:pPr>
            <w:r>
              <w:rPr>
                <w:rFonts w:ascii="宋体" w:hAnsi="宋体" w:cs="宋体" w:eastAsia="宋体" w:hint="default"/>
                <w:sz w:val="15"/>
                <w:szCs w:val="15"/>
              </w:rPr>
              <w:t>是否形成 预计负债</w:t>
            </w:r>
          </w:p>
        </w:tc>
        <w:tc>
          <w:tcPr>
            <w:tcW w:w="89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60" w:lineRule="auto" w:before="43"/>
              <w:ind w:left="364" w:right="13" w:hanging="350"/>
              <w:jc w:val="left"/>
              <w:rPr>
                <w:rFonts w:ascii="宋体" w:hAnsi="宋体" w:cs="宋体" w:eastAsia="宋体" w:hint="default"/>
                <w:sz w:val="15"/>
                <w:szCs w:val="15"/>
              </w:rPr>
            </w:pPr>
            <w:r>
              <w:rPr>
                <w:rFonts w:ascii="宋体" w:hAnsi="宋体" w:cs="宋体" w:eastAsia="宋体" w:hint="default"/>
                <w:sz w:val="15"/>
                <w:szCs w:val="15"/>
              </w:rPr>
              <w:t>诉讼</w:t>
            </w:r>
            <w:r>
              <w:rPr>
                <w:rFonts w:ascii="Times New Roman" w:hAnsi="Times New Roman" w:cs="Times New Roman" w:eastAsia="Times New Roman" w:hint="default"/>
                <w:sz w:val="15"/>
                <w:szCs w:val="15"/>
              </w:rPr>
              <w:t>(</w:t>
            </w:r>
            <w:r>
              <w:rPr>
                <w:rFonts w:ascii="宋体" w:hAnsi="宋体" w:cs="宋体" w:eastAsia="宋体" w:hint="default"/>
                <w:sz w:val="15"/>
                <w:szCs w:val="15"/>
              </w:rPr>
              <w:t>仲裁</w:t>
            </w:r>
            <w:r>
              <w:rPr>
                <w:rFonts w:ascii="Times New Roman" w:hAnsi="Times New Roman" w:cs="Times New Roman" w:eastAsia="Times New Roman" w:hint="default"/>
                <w:sz w:val="15"/>
                <w:szCs w:val="15"/>
              </w:rPr>
              <w:t>)</w:t>
            </w:r>
            <w:r>
              <w:rPr>
                <w:rFonts w:ascii="宋体" w:hAnsi="宋体" w:cs="宋体" w:eastAsia="宋体" w:hint="default"/>
                <w:sz w:val="15"/>
                <w:szCs w:val="15"/>
              </w:rPr>
              <w:t>进 展</w:t>
            </w:r>
          </w:p>
        </w:tc>
        <w:tc>
          <w:tcPr>
            <w:tcW w:w="158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60" w:lineRule="auto" w:before="43"/>
              <w:ind w:left="635" w:right="59" w:hanging="576"/>
              <w:jc w:val="left"/>
              <w:rPr>
                <w:rFonts w:ascii="宋体" w:hAnsi="宋体" w:cs="宋体" w:eastAsia="宋体" w:hint="default"/>
                <w:sz w:val="15"/>
                <w:szCs w:val="15"/>
              </w:rPr>
            </w:pPr>
            <w:r>
              <w:rPr>
                <w:rFonts w:ascii="宋体" w:hAnsi="宋体" w:cs="宋体" w:eastAsia="宋体" w:hint="default"/>
                <w:sz w:val="15"/>
                <w:szCs w:val="15"/>
              </w:rPr>
              <w:t>诉讼</w:t>
            </w:r>
            <w:r>
              <w:rPr>
                <w:rFonts w:ascii="Times New Roman" w:hAnsi="Times New Roman" w:cs="Times New Roman" w:eastAsia="Times New Roman" w:hint="default"/>
                <w:sz w:val="15"/>
                <w:szCs w:val="15"/>
              </w:rPr>
              <w:t>(</w:t>
            </w:r>
            <w:r>
              <w:rPr>
                <w:rFonts w:ascii="宋体" w:hAnsi="宋体" w:cs="宋体" w:eastAsia="宋体" w:hint="default"/>
                <w:sz w:val="15"/>
                <w:szCs w:val="15"/>
              </w:rPr>
              <w:t>仲裁</w:t>
            </w:r>
            <w:r>
              <w:rPr>
                <w:rFonts w:ascii="Times New Roman" w:hAnsi="Times New Roman" w:cs="Times New Roman" w:eastAsia="Times New Roman" w:hint="default"/>
                <w:sz w:val="15"/>
                <w:szCs w:val="15"/>
              </w:rPr>
              <w:t>)</w:t>
            </w:r>
            <w:r>
              <w:rPr>
                <w:rFonts w:ascii="宋体" w:hAnsi="宋体" w:cs="宋体" w:eastAsia="宋体" w:hint="default"/>
                <w:sz w:val="15"/>
                <w:szCs w:val="15"/>
              </w:rPr>
              <w:t>审理结果及 影响</w:t>
            </w:r>
          </w:p>
        </w:tc>
        <w:tc>
          <w:tcPr>
            <w:tcW w:w="15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60" w:lineRule="auto" w:before="43"/>
              <w:ind w:left="709" w:right="59" w:hanging="650"/>
              <w:jc w:val="left"/>
              <w:rPr>
                <w:rFonts w:ascii="宋体" w:hAnsi="宋体" w:cs="宋体" w:eastAsia="宋体" w:hint="default"/>
                <w:sz w:val="15"/>
                <w:szCs w:val="15"/>
              </w:rPr>
            </w:pPr>
            <w:r>
              <w:rPr>
                <w:rFonts w:ascii="宋体" w:hAnsi="宋体" w:cs="宋体" w:eastAsia="宋体" w:hint="default"/>
                <w:sz w:val="15"/>
                <w:szCs w:val="15"/>
              </w:rPr>
              <w:t>诉讼</w:t>
            </w:r>
            <w:r>
              <w:rPr>
                <w:rFonts w:ascii="Times New Roman" w:hAnsi="Times New Roman" w:cs="Times New Roman" w:eastAsia="Times New Roman" w:hint="default"/>
                <w:sz w:val="15"/>
                <w:szCs w:val="15"/>
              </w:rPr>
              <w:t>(</w:t>
            </w:r>
            <w:r>
              <w:rPr>
                <w:rFonts w:ascii="宋体" w:hAnsi="宋体" w:cs="宋体" w:eastAsia="宋体" w:hint="default"/>
                <w:sz w:val="15"/>
                <w:szCs w:val="15"/>
              </w:rPr>
              <w:t>仲裁</w:t>
            </w:r>
            <w:r>
              <w:rPr>
                <w:rFonts w:ascii="Times New Roman" w:hAnsi="Times New Roman" w:cs="Times New Roman" w:eastAsia="Times New Roman" w:hint="default"/>
                <w:sz w:val="15"/>
                <w:szCs w:val="15"/>
              </w:rPr>
              <w:t>)</w:t>
            </w:r>
            <w:r>
              <w:rPr>
                <w:rFonts w:ascii="宋体" w:hAnsi="宋体" w:cs="宋体" w:eastAsia="宋体" w:hint="default"/>
                <w:sz w:val="15"/>
                <w:szCs w:val="15"/>
              </w:rPr>
              <w:t>判决执行情 况</w:t>
            </w:r>
          </w:p>
        </w:tc>
      </w:tr>
      <w:tr>
        <w:trPr>
          <w:trHeight w:val="654" w:hRule="exact"/>
        </w:trPr>
        <w:tc>
          <w:tcPr>
            <w:tcW w:w="4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81" w:lineRule="auto" w:before="39"/>
              <w:ind w:left="2" w:right="49"/>
              <w:jc w:val="left"/>
              <w:rPr>
                <w:rFonts w:ascii="宋体" w:hAnsi="宋体" w:cs="宋体" w:eastAsia="宋体" w:hint="default"/>
                <w:sz w:val="15"/>
                <w:szCs w:val="15"/>
              </w:rPr>
            </w:pPr>
            <w:r>
              <w:rPr>
                <w:rFonts w:ascii="宋体" w:hAnsi="宋体" w:cs="宋体" w:eastAsia="宋体" w:hint="default"/>
                <w:sz w:val="15"/>
                <w:szCs w:val="15"/>
              </w:rPr>
              <w:t>全资子公司北京神州泰岳系统集成有限公司起诉大唐半导体设计 有限公司，要求其支付合同款项并支付相应违约金</w:t>
            </w:r>
          </w:p>
        </w:tc>
        <w:tc>
          <w:tcPr>
            <w:tcW w:w="674"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73"/>
              <w:ind w:left="53" w:right="0"/>
              <w:jc w:val="center"/>
              <w:rPr>
                <w:rFonts w:ascii="Times New Roman" w:hAnsi="Times New Roman" w:cs="Times New Roman" w:eastAsia="Times New Roman" w:hint="default"/>
                <w:sz w:val="15"/>
                <w:szCs w:val="15"/>
              </w:rPr>
            </w:pPr>
            <w:r>
              <w:rPr>
                <w:rFonts w:ascii="Times New Roman"/>
                <w:sz w:val="15"/>
              </w:rPr>
              <w:t>31,515.33</w:t>
            </w:r>
          </w:p>
        </w:tc>
        <w:tc>
          <w:tcPr>
            <w:tcW w:w="65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4"/>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896"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法院已受理</w:t>
            </w:r>
          </w:p>
        </w:tc>
        <w:tc>
          <w:tcPr>
            <w:tcW w:w="1586"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4"/>
              <w:ind w:left="2" w:right="0"/>
              <w:jc w:val="left"/>
              <w:rPr>
                <w:rFonts w:ascii="宋体" w:hAnsi="宋体" w:cs="宋体" w:eastAsia="宋体" w:hint="default"/>
                <w:sz w:val="15"/>
                <w:szCs w:val="15"/>
              </w:rPr>
            </w:pPr>
            <w:r>
              <w:rPr>
                <w:rFonts w:ascii="宋体" w:hAnsi="宋体" w:cs="宋体" w:eastAsia="宋体" w:hint="default"/>
                <w:sz w:val="15"/>
                <w:szCs w:val="15"/>
              </w:rPr>
              <w:t>上述案件尚未开庭审理</w:t>
            </w:r>
          </w:p>
        </w:tc>
        <w:tc>
          <w:tcPr>
            <w:tcW w:w="158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4"/>
              <w:ind w:right="0"/>
              <w:jc w:val="center"/>
              <w:rPr>
                <w:rFonts w:ascii="宋体" w:hAnsi="宋体" w:cs="宋体" w:eastAsia="宋体" w:hint="default"/>
                <w:sz w:val="15"/>
                <w:szCs w:val="15"/>
              </w:rPr>
            </w:pPr>
            <w:r>
              <w:rPr>
                <w:rFonts w:ascii="宋体" w:hAnsi="宋体" w:cs="宋体" w:eastAsia="宋体" w:hint="default"/>
                <w:sz w:val="15"/>
                <w:szCs w:val="15"/>
              </w:rPr>
              <w:t>目前尚未判决</w:t>
            </w:r>
          </w:p>
        </w:tc>
      </w:tr>
      <w:tr>
        <w:trPr>
          <w:trHeight w:val="659" w:hRule="exact"/>
        </w:trPr>
        <w:tc>
          <w:tcPr>
            <w:tcW w:w="4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81" w:lineRule="auto" w:before="44"/>
              <w:ind w:left="2" w:right="49"/>
              <w:jc w:val="left"/>
              <w:rPr>
                <w:rFonts w:ascii="宋体" w:hAnsi="宋体" w:cs="宋体" w:eastAsia="宋体" w:hint="default"/>
                <w:sz w:val="15"/>
                <w:szCs w:val="15"/>
              </w:rPr>
            </w:pPr>
            <w:r>
              <w:rPr>
                <w:rFonts w:ascii="宋体" w:hAnsi="宋体" w:cs="宋体" w:eastAsia="宋体" w:hint="default"/>
                <w:sz w:val="15"/>
                <w:szCs w:val="15"/>
              </w:rPr>
              <w:t>全资子公司北京神州泰岳系统集成有限公司起诉大唐微电子技术 有限公司，要求其支付合同款项并支付相应违约金</w:t>
            </w:r>
          </w:p>
        </w:tc>
        <w:tc>
          <w:tcPr>
            <w:tcW w:w="674"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78"/>
              <w:ind w:left="53" w:right="0"/>
              <w:jc w:val="center"/>
              <w:rPr>
                <w:rFonts w:ascii="Times New Roman" w:hAnsi="Times New Roman" w:cs="Times New Roman" w:eastAsia="Times New Roman" w:hint="default"/>
                <w:sz w:val="15"/>
                <w:szCs w:val="15"/>
              </w:rPr>
            </w:pPr>
            <w:r>
              <w:rPr>
                <w:rFonts w:ascii="Times New Roman"/>
                <w:sz w:val="15"/>
              </w:rPr>
              <w:t>10,006.66</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法院已受理</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5"/>
                <w:szCs w:val="15"/>
              </w:rPr>
            </w:pPr>
            <w:r>
              <w:rPr>
                <w:rFonts w:ascii="宋体" w:hAnsi="宋体" w:cs="宋体" w:eastAsia="宋体" w:hint="default"/>
                <w:sz w:val="15"/>
                <w:szCs w:val="15"/>
              </w:rPr>
              <w:t>上述案件尚未开庭审理</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目前尚未判决</w:t>
            </w:r>
          </w:p>
        </w:tc>
      </w:tr>
      <w:tr>
        <w:trPr>
          <w:trHeight w:val="972" w:hRule="exact"/>
        </w:trPr>
        <w:tc>
          <w:tcPr>
            <w:tcW w:w="4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81" w:lineRule="auto" w:before="44"/>
              <w:ind w:left="2" w:right="49"/>
              <w:jc w:val="both"/>
              <w:rPr>
                <w:rFonts w:ascii="宋体" w:hAnsi="宋体" w:cs="宋体" w:eastAsia="宋体" w:hint="default"/>
                <w:sz w:val="15"/>
                <w:szCs w:val="15"/>
              </w:rPr>
            </w:pPr>
            <w:r>
              <w:rPr>
                <w:rFonts w:ascii="宋体" w:hAnsi="宋体" w:cs="宋体" w:eastAsia="宋体" w:hint="default"/>
                <w:sz w:val="15"/>
                <w:szCs w:val="15"/>
              </w:rPr>
              <w:t>北京智芯微电子科技有限公司起诉公司全资子公司北京神州泰岳 系统集成有限公司、北京实利通和科技发展有限公司要求解除合 同并赔偿经济损失</w:t>
            </w:r>
          </w:p>
        </w:tc>
        <w:tc>
          <w:tcPr>
            <w:tcW w:w="674" w:type="dxa"/>
            <w:tcBorders>
              <w:top w:val="single" w:sz="6" w:space="0" w:color="000000"/>
              <w:left w:val="single" w:sz="7" w:space="0" w:color="000000"/>
              <w:bottom w:val="single" w:sz="6" w:space="0" w:color="000000"/>
              <w:right w:val="single" w:sz="6" w:space="0" w:color="000000"/>
            </w:tcBorders>
          </w:tcPr>
          <w:p>
            <w:pPr>
              <w:pStyle w:val="TableParagraph"/>
              <w:spacing w:line="240" w:lineRule="auto" w:before="78"/>
              <w:ind w:left="130" w:right="0"/>
              <w:jc w:val="center"/>
              <w:rPr>
                <w:rFonts w:ascii="Times New Roman" w:hAnsi="Times New Roman" w:cs="Times New Roman" w:eastAsia="Times New Roman" w:hint="default"/>
                <w:sz w:val="15"/>
                <w:szCs w:val="15"/>
              </w:rPr>
            </w:pPr>
            <w:r>
              <w:rPr>
                <w:rFonts w:ascii="Times New Roman"/>
                <w:sz w:val="15"/>
              </w:rPr>
              <w:t>4,193.42</w:t>
            </w:r>
          </w:p>
        </w:tc>
        <w:tc>
          <w:tcPr>
            <w:tcW w:w="6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1" w:right="0"/>
              <w:jc w:val="center"/>
              <w:rPr>
                <w:rFonts w:ascii="宋体" w:hAnsi="宋体" w:cs="宋体" w:eastAsia="宋体" w:hint="default"/>
                <w:sz w:val="15"/>
                <w:szCs w:val="15"/>
              </w:rPr>
            </w:pPr>
            <w:r>
              <w:rPr>
                <w:rFonts w:ascii="宋体" w:hAnsi="宋体" w:cs="宋体" w:eastAsia="宋体" w:hint="default"/>
                <w:sz w:val="15"/>
                <w:szCs w:val="15"/>
              </w:rPr>
              <w:t>否</w:t>
            </w:r>
          </w:p>
        </w:tc>
        <w:tc>
          <w:tcPr>
            <w:tcW w:w="896" w:type="dxa"/>
            <w:tcBorders>
              <w:top w:val="single" w:sz="6" w:space="0" w:color="000000"/>
              <w:left w:val="single" w:sz="6" w:space="0" w:color="000000"/>
              <w:bottom w:val="single" w:sz="6" w:space="0" w:color="000000"/>
              <w:right w:val="single" w:sz="6" w:space="0" w:color="000000"/>
            </w:tcBorders>
          </w:tcPr>
          <w:p>
            <w:pPr>
              <w:pStyle w:val="TableParagraph"/>
              <w:spacing w:line="381" w:lineRule="auto" w:before="44"/>
              <w:ind w:left="2" w:right="127"/>
              <w:jc w:val="left"/>
              <w:rPr>
                <w:rFonts w:ascii="宋体" w:hAnsi="宋体" w:cs="宋体" w:eastAsia="宋体" w:hint="default"/>
                <w:sz w:val="15"/>
                <w:szCs w:val="15"/>
              </w:rPr>
            </w:pPr>
            <w:r>
              <w:rPr>
                <w:rFonts w:ascii="宋体" w:hAnsi="宋体" w:cs="宋体" w:eastAsia="宋体" w:hint="default"/>
                <w:sz w:val="15"/>
                <w:szCs w:val="15"/>
              </w:rPr>
              <w:t>法院已开庭 审理</w:t>
            </w:r>
          </w:p>
        </w:tc>
        <w:tc>
          <w:tcPr>
            <w:tcW w:w="15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left="2" w:right="0"/>
              <w:jc w:val="left"/>
              <w:rPr>
                <w:rFonts w:ascii="宋体" w:hAnsi="宋体" w:cs="宋体" w:eastAsia="宋体" w:hint="default"/>
                <w:sz w:val="15"/>
                <w:szCs w:val="15"/>
              </w:rPr>
            </w:pPr>
            <w:r>
              <w:rPr>
                <w:rFonts w:ascii="宋体" w:hAnsi="宋体" w:cs="宋体" w:eastAsia="宋体" w:hint="default"/>
                <w:sz w:val="15"/>
                <w:szCs w:val="15"/>
              </w:rPr>
              <w:t>法院已开庭审理</w:t>
            </w:r>
          </w:p>
        </w:tc>
        <w:tc>
          <w:tcPr>
            <w:tcW w:w="1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4"/>
              <w:ind w:right="0"/>
              <w:jc w:val="center"/>
              <w:rPr>
                <w:rFonts w:ascii="宋体" w:hAnsi="宋体" w:cs="宋体" w:eastAsia="宋体" w:hint="default"/>
                <w:sz w:val="15"/>
                <w:szCs w:val="15"/>
              </w:rPr>
            </w:pPr>
            <w:r>
              <w:rPr>
                <w:rFonts w:ascii="宋体" w:hAnsi="宋体" w:cs="宋体" w:eastAsia="宋体" w:hint="default"/>
                <w:sz w:val="15"/>
                <w:szCs w:val="15"/>
              </w:rPr>
              <w:t>目前尚未判决</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2）公司没有需要披露的重要或有事项，也应予以说明" w:id="422"/>
      <w:bookmarkEnd w:id="422"/>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公司不存在需要披露的重要或有事项。</w:t>
      </w: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4"/>
          <w:szCs w:val="14"/>
        </w:rPr>
      </w:pPr>
    </w:p>
    <w:p>
      <w:pPr>
        <w:pStyle w:val="Heading3"/>
        <w:spacing w:line="240" w:lineRule="auto"/>
        <w:ind w:right="0"/>
        <w:jc w:val="left"/>
        <w:rPr>
          <w:b w:val="0"/>
          <w:bCs w:val="0"/>
        </w:rPr>
      </w:pPr>
      <w:bookmarkStart w:name="3、其他" w:id="423"/>
      <w:bookmarkEnd w:id="423"/>
      <w:r>
        <w:rPr>
          <w:b w:val="0"/>
          <w:bCs w:val="0"/>
        </w:rPr>
      </w:r>
      <w:r>
        <w:rPr>
          <w:rFonts w:ascii="Times New Roman" w:hAnsi="Times New Roman" w:cs="Times New Roman" w:eastAsia="Times New Roman" w:hint="default"/>
        </w:rPr>
        <w:t>3</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pStyle w:val="Heading2"/>
        <w:spacing w:line="240" w:lineRule="auto"/>
        <w:ind w:right="0"/>
        <w:jc w:val="left"/>
        <w:rPr>
          <w:b w:val="0"/>
          <w:bCs w:val="0"/>
        </w:rPr>
      </w:pPr>
      <w:bookmarkStart w:name="十五、资产负债表日后事项" w:id="424"/>
      <w:bookmarkEnd w:id="424"/>
      <w:r>
        <w:rPr>
          <w:b w:val="0"/>
          <w:bCs w:val="0"/>
        </w:rPr>
      </w:r>
      <w:r>
        <w:rPr/>
        <w:t>十五、资产负债表日后事项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重要的非调整事项" w:id="425"/>
      <w:bookmarkEnd w:id="425"/>
      <w:r>
        <w:rPr>
          <w:b w:val="0"/>
          <w:bCs w:val="0"/>
        </w:rPr>
      </w:r>
      <w:r>
        <w:rPr>
          <w:rFonts w:ascii="Times New Roman" w:hAnsi="Times New Roman" w:cs="Times New Roman" w:eastAsia="Times New Roman" w:hint="default"/>
        </w:rPr>
        <w:t>1</w:t>
      </w:r>
      <w:r>
        <w:rPr/>
        <w:t>、重要的非调整事项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1494" w:right="0"/>
        <w:jc w:val="left"/>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2、利润分配情况" w:id="426"/>
      <w:bookmarkEnd w:id="426"/>
      <w:r>
        <w:rPr>
          <w:b w:val="0"/>
          <w:bCs w:val="0"/>
        </w:rPr>
      </w:r>
      <w:r>
        <w:rPr>
          <w:rFonts w:ascii="Times New Roman" w:hAnsi="Times New Roman" w:cs="Times New Roman" w:eastAsia="Times New Roman" w:hint="default"/>
        </w:rPr>
        <w:t>2</w:t>
      </w:r>
      <w:r>
        <w:rPr/>
        <w:t>、利润分配情况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4984"/>
        <w:gridCol w:w="4585"/>
      </w:tblGrid>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13,727,643.89</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left="0" w:right="8477"/>
        <w:jc w:val="center"/>
        <w:rPr>
          <w:b w:val="0"/>
          <w:bCs w:val="0"/>
        </w:rPr>
      </w:pPr>
      <w:bookmarkStart w:name="3、销售退回" w:id="427"/>
      <w:bookmarkEnd w:id="427"/>
      <w:r>
        <w:rPr>
          <w:b w:val="0"/>
          <w:bCs w:val="0"/>
        </w:rPr>
      </w:r>
      <w:r>
        <w:rPr>
          <w:rFonts w:ascii="Times New Roman" w:hAnsi="Times New Roman" w:cs="Times New Roman" w:eastAsia="Times New Roman" w:hint="default"/>
        </w:rPr>
        <w:t>3</w:t>
      </w:r>
      <w:r>
        <w:rPr/>
        <w:t>、销售退回</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8556"/>
        <w:jc w:val="center"/>
      </w:pPr>
      <w:r>
        <w:rPr/>
        <w:t>无。</w:t>
      </w:r>
    </w:p>
    <w:p>
      <w:pPr>
        <w:spacing w:line="240" w:lineRule="auto" w:before="12"/>
        <w:rPr>
          <w:rFonts w:ascii="宋体" w:hAnsi="宋体" w:cs="宋体" w:eastAsia="宋体" w:hint="default"/>
          <w:sz w:val="26"/>
          <w:szCs w:val="26"/>
        </w:rPr>
      </w:pPr>
    </w:p>
    <w:p>
      <w:pPr>
        <w:pStyle w:val="Heading3"/>
        <w:spacing w:line="240" w:lineRule="auto"/>
        <w:ind w:right="0"/>
        <w:jc w:val="left"/>
        <w:rPr>
          <w:b w:val="0"/>
          <w:bCs w:val="0"/>
        </w:rPr>
      </w:pPr>
      <w:bookmarkStart w:name="4、其他资产负债表日后事项说明" w:id="428"/>
      <w:bookmarkEnd w:id="428"/>
      <w:r>
        <w:rPr>
          <w:b w:val="0"/>
          <w:bCs w:val="0"/>
        </w:rPr>
      </w:r>
      <w:r>
        <w:rPr>
          <w:rFonts w:ascii="Times New Roman" w:hAnsi="Times New Roman" w:cs="Times New Roman" w:eastAsia="Times New Roman" w:hint="default"/>
        </w:rPr>
        <w:t>4</w:t>
      </w:r>
      <w:r>
        <w:rPr/>
        <w:t>、其他资产负债表日后事项说明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0" w:right="8556"/>
        <w:jc w:val="center"/>
      </w:pPr>
      <w:r>
        <w:rPr/>
        <w:t>无。</w:t>
      </w:r>
    </w:p>
    <w:p>
      <w:pPr>
        <w:spacing w:line="240" w:lineRule="auto" w:before="2"/>
        <w:rPr>
          <w:rFonts w:ascii="宋体" w:hAnsi="宋体" w:cs="宋体" w:eastAsia="宋体" w:hint="default"/>
          <w:sz w:val="25"/>
          <w:szCs w:val="25"/>
        </w:rPr>
      </w:pPr>
    </w:p>
    <w:p>
      <w:pPr>
        <w:pStyle w:val="Heading2"/>
        <w:spacing w:line="240" w:lineRule="auto"/>
        <w:ind w:right="0"/>
        <w:jc w:val="left"/>
        <w:rPr>
          <w:b w:val="0"/>
          <w:bCs w:val="0"/>
        </w:rPr>
      </w:pPr>
      <w:bookmarkStart w:name="十六、其他重要事项" w:id="429"/>
      <w:bookmarkEnd w:id="429"/>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前期会计差错更正" w:id="430"/>
      <w:bookmarkEnd w:id="430"/>
      <w:r>
        <w:rPr>
          <w:b w:val="0"/>
          <w:bCs w:val="0"/>
        </w:rPr>
      </w:r>
      <w:r>
        <w:rPr>
          <w:rFonts w:ascii="Times New Roman" w:hAnsi="Times New Roman" w:cs="Times New Roman" w:eastAsia="Times New Roman" w:hint="default"/>
        </w:rPr>
        <w:t>1</w:t>
      </w:r>
      <w:r>
        <w:rPr/>
        <w:t>、前期会计差错更正</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0" w:right="8477"/>
        <w:jc w:val="center"/>
        <w:rPr>
          <w:b w:val="0"/>
          <w:bCs w:val="0"/>
        </w:rPr>
      </w:pPr>
      <w:bookmarkStart w:name="2、债务重组" w:id="431"/>
      <w:bookmarkEnd w:id="431"/>
      <w:r>
        <w:rPr>
          <w:b w:val="0"/>
          <w:bCs w:val="0"/>
        </w:rPr>
      </w:r>
      <w:r>
        <w:rPr>
          <w:rFonts w:ascii="Times New Roman" w:hAnsi="Times New Roman" w:cs="Times New Roman" w:eastAsia="Times New Roman" w:hint="default"/>
        </w:rPr>
        <w:t>2</w:t>
      </w:r>
      <w:r>
        <w:rPr/>
        <w:t>、债务重组</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0" w:right="8477"/>
        <w:jc w:val="center"/>
        <w:rPr>
          <w:b w:val="0"/>
          <w:bCs w:val="0"/>
        </w:rPr>
      </w:pPr>
      <w:bookmarkStart w:name="3、资产置换" w:id="432"/>
      <w:bookmarkEnd w:id="432"/>
      <w:r>
        <w:rPr>
          <w:b w:val="0"/>
          <w:bCs w:val="0"/>
        </w:rPr>
      </w:r>
      <w:r>
        <w:rPr>
          <w:rFonts w:ascii="Times New Roman" w:hAnsi="Times New Roman" w:cs="Times New Roman" w:eastAsia="Times New Roman" w:hint="default"/>
        </w:rPr>
        <w:t>3</w:t>
      </w:r>
      <w:r>
        <w:rPr/>
        <w:t>、资产置换</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left="0" w:right="8477"/>
        <w:jc w:val="center"/>
        <w:rPr>
          <w:b w:val="0"/>
          <w:bCs w:val="0"/>
        </w:rPr>
      </w:pPr>
      <w:bookmarkStart w:name="4、年金计划" w:id="433"/>
      <w:bookmarkEnd w:id="433"/>
      <w:r>
        <w:rPr>
          <w:b w:val="0"/>
          <w:bCs w:val="0"/>
        </w:rPr>
      </w:r>
      <w:r>
        <w:rPr>
          <w:rFonts w:ascii="Times New Roman" w:hAnsi="Times New Roman" w:cs="Times New Roman" w:eastAsia="Times New Roman" w:hint="default"/>
        </w:rPr>
        <w:t>4</w:t>
      </w:r>
      <w:r>
        <w:rPr/>
        <w:t>、年金计划</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0" w:right="8477"/>
        <w:jc w:val="center"/>
        <w:rPr>
          <w:b w:val="0"/>
          <w:bCs w:val="0"/>
        </w:rPr>
      </w:pPr>
      <w:bookmarkStart w:name="5、终止经营" w:id="434"/>
      <w:bookmarkEnd w:id="434"/>
      <w:r>
        <w:rPr>
          <w:b w:val="0"/>
          <w:bCs w:val="0"/>
        </w:rPr>
      </w:r>
      <w:r>
        <w:rPr>
          <w:rFonts w:ascii="Times New Roman" w:hAnsi="Times New Roman" w:cs="Times New Roman" w:eastAsia="Times New Roman" w:hint="default"/>
        </w:rPr>
        <w:t>5</w:t>
      </w:r>
      <w:r>
        <w:rPr/>
        <w:t>、终止经营</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0" w:right="8556"/>
        <w:jc w:val="center"/>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0" w:right="8477"/>
        <w:jc w:val="center"/>
        <w:rPr>
          <w:b w:val="0"/>
          <w:bCs w:val="0"/>
        </w:rPr>
      </w:pPr>
      <w:bookmarkStart w:name="6、分部信息" w:id="435"/>
      <w:bookmarkEnd w:id="435"/>
      <w:r>
        <w:rPr>
          <w:b w:val="0"/>
          <w:bCs w:val="0"/>
        </w:rPr>
      </w:r>
      <w:r>
        <w:rPr>
          <w:rFonts w:ascii="Times New Roman" w:hAnsi="Times New Roman" w:cs="Times New Roman" w:eastAsia="Times New Roman" w:hint="default"/>
        </w:rPr>
        <w:t>6</w:t>
      </w:r>
      <w:r>
        <w:rPr/>
        <w:t>、分部信息</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报告分部的确定依据与会计政策" w:id="436"/>
      <w:bookmarkEnd w:id="436"/>
      <w:r>
        <w:rPr>
          <w:b w:val="0"/>
          <w:bCs w:val="0"/>
        </w:rPr>
      </w:r>
      <w:r>
        <w:rPr/>
        <w:t>（</w:t>
      </w:r>
      <w:r>
        <w:rPr>
          <w:rFonts w:ascii="Times New Roman" w:hAnsi="Times New Roman" w:cs="Times New Roman" w:eastAsia="Times New Roman" w:hint="default"/>
        </w:rPr>
        <w:t>1</w:t>
      </w:r>
      <w:r>
        <w:rPr/>
        <w:t>）报告分部的确定依据与会计政策</w:t>
      </w:r>
      <w:r>
        <w:rPr>
          <w:b w:val="0"/>
          <w:bCs w:val="0"/>
        </w:rPr>
      </w:r>
    </w:p>
    <w:p>
      <w:pPr>
        <w:spacing w:line="240" w:lineRule="auto" w:before="6"/>
        <w:rPr>
          <w:rFonts w:ascii="宋体" w:hAnsi="宋体" w:cs="宋体" w:eastAsia="宋体" w:hint="default"/>
          <w:b/>
          <w:bCs/>
          <w:sz w:val="32"/>
          <w:szCs w:val="32"/>
        </w:rPr>
      </w:pPr>
    </w:p>
    <w:p>
      <w:pPr>
        <w:pStyle w:val="BodyText"/>
        <w:spacing w:line="460" w:lineRule="auto"/>
        <w:ind w:right="1132" w:firstLine="360"/>
        <w:jc w:val="both"/>
      </w:pPr>
      <w:r>
        <w:rPr>
          <w:spacing w:val="-1"/>
        </w:rPr>
        <w:t>根据本公司的内部组织结构、管理要求及内部报告制度确定了</w:t>
      </w:r>
      <w:r>
        <w:rPr>
          <w:rFonts w:ascii="Times New Roman" w:hAnsi="Times New Roman" w:cs="Times New Roman" w:eastAsia="Times New Roman" w:hint="default"/>
          <w:spacing w:val="-1"/>
        </w:rPr>
        <w:t>4</w:t>
      </w:r>
      <w:r>
        <w:rPr>
          <w:spacing w:val="-1"/>
        </w:rPr>
        <w:t>个报告分部，分别为（</w:t>
      </w: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ICT</w:t>
      </w:r>
      <w:r>
        <w:rPr>
          <w:spacing w:val="-1"/>
        </w:rPr>
        <w:t>领域运营管理软件研发和</w:t>
      </w:r>
      <w:r>
        <w:rPr/>
        <w:t> 服务（</w:t>
      </w:r>
      <w:r>
        <w:rPr>
          <w:rFonts w:ascii="Times New Roman" w:hAnsi="Times New Roman" w:cs="Times New Roman" w:eastAsia="Times New Roman" w:hint="default"/>
        </w:rPr>
        <w:t>ICT</w:t>
      </w:r>
      <w:r>
        <w:rPr/>
        <w:t>解决方案、系统集成、移动互联网运营、人工智能与大数据）（</w:t>
      </w:r>
      <w:r>
        <w:rPr>
          <w:rFonts w:ascii="Times New Roman" w:hAnsi="Times New Roman" w:cs="Times New Roman" w:eastAsia="Times New Roman" w:hint="default"/>
        </w:rPr>
        <w:t>2</w:t>
      </w:r>
      <w:r>
        <w:rPr/>
        <w:t>）手机游戏（</w:t>
      </w:r>
      <w:r>
        <w:rPr>
          <w:rFonts w:ascii="Times New Roman" w:hAnsi="Times New Roman" w:cs="Times New Roman" w:eastAsia="Times New Roman" w:hint="default"/>
        </w:rPr>
        <w:t>3</w:t>
      </w:r>
      <w:r>
        <w:rPr/>
        <w:t>）物联网技术应用（</w:t>
      </w:r>
      <w:r>
        <w:rPr>
          <w:rFonts w:ascii="Times New Roman" w:hAnsi="Times New Roman" w:cs="Times New Roman" w:eastAsia="Times New Roman" w:hint="default"/>
        </w:rPr>
        <w:t>4</w:t>
      </w:r>
      <w:r>
        <w:rPr/>
        <w:t>）创新业</w:t>
      </w:r>
      <w:r>
        <w:rPr>
          <w:spacing w:val="-21"/>
        </w:rPr>
        <w:t> </w:t>
      </w:r>
      <w:r>
        <w:rPr>
          <w:spacing w:val="-21"/>
        </w:rPr>
      </w:r>
      <w:r>
        <w:rPr>
          <w:spacing w:val="-2"/>
        </w:rPr>
        <w:t>务。本公司的各个报告分部分别提供不同的产品或服务。由于每个分部需要不同的技术或市场策略，本公司管理层分别单独</w:t>
      </w:r>
      <w:r>
        <w:rPr>
          <w:spacing w:val="-66"/>
        </w:rPr>
        <w:t> </w:t>
      </w:r>
      <w:r>
        <w:rPr>
          <w:spacing w:val="-66"/>
        </w:rPr>
      </w:r>
      <w:r>
        <w:rPr/>
        <w:t>管理各个报告分部的经营活动，定期评价这些报告分部的经营成果，以决定向其分配资源及评价其业绩。</w:t>
      </w:r>
    </w:p>
    <w:p>
      <w:pPr>
        <w:pStyle w:val="BodyText"/>
        <w:spacing w:line="477" w:lineRule="auto" w:before="67"/>
        <w:ind w:right="0" w:firstLine="360"/>
        <w:jc w:val="left"/>
      </w:pPr>
      <w:r>
        <w:rPr>
          <w:spacing w:val="-2"/>
        </w:rPr>
        <w:t>分部报告信息根据各分部向管理层报告时采用的会计政策及计量标准披露，这些计量基础与编制财务报表时的会计与计</w:t>
      </w:r>
      <w:r>
        <w:rPr/>
        <w:t> 量基础保持一致。</w:t>
      </w:r>
    </w:p>
    <w:p>
      <w:pPr>
        <w:spacing w:after="0" w:line="477"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2）报告分部的财务信息" w:id="437"/>
      <w:bookmarkEnd w:id="437"/>
      <w:r>
        <w:rPr>
          <w:b w:val="0"/>
          <w:bCs w:val="0"/>
        </w:rPr>
      </w:r>
      <w:r>
        <w:rPr/>
        <w:t>（</w:t>
      </w:r>
      <w:r>
        <w:rPr>
          <w:rFonts w:ascii="Times New Roman" w:hAnsi="Times New Roman" w:cs="Times New Roman" w:eastAsia="Times New Roman" w:hint="default"/>
        </w:rPr>
        <w:t>2</w:t>
      </w:r>
      <w:r>
        <w:rPr/>
        <w:t>）报告分部的财务信息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13" w:type="dxa"/>
        <w:tblLayout w:type="fixed"/>
        <w:tblCellMar>
          <w:top w:w="0" w:type="dxa"/>
          <w:left w:w="0" w:type="dxa"/>
          <w:bottom w:w="0" w:type="dxa"/>
          <w:right w:w="0" w:type="dxa"/>
        </w:tblCellMar>
        <w:tblLook w:val="01E0"/>
      </w:tblPr>
      <w:tblGrid>
        <w:gridCol w:w="1361"/>
        <w:gridCol w:w="1396"/>
        <w:gridCol w:w="1385"/>
        <w:gridCol w:w="1386"/>
        <w:gridCol w:w="1385"/>
        <w:gridCol w:w="1385"/>
        <w:gridCol w:w="1385"/>
      </w:tblGrid>
      <w:tr>
        <w:trPr>
          <w:trHeight w:val="402"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3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(ICT)</w:t>
            </w:r>
            <w:r>
              <w:rPr>
                <w:rFonts w:ascii="宋体" w:hAnsi="宋体" w:cs="宋体" w:eastAsia="宋体" w:hint="default"/>
                <w:sz w:val="18"/>
                <w:szCs w:val="18"/>
              </w:rPr>
              <w:t>运营服务</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游戏</w:t>
            </w:r>
          </w:p>
        </w:tc>
        <w:tc>
          <w:tcPr>
            <w:tcW w:w="13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17" w:right="0"/>
              <w:jc w:val="left"/>
              <w:rPr>
                <w:rFonts w:ascii="宋体" w:hAnsi="宋体" w:cs="宋体" w:eastAsia="宋体" w:hint="default"/>
                <w:sz w:val="18"/>
                <w:szCs w:val="18"/>
              </w:rPr>
            </w:pPr>
            <w:r>
              <w:rPr>
                <w:rFonts w:ascii="宋体" w:hAnsi="宋体" w:cs="宋体" w:eastAsia="宋体" w:hint="default"/>
                <w:sz w:val="18"/>
                <w:szCs w:val="18"/>
              </w:rPr>
              <w:t>物联网</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326" w:right="0"/>
              <w:jc w:val="left"/>
              <w:rPr>
                <w:rFonts w:ascii="宋体" w:hAnsi="宋体" w:cs="宋体" w:eastAsia="宋体" w:hint="default"/>
                <w:sz w:val="18"/>
                <w:szCs w:val="18"/>
              </w:rPr>
            </w:pPr>
            <w:r>
              <w:rPr>
                <w:rFonts w:ascii="宋体" w:hAnsi="宋体" w:cs="宋体" w:eastAsia="宋体" w:hint="default"/>
                <w:sz w:val="18"/>
                <w:szCs w:val="18"/>
              </w:rPr>
              <w:t>创新业务</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36"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13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left"/>
              <w:rPr>
                <w:rFonts w:ascii="宋体" w:hAnsi="宋体" w:cs="宋体" w:eastAsia="宋体" w:hint="default"/>
                <w:sz w:val="18"/>
                <w:szCs w:val="18"/>
              </w:rPr>
            </w:pPr>
            <w:r>
              <w:rPr>
                <w:rFonts w:ascii="宋体" w:hAnsi="宋体" w:cs="宋体" w:eastAsia="宋体" w:hint="default"/>
                <w:sz w:val="18"/>
                <w:szCs w:val="18"/>
              </w:rPr>
              <w:t>一、对外交易主 营收入</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1,208,540,730.86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598,881,051.11</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14,196,356.43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173,473,106.60</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1,995,091,245.00</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firstLine="360"/>
              <w:jc w:val="left"/>
              <w:rPr>
                <w:rFonts w:ascii="宋体" w:hAnsi="宋体" w:cs="宋体" w:eastAsia="宋体" w:hint="default"/>
                <w:sz w:val="18"/>
                <w:szCs w:val="18"/>
              </w:rPr>
            </w:pPr>
            <w:r>
              <w:rPr>
                <w:rFonts w:ascii="宋体" w:hAnsi="宋体" w:cs="宋体" w:eastAsia="宋体" w:hint="default"/>
                <w:sz w:val="18"/>
                <w:szCs w:val="18"/>
              </w:rPr>
              <w:t>分部间交易 主营收入</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4,968,006.74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912,457.10</w:t>
            </w:r>
          </w:p>
        </w:tc>
        <w:tc>
          <w:tcPr>
            <w:tcW w:w="1386"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1,808,560.00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7,689,023.84</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left"/>
              <w:rPr>
                <w:rFonts w:ascii="宋体" w:hAnsi="宋体" w:cs="宋体" w:eastAsia="宋体" w:hint="default"/>
                <w:sz w:val="18"/>
                <w:szCs w:val="18"/>
              </w:rPr>
            </w:pPr>
            <w:r>
              <w:rPr>
                <w:rFonts w:ascii="宋体" w:hAnsi="宋体" w:cs="宋体" w:eastAsia="宋体" w:hint="default"/>
                <w:sz w:val="18"/>
                <w:szCs w:val="18"/>
              </w:rPr>
              <w:t>二、对外交易主 营成本</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504,890,160.63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49,153,672.69</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4,374,358.18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59,209,412.93</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617,627,604.43</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firstLine="360"/>
              <w:jc w:val="left"/>
              <w:rPr>
                <w:rFonts w:ascii="宋体" w:hAnsi="宋体" w:cs="宋体" w:eastAsia="宋体" w:hint="default"/>
                <w:sz w:val="18"/>
                <w:szCs w:val="18"/>
              </w:rPr>
            </w:pPr>
            <w:r>
              <w:rPr>
                <w:rFonts w:ascii="宋体" w:hAnsi="宋体" w:cs="宋体" w:eastAsia="宋体" w:hint="default"/>
                <w:sz w:val="18"/>
                <w:szCs w:val="18"/>
              </w:rPr>
              <w:t>分部间交易 主营成本</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2,721,017.10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5,997.59</w:t>
            </w:r>
          </w:p>
        </w:tc>
        <w:tc>
          <w:tcPr>
            <w:tcW w:w="1386"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2,727,014.69</w:t>
            </w: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both"/>
              <w:rPr>
                <w:rFonts w:ascii="宋体" w:hAnsi="宋体" w:cs="宋体" w:eastAsia="宋体" w:hint="default"/>
                <w:sz w:val="18"/>
                <w:szCs w:val="18"/>
              </w:rPr>
            </w:pPr>
            <w:r>
              <w:rPr>
                <w:rFonts w:ascii="宋体" w:hAnsi="宋体" w:cs="宋体" w:eastAsia="宋体" w:hint="default"/>
                <w:sz w:val="18"/>
                <w:szCs w:val="18"/>
              </w:rPr>
              <w:t>三、对联营和合 营企业的投资收 益</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15,107,572.86</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-26,272,232.87</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-11,164,660.01</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left"/>
              <w:rPr>
                <w:rFonts w:ascii="宋体" w:hAnsi="宋体" w:cs="宋体" w:eastAsia="宋体" w:hint="default"/>
                <w:sz w:val="18"/>
                <w:szCs w:val="18"/>
              </w:rPr>
            </w:pPr>
            <w:r>
              <w:rPr>
                <w:rFonts w:ascii="宋体" w:hAnsi="宋体" w:cs="宋体" w:eastAsia="宋体" w:hint="default"/>
                <w:sz w:val="18"/>
                <w:szCs w:val="18"/>
              </w:rPr>
              <w:t>四、资产减值损 失</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29,135,190.38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31,452,620.39</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-557,806.02</w:t>
            </w:r>
            <w:r>
              <w:rPr>
                <w:rFonts w:ascii="Times New Roman"/>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-1,399,270.29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-33,438,027.81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92,068,762.27</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left"/>
              <w:rPr>
                <w:rFonts w:ascii="宋体" w:hAnsi="宋体" w:cs="宋体" w:eastAsia="宋体" w:hint="default"/>
                <w:sz w:val="18"/>
                <w:szCs w:val="18"/>
              </w:rPr>
            </w:pPr>
            <w:r>
              <w:rPr>
                <w:rFonts w:ascii="宋体" w:hAnsi="宋体" w:cs="宋体" w:eastAsia="宋体" w:hint="default"/>
                <w:sz w:val="18"/>
                <w:szCs w:val="18"/>
              </w:rPr>
              <w:t>五、折旧和摊销 费用</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56,657,650.54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12,385,500.62</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5,168,760.70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4,885,283.65</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79,097,195.51</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11" w:right="9"/>
              <w:jc w:val="left"/>
              <w:rPr>
                <w:rFonts w:ascii="宋体" w:hAnsi="宋体" w:cs="宋体" w:eastAsia="宋体" w:hint="default"/>
                <w:sz w:val="18"/>
                <w:szCs w:val="18"/>
              </w:rPr>
            </w:pPr>
            <w:r>
              <w:rPr>
                <w:rFonts w:ascii="宋体" w:hAnsi="宋体" w:cs="宋体" w:eastAsia="宋体" w:hint="default"/>
                <w:spacing w:val="-15"/>
                <w:sz w:val="18"/>
                <w:szCs w:val="18"/>
              </w:rPr>
              <w:t>六、利润总额（亏</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损总额）</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-10,647,679.48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140,276,868.13</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-20,229,433.29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32,390,369.10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22,618,525.14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119,171,599.32</w:t>
            </w:r>
          </w:p>
        </w:tc>
      </w:tr>
      <w:tr>
        <w:trPr>
          <w:trHeight w:val="402"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七、所得税费用</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6,373,321.01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15,242,562.14</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w w:val="95"/>
                <w:sz w:val="18"/>
              </w:rPr>
              <w:t>-5,387.86</w:t>
            </w:r>
            <w:r>
              <w:rPr>
                <w:rFonts w:ascii="Times New Roman"/>
                <w:sz w:val="18"/>
              </w:rPr>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6,218,923.21</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5,715,710.78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22,113,707.72</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left"/>
              <w:rPr>
                <w:rFonts w:ascii="宋体" w:hAnsi="宋体" w:cs="宋体" w:eastAsia="宋体" w:hint="default"/>
                <w:sz w:val="18"/>
                <w:szCs w:val="18"/>
              </w:rPr>
            </w:pPr>
            <w:r>
              <w:rPr>
                <w:rFonts w:ascii="宋体" w:hAnsi="宋体" w:cs="宋体" w:eastAsia="宋体" w:hint="default"/>
                <w:sz w:val="18"/>
                <w:szCs w:val="18"/>
              </w:rPr>
              <w:t>八、净利润（净 亏损）</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-17,021,000.49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125,034,305.99</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-20,224,045.43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26,171,445.89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16,902,814.36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97,057,891.60</w:t>
            </w:r>
          </w:p>
        </w:tc>
      </w:tr>
      <w:tr>
        <w:trPr>
          <w:trHeight w:val="402"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九、资产总额</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6,755,982,554.77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1,864,228,256.71</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93,327,573.62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791,352,189.59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2,580,265,182.26</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6,924,625,392.43</w:t>
            </w:r>
          </w:p>
        </w:tc>
      </w:tr>
      <w:tr>
        <w:trPr>
          <w:trHeight w:val="402"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十、负债总额</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2,047,688,099.54</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1,260,925,925.91</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117,172,262.67</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1"/>
              <w:jc w:val="right"/>
              <w:rPr>
                <w:rFonts w:ascii="Times New Roman" w:hAnsi="Times New Roman" w:cs="Times New Roman" w:eastAsia="Times New Roman" w:hint="default"/>
                <w:sz w:val="18"/>
                <w:szCs w:val="18"/>
              </w:rPr>
            </w:pPr>
            <w:r>
              <w:rPr>
                <w:rFonts w:ascii="Times New Roman"/>
                <w:spacing w:val="-1"/>
                <w:sz w:val="18"/>
              </w:rPr>
              <w:t>709,844,526.58</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2,350,979,543.52</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23"/>
              <w:jc w:val="right"/>
              <w:rPr>
                <w:rFonts w:ascii="Times New Roman" w:hAnsi="Times New Roman" w:cs="Times New Roman" w:eastAsia="Times New Roman" w:hint="default"/>
                <w:sz w:val="18"/>
                <w:szCs w:val="18"/>
              </w:rPr>
            </w:pPr>
            <w:r>
              <w:rPr>
                <w:rFonts w:ascii="Times New Roman"/>
                <w:spacing w:val="-1"/>
                <w:sz w:val="18"/>
              </w:rPr>
              <w:t>1,784,651,271.18</w:t>
            </w:r>
          </w:p>
        </w:tc>
      </w:tr>
      <w:tr>
        <w:trPr>
          <w:trHeight w:val="714"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jc w:val="left"/>
              <w:rPr>
                <w:rFonts w:ascii="宋体" w:hAnsi="宋体" w:cs="宋体" w:eastAsia="宋体" w:hint="default"/>
                <w:sz w:val="18"/>
                <w:szCs w:val="18"/>
              </w:rPr>
            </w:pPr>
            <w:r>
              <w:rPr>
                <w:rFonts w:ascii="宋体" w:hAnsi="宋体" w:cs="宋体" w:eastAsia="宋体" w:hint="default"/>
                <w:sz w:val="18"/>
                <w:szCs w:val="18"/>
              </w:rPr>
              <w:t>十一、其他重要 的非现金项目</w:t>
            </w:r>
          </w:p>
        </w:tc>
        <w:tc>
          <w:tcPr>
            <w:tcW w:w="1396" w:type="dxa"/>
            <w:tcBorders>
              <w:top w:val="single" w:sz="4" w:space="0" w:color="000000"/>
              <w:left w:val="single" w:sz="13" w:space="0" w:color="D9D9D9"/>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firstLine="90"/>
              <w:jc w:val="left"/>
              <w:rPr>
                <w:rFonts w:ascii="宋体" w:hAnsi="宋体" w:cs="宋体" w:eastAsia="宋体" w:hint="default"/>
                <w:sz w:val="18"/>
                <w:szCs w:val="18"/>
              </w:rPr>
            </w:pPr>
            <w:r>
              <w:rPr>
                <w:rFonts w:ascii="宋体" w:hAnsi="宋体" w:cs="宋体" w:eastAsia="宋体" w:hint="default"/>
                <w:sz w:val="18"/>
                <w:szCs w:val="18"/>
              </w:rPr>
              <w:t>折旧和摊销费 以外的其他非现 金费用</w:t>
            </w:r>
          </w:p>
        </w:tc>
        <w:tc>
          <w:tcPr>
            <w:tcW w:w="1396" w:type="dxa"/>
            <w:tcBorders>
              <w:top w:val="single" w:sz="4" w:space="0" w:color="000000"/>
              <w:left w:val="single" w:sz="13" w:space="0" w:color="D9D9D9"/>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11" w:right="78" w:firstLine="90"/>
              <w:jc w:val="left"/>
              <w:rPr>
                <w:rFonts w:ascii="宋体" w:hAnsi="宋体" w:cs="宋体" w:eastAsia="宋体" w:hint="default"/>
                <w:sz w:val="18"/>
                <w:szCs w:val="18"/>
              </w:rPr>
            </w:pPr>
            <w:r>
              <w:rPr>
                <w:rFonts w:ascii="宋体" w:hAnsi="宋体" w:cs="宋体" w:eastAsia="宋体" w:hint="default"/>
                <w:sz w:val="18"/>
                <w:szCs w:val="18"/>
              </w:rPr>
              <w:t>对联营企业和 合营企业的长期 股权投资</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132,751,435.48</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6"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172,615,011.62</w:t>
            </w:r>
          </w:p>
        </w:tc>
        <w:tc>
          <w:tcPr>
            <w:tcW w:w="1385" w:type="dxa"/>
            <w:tcBorders>
              <w:top w:val="single" w:sz="4" w:space="0" w:color="000000"/>
              <w:left w:val="single" w:sz="4" w:space="0" w:color="000000"/>
              <w:bottom w:val="single" w:sz="4" w:space="0" w:color="000000"/>
              <w:right w:val="single" w:sz="4" w:space="0" w:color="000000"/>
            </w:tcBorders>
          </w:tcPr>
          <w:p>
            <w:pP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305,366,447.10</w:t>
            </w:r>
          </w:p>
        </w:tc>
      </w:tr>
      <w:tr>
        <w:trPr>
          <w:trHeight w:val="1028" w:hRule="exact"/>
        </w:trPr>
        <w:tc>
          <w:tcPr>
            <w:tcW w:w="136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11" w:right="78"/>
              <w:jc w:val="both"/>
              <w:rPr>
                <w:rFonts w:ascii="宋体" w:hAnsi="宋体" w:cs="宋体" w:eastAsia="宋体" w:hint="default"/>
                <w:sz w:val="18"/>
                <w:szCs w:val="18"/>
              </w:rPr>
            </w:pPr>
            <w:r>
              <w:rPr>
                <w:rFonts w:ascii="宋体" w:hAnsi="宋体" w:cs="宋体" w:eastAsia="宋体" w:hint="default"/>
                <w:sz w:val="18"/>
                <w:szCs w:val="18"/>
              </w:rPr>
              <w:t>长期股权投资以 外的其他非流动 资产增加额</w:t>
            </w:r>
          </w:p>
        </w:tc>
        <w:tc>
          <w:tcPr>
            <w:tcW w:w="1396"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208,046,794.80</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-5,654,227.14</w:t>
            </w:r>
          </w:p>
        </w:tc>
        <w:tc>
          <w:tcPr>
            <w:tcW w:w="1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14,396,977.29</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-29,502,041.53</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9,739,017.95</w:t>
            </w:r>
          </w:p>
        </w:tc>
        <w:tc>
          <w:tcPr>
            <w:tcW w:w="13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177,548,485.47</w:t>
            </w:r>
          </w:p>
        </w:tc>
      </w:tr>
    </w:tbl>
    <w:p>
      <w:pPr>
        <w:spacing w:after="0" w:line="240" w:lineRule="auto"/>
        <w:jc w:val="right"/>
        <w:rPr>
          <w:rFonts w:ascii="Times New Roman" w:hAnsi="Times New Roman" w:cs="Times New Roman" w:eastAsia="Times New Roman"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2"/>
        <w:ind w:right="0"/>
        <w:jc w:val="left"/>
        <w:rPr>
          <w:b w:val="0"/>
          <w:bCs w:val="0"/>
        </w:rPr>
      </w:pPr>
      <w:bookmarkStart w:name="7、其他对投资者决策有影响的重要交易和事项" w:id="438"/>
      <w:bookmarkEnd w:id="438"/>
      <w:r>
        <w:rPr>
          <w:b w:val="0"/>
          <w:bCs w:val="0"/>
        </w:rPr>
      </w:r>
      <w:r>
        <w:rPr>
          <w:rFonts w:ascii="Times New Roman" w:hAnsi="Times New Roman" w:cs="Times New Roman" w:eastAsia="Times New Roman" w:hint="default"/>
        </w:rPr>
        <w:t>7</w:t>
      </w:r>
      <w:r>
        <w:rPr/>
        <w:t>、其他对投资者决策有影响的重要交易和事项</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4"/>
          <w:szCs w:val="14"/>
        </w:rPr>
      </w:pPr>
    </w:p>
    <w:p>
      <w:pPr>
        <w:pStyle w:val="Heading3"/>
        <w:spacing w:line="240" w:lineRule="auto"/>
        <w:ind w:right="0"/>
        <w:jc w:val="left"/>
        <w:rPr>
          <w:b w:val="0"/>
          <w:bCs w:val="0"/>
        </w:rPr>
      </w:pPr>
      <w:bookmarkStart w:name="8、其他" w:id="439"/>
      <w:bookmarkEnd w:id="439"/>
      <w:r>
        <w:rPr>
          <w:b w:val="0"/>
          <w:bCs w:val="0"/>
        </w:rPr>
      </w:r>
      <w:r>
        <w:rPr>
          <w:rFonts w:ascii="Times New Roman" w:hAnsi="Times New Roman" w:cs="Times New Roman" w:eastAsia="Times New Roman" w:hint="default"/>
        </w:rPr>
        <w:t>8</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477" w:lineRule="auto"/>
        <w:ind w:left="1494" w:right="2922" w:firstLine="1"/>
        <w:jc w:val="left"/>
      </w:pPr>
      <w:r>
        <w:rPr>
          <w:rFonts w:ascii="宋体" w:hAnsi="宋体" w:cs="宋体" w:eastAsia="宋体" w:hint="default"/>
          <w:b/>
          <w:bCs/>
        </w:rPr>
        <w:t>经营性租赁</w:t>
      </w:r>
      <w:r>
        <w:rPr>
          <w:rFonts w:ascii="宋体" w:hAnsi="宋体" w:cs="宋体" w:eastAsia="宋体" w:hint="default"/>
          <w:b/>
          <w:bCs/>
          <w:w w:val="99"/>
        </w:rPr>
        <w:t> </w:t>
      </w:r>
      <w:r>
        <w:rPr/>
        <w:t>公司将北辰泰岳大厦部分楼层及停车位用于经营租赁租出，本年共取得租赁收入</w:t>
      </w:r>
      <w:r>
        <w:rPr>
          <w:rFonts w:ascii="Times New Roman" w:hAnsi="Times New Roman" w:cs="Times New Roman" w:eastAsia="Times New Roman" w:hint="default"/>
        </w:rPr>
        <w:t>2,999.42</w:t>
      </w:r>
      <w:r>
        <w:rPr/>
        <w:t>万元。</w:t>
      </w:r>
    </w:p>
    <w:p>
      <w:pPr>
        <w:spacing w:line="240" w:lineRule="auto" w:before="13"/>
        <w:rPr>
          <w:rFonts w:ascii="宋体" w:hAnsi="宋体" w:cs="宋体" w:eastAsia="宋体" w:hint="default"/>
          <w:sz w:val="14"/>
          <w:szCs w:val="14"/>
        </w:rPr>
      </w:pPr>
    </w:p>
    <w:p>
      <w:pPr>
        <w:pStyle w:val="Heading2"/>
        <w:spacing w:line="240" w:lineRule="auto"/>
        <w:ind w:left="1133" w:right="0"/>
        <w:jc w:val="left"/>
        <w:rPr>
          <w:b w:val="0"/>
          <w:bCs w:val="0"/>
        </w:rPr>
      </w:pPr>
      <w:bookmarkStart w:name="十七、母公司财务报表主要项目注释" w:id="440"/>
      <w:bookmarkEnd w:id="440"/>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应收账款" w:id="441"/>
      <w:bookmarkEnd w:id="441"/>
      <w:r>
        <w:rPr>
          <w:b w:val="0"/>
          <w:bCs w:val="0"/>
        </w:rPr>
      </w:r>
      <w:r>
        <w:rPr>
          <w:rFonts w:ascii="Times New Roman" w:hAnsi="Times New Roman" w:cs="Times New Roman" w:eastAsia="Times New Roman" w:hint="default"/>
        </w:rPr>
        <w:t>1</w:t>
      </w:r>
      <w:r>
        <w:rPr/>
        <w:t>、应收账款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应收账款分类披露" w:id="442"/>
      <w:bookmarkEnd w:id="442"/>
      <w:r>
        <w:rPr>
          <w:b w:val="0"/>
          <w:bCs w:val="0"/>
        </w:rPr>
      </w:r>
      <w:r>
        <w:rPr/>
        <w:t>（</w:t>
      </w:r>
      <w:r>
        <w:rPr>
          <w:rFonts w:ascii="Times New Roman" w:hAnsi="Times New Roman" w:cs="Times New Roman" w:eastAsia="Times New Roman" w:hint="default"/>
        </w:rPr>
        <w:t>1</w:t>
      </w:r>
      <w:r>
        <w:rPr/>
        <w:t>）应收账款分类披露</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2"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797,033,</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222.74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107,096,</w:t>
            </w:r>
          </w:p>
          <w:p>
            <w:pPr>
              <w:pStyle w:val="TableParagraph"/>
              <w:spacing w:line="240" w:lineRule="auto" w:before="105"/>
              <w:ind w:left="210" w:right="0"/>
              <w:jc w:val="center"/>
              <w:rPr>
                <w:rFonts w:ascii="Times New Roman" w:hAnsi="Times New Roman" w:cs="Times New Roman" w:eastAsia="Times New Roman" w:hint="default"/>
                <w:sz w:val="18"/>
                <w:szCs w:val="18"/>
              </w:rPr>
            </w:pPr>
            <w:r>
              <w:rPr>
                <w:rFonts w:ascii="Times New Roman"/>
                <w:sz w:val="18"/>
              </w:rPr>
              <w:t>555.99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13.44%</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689,936,6</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66.75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691,756</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,402.76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89,537,24</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8.90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5" w:right="0"/>
              <w:jc w:val="left"/>
              <w:rPr>
                <w:rFonts w:ascii="Times New Roman" w:hAnsi="Times New Roman" w:cs="Times New Roman" w:eastAsia="Times New Roman" w:hint="default"/>
                <w:sz w:val="18"/>
                <w:szCs w:val="18"/>
              </w:rPr>
            </w:pPr>
            <w:r>
              <w:rPr>
                <w:rFonts w:ascii="Times New Roman"/>
                <w:sz w:val="18"/>
              </w:rPr>
              <w:t>12.94%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602,219,15</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3.86</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797,033,</w:t>
            </w:r>
          </w:p>
          <w:p>
            <w:pPr>
              <w:pStyle w:val="TableParagraph"/>
              <w:spacing w:line="240" w:lineRule="auto" w:before="105"/>
              <w:ind w:left="205" w:right="0"/>
              <w:jc w:val="center"/>
              <w:rPr>
                <w:rFonts w:ascii="Times New Roman" w:hAnsi="Times New Roman" w:cs="Times New Roman" w:eastAsia="Times New Roman" w:hint="default"/>
                <w:sz w:val="18"/>
                <w:szCs w:val="18"/>
              </w:rPr>
            </w:pPr>
            <w:r>
              <w:rPr>
                <w:rFonts w:ascii="Times New Roman"/>
                <w:sz w:val="18"/>
              </w:rPr>
              <w:t>222.74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107,096,</w:t>
            </w:r>
          </w:p>
          <w:p>
            <w:pPr>
              <w:pStyle w:val="TableParagraph"/>
              <w:spacing w:line="240" w:lineRule="auto" w:before="105"/>
              <w:ind w:left="210" w:right="0"/>
              <w:jc w:val="center"/>
              <w:rPr>
                <w:rFonts w:ascii="Times New Roman" w:hAnsi="Times New Roman" w:cs="Times New Roman" w:eastAsia="Times New Roman" w:hint="default"/>
                <w:sz w:val="18"/>
                <w:szCs w:val="18"/>
              </w:rPr>
            </w:pPr>
            <w:r>
              <w:rPr>
                <w:rFonts w:ascii="Times New Roman"/>
                <w:sz w:val="18"/>
              </w:rPr>
              <w:t>555.99</w:t>
            </w:r>
          </w:p>
        </w:tc>
        <w:tc>
          <w:tcPr>
            <w:tcW w:w="762" w:type="dxa"/>
            <w:vMerge w:val="restart"/>
            <w:tcBorders>
              <w:top w:val="single" w:sz="4" w:space="0" w:color="000000"/>
              <w:left w:val="single" w:sz="4" w:space="0" w:color="000000"/>
              <w:right w:val="single" w:sz="4" w:space="0" w:color="000000"/>
            </w:tcBorders>
          </w:tcPr>
          <w:p>
            <w:pP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689,936,6</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66.75</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691,756</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,402.76</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89,537,24</w:t>
            </w:r>
          </w:p>
          <w:p>
            <w:pPr>
              <w:pStyle w:val="TableParagraph"/>
              <w:spacing w:line="240" w:lineRule="auto" w:before="105"/>
              <w:ind w:left="466" w:right="0"/>
              <w:jc w:val="left"/>
              <w:rPr>
                <w:rFonts w:ascii="Times New Roman" w:hAnsi="Times New Roman" w:cs="Times New Roman" w:eastAsia="Times New Roman" w:hint="default"/>
                <w:sz w:val="18"/>
                <w:szCs w:val="18"/>
              </w:rPr>
            </w:pPr>
            <w:r>
              <w:rPr>
                <w:rFonts w:ascii="Times New Roman"/>
                <w:sz w:val="18"/>
              </w:rPr>
              <w:t>8.90</w:t>
            </w:r>
          </w:p>
        </w:tc>
        <w:tc>
          <w:tcPr>
            <w:tcW w:w="932" w:type="dxa"/>
            <w:vMerge w:val="restart"/>
            <w:tcBorders>
              <w:top w:val="single" w:sz="4" w:space="0" w:color="000000"/>
              <w:left w:val="single" w:sz="4" w:space="0" w:color="000000"/>
              <w:right w:val="single" w:sz="4" w:space="0" w:color="000000"/>
            </w:tcBorders>
          </w:tcPr>
          <w:p>
            <w:pP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602,219,15</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3.86</w:t>
            </w:r>
          </w:p>
        </w:tc>
      </w:tr>
      <w:tr>
        <w:trPr>
          <w:trHeight w:val="392"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pStyle w:val="BodyText"/>
        <w:spacing w:line="240" w:lineRule="auto" w:before="51"/>
        <w:ind w:left="1134" w:right="-20"/>
        <w:jc w:val="left"/>
      </w:pPr>
      <w:r>
        <w:rPr/>
        <w:t>期末单项金额重大并单项计提坏账准备的应收账款：</w:t>
      </w:r>
    </w:p>
    <w:p>
      <w:pPr>
        <w:pStyle w:val="BodyText"/>
        <w:spacing w:line="338" w:lineRule="auto" w:before="117"/>
        <w:ind w:left="1134"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组合中，按账龄分析法计提坏账准备的应收账款：</w:t>
      </w:r>
    </w:p>
    <w:p>
      <w:pPr>
        <w:spacing w:before="42"/>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113" w:right="1112"/>
        <w:jc w:val="center"/>
      </w:pPr>
      <w:r>
        <w:rPr/>
        <w:t>单位： 元</w:t>
      </w:r>
    </w:p>
    <w:p>
      <w:pPr>
        <w:spacing w:after="0" w:line="240" w:lineRule="auto"/>
        <w:jc w:val="center"/>
        <w:sectPr>
          <w:type w:val="continuous"/>
          <w:pgSz w:w="11910" w:h="16840"/>
          <w:pgMar w:top="280" w:bottom="280" w:left="0" w:right="0"/>
          <w:cols w:num="2" w:equalWidth="0">
            <w:col w:w="5275" w:space="3555"/>
            <w:col w:w="3080"/>
          </w:cols>
        </w:sectPr>
      </w:pP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2482"/>
        <w:gridCol w:w="2307"/>
        <w:gridCol w:w="2391"/>
        <w:gridCol w:w="2389"/>
      </w:tblGrid>
      <w:tr>
        <w:trPr>
          <w:trHeight w:val="402" w:hRule="exact"/>
        </w:trPr>
        <w:tc>
          <w:tcPr>
            <w:tcW w:w="24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82" w:type="dxa"/>
            <w:vMerge/>
            <w:tcBorders>
              <w:left w:val="single" w:sz="4" w:space="0" w:color="000000"/>
              <w:bottom w:val="single" w:sz="4" w:space="0" w:color="000000"/>
              <w:right w:val="single" w:sz="4" w:space="0" w:color="000000"/>
            </w:tcBorders>
            <w:shd w:val="clear" w:color="auto" w:fill="D2D2D2"/>
          </w:tcPr>
          <w:p>
            <w:pPr/>
          </w:p>
        </w:tc>
        <w:tc>
          <w:tcPr>
            <w:tcW w:w="23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307"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468,028,845.53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23,401,442.28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196,549,107.60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19,654,910.76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64,020,465.38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19,206,139.61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41,084,792.12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20,542,396.06</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15,291,724.14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12,233,379.31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12,058,287.97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12,058,287.97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280" w:bottom="28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3"/>
          <w:szCs w:val="3"/>
        </w:rPr>
      </w:pPr>
    </w:p>
    <w:tbl>
      <w:tblPr>
        <w:tblW w:w="0" w:type="auto"/>
        <w:jc w:val="left"/>
        <w:tblInd w:w="1126" w:type="dxa"/>
        <w:tblLayout w:type="fixed"/>
        <w:tblCellMar>
          <w:top w:w="0" w:type="dxa"/>
          <w:left w:w="0" w:type="dxa"/>
          <w:bottom w:w="0" w:type="dxa"/>
          <w:right w:w="0" w:type="dxa"/>
        </w:tblCellMar>
        <w:tblLook w:val="01E0"/>
      </w:tblPr>
      <w:tblGrid>
        <w:gridCol w:w="2484"/>
        <w:gridCol w:w="2307"/>
        <w:gridCol w:w="2391"/>
        <w:gridCol w:w="2389"/>
      </w:tblGrid>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1137" w:right="0"/>
              <w:jc w:val="left"/>
              <w:rPr>
                <w:rFonts w:ascii="Times New Roman" w:hAnsi="Times New Roman" w:cs="Times New Roman" w:eastAsia="Times New Roman" w:hint="default"/>
                <w:sz w:val="18"/>
                <w:szCs w:val="18"/>
              </w:rPr>
            </w:pPr>
            <w:r>
              <w:rPr>
                <w:rFonts w:ascii="Times New Roman"/>
                <w:sz w:val="18"/>
              </w:rPr>
              <w:t>797,033,222.74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32" w:right="0"/>
              <w:jc w:val="left"/>
              <w:rPr>
                <w:rFonts w:ascii="Times New Roman" w:hAnsi="Times New Roman" w:cs="Times New Roman" w:eastAsia="Times New Roman" w:hint="default"/>
                <w:sz w:val="18"/>
                <w:szCs w:val="18"/>
              </w:rPr>
            </w:pPr>
            <w:r>
              <w:rPr>
                <w:rFonts w:ascii="Times New Roman"/>
                <w:sz w:val="18"/>
              </w:rPr>
              <w:t>107,096,555.99</w:t>
            </w:r>
          </w:p>
        </w:tc>
        <w:tc>
          <w:tcPr>
            <w:tcW w:w="23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134" w:right="0"/>
        <w:jc w:val="left"/>
      </w:pPr>
      <w:r>
        <w:rPr/>
        <w:t>组合中，采用余额百分比法计提坏账准备的应收账款：</w:t>
      </w:r>
    </w:p>
    <w:p>
      <w:pPr>
        <w:pStyle w:val="BodyText"/>
        <w:spacing w:line="338" w:lineRule="auto" w:before="117"/>
        <w:ind w:left="113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组合中，采用其他方法计提坏账准备的应收账款：</w:t>
      </w:r>
    </w:p>
    <w:p>
      <w:pPr>
        <w:spacing w:before="43"/>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本期计提、收回或转回的坏账准备情况" w:id="443"/>
      <w:bookmarkEnd w:id="443"/>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134" w:right="0"/>
        <w:jc w:val="left"/>
      </w:pPr>
      <w:r>
        <w:rPr/>
        <w:t>本期计提坏账准备金额</w:t>
      </w:r>
      <w:r>
        <w:rPr>
          <w:spacing w:val="-47"/>
        </w:rPr>
        <w:t> </w:t>
      </w:r>
      <w:r>
        <w:rPr>
          <w:rFonts w:ascii="Times New Roman" w:hAnsi="Times New Roman" w:cs="Times New Roman" w:eastAsia="Times New Roman" w:hint="default"/>
        </w:rPr>
        <w:t>17,559,307.09</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3）按欠款方归集的期末余额前五名的应收账款情况" w:id="444"/>
      <w:bookmarkEnd w:id="444"/>
      <w:r>
        <w:rPr>
          <w:b w:val="0"/>
          <w:bCs w:val="0"/>
        </w:rPr>
      </w:r>
      <w:r>
        <w:rPr/>
        <w:t>（</w:t>
      </w:r>
      <w:r>
        <w:rPr>
          <w:rFonts w:ascii="Times New Roman" w:hAnsi="Times New Roman" w:cs="Times New Roman" w:eastAsia="Times New Roman" w:hint="default"/>
        </w:rPr>
        <w:t>3</w:t>
      </w:r>
      <w:r>
        <w:rPr/>
        <w:t>）按欠款方归集的期末余额前五名的应收账款情况</w:t>
      </w:r>
      <w:r>
        <w:rPr>
          <w:b w:val="0"/>
          <w:bCs w:val="0"/>
        </w:rPr>
      </w:r>
    </w:p>
    <w:p>
      <w:pPr>
        <w:spacing w:line="240" w:lineRule="auto" w:before="3"/>
        <w:rPr>
          <w:rFonts w:ascii="宋体" w:hAnsi="宋体" w:cs="宋体" w:eastAsia="宋体" w:hint="default"/>
          <w:b/>
          <w:bCs/>
          <w:sz w:val="26"/>
          <w:szCs w:val="26"/>
        </w:rPr>
      </w:pPr>
    </w:p>
    <w:tbl>
      <w:tblPr>
        <w:tblW w:w="0" w:type="auto"/>
        <w:jc w:val="left"/>
        <w:tblInd w:w="1126" w:type="dxa"/>
        <w:tblLayout w:type="fixed"/>
        <w:tblCellMar>
          <w:top w:w="0" w:type="dxa"/>
          <w:left w:w="0" w:type="dxa"/>
          <w:bottom w:w="0" w:type="dxa"/>
          <w:right w:w="0" w:type="dxa"/>
        </w:tblCellMar>
        <w:tblLook w:val="01E0"/>
      </w:tblPr>
      <w:tblGrid>
        <w:gridCol w:w="2988"/>
        <w:gridCol w:w="2223"/>
        <w:gridCol w:w="2224"/>
        <w:gridCol w:w="2224"/>
      </w:tblGrid>
      <w:tr>
        <w:trPr>
          <w:trHeight w:val="336" w:hRule="exact"/>
        </w:trPr>
        <w:tc>
          <w:tcPr>
            <w:tcW w:w="2988"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6671"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664" w:hRule="exact"/>
        </w:trPr>
        <w:tc>
          <w:tcPr>
            <w:tcW w:w="2988" w:type="dxa"/>
            <w:vMerge/>
            <w:tcBorders>
              <w:left w:val="single" w:sz="6" w:space="0" w:color="000000"/>
              <w:bottom w:val="single" w:sz="6" w:space="0" w:color="000000"/>
              <w:right w:val="single" w:sz="6" w:space="0" w:color="000000"/>
            </w:tcBorders>
            <w:shd w:val="clear" w:color="auto" w:fill="D9D9D9"/>
          </w:tcPr>
          <w:p>
            <w:pPr/>
          </w:p>
        </w:tc>
        <w:tc>
          <w:tcPr>
            <w:tcW w:w="222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22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6"/>
              <w:ind w:right="1"/>
              <w:jc w:val="center"/>
              <w:rPr>
                <w:rFonts w:ascii="宋体" w:hAnsi="宋体" w:cs="宋体" w:eastAsia="宋体" w:hint="default"/>
                <w:sz w:val="18"/>
                <w:szCs w:val="18"/>
              </w:rPr>
            </w:pPr>
            <w:r>
              <w:rPr>
                <w:rFonts w:ascii="宋体" w:hAnsi="宋体" w:cs="宋体" w:eastAsia="宋体" w:hint="default"/>
                <w:sz w:val="18"/>
                <w:szCs w:val="18"/>
              </w:rPr>
              <w:t>占应收账款合计数的比例</w:t>
            </w:r>
          </w:p>
          <w:p>
            <w:pPr>
              <w:pStyle w:val="TableParagraph"/>
              <w:spacing w:line="240" w:lineRule="auto" w:before="116"/>
              <w:ind w:right="0"/>
              <w:jc w:val="center"/>
              <w:rPr>
                <w:rFonts w:ascii="Times New Roman" w:hAnsi="Times New Roman" w:cs="Times New Roman" w:eastAsia="Times New Roman" w:hint="default"/>
                <w:sz w:val="18"/>
                <w:szCs w:val="18"/>
              </w:rPr>
            </w:pPr>
            <w:r>
              <w:rPr>
                <w:rFonts w:ascii="Times New Roman"/>
                <w:sz w:val="18"/>
              </w:rPr>
              <w:t>(%)</w:t>
            </w:r>
          </w:p>
        </w:tc>
        <w:tc>
          <w:tcPr>
            <w:tcW w:w="222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b/>
                <w:bCs/>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427" w:hRule="exact"/>
        </w:trPr>
        <w:tc>
          <w:tcPr>
            <w:tcW w:w="29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1</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63,109,518.60</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7.92</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11,733,034.95</w:t>
            </w:r>
          </w:p>
        </w:tc>
      </w:tr>
      <w:tr>
        <w:trPr>
          <w:trHeight w:val="427" w:hRule="exact"/>
        </w:trPr>
        <w:tc>
          <w:tcPr>
            <w:tcW w:w="29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2</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46,898,268.71</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5.88</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11,349,815.97</w:t>
            </w:r>
          </w:p>
        </w:tc>
      </w:tr>
      <w:tr>
        <w:trPr>
          <w:trHeight w:val="427" w:hRule="exact"/>
        </w:trPr>
        <w:tc>
          <w:tcPr>
            <w:tcW w:w="29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3</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44,930,127.37</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5.64</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7,980,003.47</w:t>
            </w:r>
          </w:p>
        </w:tc>
      </w:tr>
      <w:tr>
        <w:trPr>
          <w:trHeight w:val="426" w:hRule="exact"/>
        </w:trPr>
        <w:tc>
          <w:tcPr>
            <w:tcW w:w="29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4</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38,817,533.17</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4.87</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2,776,298.78</w:t>
            </w:r>
          </w:p>
        </w:tc>
      </w:tr>
      <w:tr>
        <w:trPr>
          <w:trHeight w:val="428" w:hRule="exact"/>
        </w:trPr>
        <w:tc>
          <w:tcPr>
            <w:tcW w:w="29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126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Times New Roman" w:hAnsi="Times New Roman" w:cs="Times New Roman" w:eastAsia="Times New Roman" w:hint="default"/>
                <w:sz w:val="18"/>
                <w:szCs w:val="18"/>
              </w:rPr>
              <w:t>5</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35,833,056.42</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4.50</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6,044,887.52</w:t>
            </w:r>
          </w:p>
        </w:tc>
      </w:tr>
      <w:tr>
        <w:trPr>
          <w:trHeight w:val="428" w:hRule="exact"/>
        </w:trPr>
        <w:tc>
          <w:tcPr>
            <w:tcW w:w="29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306"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2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229,588,504.27</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28.81</w:t>
            </w:r>
          </w:p>
        </w:tc>
        <w:tc>
          <w:tcPr>
            <w:tcW w:w="22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39,884,040.69</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4）因金融资产转移而终止确认的应收账款" w:id="445"/>
      <w:bookmarkEnd w:id="445"/>
      <w:r>
        <w:rPr>
          <w:b w:val="0"/>
          <w:bCs w:val="0"/>
        </w:rPr>
      </w:r>
      <w:r>
        <w:rPr/>
        <w:t>（</w:t>
      </w:r>
      <w:r>
        <w:rPr>
          <w:rFonts w:ascii="Times New Roman" w:hAnsi="Times New Roman" w:cs="Times New Roman" w:eastAsia="Times New Roman" w:hint="default"/>
        </w:rPr>
        <w:t>4</w:t>
      </w:r>
      <w:r>
        <w:rPr/>
        <w:t>）因金融资产转移而终止确认的应收账款</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5）转移应收账款且继续涉入形成的资产、负债金额" w:id="446"/>
      <w:bookmarkEnd w:id="446"/>
      <w:r>
        <w:rPr>
          <w:b w:val="0"/>
          <w:bCs w:val="0"/>
        </w:rPr>
      </w:r>
      <w:r>
        <w:rPr/>
        <w:t>（</w:t>
      </w:r>
      <w:r>
        <w:rPr>
          <w:rFonts w:ascii="Times New Roman" w:hAnsi="Times New Roman" w:cs="Times New Roman" w:eastAsia="Times New Roman" w:hint="default"/>
        </w:rPr>
        <w:t>5</w:t>
      </w:r>
      <w:r>
        <w:rPr/>
        <w:t>）转移应收账款且继续涉入形成的资产、负债金额</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2、其他应收款" w:id="447"/>
      <w:bookmarkEnd w:id="447"/>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其他应收款分类披露" w:id="448"/>
      <w:bookmarkEnd w:id="448"/>
      <w:r>
        <w:rPr>
          <w:b w:val="0"/>
          <w:bCs w:val="0"/>
        </w:rPr>
      </w:r>
      <w:r>
        <w:rPr/>
        <w:t>（</w:t>
      </w:r>
      <w:r>
        <w:rPr>
          <w:rFonts w:ascii="Times New Roman" w:hAnsi="Times New Roman" w:cs="Times New Roman" w:eastAsia="Times New Roman" w:hint="default"/>
        </w:rPr>
        <w:t>1</w:t>
      </w:r>
      <w:r>
        <w:rPr/>
        <w:t>）其他应收款分类披露</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0"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553,927,</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873.33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4" w:right="0"/>
              <w:jc w:val="center"/>
              <w:rPr>
                <w:rFonts w:ascii="Times New Roman" w:hAnsi="Times New Roman" w:cs="Times New Roman" w:eastAsia="Times New Roman" w:hint="default"/>
                <w:sz w:val="18"/>
                <w:szCs w:val="18"/>
              </w:rPr>
            </w:pPr>
            <w:r>
              <w:rPr>
                <w:rFonts w:ascii="Times New Roman"/>
                <w:sz w:val="18"/>
              </w:rPr>
              <w:t>100,994,</w:t>
            </w:r>
          </w:p>
          <w:p>
            <w:pPr>
              <w:pStyle w:val="TableParagraph"/>
              <w:spacing w:line="240" w:lineRule="auto" w:before="106"/>
              <w:ind w:left="210" w:right="0"/>
              <w:jc w:val="center"/>
              <w:rPr>
                <w:rFonts w:ascii="Times New Roman" w:hAnsi="Times New Roman" w:cs="Times New Roman" w:eastAsia="Times New Roman" w:hint="default"/>
                <w:sz w:val="18"/>
                <w:szCs w:val="18"/>
              </w:rPr>
            </w:pPr>
            <w:r>
              <w:rPr>
                <w:rFonts w:ascii="Times New Roman"/>
                <w:sz w:val="18"/>
              </w:rPr>
              <w:t>756.06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18.23%</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452,933,1</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17.27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5" w:right="0"/>
              <w:jc w:val="left"/>
              <w:rPr>
                <w:rFonts w:ascii="Times New Roman" w:hAnsi="Times New Roman" w:cs="Times New Roman" w:eastAsia="Times New Roman" w:hint="default"/>
                <w:sz w:val="18"/>
                <w:szCs w:val="18"/>
              </w:rPr>
            </w:pPr>
            <w:r>
              <w:rPr>
                <w:rFonts w:ascii="Times New Roman"/>
                <w:sz w:val="18"/>
              </w:rPr>
              <w:t>668,344</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,139.70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left"/>
              <w:rPr>
                <w:rFonts w:ascii="Times New Roman" w:hAnsi="Times New Roman" w:cs="Times New Roman" w:eastAsia="Times New Roman" w:hint="default"/>
                <w:sz w:val="18"/>
                <w:szCs w:val="18"/>
              </w:rPr>
            </w:pPr>
            <w:r>
              <w:rPr>
                <w:rFonts w:ascii="Times New Roman"/>
                <w:sz w:val="18"/>
              </w:rPr>
              <w:t>76,408,03</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4.19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51" w:right="0"/>
              <w:jc w:val="left"/>
              <w:rPr>
                <w:rFonts w:ascii="Times New Roman" w:hAnsi="Times New Roman" w:cs="Times New Roman" w:eastAsia="Times New Roman" w:hint="default"/>
                <w:sz w:val="18"/>
                <w:szCs w:val="18"/>
              </w:rPr>
            </w:pPr>
            <w:r>
              <w:rPr>
                <w:rFonts w:ascii="Times New Roman"/>
                <w:sz w:val="18"/>
              </w:rPr>
              <w:t>11.43%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591,936,10</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5.51</w:t>
            </w: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center"/>
              <w:rPr>
                <w:rFonts w:ascii="Times New Roman" w:hAnsi="Times New Roman" w:cs="Times New Roman" w:eastAsia="Times New Roman" w:hint="default"/>
                <w:sz w:val="18"/>
                <w:szCs w:val="18"/>
              </w:rPr>
            </w:pPr>
            <w:r>
              <w:rPr>
                <w:rFonts w:ascii="Times New Roman"/>
                <w:sz w:val="18"/>
              </w:rPr>
              <w:t>553,927,</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873.33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0" w:right="0"/>
              <w:jc w:val="center"/>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center"/>
              <w:rPr>
                <w:rFonts w:ascii="Times New Roman" w:hAnsi="Times New Roman" w:cs="Times New Roman" w:eastAsia="Times New Roman" w:hint="default"/>
                <w:sz w:val="18"/>
                <w:szCs w:val="18"/>
              </w:rPr>
            </w:pPr>
            <w:r>
              <w:rPr>
                <w:rFonts w:ascii="Times New Roman"/>
                <w:sz w:val="18"/>
              </w:rPr>
              <w:t>100,994,</w:t>
            </w:r>
          </w:p>
          <w:p>
            <w:pPr>
              <w:pStyle w:val="TableParagraph"/>
              <w:spacing w:line="240" w:lineRule="auto" w:before="106"/>
              <w:ind w:left="210" w:right="0"/>
              <w:jc w:val="center"/>
              <w:rPr>
                <w:rFonts w:ascii="Times New Roman" w:hAnsi="Times New Roman" w:cs="Times New Roman" w:eastAsia="Times New Roman" w:hint="default"/>
                <w:sz w:val="18"/>
                <w:szCs w:val="18"/>
              </w:rPr>
            </w:pPr>
            <w:r>
              <w:rPr>
                <w:rFonts w:ascii="Times New Roman"/>
                <w:sz w:val="18"/>
              </w:rPr>
              <w:t>756.06</w:t>
            </w: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452,933,1</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17.27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668,344</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,139.70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 w:right="0"/>
              <w:jc w:val="left"/>
              <w:rPr>
                <w:rFonts w:ascii="Times New Roman" w:hAnsi="Times New Roman" w:cs="Times New Roman" w:eastAsia="Times New Roman" w:hint="default"/>
                <w:sz w:val="18"/>
                <w:szCs w:val="18"/>
              </w:rPr>
            </w:pPr>
            <w:r>
              <w:rPr>
                <w:rFonts w:ascii="Times New Roman"/>
                <w:sz w:val="18"/>
              </w:rPr>
              <w:t>76,408,03</w:t>
            </w:r>
          </w:p>
          <w:p>
            <w:pPr>
              <w:pStyle w:val="TableParagraph"/>
              <w:spacing w:line="240" w:lineRule="auto" w:before="106"/>
              <w:ind w:left="466" w:right="0"/>
              <w:jc w:val="left"/>
              <w:rPr>
                <w:rFonts w:ascii="Times New Roman" w:hAnsi="Times New Roman" w:cs="Times New Roman" w:eastAsia="Times New Roman" w:hint="default"/>
                <w:sz w:val="18"/>
                <w:szCs w:val="18"/>
              </w:rPr>
            </w:pPr>
            <w:r>
              <w:rPr>
                <w:rFonts w:ascii="Times New Roman"/>
                <w:sz w:val="18"/>
              </w:rPr>
              <w:t>4.19</w:t>
            </w: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591,936,10</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5.51</w:t>
            </w:r>
          </w:p>
        </w:tc>
      </w:tr>
    </w:tbl>
    <w:p>
      <w:pPr>
        <w:spacing w:after="0" w:line="240" w:lineRule="auto"/>
        <w:jc w:val="left"/>
        <w:rPr>
          <w:rFonts w:ascii="Times New Roman" w:hAnsi="Times New Roman" w:cs="Times New Roman" w:eastAsia="Times New Roman" w:hint="default"/>
          <w:sz w:val="18"/>
          <w:szCs w:val="18"/>
        </w:rPr>
        <w:sectPr>
          <w:pgSz w:w="11910" w:h="16840"/>
          <w:pgMar w:header="851" w:footer="979" w:top="1320" w:bottom="1160" w:left="0" w:right="0"/>
        </w:sectPr>
      </w:pPr>
    </w:p>
    <w:p>
      <w:pPr>
        <w:pStyle w:val="BodyText"/>
        <w:spacing w:line="240" w:lineRule="auto" w:before="51"/>
        <w:ind w:left="1134" w:right="-20"/>
        <w:jc w:val="left"/>
      </w:pPr>
      <w:r>
        <w:rPr/>
        <w:t>期末单项金额重大并单项计提坏账准备的其他应收款：</w:t>
      </w:r>
    </w:p>
    <w:p>
      <w:pPr>
        <w:pStyle w:val="BodyText"/>
        <w:spacing w:line="338" w:lineRule="auto" w:before="117"/>
        <w:ind w:left="1134"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组合中，按账龄分析法计提坏账准备的其他应收款：</w:t>
      </w:r>
    </w:p>
    <w:p>
      <w:pPr>
        <w:spacing w:before="43"/>
        <w:ind w:left="1134" w:right="-2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113" w:right="1112"/>
        <w:jc w:val="center"/>
      </w:pPr>
      <w:r>
        <w:rPr/>
        <w:t>单位： 元</w:t>
      </w:r>
    </w:p>
    <w:p>
      <w:pPr>
        <w:spacing w:after="0" w:line="240" w:lineRule="auto"/>
        <w:jc w:val="center"/>
        <w:sectPr>
          <w:type w:val="continuous"/>
          <w:pgSz w:w="11910" w:h="16840"/>
          <w:pgMar w:top="280" w:bottom="280" w:left="0" w:right="0"/>
          <w:cols w:num="2" w:equalWidth="0">
            <w:col w:w="5455" w:space="3375"/>
            <w:col w:w="3080"/>
          </w:cols>
        </w:sectPr>
      </w:pP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2482"/>
        <w:gridCol w:w="2307"/>
        <w:gridCol w:w="2391"/>
        <w:gridCol w:w="2389"/>
      </w:tblGrid>
      <w:tr>
        <w:trPr>
          <w:trHeight w:val="402" w:hRule="exact"/>
        </w:trPr>
        <w:tc>
          <w:tcPr>
            <w:tcW w:w="248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2482" w:type="dxa"/>
            <w:vMerge/>
            <w:tcBorders>
              <w:left w:val="single" w:sz="4" w:space="0" w:color="000000"/>
              <w:bottom w:val="single" w:sz="4" w:space="0" w:color="000000"/>
              <w:right w:val="single" w:sz="4" w:space="0" w:color="000000"/>
            </w:tcBorders>
            <w:shd w:val="clear" w:color="auto" w:fill="D2D2D2"/>
          </w:tcPr>
          <w:p>
            <w:pPr/>
          </w:p>
        </w:tc>
        <w:tc>
          <w:tcPr>
            <w:tcW w:w="23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0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2307"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295,813,885.07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14,790,694.25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59,944,563.43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5,994,456.34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101,699,481.97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30,509,844.59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91,862,049.96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45,931,024.98</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4,195,785.00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3,356,628.00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412,107.90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412,107.90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4" w:hRule="exact"/>
        </w:trPr>
        <w:tc>
          <w:tcPr>
            <w:tcW w:w="24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553,927,873.33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100,994,756.06</w:t>
            </w:r>
          </w:p>
        </w:tc>
        <w:tc>
          <w:tcPr>
            <w:tcW w:w="238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left="1134" w:right="0"/>
        <w:jc w:val="left"/>
      </w:pPr>
      <w:r>
        <w:rPr/>
        <w:t>组合中，采用余额百分比法计提坏账准备的其他应收款：</w:t>
      </w:r>
    </w:p>
    <w:p>
      <w:pPr>
        <w:pStyle w:val="BodyText"/>
        <w:spacing w:line="340" w:lineRule="auto" w:before="116"/>
        <w:ind w:left="1134"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b/>
          <w:bCs/>
        </w:rPr>
        <w:t>√</w:t>
      </w:r>
      <w:r>
        <w:rPr>
          <w:rFonts w:ascii="Times New Roman" w:hAnsi="Times New Roman" w:cs="Times New Roman" w:eastAsia="Times New Roman" w:hint="default"/>
          <w:b/>
          <w:bCs/>
          <w:spacing w:val="44"/>
        </w:rPr>
        <w:t> </w:t>
      </w:r>
      <w:r>
        <w:rPr>
          <w:rFonts w:ascii="宋体" w:hAnsi="宋体" w:cs="宋体" w:eastAsia="宋体" w:hint="default"/>
          <w:b/>
          <w:bCs/>
        </w:rPr>
        <w:t>不适用</w:t>
      </w:r>
      <w:r>
        <w:rPr>
          <w:rFonts w:ascii="宋体" w:hAnsi="宋体" w:cs="宋体" w:eastAsia="宋体" w:hint="default"/>
          <w:b/>
          <w:bCs/>
          <w:w w:val="99"/>
        </w:rPr>
        <w:t> </w:t>
      </w:r>
      <w:r>
        <w:rPr/>
        <w:t>组合中，采用其他方法计提坏账准备的其他应收款：</w:t>
      </w:r>
    </w:p>
    <w:p>
      <w:pPr>
        <w:spacing w:before="4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本期计提、收回或转回的坏账准备情况" w:id="449"/>
      <w:bookmarkEnd w:id="449"/>
      <w:r>
        <w:rPr>
          <w:b w:val="0"/>
          <w:bCs w:val="0"/>
        </w:rPr>
      </w:r>
      <w:r>
        <w:rPr/>
        <w:t>（</w:t>
      </w:r>
      <w:r>
        <w:rPr>
          <w:rFonts w:ascii="Times New Roman" w:hAnsi="Times New Roman" w:cs="Times New Roman" w:eastAsia="Times New Roman" w:hint="default"/>
        </w:rPr>
        <w:t>2</w:t>
      </w:r>
      <w:r>
        <w:rPr/>
        <w:t>）本期计提、收回或转回的坏账准备情况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1134" w:right="0"/>
        <w:jc w:val="left"/>
      </w:pPr>
      <w:r>
        <w:rPr/>
        <w:t>本期计提坏账准备金额</w:t>
      </w:r>
      <w:r>
        <w:rPr>
          <w:spacing w:val="-47"/>
        </w:rPr>
        <w:t> </w:t>
      </w:r>
      <w:r>
        <w:rPr>
          <w:rFonts w:ascii="Times New Roman" w:hAnsi="Times New Roman" w:cs="Times New Roman" w:eastAsia="Times New Roman" w:hint="default"/>
        </w:rPr>
        <w:t>24,586,721.87</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spacing w:line="240" w:lineRule="auto" w:before="9"/>
        <w:rPr>
          <w:rFonts w:ascii="宋体" w:hAnsi="宋体" w:cs="宋体" w:eastAsia="宋体" w:hint="default"/>
          <w:sz w:val="25"/>
          <w:szCs w:val="25"/>
        </w:rPr>
      </w:pPr>
    </w:p>
    <w:p>
      <w:pPr>
        <w:pStyle w:val="Heading3"/>
        <w:spacing w:line="240" w:lineRule="auto"/>
        <w:ind w:left="1133" w:right="0"/>
        <w:jc w:val="left"/>
        <w:rPr>
          <w:b w:val="0"/>
          <w:bCs w:val="0"/>
        </w:rPr>
      </w:pPr>
      <w:bookmarkStart w:name="（3）本期实际核销的其他应收款情况" w:id="450"/>
      <w:bookmarkEnd w:id="450"/>
      <w:r>
        <w:rPr>
          <w:b w:val="0"/>
          <w:bCs w:val="0"/>
        </w:rPr>
      </w:r>
      <w:r>
        <w:rPr/>
        <w:t>（</w:t>
      </w:r>
      <w:r>
        <w:rPr>
          <w:rFonts w:ascii="Times New Roman" w:hAnsi="Times New Roman" w:cs="Times New Roman" w:eastAsia="Times New Roman" w:hint="default"/>
        </w:rPr>
        <w:t>3</w:t>
      </w:r>
      <w:r>
        <w:rPr/>
        <w:t>）本期实际核销的其他应收款情况</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3"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left="1133" w:right="0"/>
        <w:jc w:val="left"/>
        <w:rPr>
          <w:b w:val="0"/>
          <w:bCs w:val="0"/>
        </w:rPr>
      </w:pPr>
      <w:bookmarkStart w:name="（4）其他应收款按款项性质分类情况" w:id="451"/>
      <w:bookmarkEnd w:id="451"/>
      <w:r>
        <w:rPr>
          <w:b w:val="0"/>
          <w:bCs w:val="0"/>
        </w:rPr>
      </w:r>
      <w:r>
        <w:rPr/>
        <w:t>（</w:t>
      </w:r>
      <w:r>
        <w:rPr>
          <w:rFonts w:ascii="Times New Roman" w:hAnsi="Times New Roman" w:cs="Times New Roman" w:eastAsia="Times New Roman" w:hint="default"/>
        </w:rPr>
        <w:t>4</w:t>
      </w:r>
      <w:r>
        <w:rPr/>
        <w:t>）其他应收款按款项性质分类情况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3368"/>
        <w:gridCol w:w="3101"/>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5"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合并范围内往来</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537,578,999.41</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656,402,745.95</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备用金、押金及保证金</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9,968,756.72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11,650,362.25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280" w:bottom="28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368"/>
        <w:gridCol w:w="3101"/>
        <w:gridCol w:w="3100"/>
      </w:tblGrid>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其他非大额、非特殊往来款项</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1,070,117.20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291,031.50</w:t>
            </w: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关联方欠款</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5,310,000.00</w:t>
            </w:r>
          </w:p>
        </w:tc>
        <w:tc>
          <w:tcPr>
            <w:tcW w:w="31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553,927,873.33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668,344,139.70</w:t>
            </w:r>
          </w:p>
        </w:tc>
      </w:tr>
    </w:tbl>
    <w:p>
      <w:pPr>
        <w:spacing w:line="240" w:lineRule="auto" w:before="3"/>
        <w:rPr>
          <w:rFonts w:ascii="宋体" w:hAnsi="宋体" w:cs="宋体" w:eastAsia="宋体" w:hint="default"/>
          <w:sz w:val="19"/>
          <w:szCs w:val="19"/>
        </w:rPr>
      </w:pPr>
    </w:p>
    <w:p>
      <w:pPr>
        <w:pStyle w:val="Heading3"/>
        <w:spacing w:line="240" w:lineRule="auto" w:before="35"/>
        <w:ind w:right="0"/>
        <w:jc w:val="left"/>
        <w:rPr>
          <w:b w:val="0"/>
          <w:bCs w:val="0"/>
        </w:rPr>
      </w:pPr>
      <w:bookmarkStart w:name="（5）按欠款方归集的期末余额前五名的其他应收款情况" w:id="452"/>
      <w:bookmarkEnd w:id="452"/>
      <w:r>
        <w:rPr>
          <w:b w:val="0"/>
          <w:bCs w:val="0"/>
        </w:rPr>
      </w:r>
      <w:r>
        <w:rPr/>
        <w:t>（</w:t>
      </w:r>
      <w:r>
        <w:rPr>
          <w:rFonts w:ascii="Times New Roman" w:hAnsi="Times New Roman" w:cs="Times New Roman" w:eastAsia="Times New Roman" w:hint="default"/>
        </w:rPr>
        <w:t>5</w:t>
      </w:r>
      <w:r>
        <w:rPr/>
        <w:t>）按欠款方归集的期末余额前五名的其他应收款情况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北京神州泰岳系统集 成有限公司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243,150,773.46</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43.90%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12,157,538.67</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奇点新源国际技术开 发公司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91,900,000.00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16.59%</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20,440,000.00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89"/>
              <w:jc w:val="left"/>
              <w:rPr>
                <w:rFonts w:ascii="宋体" w:hAnsi="宋体" w:cs="宋体" w:eastAsia="宋体" w:hint="default"/>
                <w:sz w:val="18"/>
                <w:szCs w:val="18"/>
              </w:rPr>
            </w:pPr>
            <w:r>
              <w:rPr>
                <w:rFonts w:ascii="宋体" w:hAnsi="宋体" w:cs="宋体" w:eastAsia="宋体" w:hint="default"/>
                <w:sz w:val="18"/>
                <w:szCs w:val="18"/>
              </w:rPr>
              <w:t>神州泰岳</w:t>
            </w:r>
            <w:r>
              <w:rPr>
                <w:rFonts w:ascii="Times New Roman" w:hAnsi="Times New Roman" w:cs="Times New Roman" w:eastAsia="Times New Roman" w:hint="default"/>
                <w:sz w:val="18"/>
                <w:szCs w:val="18"/>
              </w:rPr>
              <w:t>(</w:t>
            </w:r>
            <w:r>
              <w:rPr>
                <w:rFonts w:ascii="宋体" w:hAnsi="宋体" w:cs="宋体" w:eastAsia="宋体" w:hint="default"/>
                <w:sz w:val="18"/>
                <w:szCs w:val="18"/>
              </w:rPr>
              <w:t>香港</w:t>
            </w:r>
            <w:r>
              <w:rPr>
                <w:rFonts w:ascii="Times New Roman" w:hAnsi="Times New Roman" w:cs="Times New Roman" w:eastAsia="Times New Roman" w:hint="default"/>
                <w:sz w:val="18"/>
                <w:szCs w:val="18"/>
              </w:rPr>
              <w:t>)</w:t>
            </w:r>
            <w:r>
              <w:rPr>
                <w:rFonts w:ascii="宋体" w:hAnsi="宋体" w:cs="宋体" w:eastAsia="宋体" w:hint="default"/>
                <w:sz w:val="18"/>
                <w:szCs w:val="18"/>
              </w:rPr>
              <w:t>有限 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78,659,275.95</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14.20%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36,473,208.78</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北京泰岳智桥信息技 术有限公司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72,059,680.00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13.01%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18,467,984.00</w:t>
            </w:r>
          </w:p>
        </w:tc>
      </w:tr>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北京融聚世界网络科 技有限公司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18,700,000.00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3.38%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1,235,000.00</w:t>
            </w:r>
          </w:p>
        </w:tc>
      </w:tr>
      <w:tr>
        <w:trPr>
          <w:trHeight w:val="402" w:hRule="exact"/>
        </w:trPr>
        <w:tc>
          <w:tcPr>
            <w:tcW w:w="1684" w:type="dxa"/>
            <w:tcBorders>
              <w:top w:val="single" w:sz="4" w:space="0" w:color="000000"/>
              <w:left w:val="single" w:sz="4" w:space="0" w:color="000000"/>
              <w:bottom w:val="single" w:sz="4" w:space="0" w:color="000000"/>
              <w:right w:val="single" w:sz="13" w:space="0" w:color="D2D2D2"/>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504,469,729.41</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91.08%</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88,773,731.45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3、长期股权投资" w:id="453"/>
      <w:bookmarkEnd w:id="453"/>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346"/>
        <w:gridCol w:w="1379"/>
        <w:gridCol w:w="1367"/>
        <w:gridCol w:w="1367"/>
        <w:gridCol w:w="1368"/>
        <w:gridCol w:w="1367"/>
        <w:gridCol w:w="1367"/>
      </w:tblGrid>
      <w:tr>
        <w:trPr>
          <w:trHeight w:val="206" w:hRule="exact"/>
        </w:trPr>
        <w:tc>
          <w:tcPr>
            <w:tcW w:w="1346"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34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346"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46"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3,032,272,166.63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49,353,600.00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2,982,918,566.63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2,623,661,939.57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42,753,600.00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2,580,908,339.57</w:t>
            </w:r>
          </w:p>
        </w:tc>
      </w:tr>
      <w:tr>
        <w:trPr>
          <w:trHeight w:val="714"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6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302,085,537.09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302,085,537.09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329,298,213.39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87" w:right="0"/>
              <w:jc w:val="center"/>
              <w:rPr>
                <w:rFonts w:ascii="Times New Roman" w:hAnsi="Times New Roman" w:cs="Times New Roman" w:eastAsia="Times New Roman" w:hint="default"/>
                <w:sz w:val="18"/>
                <w:szCs w:val="18"/>
              </w:rPr>
            </w:pPr>
            <w:r>
              <w:rPr>
                <w:rFonts w:ascii="Times New Roman"/>
                <w:sz w:val="18"/>
              </w:rPr>
              <w:t>329,298,213.39</w:t>
            </w:r>
          </w:p>
        </w:tc>
      </w:tr>
      <w:tr>
        <w:trPr>
          <w:trHeight w:val="403" w:hRule="exact"/>
        </w:trPr>
        <w:tc>
          <w:tcPr>
            <w:tcW w:w="13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3,334,357,703.72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49,353,600.00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3,285,004,103.72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2,952,960,152.96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42,753,600.00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 w:right="0"/>
              <w:jc w:val="center"/>
              <w:rPr>
                <w:rFonts w:ascii="Times New Roman" w:hAnsi="Times New Roman" w:cs="Times New Roman" w:eastAsia="Times New Roman" w:hint="default"/>
                <w:sz w:val="18"/>
                <w:szCs w:val="18"/>
              </w:rPr>
            </w:pPr>
            <w:r>
              <w:rPr>
                <w:rFonts w:ascii="Times New Roman"/>
                <w:sz w:val="18"/>
              </w:rPr>
              <w:t>2,910,206,552.96</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1）对子公司投资" w:id="454"/>
      <w:bookmarkEnd w:id="454"/>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0"/>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22" w:right="153"/>
              <w:jc w:val="left"/>
              <w:rPr>
                <w:rFonts w:ascii="宋体" w:hAnsi="宋体" w:cs="宋体" w:eastAsia="宋体" w:hint="default"/>
                <w:sz w:val="18"/>
                <w:szCs w:val="18"/>
              </w:rPr>
            </w:pPr>
            <w:r>
              <w:rPr>
                <w:rFonts w:ascii="宋体" w:hAnsi="宋体" w:cs="宋体" w:eastAsia="宋体" w:hint="default"/>
                <w:sz w:val="18"/>
                <w:szCs w:val="18"/>
              </w:rPr>
              <w:t>北京新媒传信科 技有限公司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8" w:right="0"/>
              <w:jc w:val="left"/>
              <w:rPr>
                <w:rFonts w:ascii="Times New Roman" w:hAnsi="Times New Roman" w:cs="Times New Roman" w:eastAsia="Times New Roman" w:hint="default"/>
                <w:sz w:val="18"/>
                <w:szCs w:val="18"/>
              </w:rPr>
            </w:pPr>
            <w:r>
              <w:rPr>
                <w:rFonts w:ascii="Times New Roman"/>
                <w:sz w:val="18"/>
              </w:rPr>
              <w:t>12,348,720.16</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7" w:right="0"/>
              <w:jc w:val="left"/>
              <w:rPr>
                <w:rFonts w:ascii="Times New Roman" w:hAnsi="Times New Roman" w:cs="Times New Roman" w:eastAsia="Times New Roman" w:hint="default"/>
                <w:sz w:val="18"/>
                <w:szCs w:val="18"/>
              </w:rPr>
            </w:pPr>
            <w:r>
              <w:rPr>
                <w:rFonts w:ascii="Times New Roman"/>
                <w:sz w:val="18"/>
              </w:rPr>
              <w:t>12,348,720.16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1"/>
              <w:ind w:left="22" w:right="0"/>
              <w:jc w:val="left"/>
              <w:rPr>
                <w:rFonts w:ascii="宋体" w:hAnsi="宋体" w:cs="宋体" w:eastAsia="宋体" w:hint="default"/>
                <w:sz w:val="18"/>
                <w:szCs w:val="18"/>
              </w:rPr>
            </w:pPr>
            <w:r>
              <w:rPr>
                <w:rFonts w:ascii="宋体" w:hAnsi="宋体" w:cs="宋体" w:eastAsia="宋体" w:hint="default"/>
                <w:sz w:val="18"/>
                <w:szCs w:val="18"/>
              </w:rPr>
              <w:t>北京神州泰岳信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8" w:right="0"/>
              <w:jc w:val="left"/>
              <w:rPr>
                <w:rFonts w:ascii="Times New Roman" w:hAnsi="Times New Roman" w:cs="Times New Roman" w:eastAsia="Times New Roman" w:hint="default"/>
                <w:sz w:val="18"/>
                <w:szCs w:val="18"/>
              </w:rPr>
            </w:pPr>
            <w:r>
              <w:rPr>
                <w:rFonts w:ascii="Times New Roman"/>
                <w:sz w:val="18"/>
              </w:rPr>
              <w:t>80,000,000.00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7" w:right="0"/>
              <w:jc w:val="left"/>
              <w:rPr>
                <w:rFonts w:ascii="Times New Roman" w:hAnsi="Times New Roman" w:cs="Times New Roman" w:eastAsia="Times New Roman" w:hint="default"/>
                <w:sz w:val="18"/>
                <w:szCs w:val="18"/>
              </w:rPr>
            </w:pPr>
            <w:r>
              <w:rPr>
                <w:rFonts w:ascii="Times New Roman"/>
                <w:sz w:val="18"/>
              </w:rPr>
              <w:t>80,000,000.00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36"/>
        <w:gridCol w:w="1348"/>
        <w:gridCol w:w="1336"/>
        <w:gridCol w:w="1334"/>
        <w:gridCol w:w="1336"/>
        <w:gridCol w:w="1389"/>
        <w:gridCol w:w="1390"/>
      </w:tblGrid>
      <w:tr>
        <w:trPr>
          <w:trHeight w:val="67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10"/>
              <w:ind w:left="22" w:right="141"/>
              <w:jc w:val="left"/>
              <w:rPr>
                <w:rFonts w:ascii="宋体" w:hAnsi="宋体" w:cs="宋体" w:eastAsia="宋体" w:hint="default"/>
                <w:sz w:val="18"/>
                <w:szCs w:val="18"/>
              </w:rPr>
            </w:pPr>
            <w:r>
              <w:rPr>
                <w:rFonts w:ascii="宋体" w:hAnsi="宋体" w:cs="宋体" w:eastAsia="宋体" w:hint="default"/>
                <w:sz w:val="18"/>
                <w:szCs w:val="18"/>
              </w:rPr>
              <w:t>息安全技术有限 公司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重庆新媒农信科 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103,300,000.00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103,300,000.00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北京互联时代通 讯科技有限公司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6,977,459.86</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6,977,459.86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北京神州泰岳系 统集成有限公司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99,000,000.00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99,000,000.00</w:t>
            </w:r>
          </w:p>
        </w:tc>
        <w:tc>
          <w:tcPr>
            <w:tcW w:w="1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11" w:right="0"/>
              <w:jc w:val="left"/>
              <w:rPr>
                <w:rFonts w:ascii="Times New Roman" w:hAnsi="Times New Roman" w:cs="Times New Roman" w:eastAsia="Times New Roman" w:hint="default"/>
                <w:sz w:val="18"/>
                <w:szCs w:val="18"/>
              </w:rPr>
            </w:pPr>
            <w:r>
              <w:rPr>
                <w:rFonts w:ascii="Times New Roman"/>
                <w:sz w:val="18"/>
              </w:rPr>
              <w:t>6,600,000.00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6,600,000.00</w:t>
            </w: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宁波普天通信技 术有限公司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240,000,000.00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宁波普金通讯设 备有限公司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15,800,065.45</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15,800,065.45</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0"/>
              <w:jc w:val="left"/>
              <w:rPr>
                <w:rFonts w:ascii="宋体" w:hAnsi="宋体" w:cs="宋体" w:eastAsia="宋体" w:hint="default"/>
                <w:sz w:val="18"/>
                <w:szCs w:val="18"/>
              </w:rPr>
            </w:pPr>
            <w:r>
              <w:rPr>
                <w:rFonts w:ascii="宋体" w:hAnsi="宋体" w:cs="宋体" w:eastAsia="宋体" w:hint="default"/>
                <w:sz w:val="18"/>
                <w:szCs w:val="18"/>
              </w:rPr>
              <w:t>奇点新源国际技 </w:t>
            </w:r>
            <w:r>
              <w:rPr>
                <w:rFonts w:ascii="宋体" w:hAnsi="宋体" w:cs="宋体" w:eastAsia="宋体" w:hint="default"/>
                <w:spacing w:val="-7"/>
                <w:sz w:val="18"/>
                <w:szCs w:val="18"/>
              </w:rPr>
              <w:t>术开发（北京）有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19,987,500.00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309,772.94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19,677,727.06</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13" w:space="0" w:color="FFFFFF"/>
            </w:tcBorders>
            <w:shd w:val="clear" w:color="auto" w:fill="D9D9D9"/>
          </w:tcPr>
          <w:p>
            <w:pPr>
              <w:pStyle w:val="TableParagraph"/>
              <w:spacing w:line="316" w:lineRule="auto" w:before="51"/>
              <w:ind w:left="22" w:right="-49"/>
              <w:jc w:val="left"/>
              <w:rPr>
                <w:rFonts w:ascii="宋体" w:hAnsi="宋体" w:cs="宋体" w:eastAsia="宋体" w:hint="default"/>
                <w:sz w:val="18"/>
                <w:szCs w:val="18"/>
              </w:rPr>
            </w:pPr>
            <w:r>
              <w:rPr>
                <w:rFonts w:ascii="宋体" w:hAnsi="宋体" w:cs="宋体" w:eastAsia="宋体" w:hint="default"/>
                <w:sz w:val="18"/>
                <w:szCs w:val="18"/>
              </w:rPr>
              <w:t>神州泰岳（香港） 有限公司</w:t>
            </w:r>
          </w:p>
        </w:tc>
        <w:tc>
          <w:tcPr>
            <w:tcW w:w="1348" w:type="dxa"/>
            <w:tcBorders>
              <w:top w:val="single" w:sz="4" w:space="0" w:color="000000"/>
              <w:left w:val="single" w:sz="23" w:space="0" w:color="FFFFFF"/>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66,567,197.54</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66,567,197.54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北京广通神州网 络技术有限公司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2,037,600.00</w:t>
            </w:r>
          </w:p>
        </w:tc>
      </w:tr>
      <w:tr>
        <w:trPr>
          <w:trHeight w:val="1026"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41"/>
              <w:jc w:val="both"/>
              <w:rPr>
                <w:rFonts w:ascii="宋体" w:hAnsi="宋体" w:cs="宋体" w:eastAsia="宋体" w:hint="default"/>
                <w:sz w:val="18"/>
                <w:szCs w:val="18"/>
              </w:rPr>
            </w:pPr>
            <w:r>
              <w:rPr>
                <w:rFonts w:ascii="宋体" w:hAnsi="宋体" w:cs="宋体" w:eastAsia="宋体" w:hint="default"/>
                <w:sz w:val="18"/>
                <w:szCs w:val="18"/>
              </w:rPr>
              <w:t>北京神州泰岳智 能数据技术有限 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63,750,000.00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267" w:right="0"/>
              <w:jc w:val="left"/>
              <w:rPr>
                <w:rFonts w:ascii="Times New Roman" w:hAnsi="Times New Roman" w:cs="Times New Roman" w:eastAsia="Times New Roman" w:hint="default"/>
                <w:sz w:val="18"/>
                <w:szCs w:val="18"/>
              </w:rPr>
            </w:pPr>
            <w:r>
              <w:rPr>
                <w:rFonts w:ascii="Times New Roman"/>
                <w:sz w:val="18"/>
              </w:rPr>
              <w:t>17,000,000.00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80,750,000.00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天津壳木软件有 限责任公司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1,210,100,000.00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1,210,100,000.00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40,716,000.00</w:t>
            </w: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天津泰岳小漫科 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7,650,000.00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7,650,000.00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北京神州祥升科 技软件有限公司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32,453,024.93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32,453,024.93</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北京融聚世界网 络科技有限公司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3,750,000.00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北京华泰德丰技 术有限公司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5,241,213.74</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5,241,213.74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both"/>
              <w:rPr>
                <w:rFonts w:ascii="宋体" w:hAnsi="宋体" w:cs="宋体" w:eastAsia="宋体" w:hint="default"/>
                <w:sz w:val="18"/>
                <w:szCs w:val="18"/>
              </w:rPr>
            </w:pPr>
            <w:r>
              <w:rPr>
                <w:rFonts w:ascii="宋体" w:hAnsi="宋体" w:cs="宋体" w:eastAsia="宋体" w:hint="default"/>
                <w:sz w:val="18"/>
                <w:szCs w:val="18"/>
              </w:rPr>
              <w:t>深圳市前海泰岳 梧桐投资基金管 理有限公司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986,757.89</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986,757.89</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重庆泰岳优才科 技有限公司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750,000.00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中科鼎富</w:t>
            </w:r>
            <w:r>
              <w:rPr>
                <w:rFonts w:ascii="Times New Roman" w:hAnsi="Times New Roman" w:cs="Times New Roman" w:eastAsia="Times New Roman" w:hint="default"/>
                <w:sz w:val="18"/>
                <w:szCs w:val="18"/>
              </w:rPr>
              <w:t>(</w:t>
            </w:r>
            <w:r>
              <w:rPr>
                <w:rFonts w:ascii="宋体" w:hAnsi="宋体" w:cs="宋体" w:eastAsia="宋体" w:hint="default"/>
                <w:sz w:val="18"/>
                <w:szCs w:val="18"/>
              </w:rPr>
              <w:t>北京</w:t>
            </w:r>
            <w:r>
              <w:rPr>
                <w:rFonts w:ascii="Times New Roman" w:hAnsi="Times New Roman" w:cs="Times New Roman" w:eastAsia="Times New Roman" w:hint="default"/>
                <w:sz w:val="18"/>
                <w:szCs w:val="18"/>
              </w:rPr>
              <w:t>)</w:t>
            </w:r>
            <w:r>
              <w:rPr>
                <w:rFonts w:ascii="宋体" w:hAnsi="宋体" w:cs="宋体" w:eastAsia="宋体" w:hint="default"/>
                <w:sz w:val="18"/>
                <w:szCs w:val="18"/>
              </w:rPr>
              <w:t>科 技发展有限公司</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
        <w:rPr>
          <w:rFonts w:ascii="Times New Roman" w:hAnsi="Times New Roman" w:cs="Times New Roman" w:eastAsia="Times New Roman" w:hint="default"/>
          <w:sz w:val="9"/>
          <w:szCs w:val="9"/>
        </w:rPr>
      </w:pPr>
    </w:p>
    <w:tbl>
      <w:tblPr>
        <w:tblW w:w="0" w:type="auto"/>
        <w:jc w:val="left"/>
        <w:tblInd w:w="1129" w:type="dxa"/>
        <w:tblLayout w:type="fixed"/>
        <w:tblCellMar>
          <w:top w:w="0" w:type="dxa"/>
          <w:left w:w="0" w:type="dxa"/>
          <w:bottom w:w="0" w:type="dxa"/>
          <w:right w:w="0" w:type="dxa"/>
        </w:tblCellMar>
        <w:tblLook w:val="01E0"/>
      </w:tblPr>
      <w:tblGrid>
        <w:gridCol w:w="1436"/>
        <w:gridCol w:w="1348"/>
        <w:gridCol w:w="1336"/>
        <w:gridCol w:w="1334"/>
        <w:gridCol w:w="1336"/>
        <w:gridCol w:w="1389"/>
        <w:gridCol w:w="1390"/>
      </w:tblGrid>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北京泰岳阳光科 技有限公司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390,420,000.00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390,420,000.00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北京泰岳睿安科 技有限公司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北京慧联神州科 技有限公司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141"/>
              <w:jc w:val="left"/>
              <w:rPr>
                <w:rFonts w:ascii="宋体" w:hAnsi="宋体" w:cs="宋体" w:eastAsia="宋体" w:hint="default"/>
                <w:sz w:val="18"/>
                <w:szCs w:val="18"/>
              </w:rPr>
            </w:pPr>
            <w:r>
              <w:rPr>
                <w:rFonts w:ascii="宋体" w:hAnsi="宋体" w:cs="宋体" w:eastAsia="宋体" w:hint="default"/>
                <w:sz w:val="18"/>
                <w:szCs w:val="18"/>
              </w:rPr>
              <w:t>北京神州智核信 息技术有限公司</w:t>
            </w:r>
          </w:p>
        </w:tc>
        <w:tc>
          <w:tcPr>
            <w:tcW w:w="1348" w:type="dxa"/>
            <w:tcBorders>
              <w:top w:val="single" w:sz="4" w:space="0" w:color="000000"/>
              <w:left w:val="single" w:sz="10" w:space="0" w:color="D9D9D9"/>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8" w:type="dxa"/>
            <w:tcBorders>
              <w:top w:val="single" w:sz="4" w:space="0" w:color="000000"/>
              <w:left w:val="single" w:sz="10" w:space="0" w:color="D9D9D9"/>
              <w:bottom w:val="single" w:sz="4" w:space="0" w:color="000000"/>
              <w:right w:val="single" w:sz="4" w:space="0" w:color="000000"/>
            </w:tcBorders>
          </w:tcPr>
          <w:p>
            <w:pPr>
              <w:pStyle w:val="TableParagraph"/>
              <w:spacing w:line="240" w:lineRule="auto" w:before="91"/>
              <w:ind w:left="48" w:right="0"/>
              <w:jc w:val="left"/>
              <w:rPr>
                <w:rFonts w:ascii="Times New Roman" w:hAnsi="Times New Roman" w:cs="Times New Roman" w:eastAsia="Times New Roman" w:hint="default"/>
                <w:sz w:val="18"/>
                <w:szCs w:val="18"/>
              </w:rPr>
            </w:pPr>
            <w:r>
              <w:rPr>
                <w:rFonts w:ascii="Times New Roman"/>
                <w:sz w:val="18"/>
              </w:rPr>
              <w:t>2,623,661,939.57</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409,670,000.00</w:t>
            </w:r>
          </w:p>
        </w:tc>
        <w:tc>
          <w:tcPr>
            <w:tcW w:w="13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7" w:right="0"/>
              <w:jc w:val="left"/>
              <w:rPr>
                <w:rFonts w:ascii="Times New Roman" w:hAnsi="Times New Roman" w:cs="Times New Roman" w:eastAsia="Times New Roman" w:hint="default"/>
                <w:sz w:val="18"/>
                <w:szCs w:val="18"/>
              </w:rPr>
            </w:pPr>
            <w:r>
              <w:rPr>
                <w:rFonts w:ascii="Times New Roman"/>
                <w:sz w:val="18"/>
              </w:rPr>
              <w:t>1,059,772.94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3,032,272,166.63</w:t>
            </w:r>
          </w:p>
        </w:tc>
        <w:tc>
          <w:tcPr>
            <w:tcW w:w="1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1" w:right="0"/>
              <w:jc w:val="left"/>
              <w:rPr>
                <w:rFonts w:ascii="Times New Roman" w:hAnsi="Times New Roman" w:cs="Times New Roman" w:eastAsia="Times New Roman" w:hint="default"/>
                <w:sz w:val="18"/>
                <w:szCs w:val="18"/>
              </w:rPr>
            </w:pPr>
            <w:r>
              <w:rPr>
                <w:rFonts w:ascii="Times New Roman"/>
                <w:sz w:val="18"/>
              </w:rPr>
              <w:t>6,600,000.00</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21" w:right="0"/>
              <w:jc w:val="left"/>
              <w:rPr>
                <w:rFonts w:ascii="Times New Roman" w:hAnsi="Times New Roman" w:cs="Times New Roman" w:eastAsia="Times New Roman" w:hint="default"/>
                <w:sz w:val="18"/>
                <w:szCs w:val="18"/>
              </w:rPr>
            </w:pPr>
            <w:r>
              <w:rPr>
                <w:rFonts w:ascii="Times New Roman"/>
                <w:sz w:val="18"/>
              </w:rPr>
              <w:t>49,353,600.00</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0"/>
        <w:jc w:val="left"/>
        <w:rPr>
          <w:b w:val="0"/>
          <w:bCs w:val="0"/>
        </w:rPr>
      </w:pPr>
      <w:bookmarkStart w:name="（2）对联营、合营企业投资" w:id="455"/>
      <w:bookmarkEnd w:id="455"/>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大连华信 计算机技 术股份有 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121,522,4</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65.96</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15,745,38</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5.84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-202,465.</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186,048.9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132,751,4</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35.48</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宁波泰岳 梧桐投资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4,677,646</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.37</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356,673.9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5,034,320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.36</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北京神州 泰岳良品 电子商务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60,999,58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0.71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-5,448,86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7.88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4" w:right="0"/>
              <w:jc w:val="left"/>
              <w:rPr>
                <w:rFonts w:ascii="Times New Roman" w:hAnsi="Times New Roman" w:cs="Times New Roman" w:eastAsia="Times New Roman" w:hint="default"/>
                <w:sz w:val="18"/>
                <w:szCs w:val="18"/>
              </w:rPr>
            </w:pPr>
            <w:r>
              <w:rPr>
                <w:rFonts w:ascii="Times New Roman"/>
                <w:sz w:val="18"/>
              </w:rPr>
              <w:t>-6,162,46</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0.28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49,388,25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2.55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蓝鸥科技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141,029,0</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27.40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-20,836,0</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54.43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-2,598,40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2.25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-3,635,20</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left"/>
              <w:rPr>
                <w:rFonts w:ascii="Times New Roman" w:hAnsi="Times New Roman" w:cs="Times New Roman" w:eastAsia="Times New Roman" w:hint="default"/>
                <w:sz w:val="18"/>
                <w:szCs w:val="18"/>
              </w:rPr>
            </w:pPr>
            <w:r>
              <w:rPr>
                <w:rFonts w:ascii="Times New Roman"/>
                <w:sz w:val="18"/>
              </w:rPr>
              <w:t>113,959,3</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70.72</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珠海神州 泰岳投资 管理有限 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479,092.0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sz w:val="18"/>
              </w:rPr>
              <w:t>-111,805.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29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367,286.7</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986"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珠海泰岳 梧桐投资 管理有限</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590,400.9</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1</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left="74" w:right="0"/>
              <w:jc w:val="left"/>
              <w:rPr>
                <w:rFonts w:ascii="Times New Roman" w:hAnsi="Times New Roman" w:cs="Times New Roman" w:eastAsia="Times New Roman" w:hint="default"/>
                <w:sz w:val="18"/>
                <w:szCs w:val="18"/>
              </w:rPr>
            </w:pPr>
            <w:r>
              <w:rPr>
                <w:rFonts w:ascii="Times New Roman"/>
                <w:sz w:val="18"/>
              </w:rPr>
              <w:t>-5,529.68</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584,871.2</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51" w:footer="979" w:top="1320" w:bottom="1160" w:left="0" w:right="0"/>
        </w:sectPr>
      </w:pPr>
    </w:p>
    <w:p>
      <w:pPr>
        <w:spacing w:line="240" w:lineRule="auto" w:before="12"/>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329,298,2</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13.39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-10,300,1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97.45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-2,800,86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7.48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 w:right="0"/>
              <w:jc w:val="left"/>
              <w:rPr>
                <w:rFonts w:ascii="Times New Roman" w:hAnsi="Times New Roman" w:cs="Times New Roman" w:eastAsia="Times New Roman" w:hint="default"/>
                <w:sz w:val="18"/>
                <w:szCs w:val="18"/>
              </w:rPr>
            </w:pPr>
            <w:r>
              <w:rPr>
                <w:rFonts w:ascii="Times New Roman"/>
                <w:sz w:val="18"/>
              </w:rPr>
              <w:t>-9,611,61</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1.37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302,085,5</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37.09</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329,298,2</w:t>
            </w:r>
          </w:p>
          <w:p>
            <w:pPr>
              <w:pStyle w:val="TableParagraph"/>
              <w:spacing w:line="240" w:lineRule="auto" w:before="105"/>
              <w:ind w:left="361" w:right="0"/>
              <w:jc w:val="left"/>
              <w:rPr>
                <w:rFonts w:ascii="Times New Roman" w:hAnsi="Times New Roman" w:cs="Times New Roman" w:eastAsia="Times New Roman" w:hint="default"/>
                <w:sz w:val="18"/>
                <w:szCs w:val="18"/>
              </w:rPr>
            </w:pPr>
            <w:r>
              <w:rPr>
                <w:rFonts w:ascii="Times New Roman"/>
                <w:sz w:val="18"/>
              </w:rPr>
              <w:t>13.39</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-10,300,1</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97.45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-2,800,86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7.48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7" w:right="0"/>
              <w:jc w:val="left"/>
              <w:rPr>
                <w:rFonts w:ascii="Times New Roman" w:hAnsi="Times New Roman" w:cs="Times New Roman" w:eastAsia="Times New Roman" w:hint="default"/>
                <w:sz w:val="18"/>
                <w:szCs w:val="18"/>
              </w:rPr>
            </w:pPr>
            <w:r>
              <w:rPr>
                <w:rFonts w:ascii="Times New Roman"/>
                <w:sz w:val="18"/>
              </w:rPr>
              <w:t>-9,611,61</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1.37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302,085,5</w:t>
            </w:r>
          </w:p>
          <w:p>
            <w:pPr>
              <w:pStyle w:val="TableParagraph"/>
              <w:spacing w:line="240" w:lineRule="auto" w:before="105"/>
              <w:ind w:left="360" w:right="0"/>
              <w:jc w:val="left"/>
              <w:rPr>
                <w:rFonts w:ascii="Times New Roman" w:hAnsi="Times New Roman" w:cs="Times New Roman" w:eastAsia="Times New Roman" w:hint="default"/>
                <w:sz w:val="18"/>
                <w:szCs w:val="18"/>
              </w:rPr>
            </w:pPr>
            <w:r>
              <w:rPr>
                <w:rFonts w:ascii="Times New Roman"/>
                <w:sz w:val="18"/>
              </w:rPr>
              <w:t>37.09</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4、营业收入和营业成本" w:id="456"/>
      <w:bookmarkEnd w:id="456"/>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40" w:type="dxa"/>
        <w:tblLayout w:type="fixed"/>
        <w:tblCellMar>
          <w:top w:w="0" w:type="dxa"/>
          <w:left w:w="0" w:type="dxa"/>
          <w:bottom w:w="0" w:type="dxa"/>
          <w:right w:w="0" w:type="dxa"/>
        </w:tblCellMar>
        <w:tblLook w:val="01E0"/>
      </w:tblPr>
      <w:tblGrid>
        <w:gridCol w:w="1983"/>
        <w:gridCol w:w="1838"/>
        <w:gridCol w:w="1913"/>
        <w:gridCol w:w="1913"/>
        <w:gridCol w:w="1913"/>
      </w:tblGrid>
      <w:tr>
        <w:trPr>
          <w:trHeight w:val="206" w:hRule="exact"/>
        </w:trPr>
        <w:tc>
          <w:tcPr>
            <w:tcW w:w="19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75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83" w:type="dxa"/>
            <w:vMerge/>
            <w:tcBorders>
              <w:left w:val="single" w:sz="4" w:space="0" w:color="000000"/>
              <w:bottom w:val="nil" w:sz="6" w:space="0" w:color="auto"/>
              <w:right w:val="single" w:sz="4" w:space="0" w:color="000000"/>
            </w:tcBorders>
            <w:shd w:val="clear" w:color="auto" w:fill="D2D2D2"/>
          </w:tcPr>
          <w:p>
            <w:pPr/>
          </w:p>
        </w:tc>
        <w:tc>
          <w:tcPr>
            <w:tcW w:w="18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688,688,287.23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218,753,630.24</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616,481,398.76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167,053,925.36</w:t>
            </w:r>
          </w:p>
        </w:tc>
      </w:tr>
      <w:tr>
        <w:trPr>
          <w:trHeight w:val="402"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31,285,197.08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4,789,754.41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26,917,531.49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4,679,723.43</w:t>
            </w:r>
          </w:p>
        </w:tc>
      </w:tr>
      <w:tr>
        <w:trPr>
          <w:trHeight w:val="403"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719,973,484.31</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223,543,384.65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643,398,930.25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171,733,648.79</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5、投资收益" w:id="457"/>
      <w:bookmarkEnd w:id="457"/>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630" w:right="1130"/>
        <w:jc w:val="right"/>
      </w:pPr>
      <w:r>
        <w:rPr/>
        <w:t>单位： 元</w:t>
      </w:r>
    </w:p>
    <w:p>
      <w:pPr>
        <w:spacing w:line="240" w:lineRule="auto" w:before="13"/>
        <w:rPr>
          <w:rFonts w:ascii="宋体" w:hAnsi="宋体" w:cs="宋体" w:eastAsia="宋体" w:hint="default"/>
          <w:sz w:val="7"/>
          <w:szCs w:val="7"/>
        </w:rPr>
      </w:pPr>
    </w:p>
    <w:tbl>
      <w:tblPr>
        <w:tblW w:w="0" w:type="auto"/>
        <w:jc w:val="left"/>
        <w:tblInd w:w="112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9" w:space="0" w:color="D2D2D2"/>
            </w:tcBorders>
            <w:shd w:val="clear" w:color="auto" w:fill="D9D9D9"/>
          </w:tcPr>
          <w:p>
            <w:pPr>
              <w:pStyle w:val="TableParagraph"/>
              <w:spacing w:line="240" w:lineRule="auto" w:before="51"/>
              <w:ind w:left="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-10,300,197.45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10,750,656.87</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处置长期股权投资产生的投资收益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-309,772.94</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5,489,417.01</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可供出售金融资产在持有期间的投资收益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4,621,991.35</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3,292,170.00</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处置可供出售金融资产取得的投资收益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47,856,343.17</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344,657.31</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股份注销确认权益工具形成收益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166,886,615.94</w:t>
            </w: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51"/>
              <w:jc w:val="both"/>
              <w:rPr>
                <w:rFonts w:ascii="宋体" w:hAnsi="宋体" w:cs="宋体" w:eastAsia="宋体" w:hint="default"/>
                <w:sz w:val="18"/>
                <w:szCs w:val="18"/>
              </w:rPr>
            </w:pPr>
            <w:r>
              <w:rPr>
                <w:rFonts w:ascii="宋体" w:hAnsi="宋体" w:cs="宋体" w:eastAsia="宋体" w:hint="default"/>
                <w:sz w:val="18"/>
                <w:szCs w:val="18"/>
              </w:rPr>
              <w:t>权益法核算的长期股权投资转可供出售金 融资产持有期间确认的除净损益以外的其 他权益变动转投资收益</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6,183,450.28</w:t>
            </w: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1"/>
              <w:ind w:left="22" w:right="51"/>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 投资成本大于取得投资时应享有被投资单 位可辨认净资产公允价值产生的损失</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-19,478,786.26</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41,868,364.13</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173,468,181.15</w:t>
            </w:r>
          </w:p>
        </w:tc>
      </w:tr>
    </w:tbl>
    <w:p>
      <w:pPr>
        <w:spacing w:line="240" w:lineRule="auto" w:before="2"/>
        <w:rPr>
          <w:rFonts w:ascii="宋体" w:hAnsi="宋体" w:cs="宋体" w:eastAsia="宋体" w:hint="default"/>
          <w:sz w:val="19"/>
          <w:szCs w:val="19"/>
        </w:rPr>
      </w:pPr>
    </w:p>
    <w:p>
      <w:pPr>
        <w:pStyle w:val="Heading3"/>
        <w:spacing w:line="240" w:lineRule="auto" w:before="35"/>
        <w:ind w:right="0"/>
        <w:jc w:val="left"/>
        <w:rPr>
          <w:b w:val="0"/>
          <w:bCs w:val="0"/>
        </w:rPr>
      </w:pPr>
      <w:bookmarkStart w:name="6、其他" w:id="458"/>
      <w:bookmarkEnd w:id="458"/>
      <w:r>
        <w:rPr>
          <w:b w:val="0"/>
          <w:bCs w:val="0"/>
        </w:rPr>
      </w:r>
      <w:r>
        <w:rPr>
          <w:rFonts w:ascii="Times New Roman" w:hAnsi="Times New Roman" w:cs="Times New Roman" w:eastAsia="Times New Roman" w:hint="default"/>
        </w:rPr>
        <w:t>6</w:t>
      </w:r>
      <w:r>
        <w:rPr/>
        <w:t>、其他</w:t>
      </w:r>
      <w:r>
        <w:rPr>
          <w:b w:val="0"/>
          <w:bCs w:val="0"/>
        </w:rPr>
      </w:r>
    </w:p>
    <w:p>
      <w:pPr>
        <w:spacing w:line="240" w:lineRule="auto" w:before="7"/>
        <w:rPr>
          <w:rFonts w:ascii="宋体" w:hAnsi="宋体" w:cs="宋体" w:eastAsia="宋体" w:hint="default"/>
          <w:b/>
          <w:bCs/>
          <w:sz w:val="32"/>
          <w:szCs w:val="32"/>
        </w:rPr>
      </w:pPr>
    </w:p>
    <w:p>
      <w:pPr>
        <w:pStyle w:val="BodyText"/>
        <w:spacing w:line="240" w:lineRule="auto"/>
        <w:ind w:left="1494"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2"/>
        <w:spacing w:line="240" w:lineRule="auto" w:before="9"/>
        <w:ind w:right="0"/>
        <w:jc w:val="left"/>
        <w:rPr>
          <w:b w:val="0"/>
          <w:bCs w:val="0"/>
        </w:rPr>
      </w:pPr>
      <w:bookmarkStart w:name="十八、补充资料" w:id="459"/>
      <w:bookmarkEnd w:id="459"/>
      <w:r>
        <w:rPr>
          <w:b w:val="0"/>
          <w:bCs w:val="0"/>
        </w:rPr>
      </w:r>
      <w:r>
        <w:rPr/>
        <w:t>十八、补充资料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left="1133" w:right="0"/>
        <w:jc w:val="left"/>
        <w:rPr>
          <w:b w:val="0"/>
          <w:bCs w:val="0"/>
        </w:rPr>
      </w:pPr>
      <w:bookmarkStart w:name="1、当期非经常性损益明细表" w:id="460"/>
      <w:bookmarkEnd w:id="460"/>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spacing w:before="44"/>
        <w:ind w:left="1133"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  </w:t>
      </w:r>
      <w:r>
        <w:rPr>
          <w:rFonts w:ascii="宋体" w:hAnsi="宋体" w:cs="宋体" w:eastAsia="宋体" w:hint="default"/>
          <w:b/>
          <w:bCs/>
          <w:sz w:val="18"/>
          <w:szCs w:val="18"/>
        </w:rPr>
        <w:t>适用 </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41"/>
          <w:sz w:val="18"/>
          <w:szCs w:val="18"/>
        </w:rPr>
        <w:t> </w:t>
      </w:r>
      <w:r>
        <w:rPr>
          <w:rFonts w:ascii="宋体" w:hAnsi="宋体" w:cs="宋体" w:eastAsia="宋体" w:hint="default"/>
          <w:sz w:val="18"/>
          <w:szCs w:val="18"/>
        </w:rPr>
        <w:t>不适用</w:t>
      </w:r>
    </w:p>
    <w:p>
      <w:pPr>
        <w:pStyle w:val="BodyText"/>
        <w:spacing w:line="240" w:lineRule="auto" w:before="102"/>
        <w:ind w:left="630" w:right="1130"/>
        <w:jc w:val="right"/>
      </w:pPr>
      <w:r>
        <w:rPr/>
        <w:t>单位： 元</w:t>
      </w:r>
    </w:p>
    <w:p>
      <w:pPr>
        <w:spacing w:line="240" w:lineRule="auto" w:before="1"/>
        <w:rPr>
          <w:rFonts w:ascii="宋体" w:hAnsi="宋体" w:cs="宋体" w:eastAsia="宋体" w:hint="default"/>
          <w:sz w:val="8"/>
          <w:szCs w:val="8"/>
        </w:rPr>
      </w:pPr>
    </w:p>
    <w:tbl>
      <w:tblPr>
        <w:tblW w:w="0" w:type="auto"/>
        <w:jc w:val="left"/>
        <w:tblInd w:w="1140" w:type="dxa"/>
        <w:tblLayout w:type="fixed"/>
        <w:tblCellMar>
          <w:top w:w="0" w:type="dxa"/>
          <w:left w:w="0" w:type="dxa"/>
          <w:bottom w:w="0" w:type="dxa"/>
          <w:right w:w="0" w:type="dxa"/>
        </w:tblCellMar>
        <w:tblLook w:val="01E0"/>
      </w:tblPr>
      <w:tblGrid>
        <w:gridCol w:w="3302"/>
        <w:gridCol w:w="3071"/>
        <w:gridCol w:w="318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11,684,624.72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38"/>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计入当期损益的政府补助（与企业业务密 切相关，按照国家统一标准定额或定量享 受的政府补助除外）</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6,702,013.42</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38"/>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 值业务外，持有交易性金融资产、交易性 金融负债产生的公允价值变动损益，以及 处置交易性金融资产、交易性金融负债和 可供出售金融资产取得的投资收益</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57,238,765.38</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12,898,514.07</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22,096,300.10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7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1,454,243.45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71" w:type="dxa"/>
            <w:tcBorders>
              <w:top w:val="single" w:sz="4" w:space="0" w:color="000000"/>
              <w:left w:val="single" w:sz="13" w:space="0" w:color="D2D2D2"/>
              <w:bottom w:val="single" w:sz="4" w:space="0" w:color="000000"/>
              <w:right w:val="single" w:sz="13" w:space="0" w:color="D2D2D2"/>
            </w:tcBorders>
          </w:tcPr>
          <w:p>
            <w:pPr>
              <w:pStyle w:val="TableParagraph"/>
              <w:spacing w:line="240" w:lineRule="auto" w:before="91"/>
              <w:ind w:right="10"/>
              <w:jc w:val="right"/>
              <w:rPr>
                <w:rFonts w:ascii="Times New Roman" w:hAnsi="Times New Roman" w:cs="Times New Roman" w:eastAsia="Times New Roman" w:hint="default"/>
                <w:sz w:val="18"/>
                <w:szCs w:val="18"/>
              </w:rPr>
            </w:pPr>
            <w:r>
              <w:rPr>
                <w:rFonts w:ascii="Times New Roman"/>
                <w:spacing w:val="-1"/>
                <w:sz w:val="18"/>
              </w:rPr>
              <w:t>64,973,374.04</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left="1134"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1"/>
        <w:ind w:left="1134"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spacing w:before="7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40" w:lineRule="auto"/>
        <w:ind w:right="0"/>
        <w:jc w:val="left"/>
        <w:rPr>
          <w:b w:val="0"/>
          <w:bCs w:val="0"/>
        </w:rPr>
      </w:pPr>
      <w:bookmarkStart w:name="2、净资产收益率及每股收益" w:id="461"/>
      <w:bookmarkEnd w:id="461"/>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0"/>
        <w:rPr>
          <w:rFonts w:ascii="宋体" w:hAnsi="宋体" w:cs="宋体" w:eastAsia="宋体" w:hint="default"/>
          <w:b/>
          <w:bCs/>
          <w:sz w:val="25"/>
          <w:szCs w:val="25"/>
        </w:rPr>
      </w:pPr>
    </w:p>
    <w:tbl>
      <w:tblPr>
        <w:tblW w:w="0" w:type="auto"/>
        <w:jc w:val="left"/>
        <w:tblInd w:w="1140" w:type="dxa"/>
        <w:tblLayout w:type="fixed"/>
        <w:tblCellMar>
          <w:top w:w="0" w:type="dxa"/>
          <w:left w:w="0" w:type="dxa"/>
          <w:bottom w:w="0" w:type="dxa"/>
          <w:right w:w="0" w:type="dxa"/>
        </w:tblCellMar>
        <w:tblLook w:val="01E0"/>
      </w:tblPr>
      <w:tblGrid>
        <w:gridCol w:w="2651"/>
        <w:gridCol w:w="3081"/>
        <w:gridCol w:w="1913"/>
        <w:gridCol w:w="1913"/>
      </w:tblGrid>
      <w:tr>
        <w:trPr>
          <w:trHeight w:val="206" w:hRule="exact"/>
        </w:trPr>
        <w:tc>
          <w:tcPr>
            <w:tcW w:w="2651" w:type="dxa"/>
            <w:tcBorders>
              <w:top w:val="single" w:sz="4" w:space="0" w:color="000000"/>
              <w:left w:val="single" w:sz="4" w:space="0" w:color="000000"/>
              <w:bottom w:val="nil" w:sz="6" w:space="0" w:color="auto"/>
              <w:right w:val="single" w:sz="4" w:space="0" w:color="000000"/>
            </w:tcBorders>
            <w:shd w:val="clear" w:color="auto" w:fill="D2D2D2"/>
          </w:tcPr>
          <w:p>
            <w:pPr/>
          </w:p>
        </w:tc>
        <w:tc>
          <w:tcPr>
            <w:tcW w:w="308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265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65"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35"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651" w:type="dxa"/>
            <w:vMerge/>
            <w:tcBorders>
              <w:left w:val="single" w:sz="4" w:space="0" w:color="000000"/>
              <w:bottom w:val="nil" w:sz="6" w:space="0" w:color="auto"/>
              <w:right w:val="single" w:sz="4" w:space="0" w:color="000000"/>
            </w:tcBorders>
            <w:shd w:val="clear" w:color="auto" w:fill="D2D2D2"/>
          </w:tcPr>
          <w:p>
            <w:pPr/>
          </w:p>
        </w:tc>
        <w:tc>
          <w:tcPr>
            <w:tcW w:w="3081" w:type="dxa"/>
            <w:vMerge/>
            <w:tcBorders>
              <w:left w:val="single" w:sz="4" w:space="0" w:color="000000"/>
              <w:bottom w:val="nil" w:sz="6" w:space="0" w:color="auto"/>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2651" w:type="dxa"/>
            <w:tcBorders>
              <w:top w:val="nil" w:sz="6" w:space="0" w:color="auto"/>
              <w:left w:val="single" w:sz="4" w:space="0" w:color="000000"/>
              <w:bottom w:val="single" w:sz="4" w:space="0" w:color="000000"/>
              <w:right w:val="single" w:sz="4" w:space="0" w:color="000000"/>
            </w:tcBorders>
            <w:shd w:val="clear" w:color="auto" w:fill="D2D2D2"/>
          </w:tcPr>
          <w:p>
            <w:pPr/>
          </w:p>
        </w:tc>
        <w:tc>
          <w:tcPr>
            <w:tcW w:w="308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88"/>
              <w:ind w:right="19"/>
              <w:jc w:val="right"/>
              <w:rPr>
                <w:rFonts w:ascii="Times New Roman" w:hAnsi="Times New Roman" w:cs="Times New Roman" w:eastAsia="Times New Roman" w:hint="default"/>
                <w:sz w:val="18"/>
                <w:szCs w:val="18"/>
              </w:rPr>
            </w:pPr>
            <w:r>
              <w:rPr>
                <w:rFonts w:ascii="Times New Roman"/>
                <w:sz w:val="18"/>
              </w:rPr>
              <w:t>2.35%</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0.0610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0.0610</w:t>
            </w:r>
          </w:p>
        </w:tc>
      </w:tr>
      <w:tr>
        <w:trPr>
          <w:trHeight w:val="714" w:hRule="exact"/>
        </w:trPr>
        <w:tc>
          <w:tcPr>
            <w:tcW w:w="2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07"/>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 普通股股东的净利润</w:t>
            </w:r>
          </w:p>
        </w:tc>
        <w:tc>
          <w:tcPr>
            <w:tcW w:w="308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0.0278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0.0278</w:t>
            </w:r>
          </w:p>
        </w:tc>
      </w:tr>
    </w:tbl>
    <w:p>
      <w:pPr>
        <w:spacing w:line="240" w:lineRule="auto" w:before="2"/>
        <w:rPr>
          <w:rFonts w:ascii="宋体" w:hAnsi="宋体" w:cs="宋体" w:eastAsia="宋体" w:hint="default"/>
          <w:b/>
          <w:bCs/>
          <w:sz w:val="19"/>
          <w:szCs w:val="19"/>
        </w:rPr>
      </w:pPr>
    </w:p>
    <w:p>
      <w:pPr>
        <w:pStyle w:val="Heading3"/>
        <w:spacing w:line="240" w:lineRule="auto" w:before="35"/>
        <w:ind w:right="0"/>
        <w:jc w:val="left"/>
        <w:rPr>
          <w:b w:val="0"/>
          <w:bCs w:val="0"/>
        </w:rPr>
      </w:pPr>
      <w:bookmarkStart w:name="3、境内外会计准则下会计数据差异" w:id="462"/>
      <w:bookmarkEnd w:id="462"/>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left"/>
        <w:rPr>
          <w:b w:val="0"/>
          <w:bCs w:val="0"/>
        </w:rPr>
      </w:pPr>
      <w:bookmarkStart w:name="（1）同时按照国际会计准则与按中国会计准则披露的财务报告中净利润和净资产差异情况" w:id="463"/>
      <w:bookmarkEnd w:id="463"/>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after="0"/>
        <w:jc w:val="left"/>
        <w:rPr>
          <w:rFonts w:ascii="宋体" w:hAnsi="宋体" w:cs="宋体" w:eastAsia="宋体" w:hint="default"/>
          <w:sz w:val="18"/>
          <w:szCs w:val="18"/>
        </w:rPr>
        <w:sectPr>
          <w:pgSz w:w="11910" w:h="16840"/>
          <w:pgMar w:header="851" w:footer="979" w:top="1320" w:bottom="1160" w:left="0" w:right="0"/>
        </w:sectPr>
      </w:pPr>
    </w:p>
    <w:p>
      <w:pPr>
        <w:spacing w:line="240" w:lineRule="auto" w:before="12"/>
        <w:rPr>
          <w:rFonts w:ascii="宋体" w:hAnsi="宋体" w:cs="宋体" w:eastAsia="宋体" w:hint="default"/>
          <w:b/>
          <w:bCs/>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pStyle w:val="Heading3"/>
        <w:spacing w:line="240" w:lineRule="auto" w:before="31"/>
        <w:ind w:right="0"/>
        <w:jc w:val="left"/>
        <w:rPr>
          <w:b w:val="0"/>
          <w:bCs w:val="0"/>
        </w:rPr>
      </w:pPr>
      <w:bookmarkStart w:name="（2）同时按照境外会计准则与按中国会计准则披露的财务报告中净利润和净资产差异情况" w:id="464"/>
      <w:bookmarkEnd w:id="464"/>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spacing w:before="0"/>
        <w:ind w:left="113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  </w:t>
      </w:r>
      <w:r>
        <w:rPr>
          <w:rFonts w:ascii="宋体" w:hAnsi="宋体" w:cs="宋体" w:eastAsia="宋体" w:hint="default"/>
          <w:sz w:val="18"/>
          <w:szCs w:val="18"/>
        </w:rPr>
        <w:t>适用 </w:t>
      </w:r>
      <w:r>
        <w:rPr>
          <w:rFonts w:ascii="Times New Roman" w:hAnsi="Times New Roman" w:cs="Times New Roman" w:eastAsia="Times New Roman" w:hint="default"/>
          <w:b/>
          <w:bCs/>
          <w:sz w:val="18"/>
          <w:szCs w:val="18"/>
        </w:rPr>
        <w:t>√</w:t>
      </w:r>
      <w:r>
        <w:rPr>
          <w:rFonts w:ascii="Times New Roman" w:hAnsi="Times New Roman" w:cs="Times New Roman" w:eastAsia="Times New Roman" w:hint="default"/>
          <w:b/>
          <w:bCs/>
          <w:spacing w:val="42"/>
          <w:sz w:val="18"/>
          <w:szCs w:val="18"/>
        </w:rPr>
        <w:t> </w:t>
      </w:r>
      <w:r>
        <w:rPr>
          <w:rFonts w:ascii="宋体" w:hAnsi="宋体" w:cs="宋体" w:eastAsia="宋体" w:hint="default"/>
          <w:b/>
          <w:bCs/>
          <w:sz w:val="18"/>
          <w:szCs w:val="18"/>
        </w:rPr>
        <w:t>不适用</w:t>
      </w:r>
      <w:r>
        <w:rPr>
          <w:rFonts w:ascii="宋体" w:hAnsi="宋体" w:cs="宋体" w:eastAsia="宋体" w:hint="default"/>
          <w:sz w:val="18"/>
          <w:szCs w:val="18"/>
        </w:rPr>
      </w:r>
    </w:p>
    <w:p>
      <w:pPr>
        <w:spacing w:line="240" w:lineRule="auto" w:before="9"/>
        <w:rPr>
          <w:rFonts w:ascii="宋体" w:hAnsi="宋体" w:cs="宋体" w:eastAsia="宋体" w:hint="default"/>
          <w:b/>
          <w:bCs/>
          <w:sz w:val="25"/>
          <w:szCs w:val="25"/>
        </w:rPr>
      </w:pPr>
    </w:p>
    <w:p>
      <w:pPr>
        <w:pStyle w:val="Heading3"/>
        <w:spacing w:line="259" w:lineRule="auto"/>
        <w:ind w:right="0"/>
        <w:jc w:val="left"/>
        <w:rPr>
          <w:b w:val="0"/>
          <w:bCs w:val="0"/>
        </w:rPr>
      </w:pPr>
      <w:bookmarkStart w:name="（3）境内外会计准则下会计数据差异原因说明，对已经境外审计机构审计的数据进行差异" w:id="465"/>
      <w:bookmarkEnd w:id="465"/>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line="240" w:lineRule="auto" w:before="0"/>
        <w:rPr>
          <w:rFonts w:ascii="宋体" w:hAnsi="宋体" w:cs="宋体" w:eastAsia="宋体" w:hint="default"/>
          <w:b/>
          <w:bCs/>
          <w:sz w:val="20"/>
          <w:szCs w:val="20"/>
        </w:rPr>
      </w:pPr>
    </w:p>
    <w:p>
      <w:pPr>
        <w:pStyle w:val="BodyText"/>
        <w:spacing w:line="240" w:lineRule="auto" w:before="162"/>
        <w:ind w:left="1494" w:right="0"/>
        <w:jc w:val="left"/>
      </w:pPr>
      <w:r>
        <w:rPr/>
        <w:t>无。</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Heading3"/>
        <w:spacing w:line="240" w:lineRule="auto"/>
        <w:ind w:right="0"/>
        <w:jc w:val="left"/>
        <w:rPr>
          <w:b w:val="0"/>
          <w:bCs w:val="0"/>
        </w:rPr>
      </w:pPr>
      <w:bookmarkStart w:name="4、其他" w:id="466"/>
      <w:bookmarkEnd w:id="466"/>
      <w:r>
        <w:rPr>
          <w:b w:val="0"/>
          <w:bCs w:val="0"/>
        </w:rPr>
      </w:r>
      <w:r>
        <w:rPr>
          <w:rFonts w:ascii="Times New Roman" w:hAnsi="Times New Roman" w:cs="Times New Roman" w:eastAsia="Times New Roman" w:hint="default"/>
        </w:rPr>
        <w:t>4</w:t>
      </w:r>
      <w:r>
        <w:rPr/>
        <w:t>、其他</w:t>
      </w:r>
      <w:r>
        <w:rPr>
          <w:b w:val="0"/>
          <w:bCs w:val="0"/>
        </w:rPr>
      </w:r>
    </w:p>
    <w:p>
      <w:pPr>
        <w:spacing w:line="240" w:lineRule="auto" w:before="6"/>
        <w:rPr>
          <w:rFonts w:ascii="宋体" w:hAnsi="宋体" w:cs="宋体" w:eastAsia="宋体" w:hint="default"/>
          <w:b/>
          <w:bCs/>
          <w:sz w:val="32"/>
          <w:szCs w:val="32"/>
        </w:rPr>
      </w:pPr>
    </w:p>
    <w:p>
      <w:pPr>
        <w:pStyle w:val="BodyText"/>
        <w:spacing w:line="240" w:lineRule="auto"/>
        <w:ind w:left="1494" w:right="0"/>
        <w:jc w:val="left"/>
      </w:pPr>
      <w:r>
        <w:rPr/>
        <w:t>无。</w:t>
      </w:r>
    </w:p>
    <w:p>
      <w:pPr>
        <w:spacing w:after="0" w:line="240" w:lineRule="auto"/>
        <w:jc w:val="left"/>
        <w:sectPr>
          <w:pgSz w:w="11910" w:h="16840"/>
          <w:pgMar w:header="851" w:footer="979" w:top="1320" w:bottom="1160" w:left="0" w:right="0"/>
        </w:sectPr>
      </w:pPr>
    </w:p>
    <w:p>
      <w:pPr>
        <w:spacing w:line="240" w:lineRule="auto" w:before="12"/>
        <w:rPr>
          <w:rFonts w:ascii="宋体" w:hAnsi="宋体" w:cs="宋体" w:eastAsia="宋体" w:hint="default"/>
          <w:sz w:val="2"/>
          <w:szCs w:val="2"/>
        </w:rPr>
      </w:pPr>
    </w:p>
    <w:p>
      <w:pPr>
        <w:spacing w:line="20" w:lineRule="exact"/>
        <w:ind w:left="109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12"/>
          <w:szCs w:val="12"/>
        </w:rPr>
      </w:pPr>
    </w:p>
    <w:p>
      <w:pPr>
        <w:pStyle w:val="Heading1"/>
        <w:spacing w:line="240" w:lineRule="auto"/>
        <w:ind w:left="4090" w:right="4091"/>
        <w:jc w:val="center"/>
        <w:rPr>
          <w:b w:val="0"/>
          <w:bCs w:val="0"/>
        </w:rPr>
      </w:pPr>
      <w:bookmarkStart w:name="第十二节 备查文件目录" w:id="467"/>
      <w:bookmarkEnd w:id="467"/>
      <w:r>
        <w:rPr>
          <w:b w:val="0"/>
          <w:bCs w:val="0"/>
        </w:rPr>
      </w:r>
      <w:bookmarkStart w:name="_bookmark11" w:id="468"/>
      <w:bookmarkEnd w:id="468"/>
      <w:r>
        <w:rPr>
          <w:b w:val="0"/>
          <w:bCs w:val="0"/>
        </w:rPr>
      </w:r>
      <w:r>
        <w:rPr/>
        <w:t>第十二节</w:t>
      </w:r>
      <w:r>
        <w:rPr>
          <w:spacing w:val="-8"/>
        </w:rPr>
        <w:t> </w:t>
      </w:r>
      <w:r>
        <w:rPr/>
        <w:t>备查文件目录</w:t>
      </w:r>
      <w:r>
        <w:rPr>
          <w:b w:val="0"/>
          <w:bCs w:val="0"/>
        </w:rPr>
      </w:r>
    </w:p>
    <w:p>
      <w:pPr>
        <w:spacing w:line="240" w:lineRule="auto" w:before="0"/>
        <w:rPr>
          <w:rFonts w:ascii="宋体" w:hAnsi="宋体" w:cs="宋体" w:eastAsia="宋体" w:hint="default"/>
          <w:b/>
          <w:bCs/>
          <w:sz w:val="32"/>
          <w:szCs w:val="32"/>
        </w:rPr>
      </w:pPr>
    </w:p>
    <w:p>
      <w:pPr>
        <w:pStyle w:val="BodyText"/>
        <w:spacing w:line="477" w:lineRule="auto" w:before="215"/>
        <w:ind w:left="1134" w:right="1752"/>
        <w:jc w:val="left"/>
      </w:pPr>
      <w:r>
        <w:rPr/>
        <w:t>一、载有法定代表人王宁先生、主管会计工作负责人林红女士、会计机构负责人王辉先生签名并盖章的财务报表； 二、载有会计师事务所盖章、注册会计师签名并盖章的审计报告原件； 三、报告期内在中国证监会指定报纸上公开披露过的所有公司文件的正本及公告的原稿；</w:t>
      </w:r>
    </w:p>
    <w:p>
      <w:pPr>
        <w:pStyle w:val="BodyText"/>
        <w:spacing w:line="477" w:lineRule="auto" w:before="54"/>
        <w:ind w:left="1134" w:right="7152"/>
        <w:jc w:val="left"/>
      </w:pPr>
      <w:r>
        <w:rPr/>
        <w:t>四、其他相关资料。 以上备查文件的备置地点：公司董事会办公室</w:t>
      </w:r>
    </w:p>
    <w:sectPr>
      <w:pgSz w:w="11910" w:h="16840"/>
      <w:pgMar w:header="851" w:footer="979" w:top="1320" w:bottom="1160" w:left="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OCR A Extended">
    <w:altName w:val="OCR A Extended"/>
    <w:charset w:val="0"/>
    <w:family w:val="modern"/>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93992" type="#_x0000_t75" stroked="false">
          <v:imagedata r:id="rId1" o:title=""/>
        </v:shape>
      </w:pict>
    </w:r>
    <w:r>
      <w:rPr/>
      <w:pict>
        <v:shape style="position:absolute;margin-left:527.679993pt;margin-top:781.957947pt;width:13pt;height:11pt;mso-position-horizontal-relative:page;mso-position-vertical-relative:page;z-index:-119396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93944" type="#_x0000_t75" stroked="false">
          <v:imagedata r:id="rId1" o:title=""/>
        </v:shape>
      </w:pict>
    </w:r>
    <w:r>
      <w:rPr/>
      <w:pict>
        <v:shape style="position:absolute;margin-left:524.179993pt;margin-top:781.957947pt;width:15.5pt;height:11pt;mso-position-horizontal-relative:page;mso-position-vertical-relative:page;z-index:-1193920"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93896" type="#_x0000_t75" stroked="false">
          <v:imagedata r:id="rId1" o:title=""/>
        </v:shape>
      </w:pict>
    </w:r>
    <w:r>
      <w:rPr/>
      <w:pict>
        <v:shape style="position:absolute;margin-left:523.179993pt;margin-top:781.957947pt;width:17.5pt;height:11pt;mso-position-horizontal-relative:page;mso-position-vertical-relative:page;z-index:-1193872"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93848" type="#_x0000_t75" stroked="false">
          <v:imagedata r:id="rId1" o:title=""/>
        </v:shape>
      </w:pict>
    </w:r>
    <w:r>
      <w:rPr/>
      <w:pict>
        <v:shape style="position:absolute;margin-left:523.179993pt;margin-top:781.957947pt;width:17.5pt;height:11pt;mso-position-horizontal-relative:page;mso-position-vertical-relative:page;z-index:-119382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196</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93800" type="#_x0000_t75" stroked="false">
          <v:imagedata r:id="rId1" o:title=""/>
        </v:shape>
      </w:pict>
    </w:r>
    <w:r>
      <w:rPr/>
      <w:pict>
        <v:shape style="position:absolute;margin-left:524.179993pt;margin-top:781.957947pt;width:15.5pt;height:11pt;mso-position-horizontal-relative:page;mso-position-vertical-relative:page;z-index:-119377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200</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0pt;margin-top:799.919983pt;width:595.320007pt;height:42pt;mso-position-horizontal-relative:page;mso-position-vertical-relative:page;z-index:-1193752" type="#_x0000_t75" stroked="false">
          <v:imagedata r:id="rId1" o:title=""/>
        </v:shape>
      </w:pict>
    </w:r>
    <w:r>
      <w:rPr/>
      <w:pict>
        <v:shape style="position:absolute;margin-left:523.179993pt;margin-top:781.957947pt;width:17.5pt;height:11pt;mso-position-horizontal-relative:page;mso-position-vertical-relative:page;z-index:-119372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201</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7.100006pt;margin-top:42.549988pt;width:80.25pt;height:22.5pt;mso-position-horizontal-relative:page;mso-position-vertical-relative:page;z-index:-1194064" type="#_x0000_t75" stroked="false">
          <v:imagedata r:id="rId1" o:title=""/>
        </v:shape>
      </w:pict>
    </w:r>
    <w:r>
      <w:rPr/>
      <w:pict>
        <v:group style="position:absolute;margin-left:55.200001pt;margin-top:69.059982pt;width:485pt;height:.1pt;mso-position-horizontal-relative:page;mso-position-vertical-relative:page;z-index:-1194040" coordorigin="1104,1381" coordsize="9700,2">
          <v:shape style="position:absolute;left:1104;top:1381;width:9700;height:2" coordorigin="1104,1381" coordsize="9700,0" path="m1104,1381l10804,138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26.160004pt;margin-top:56.305607pt;width:213.55pt;height:11.5pt;mso-position-horizontal-relative:page;mso-position-vertical-relative:page;z-index:-1194016" type="#_x0000_t202" filled="false" stroked="false">
          <v:textbox inset="0,0,0,0">
            <w:txbxContent>
              <w:p>
                <w:pPr>
                  <w:pStyle w:val="BodyText"/>
                  <w:spacing w:line="214" w:lineRule="exact"/>
                  <w:ind w:left="20" w:right="0"/>
                  <w:jc w:val="left"/>
                </w:pPr>
                <w:r>
                  <w:rPr/>
                  <w:t>北京神州泰岳软件股份有限公司</w:t>
                </w:r>
                <w:r>
                  <w:rPr>
                    <w:spacing w:val="-46"/>
                  </w:rPr>
                  <w:t> </w:t>
                </w:r>
                <w:r>
                  <w:rPr>
                    <w:rFonts w:ascii="Times New Roman" w:hAnsi="Times New Roman" w:cs="Times New Roman" w:eastAsia="Times New Roman" w:hint="default"/>
                  </w:rPr>
                  <w:t>2017</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75"/>
      <w:ind w:left="1133"/>
    </w:pPr>
    <w:rPr>
      <w:rFonts w:ascii="宋体" w:hAnsi="宋体" w:eastAsia="宋体"/>
      <w:sz w:val="24"/>
      <w:szCs w:val="24"/>
    </w:rPr>
  </w:style>
  <w:style w:styleId="BodyText" w:type="paragraph">
    <w:name w:val="Body Text"/>
    <w:basedOn w:val="Normal"/>
    <w:uiPriority w:val="1"/>
    <w:qFormat/>
    <w:pPr>
      <w:ind w:left="1133"/>
    </w:pPr>
    <w:rPr>
      <w:rFonts w:ascii="宋体" w:hAnsi="宋体" w:eastAsia="宋体"/>
      <w:sz w:val="18"/>
      <w:szCs w:val="18"/>
    </w:rPr>
  </w:style>
  <w:style w:styleId="Heading1" w:type="paragraph">
    <w:name w:val="Heading 1"/>
    <w:basedOn w:val="Normal"/>
    <w:uiPriority w:val="1"/>
    <w:qFormat/>
    <w:pPr>
      <w:spacing w:before="1"/>
      <w:outlineLvl w:val="1"/>
    </w:pPr>
    <w:rPr>
      <w:rFonts w:ascii="宋体" w:hAnsi="宋体" w:eastAsia="宋体"/>
      <w:b/>
      <w:bCs/>
      <w:sz w:val="32"/>
      <w:szCs w:val="32"/>
    </w:rPr>
  </w:style>
  <w:style w:styleId="Heading2" w:type="paragraph">
    <w:name w:val="Heading 2"/>
    <w:basedOn w:val="Normal"/>
    <w:uiPriority w:val="1"/>
    <w:qFormat/>
    <w:pPr>
      <w:ind w:left="1134"/>
      <w:outlineLvl w:val="2"/>
    </w:pPr>
    <w:rPr>
      <w:rFonts w:ascii="宋体" w:hAnsi="宋体" w:eastAsia="宋体"/>
      <w:b/>
      <w:bCs/>
      <w:sz w:val="24"/>
      <w:szCs w:val="24"/>
    </w:rPr>
  </w:style>
  <w:style w:styleId="Heading3" w:type="paragraph">
    <w:name w:val="Heading 3"/>
    <w:basedOn w:val="Normal"/>
    <w:uiPriority w:val="1"/>
    <w:qFormat/>
    <w:pPr>
      <w:ind w:left="1134"/>
      <w:outlineLvl w:val="3"/>
    </w:pPr>
    <w:rPr>
      <w:rFonts w:ascii="宋体" w:hAnsi="宋体" w:eastAsia="宋体"/>
      <w:b/>
      <w:bCs/>
      <w:sz w:val="21"/>
      <w:szCs w:val="21"/>
    </w:rPr>
  </w:style>
  <w:style w:styleId="Heading4" w:type="paragraph">
    <w:name w:val="Heading 4"/>
    <w:basedOn w:val="Normal"/>
    <w:uiPriority w:val="1"/>
    <w:qFormat/>
    <w:pPr>
      <w:ind w:left="1495"/>
      <w:outlineLvl w:val="4"/>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header" Target="header1.xml"/><Relationship Id="rId28" Type="http://schemas.openxmlformats.org/officeDocument/2006/relationships/footer" Target="footer1.xml"/><Relationship Id="rId29" Type="http://schemas.openxmlformats.org/officeDocument/2006/relationships/hyperlink" Target="http://www.ultrapower.com.cn/" TargetMode="External"/><Relationship Id="rId30" Type="http://schemas.openxmlformats.org/officeDocument/2006/relationships/hyperlink" Target="mailto:IRM@ultrapower.com.cn" TargetMode="External"/><Relationship Id="rId31" Type="http://schemas.openxmlformats.org/officeDocument/2006/relationships/hyperlink" Target="http://www.cninfo.com.cn/" TargetMode="External"/><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pn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png"/><Relationship Id="rId49" Type="http://schemas.openxmlformats.org/officeDocument/2006/relationships/image" Target="media/image4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footer" Target="footer2.xml"/><Relationship Id="rId56" Type="http://schemas.openxmlformats.org/officeDocument/2006/relationships/footer" Target="footer3.xml"/><Relationship Id="rId57" Type="http://schemas.openxmlformats.org/officeDocument/2006/relationships/footer" Target="footer4.xml"/><Relationship Id="rId58" Type="http://schemas.openxmlformats.org/officeDocument/2006/relationships/footer" Target="footer5.xml"/><Relationship Id="rId59" Type="http://schemas.openxmlformats.org/officeDocument/2006/relationships/footer" Target="footer6.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4.png"/></Relationships>

</file>

<file path=word/_rels/footer3.xml.rels><?xml version="1.0" encoding="UTF-8" standalone="yes"?>
<Relationships xmlns="http://schemas.openxmlformats.org/package/2006/relationships"><Relationship Id="rId1" Type="http://schemas.openxmlformats.org/officeDocument/2006/relationships/image" Target="media/image24.png"/></Relationships>

</file>

<file path=word/_rels/footer4.xml.rels><?xml version="1.0" encoding="UTF-8" standalone="yes"?>
<Relationships xmlns="http://schemas.openxmlformats.org/package/2006/relationships"><Relationship Id="rId1" Type="http://schemas.openxmlformats.org/officeDocument/2006/relationships/image" Target="media/image24.png"/></Relationships>

</file>

<file path=word/_rels/footer5.xml.rels><?xml version="1.0" encoding="UTF-8" standalone="yes"?>
<Relationships xmlns="http://schemas.openxmlformats.org/package/2006/relationships"><Relationship Id="rId1" Type="http://schemas.openxmlformats.org/officeDocument/2006/relationships/image" Target="media/image24.png"/></Relationships>

</file>

<file path=word/_rels/footer6.xml.rels><?xml version="1.0" encoding="UTF-8" standalone="yes"?>
<Relationships xmlns="http://schemas.openxmlformats.org/package/2006/relationships"><Relationship Id="rId1"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北京神州泰岳软件股份有限公司</dc:creator>
  <dc:title>北京神州泰岳软件股份有限公司2017年年度报告全文</dc:title>
  <dcterms:created xsi:type="dcterms:W3CDTF">2020-05-02T23:34:56Z</dcterms:created>
  <dcterms:modified xsi:type="dcterms:W3CDTF">2020-05-02T23:34:56Z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2018-04-26T00:00:00Z</vt:filetime>
  </property>
  <property fmtid="{D5CDD505-2E9C-101B-9397-08002B2CF9AE}" pid="3" name="Creator">
    <vt:lpwstr>Microsoft® Office Word 2007</vt:lpwstr>
  </property>
  <property fmtid="{D5CDD505-2E9C-101B-9397-08002B2CF9AE}" pid="4" name="LastSaved">
    <vt:filetime>2020-05-02T00:00:00Z</vt:filetime>
  </property>
</Properties>
</file>